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6FD4" w14:textId="5509EA91" w:rsidR="0000509A" w:rsidRPr="0000509A" w:rsidRDefault="0000509A" w:rsidP="00806E5D">
      <w:pPr>
        <w:rPr>
          <w:rFonts w:ascii="Arial" w:hAnsi="Arial" w:cs="Arial"/>
          <w:b/>
          <w:bCs/>
          <w:sz w:val="24"/>
          <w:szCs w:val="24"/>
        </w:rPr>
      </w:pPr>
      <w:r w:rsidRPr="0000509A">
        <w:rPr>
          <w:rFonts w:ascii="Arial" w:hAnsi="Arial" w:cs="Arial"/>
          <w:b/>
          <w:bCs/>
          <w:sz w:val="24"/>
          <w:szCs w:val="24"/>
        </w:rPr>
        <w:t>Audit and Risk Committee</w:t>
      </w:r>
    </w:p>
    <w:p w14:paraId="5B2D17D8" w14:textId="77777777" w:rsidR="0000509A" w:rsidRPr="0000509A" w:rsidRDefault="0000509A" w:rsidP="0000509A">
      <w:pPr>
        <w:rPr>
          <w:rFonts w:ascii="Arial" w:hAnsi="Arial" w:cs="Arial"/>
          <w:sz w:val="24"/>
          <w:szCs w:val="24"/>
        </w:rPr>
      </w:pPr>
    </w:p>
    <w:p w14:paraId="6BF88ECF" w14:textId="77777777" w:rsidR="0000509A" w:rsidRPr="0000509A" w:rsidRDefault="0000509A" w:rsidP="0000509A">
      <w:pPr>
        <w:rPr>
          <w:rFonts w:ascii="Arial" w:hAnsi="Arial" w:cs="Arial"/>
          <w:sz w:val="24"/>
          <w:szCs w:val="24"/>
        </w:rPr>
      </w:pPr>
      <w:r w:rsidRPr="0000509A">
        <w:rPr>
          <w:rFonts w:ascii="Arial" w:hAnsi="Arial" w:cs="Arial"/>
          <w:sz w:val="24"/>
          <w:szCs w:val="24"/>
        </w:rPr>
        <w:t>Committee Chair:</w:t>
      </w:r>
      <w:r w:rsidRPr="0000509A">
        <w:rPr>
          <w:rFonts w:ascii="Arial" w:hAnsi="Arial" w:cs="Arial"/>
          <w:sz w:val="24"/>
          <w:szCs w:val="24"/>
        </w:rPr>
        <w:tab/>
        <w:t xml:space="preserve">Katija Dew </w:t>
      </w:r>
    </w:p>
    <w:p w14:paraId="398B9722" w14:textId="667E3EE9" w:rsidR="0000509A" w:rsidRPr="0000509A" w:rsidRDefault="0000509A" w:rsidP="0000509A">
      <w:pPr>
        <w:rPr>
          <w:rFonts w:ascii="Arial" w:hAnsi="Arial" w:cs="Arial"/>
          <w:sz w:val="24"/>
          <w:szCs w:val="24"/>
        </w:rPr>
      </w:pPr>
      <w:r w:rsidRPr="0000509A">
        <w:rPr>
          <w:rFonts w:ascii="Arial" w:hAnsi="Arial" w:cs="Arial"/>
          <w:sz w:val="24"/>
          <w:szCs w:val="24"/>
        </w:rPr>
        <w:t xml:space="preserve">Date of meeting:  </w:t>
      </w:r>
      <w:r w:rsidRPr="0000509A">
        <w:rPr>
          <w:rFonts w:ascii="Arial" w:hAnsi="Arial" w:cs="Arial"/>
          <w:sz w:val="24"/>
          <w:szCs w:val="24"/>
        </w:rPr>
        <w:tab/>
      </w:r>
      <w:r w:rsidR="00A1667C">
        <w:rPr>
          <w:rFonts w:ascii="Arial" w:hAnsi="Arial" w:cs="Arial"/>
          <w:sz w:val="24"/>
          <w:szCs w:val="24"/>
        </w:rPr>
        <w:t>25/06/26</w:t>
      </w:r>
    </w:p>
    <w:p w14:paraId="3B31B79D" w14:textId="77777777" w:rsidR="0000509A" w:rsidRPr="0000509A" w:rsidRDefault="0000509A" w:rsidP="0000509A">
      <w:pPr>
        <w:rPr>
          <w:rFonts w:ascii="Arial" w:hAnsi="Arial" w:cs="Arial"/>
          <w:sz w:val="24"/>
          <w:szCs w:val="24"/>
        </w:rPr>
      </w:pPr>
      <w:r w:rsidRPr="0000509A">
        <w:rPr>
          <w:rFonts w:ascii="Arial" w:hAnsi="Arial" w:cs="Arial"/>
          <w:sz w:val="24"/>
          <w:szCs w:val="24"/>
        </w:rPr>
        <w:t xml:space="preserve">Paper prepared by:   Katija Dew </w:t>
      </w:r>
    </w:p>
    <w:p w14:paraId="7D5DC7B7" w14:textId="77777777" w:rsidR="0000509A" w:rsidRPr="0000509A" w:rsidRDefault="0000509A" w:rsidP="0000509A">
      <w:pPr>
        <w:rPr>
          <w:rFonts w:ascii="Arial" w:hAnsi="Arial" w:cs="Arial"/>
          <w:b/>
          <w:bCs/>
          <w:sz w:val="24"/>
          <w:szCs w:val="24"/>
        </w:rPr>
      </w:pPr>
    </w:p>
    <w:p w14:paraId="6ADAF2AC" w14:textId="0CCE0FA8" w:rsidR="00C45177" w:rsidRPr="00C45177" w:rsidRDefault="0000509A" w:rsidP="00C45177">
      <w:pPr>
        <w:rPr>
          <w:rFonts w:ascii="Arial" w:hAnsi="Arial" w:cs="Arial"/>
          <w:color w:val="008080"/>
          <w:sz w:val="24"/>
          <w:szCs w:val="24"/>
        </w:rPr>
      </w:pPr>
      <w:r w:rsidRPr="0000509A">
        <w:rPr>
          <w:rFonts w:ascii="Arial" w:hAnsi="Arial" w:cs="Arial"/>
          <w:color w:val="008080"/>
          <w:sz w:val="24"/>
          <w:szCs w:val="24"/>
        </w:rPr>
        <w:t>KEY DECISIONS / MATTERS CONSIDERED BY THE COMMITTEE</w:t>
      </w:r>
    </w:p>
    <w:p w14:paraId="75110A24" w14:textId="77777777" w:rsidR="00C45177" w:rsidRDefault="00C45177" w:rsidP="00C45177">
      <w:pPr>
        <w:rPr>
          <w:rFonts w:ascii="Arial" w:hAnsi="Arial" w:cs="Arial"/>
          <w:color w:val="339966"/>
          <w:sz w:val="24"/>
          <w:szCs w:val="24"/>
        </w:rPr>
      </w:pPr>
    </w:p>
    <w:p w14:paraId="1BFD4B3D" w14:textId="4FCA3E36" w:rsidR="0000509A" w:rsidRPr="00C45177" w:rsidRDefault="0000509A"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 xml:space="preserve">SITUATION/BACKGROUND </w:t>
      </w:r>
    </w:p>
    <w:p w14:paraId="07EE0D2F" w14:textId="77777777" w:rsidR="00A1667C" w:rsidRPr="00A1667C" w:rsidRDefault="00A1667C" w:rsidP="00A1667C">
      <w:pPr>
        <w:rPr>
          <w:rFonts w:asciiTheme="minorBidi" w:hAnsiTheme="minorBidi"/>
          <w:sz w:val="24"/>
          <w:szCs w:val="24"/>
        </w:rPr>
      </w:pPr>
      <w:r w:rsidRPr="00A1667C">
        <w:rPr>
          <w:rFonts w:asciiTheme="minorBidi" w:hAnsiTheme="minorBidi"/>
          <w:sz w:val="24"/>
          <w:szCs w:val="24"/>
        </w:rPr>
        <w:t>This update provides the Board with a summary of key issues considered by the Audit and Risk Committee at its meeting on 25 June 2026.  </w:t>
      </w:r>
    </w:p>
    <w:p w14:paraId="527C899B" w14:textId="77777777" w:rsidR="00A1667C" w:rsidRPr="00A1667C" w:rsidRDefault="00A1667C" w:rsidP="00A1667C">
      <w:pPr>
        <w:rPr>
          <w:rFonts w:asciiTheme="minorBidi" w:hAnsiTheme="minorBidi"/>
          <w:sz w:val="24"/>
          <w:szCs w:val="24"/>
        </w:rPr>
      </w:pPr>
      <w:r w:rsidRPr="00A1667C">
        <w:rPr>
          <w:rFonts w:asciiTheme="minorBidi" w:hAnsiTheme="minorBidi"/>
          <w:sz w:val="24"/>
          <w:szCs w:val="24"/>
        </w:rPr>
        <w:t>Key highlights from the meeting are reported in Section 3. </w:t>
      </w:r>
    </w:p>
    <w:p w14:paraId="19E574DE" w14:textId="77777777" w:rsidR="00C45177" w:rsidRDefault="00C45177" w:rsidP="0000509A">
      <w:pPr>
        <w:rPr>
          <w:rFonts w:ascii="Arial" w:hAnsi="Arial" w:cs="Arial"/>
          <w:sz w:val="24"/>
          <w:szCs w:val="24"/>
        </w:rPr>
      </w:pPr>
    </w:p>
    <w:p w14:paraId="11740B05" w14:textId="29E9195A" w:rsidR="0000509A" w:rsidRPr="00C45177" w:rsidRDefault="00C45177"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PURPOSE</w:t>
      </w:r>
      <w:r w:rsidR="0000509A" w:rsidRPr="00C45177">
        <w:rPr>
          <w:rFonts w:ascii="Arial" w:hAnsi="Arial" w:cs="Arial"/>
          <w:b/>
          <w:bCs/>
          <w:sz w:val="24"/>
          <w:szCs w:val="24"/>
        </w:rPr>
        <w:t> </w:t>
      </w:r>
    </w:p>
    <w:p w14:paraId="2BD787F3" w14:textId="77777777" w:rsidR="0000509A" w:rsidRPr="00157568" w:rsidRDefault="0000509A" w:rsidP="0000509A">
      <w:pPr>
        <w:rPr>
          <w:rFonts w:ascii="Arial" w:hAnsi="Arial" w:cs="Arial"/>
          <w:sz w:val="24"/>
          <w:szCs w:val="24"/>
        </w:rPr>
      </w:pPr>
      <w:r w:rsidRPr="00157568">
        <w:rPr>
          <w:rFonts w:ascii="Arial" w:hAnsi="Arial" w:cs="Arial"/>
          <w:sz w:val="24"/>
          <w:szCs w:val="24"/>
        </w:rPr>
        <w:t xml:space="preserve">The Purpose and Role of the </w:t>
      </w:r>
      <w:r>
        <w:rPr>
          <w:rFonts w:ascii="Arial" w:hAnsi="Arial" w:cs="Arial"/>
          <w:sz w:val="24"/>
          <w:szCs w:val="24"/>
        </w:rPr>
        <w:t>Audit and Risk</w:t>
      </w:r>
      <w:r w:rsidRPr="00157568">
        <w:rPr>
          <w:rFonts w:ascii="Arial" w:hAnsi="Arial" w:cs="Arial"/>
          <w:sz w:val="24"/>
          <w:szCs w:val="24"/>
        </w:rPr>
        <w:t xml:space="preserve"> Committee is set out in the Terms of Reference for the Committee</w:t>
      </w:r>
    </w:p>
    <w:p w14:paraId="414F1003" w14:textId="5ECEA64D" w:rsidR="00C45177" w:rsidRDefault="00C45177" w:rsidP="00C45177">
      <w:pPr>
        <w:rPr>
          <w:rFonts w:ascii="Arial" w:hAnsi="Arial" w:cs="Arial"/>
          <w:sz w:val="24"/>
          <w:szCs w:val="24"/>
        </w:rPr>
      </w:pPr>
    </w:p>
    <w:p w14:paraId="33AD2DA8" w14:textId="4E853691" w:rsidR="00C45177" w:rsidRPr="00C45177" w:rsidRDefault="00C45177"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HIGHLIGHT REPORT</w:t>
      </w:r>
    </w:p>
    <w:p w14:paraId="1D738A57" w14:textId="7577ABE9" w:rsidR="00C45177" w:rsidRPr="00A1667C" w:rsidRDefault="00C45177" w:rsidP="0000509A">
      <w:pPr>
        <w:rPr>
          <w:rFonts w:ascii="Arial" w:hAnsi="Arial" w:cs="Arial"/>
          <w:b/>
          <w:bCs/>
          <w:sz w:val="24"/>
          <w:szCs w:val="24"/>
          <w:u w:val="single"/>
        </w:rPr>
      </w:pPr>
      <w:r w:rsidRPr="00A1667C">
        <w:rPr>
          <w:rFonts w:ascii="Arial" w:hAnsi="Arial" w:cs="Arial"/>
          <w:b/>
          <w:bCs/>
          <w:sz w:val="24"/>
          <w:szCs w:val="24"/>
          <w:u w:val="single"/>
        </w:rPr>
        <w:t>Alert / Escalate</w:t>
      </w:r>
    </w:p>
    <w:p w14:paraId="76A6C703" w14:textId="040ADE42" w:rsidR="0000509A" w:rsidRPr="0000509A" w:rsidRDefault="0000509A" w:rsidP="0000509A">
      <w:pPr>
        <w:rPr>
          <w:rFonts w:ascii="Arial" w:hAnsi="Arial" w:cs="Arial"/>
          <w:sz w:val="24"/>
          <w:szCs w:val="24"/>
        </w:rPr>
      </w:pPr>
      <w:r w:rsidRPr="0000509A">
        <w:rPr>
          <w:rFonts w:ascii="Arial" w:hAnsi="Arial" w:cs="Arial"/>
          <w:sz w:val="24"/>
          <w:szCs w:val="24"/>
        </w:rPr>
        <w:t>No matters require escalation to the Board.</w:t>
      </w:r>
    </w:p>
    <w:p w14:paraId="461F6722" w14:textId="77777777" w:rsidR="00C45177" w:rsidRDefault="00C45177" w:rsidP="0000509A">
      <w:pPr>
        <w:rPr>
          <w:rFonts w:ascii="Arial" w:hAnsi="Arial" w:cs="Arial"/>
          <w:b/>
          <w:bCs/>
          <w:sz w:val="24"/>
          <w:szCs w:val="24"/>
        </w:rPr>
      </w:pPr>
    </w:p>
    <w:p w14:paraId="070BFCB2" w14:textId="6C48F657" w:rsidR="00C45177" w:rsidRPr="00A1667C" w:rsidRDefault="00C45177" w:rsidP="0000509A">
      <w:pPr>
        <w:rPr>
          <w:rFonts w:ascii="Arial" w:hAnsi="Arial" w:cs="Arial"/>
          <w:b/>
          <w:bCs/>
          <w:sz w:val="24"/>
          <w:szCs w:val="24"/>
          <w:u w:val="single"/>
        </w:rPr>
      </w:pPr>
      <w:r w:rsidRPr="00A1667C">
        <w:rPr>
          <w:rFonts w:ascii="Arial" w:hAnsi="Arial" w:cs="Arial"/>
          <w:b/>
          <w:bCs/>
          <w:sz w:val="24"/>
          <w:szCs w:val="24"/>
          <w:u w:val="single"/>
        </w:rPr>
        <w:t>Advise</w:t>
      </w:r>
    </w:p>
    <w:p w14:paraId="536D42B7" w14:textId="3E781A81" w:rsidR="0000509A" w:rsidRPr="00A1667C" w:rsidRDefault="00A1667C" w:rsidP="00A1667C">
      <w:pPr>
        <w:rPr>
          <w:rFonts w:ascii="Arial" w:hAnsi="Arial" w:cs="Arial"/>
          <w:sz w:val="24"/>
          <w:szCs w:val="24"/>
        </w:rPr>
      </w:pPr>
      <w:r w:rsidRPr="00A1667C">
        <w:rPr>
          <w:rFonts w:ascii="Arial" w:hAnsi="Arial" w:cs="Arial"/>
          <w:sz w:val="24"/>
          <w:szCs w:val="24"/>
        </w:rPr>
        <w:t>Not applicable.</w:t>
      </w:r>
    </w:p>
    <w:p w14:paraId="21A55228" w14:textId="77777777" w:rsidR="0000509A" w:rsidRDefault="0000509A" w:rsidP="0000509A">
      <w:pPr>
        <w:rPr>
          <w:rFonts w:ascii="Arial" w:hAnsi="Arial" w:cs="Arial"/>
          <w:sz w:val="24"/>
          <w:szCs w:val="24"/>
        </w:rPr>
      </w:pPr>
    </w:p>
    <w:p w14:paraId="40CDA3DB" w14:textId="0FD1A0CD" w:rsidR="00C45177" w:rsidRPr="00A1667C" w:rsidRDefault="00C45177" w:rsidP="0000509A">
      <w:pPr>
        <w:rPr>
          <w:rFonts w:ascii="Arial" w:hAnsi="Arial" w:cs="Arial"/>
          <w:b/>
          <w:bCs/>
          <w:sz w:val="24"/>
          <w:szCs w:val="24"/>
          <w:u w:val="single"/>
        </w:rPr>
      </w:pPr>
      <w:r w:rsidRPr="00A1667C">
        <w:rPr>
          <w:rFonts w:ascii="Arial" w:hAnsi="Arial" w:cs="Arial"/>
          <w:b/>
          <w:bCs/>
          <w:sz w:val="24"/>
          <w:szCs w:val="24"/>
          <w:u w:val="single"/>
        </w:rPr>
        <w:t>Assure</w:t>
      </w:r>
    </w:p>
    <w:p w14:paraId="0D6D6168" w14:textId="77777777" w:rsidR="00A1667C" w:rsidRPr="006E3D7F" w:rsidRDefault="00A1667C" w:rsidP="00A1667C">
      <w:pPr>
        <w:rPr>
          <w:rFonts w:asciiTheme="minorBidi" w:hAnsiTheme="minorBidi"/>
          <w:sz w:val="24"/>
          <w:szCs w:val="24"/>
        </w:rPr>
      </w:pPr>
      <w:r w:rsidRPr="006E3D7F">
        <w:rPr>
          <w:rFonts w:asciiTheme="minorBidi" w:hAnsiTheme="minorBidi"/>
          <w:b/>
          <w:bCs/>
          <w:sz w:val="24"/>
          <w:szCs w:val="24"/>
        </w:rPr>
        <w:t>Strategic Risk Register</w:t>
      </w:r>
      <w:r w:rsidRPr="006E3D7F">
        <w:rPr>
          <w:rFonts w:asciiTheme="minorBidi" w:hAnsiTheme="minorBidi"/>
          <w:sz w:val="24"/>
          <w:szCs w:val="24"/>
        </w:rPr>
        <w:t> </w:t>
      </w:r>
    </w:p>
    <w:p w14:paraId="383E9671"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reviewed the strategic risk register and was assured that risks are being actively monitored and regularly reviewed. Members welcomed ongoing work to strengthen the clarity and relevance of controls and to ensure that assurance is clearly evidenced. </w:t>
      </w:r>
    </w:p>
    <w:p w14:paraId="541E47B7"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lastRenderedPageBreak/>
        <w:t> </w:t>
      </w:r>
    </w:p>
    <w:p w14:paraId="28B20914"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noted that a small number of risks remain above risk appetite, including cyber resilience, sector capacity and aspects of regulatory services. These risks continue to be actively managed but require ongoing scrutiny. </w:t>
      </w:r>
    </w:p>
    <w:p w14:paraId="511316B0"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645A3048"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Members noted the strategic risk relating to supplier reliance, particularly in relation to key systems, and welcomed improvements to procurement guidance, contract management and staff training. </w:t>
      </w:r>
    </w:p>
    <w:p w14:paraId="72FB2BE5"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28CFE60E"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also noted ongoing work in improving the distinction between controls and operational activity to strengthen assurance. </w:t>
      </w:r>
    </w:p>
    <w:p w14:paraId="4AB97649"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47FBA822" w14:textId="77777777" w:rsidR="00A1667C" w:rsidRPr="006E3D7F" w:rsidRDefault="00A1667C" w:rsidP="00A1667C">
      <w:pPr>
        <w:rPr>
          <w:rFonts w:asciiTheme="minorBidi" w:hAnsiTheme="minorBidi"/>
          <w:sz w:val="24"/>
          <w:szCs w:val="24"/>
        </w:rPr>
      </w:pPr>
      <w:r w:rsidRPr="006E3D7F">
        <w:rPr>
          <w:rFonts w:asciiTheme="minorBidi" w:hAnsiTheme="minorBidi"/>
          <w:b/>
          <w:bCs/>
          <w:sz w:val="24"/>
          <w:szCs w:val="24"/>
        </w:rPr>
        <w:t>Compliance Report (March – May 2026)</w:t>
      </w:r>
      <w:r w:rsidRPr="006E3D7F">
        <w:rPr>
          <w:rFonts w:asciiTheme="minorBidi" w:hAnsiTheme="minorBidi"/>
          <w:sz w:val="24"/>
          <w:szCs w:val="24"/>
        </w:rPr>
        <w:t> </w:t>
      </w:r>
    </w:p>
    <w:p w14:paraId="1C6E037C"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43886B70"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reviewed the compliance report and was assured that governance and compliance arrangements remain effective. </w:t>
      </w:r>
    </w:p>
    <w:p w14:paraId="638E74C9"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Members noted an increase in subject access requests and were advised that this reflects greater awareness of rights among staff and registrants. All requests are being managed within required timescales. </w:t>
      </w:r>
    </w:p>
    <w:p w14:paraId="6B233FB3"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424F9975"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also noted an Ombudsman complaint and was assured that it has been managed appropriately, with learning identified and acted upon. Members welcomed the organisation’s focus on continuous improvement through complaints. </w:t>
      </w:r>
    </w:p>
    <w:p w14:paraId="02BEF8D8"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735D3A0D"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reviewed the organisational policy register and noted an increase in overdue policies. Members were assured that this reflects both capacity pressures and issues with classification, and that action is being taken to prioritise higher-risk policies, improve tracking and clarify what constitutes a policy. </w:t>
      </w:r>
    </w:p>
    <w:p w14:paraId="5A88FEC8"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54A32B60" w14:textId="77777777" w:rsidR="00A1667C" w:rsidRPr="006E3D7F" w:rsidRDefault="00A1667C" w:rsidP="00A1667C">
      <w:pPr>
        <w:rPr>
          <w:rFonts w:asciiTheme="minorBidi" w:hAnsiTheme="minorBidi"/>
          <w:sz w:val="24"/>
          <w:szCs w:val="24"/>
        </w:rPr>
      </w:pPr>
      <w:r w:rsidRPr="006E3D7F">
        <w:rPr>
          <w:rFonts w:asciiTheme="minorBidi" w:hAnsiTheme="minorBidi"/>
          <w:b/>
          <w:bCs/>
          <w:sz w:val="24"/>
          <w:szCs w:val="24"/>
        </w:rPr>
        <w:t>Cyber Security Posture and Data Protection Accountability Framework</w:t>
      </w:r>
      <w:r w:rsidRPr="006E3D7F">
        <w:rPr>
          <w:rFonts w:asciiTheme="minorBidi" w:hAnsiTheme="minorBidi"/>
          <w:sz w:val="24"/>
          <w:szCs w:val="24"/>
        </w:rPr>
        <w:t> </w:t>
      </w:r>
    </w:p>
    <w:p w14:paraId="12C3F139"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0209C80A"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xml:space="preserve">The Committee received assurance that cyber security arrangements have strengthened significantly and that governance across information security and data </w:t>
      </w:r>
      <w:r w:rsidRPr="006E3D7F">
        <w:rPr>
          <w:rFonts w:asciiTheme="minorBidi" w:hAnsiTheme="minorBidi"/>
          <w:sz w:val="24"/>
          <w:szCs w:val="24"/>
        </w:rPr>
        <w:lastRenderedPageBreak/>
        <w:t>protection remains robust. Members noted that the organisation maintains ISO 27001 accreditation and is progressing Cyber Essentials Plus, supported by effective systems which prevent the vast majority of phishing attempts. The Committee also recognised the importance of ongoing staff awareness and testing programmes in maintaining this position. </w:t>
      </w:r>
    </w:p>
    <w:p w14:paraId="4C4BE12D"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160A6860"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welcomed the results of recent business continuity and cyber incident testing, which demonstrated that plans are effective with only minor refinements required. Members noted that the organisation continues to take an appropriately cautious approach to cyber risk, recognising the evolving and unpredictable nature of threats. </w:t>
      </w:r>
    </w:p>
    <w:p w14:paraId="2852DA02"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0D823BDF"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In addition, the Committee reviewed the IT balanced scorecard and welcomed the improved visibility it provides over performance and controls across cyber security and IT management. Members noted that the metrics offer clear evidence of system effectiveness, including strong protection against cyber threats, and supported the continued development of this reporting to further strengthen oversight. </w:t>
      </w:r>
    </w:p>
    <w:p w14:paraId="583F95E1"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1A65B79A" w14:textId="77777777" w:rsidR="00A1667C" w:rsidRPr="006E3D7F" w:rsidRDefault="00A1667C" w:rsidP="00A1667C">
      <w:pPr>
        <w:rPr>
          <w:rFonts w:asciiTheme="minorBidi" w:hAnsiTheme="minorBidi"/>
          <w:sz w:val="24"/>
          <w:szCs w:val="24"/>
        </w:rPr>
      </w:pPr>
      <w:r w:rsidRPr="006E3D7F">
        <w:rPr>
          <w:rFonts w:asciiTheme="minorBidi" w:hAnsiTheme="minorBidi"/>
          <w:b/>
          <w:bCs/>
          <w:sz w:val="24"/>
          <w:szCs w:val="24"/>
        </w:rPr>
        <w:t>Internal Audit (Strategy, Plan and Charter)</w:t>
      </w:r>
      <w:r w:rsidRPr="006E3D7F">
        <w:rPr>
          <w:rFonts w:asciiTheme="minorBidi" w:hAnsiTheme="minorBidi"/>
          <w:sz w:val="24"/>
          <w:szCs w:val="24"/>
        </w:rPr>
        <w:t> </w:t>
      </w:r>
    </w:p>
    <w:p w14:paraId="4B4140C6"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215EBDC1"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considered and approved the Internal Audit Charter, Strategy and Annual Plan. </w:t>
      </w:r>
    </w:p>
    <w:p w14:paraId="4AA25613"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50CD033F"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Members noted that the new internal audit approach is risk-based, flexible and aligned to the strategic risk register. The Committee welcomed the three-year phased approach, with year one focusing on stabilising key risks, year two embedding improvements and year three supporting longer-term sustainability. The Committee welcomed the flexibility built into the audit plan, recognising that it could be adapted in response to evolving risks and changing circumstances. </w:t>
      </w:r>
    </w:p>
    <w:p w14:paraId="64027AC0"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4E2C030C"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supported the shift towards a more forward-looking and insight-led audit function, focusing on value, foresight and organisational improvement rather than compliance alone. Members recognised that this approach is likely to result in more substantive findings and opportunities for improvement. </w:t>
      </w:r>
    </w:p>
    <w:p w14:paraId="097DC166"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387117F5" w14:textId="77777777" w:rsidR="00A1667C" w:rsidRPr="006E3D7F" w:rsidRDefault="00A1667C" w:rsidP="00A1667C">
      <w:pPr>
        <w:rPr>
          <w:rFonts w:asciiTheme="minorBidi" w:hAnsiTheme="minorBidi"/>
          <w:sz w:val="24"/>
          <w:szCs w:val="24"/>
        </w:rPr>
      </w:pPr>
      <w:r w:rsidRPr="006E3D7F">
        <w:rPr>
          <w:rFonts w:asciiTheme="minorBidi" w:hAnsiTheme="minorBidi"/>
          <w:b/>
          <w:bCs/>
          <w:sz w:val="24"/>
          <w:szCs w:val="24"/>
        </w:rPr>
        <w:lastRenderedPageBreak/>
        <w:t>Committee Effectiveness Review 2025-6</w:t>
      </w:r>
      <w:r w:rsidRPr="006E3D7F">
        <w:rPr>
          <w:rFonts w:asciiTheme="minorBidi" w:hAnsiTheme="minorBidi"/>
          <w:sz w:val="24"/>
          <w:szCs w:val="24"/>
        </w:rPr>
        <w:t> </w:t>
      </w:r>
    </w:p>
    <w:p w14:paraId="65B0EACB"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4F2C50F3"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considered the results of the annual effectiveness review and noted positive feedback regarding governance, scrutiny and engagement. </w:t>
      </w:r>
    </w:p>
    <w:p w14:paraId="722A66FF"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 </w:t>
      </w:r>
    </w:p>
    <w:p w14:paraId="5FBE33FB"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Members recognised improvements in discussion quality and challenge but agreed that further development is needed to strengthen forward-looking scrutiny and strategic insight. The Committee also supported continued improvements in the clarity and conciseness of reporting. </w:t>
      </w:r>
    </w:p>
    <w:p w14:paraId="547DD4FD" w14:textId="77777777" w:rsidR="00A1667C" w:rsidRDefault="00A1667C" w:rsidP="00A1667C">
      <w:pPr>
        <w:rPr>
          <w:rFonts w:asciiTheme="minorBidi" w:hAnsiTheme="minorBidi"/>
          <w:sz w:val="24"/>
          <w:szCs w:val="24"/>
        </w:rPr>
      </w:pPr>
    </w:p>
    <w:p w14:paraId="3762ECA7" w14:textId="3A471859" w:rsidR="0000509A" w:rsidRPr="00A1667C" w:rsidRDefault="00C45177" w:rsidP="00A1667C">
      <w:pPr>
        <w:rPr>
          <w:rFonts w:ascii="Arial" w:hAnsi="Arial" w:cs="Arial"/>
          <w:b/>
          <w:bCs/>
          <w:sz w:val="24"/>
          <w:szCs w:val="24"/>
          <w:u w:val="single"/>
        </w:rPr>
      </w:pPr>
      <w:r w:rsidRPr="00A1667C">
        <w:rPr>
          <w:rFonts w:ascii="Arial" w:hAnsi="Arial" w:cs="Arial"/>
          <w:b/>
          <w:bCs/>
          <w:sz w:val="24"/>
          <w:szCs w:val="24"/>
          <w:u w:val="single"/>
        </w:rPr>
        <w:t>Inform</w:t>
      </w:r>
      <w:r w:rsidR="0000509A" w:rsidRPr="00A1667C">
        <w:rPr>
          <w:rFonts w:ascii="Arial" w:hAnsi="Arial" w:cs="Arial"/>
          <w:b/>
          <w:bCs/>
          <w:sz w:val="24"/>
          <w:szCs w:val="24"/>
          <w:u w:val="single"/>
        </w:rPr>
        <w:t xml:space="preserve"> </w:t>
      </w:r>
    </w:p>
    <w:p w14:paraId="0DF2E788" w14:textId="77777777" w:rsidR="00A1667C" w:rsidRPr="006E3D7F" w:rsidRDefault="00A1667C" w:rsidP="00A1667C">
      <w:pPr>
        <w:rPr>
          <w:rFonts w:asciiTheme="minorBidi" w:hAnsiTheme="minorBidi"/>
          <w:sz w:val="24"/>
          <w:szCs w:val="24"/>
        </w:rPr>
      </w:pPr>
      <w:r w:rsidRPr="006E3D7F">
        <w:rPr>
          <w:rFonts w:asciiTheme="minorBidi" w:hAnsiTheme="minorBidi"/>
          <w:b/>
          <w:bCs/>
          <w:sz w:val="24"/>
          <w:szCs w:val="24"/>
        </w:rPr>
        <w:t>Director’s Context Setting Overview</w:t>
      </w:r>
      <w:r w:rsidRPr="006E3D7F">
        <w:rPr>
          <w:rFonts w:asciiTheme="minorBidi" w:hAnsiTheme="minorBidi"/>
          <w:sz w:val="24"/>
          <w:szCs w:val="24"/>
        </w:rPr>
        <w:t> </w:t>
      </w:r>
    </w:p>
    <w:p w14:paraId="3AA8FDC9"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received a comprehensive update on organisational performance, financial audit progress and key strategic activity. Members noted that Audit Wales has substantially completed its year-end audit work, with no issues raised to date and only minor queries outstanding. </w:t>
      </w:r>
    </w:p>
    <w:p w14:paraId="001CD666" w14:textId="77777777" w:rsidR="00A1667C" w:rsidRPr="006E3D7F" w:rsidRDefault="00A1667C" w:rsidP="00A1667C">
      <w:pPr>
        <w:rPr>
          <w:rFonts w:asciiTheme="minorBidi" w:hAnsiTheme="minorBidi"/>
          <w:sz w:val="24"/>
          <w:szCs w:val="24"/>
        </w:rPr>
      </w:pPr>
      <w:r w:rsidRPr="006E3D7F">
        <w:rPr>
          <w:rFonts w:asciiTheme="minorBidi" w:hAnsiTheme="minorBidi"/>
          <w:sz w:val="24"/>
          <w:szCs w:val="24"/>
        </w:rPr>
        <w:t>The Committee was also updated on organisational developments including recruitment to the Head of Finance role, progress on the strategic plan and engagement with Welsh Government following the recent change in administration. Members were assured that these areas are being actively managed and remain broadly on track, albeit with some external dependencies. </w:t>
      </w:r>
    </w:p>
    <w:p w14:paraId="65241335" w14:textId="6D59BA61" w:rsidR="00C45177" w:rsidRDefault="00A1667C" w:rsidP="00A1667C">
      <w:pPr>
        <w:rPr>
          <w:rFonts w:asciiTheme="minorBidi" w:hAnsiTheme="minorBidi"/>
          <w:sz w:val="24"/>
          <w:szCs w:val="24"/>
        </w:rPr>
      </w:pPr>
      <w:r w:rsidRPr="006E3D7F">
        <w:rPr>
          <w:rFonts w:asciiTheme="minorBidi" w:hAnsiTheme="minorBidi"/>
          <w:sz w:val="24"/>
          <w:szCs w:val="24"/>
        </w:rPr>
        <w:t>The Committee noted positive outcomes from recent business continuity testing and was reassured that arrangements align with expectations, supported by the organisation’s ISO 27001 accreditation. </w:t>
      </w:r>
    </w:p>
    <w:p w14:paraId="329D398E" w14:textId="77777777" w:rsidR="00A1667C" w:rsidRDefault="00A1667C" w:rsidP="00A1667C">
      <w:pPr>
        <w:rPr>
          <w:rFonts w:ascii="Arial" w:hAnsi="Arial" w:cs="Arial"/>
          <w:sz w:val="24"/>
          <w:szCs w:val="24"/>
        </w:rPr>
      </w:pPr>
    </w:p>
    <w:p w14:paraId="186A68E0" w14:textId="15EF0EDE" w:rsidR="00C45177" w:rsidRPr="00C45177" w:rsidRDefault="00C45177" w:rsidP="00C45177">
      <w:pPr>
        <w:rPr>
          <w:rFonts w:ascii="Arial" w:hAnsi="Arial" w:cs="Arial"/>
          <w:sz w:val="24"/>
          <w:szCs w:val="24"/>
        </w:rPr>
      </w:pPr>
      <w:r>
        <w:rPr>
          <w:rFonts w:ascii="Arial" w:hAnsi="Arial" w:cs="Arial"/>
          <w:sz w:val="24"/>
          <w:szCs w:val="24"/>
        </w:rPr>
        <w:t xml:space="preserve">NEXT MEETING: </w:t>
      </w:r>
      <w:r w:rsidR="00A1667C" w:rsidRPr="006E3D7F">
        <w:rPr>
          <w:rFonts w:asciiTheme="minorBidi" w:hAnsiTheme="minorBidi"/>
          <w:sz w:val="24"/>
          <w:szCs w:val="24"/>
        </w:rPr>
        <w:t>17.09.26, 09.07.26 meeting is specifically for Annual Report and Accounts. </w:t>
      </w:r>
    </w:p>
    <w:p w14:paraId="33EF7FDE" w14:textId="77777777" w:rsidR="0000509A" w:rsidRPr="00D170BA" w:rsidRDefault="0000509A">
      <w:pPr>
        <w:rPr>
          <w:rFonts w:ascii="Arial" w:hAnsi="Arial" w:cs="Arial"/>
          <w:sz w:val="24"/>
          <w:szCs w:val="24"/>
        </w:rPr>
      </w:pPr>
    </w:p>
    <w:sectPr w:rsidR="0000509A" w:rsidRPr="00D170BA" w:rsidSect="00FF032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D1F8F0" w14:textId="77777777" w:rsidR="00231837" w:rsidRDefault="00231837" w:rsidP="00C45177">
      <w:pPr>
        <w:spacing w:after="0" w:line="240" w:lineRule="auto"/>
      </w:pPr>
      <w:r>
        <w:separator/>
      </w:r>
    </w:p>
  </w:endnote>
  <w:endnote w:type="continuationSeparator" w:id="0">
    <w:p w14:paraId="073A3777" w14:textId="77777777" w:rsidR="00231837" w:rsidRDefault="00231837" w:rsidP="00C4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F69FC" w14:textId="77777777" w:rsidR="00231837" w:rsidRDefault="00231837" w:rsidP="00C45177">
      <w:pPr>
        <w:spacing w:after="0" w:line="240" w:lineRule="auto"/>
      </w:pPr>
      <w:r>
        <w:separator/>
      </w:r>
    </w:p>
  </w:footnote>
  <w:footnote w:type="continuationSeparator" w:id="0">
    <w:p w14:paraId="42323B8F" w14:textId="77777777" w:rsidR="00231837" w:rsidRDefault="00231837" w:rsidP="00C45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A7AF" w14:textId="557C6924" w:rsidR="00C45177" w:rsidRPr="00C45177" w:rsidRDefault="00C45177" w:rsidP="00C45177">
    <w:pPr>
      <w:pStyle w:val="Header"/>
      <w:jc w:val="center"/>
    </w:pPr>
    <w:r w:rsidRPr="00C45177">
      <w:rPr>
        <w:noProof/>
      </w:rPr>
      <w:drawing>
        <wp:inline distT="0" distB="0" distL="0" distR="0" wp14:anchorId="004BC094" wp14:editId="41437F6E">
          <wp:extent cx="3181350" cy="633730"/>
          <wp:effectExtent l="0" t="0" r="0" b="0"/>
          <wp:docPr id="1109437247" name="Picture 2" descr="Social Care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ial Care Wal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633730"/>
                  </a:xfrm>
                  <a:prstGeom prst="rect">
                    <a:avLst/>
                  </a:prstGeom>
                  <a:noFill/>
                  <a:ln>
                    <a:noFill/>
                  </a:ln>
                </pic:spPr>
              </pic:pic>
            </a:graphicData>
          </a:graphic>
        </wp:inline>
      </w:drawing>
    </w:r>
  </w:p>
  <w:p w14:paraId="0D58CE14" w14:textId="77777777" w:rsidR="00C45177" w:rsidRPr="00C45177" w:rsidRDefault="00C45177" w:rsidP="00C45177">
    <w:pPr>
      <w:pStyle w:val="Header"/>
    </w:pPr>
  </w:p>
  <w:p w14:paraId="22E68D8A" w14:textId="77777777" w:rsidR="00C45177" w:rsidRPr="00C45177" w:rsidRDefault="00C45177" w:rsidP="00C45177">
    <w:pPr>
      <w:pStyle w:val="Header"/>
    </w:pPr>
  </w:p>
  <w:p w14:paraId="619B96BA" w14:textId="77777777" w:rsidR="00C45177" w:rsidRDefault="00C45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4354"/>
    <w:multiLevelType w:val="hybridMultilevel"/>
    <w:tmpl w:val="6590C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0C184E"/>
    <w:multiLevelType w:val="hybridMultilevel"/>
    <w:tmpl w:val="B3EC0A1C"/>
    <w:lvl w:ilvl="0" w:tplc="264EC994">
      <w:numFmt w:val="bullet"/>
      <w:lvlText w:val="•"/>
      <w:lvlJc w:val="left"/>
      <w:pPr>
        <w:ind w:left="720" w:hanging="720"/>
      </w:pPr>
      <w:rPr>
        <w:rFonts w:ascii="Arial" w:eastAsiaTheme="minorHAnsi" w:hAnsi="Arial" w:cs="Arial" w:hint="default"/>
      </w:rPr>
    </w:lvl>
    <w:lvl w:ilvl="1" w:tplc="3C306E20">
      <w:numFmt w:val="bullet"/>
      <w:lvlText w:val=""/>
      <w:lvlJc w:val="left"/>
      <w:pPr>
        <w:ind w:left="1440" w:hanging="720"/>
      </w:pPr>
      <w:rPr>
        <w:rFonts w:ascii="Symbol" w:eastAsiaTheme="minorHAnsi" w:hAnsi="Symbo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3D204B0"/>
    <w:multiLevelType w:val="multilevel"/>
    <w:tmpl w:val="09464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244517F5"/>
    <w:multiLevelType w:val="hybridMultilevel"/>
    <w:tmpl w:val="658666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7D724C7"/>
    <w:multiLevelType w:val="hybridMultilevel"/>
    <w:tmpl w:val="B3C87E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B2F67E5"/>
    <w:multiLevelType w:val="hybridMultilevel"/>
    <w:tmpl w:val="15ACA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5B94530"/>
    <w:multiLevelType w:val="hybridMultilevel"/>
    <w:tmpl w:val="06DA4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59781276"/>
    <w:multiLevelType w:val="hybridMultilevel"/>
    <w:tmpl w:val="9028BE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A14098A"/>
    <w:multiLevelType w:val="multilevel"/>
    <w:tmpl w:val="27AE9C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5CA97E66"/>
    <w:multiLevelType w:val="multilevel"/>
    <w:tmpl w:val="EC7601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5DAACD5D"/>
    <w:multiLevelType w:val="hybridMultilevel"/>
    <w:tmpl w:val="463820DA"/>
    <w:lvl w:ilvl="0" w:tplc="C6B493CA">
      <w:start w:val="1"/>
      <w:numFmt w:val="bullet"/>
      <w:lvlText w:val=""/>
      <w:lvlJc w:val="left"/>
      <w:pPr>
        <w:ind w:left="720" w:hanging="360"/>
      </w:pPr>
      <w:rPr>
        <w:rFonts w:ascii="Symbol" w:hAnsi="Symbol" w:hint="default"/>
      </w:rPr>
    </w:lvl>
    <w:lvl w:ilvl="1" w:tplc="48D8E5EC">
      <w:start w:val="1"/>
      <w:numFmt w:val="bullet"/>
      <w:lvlText w:val="o"/>
      <w:lvlJc w:val="left"/>
      <w:pPr>
        <w:ind w:left="1440" w:hanging="360"/>
      </w:pPr>
      <w:rPr>
        <w:rFonts w:ascii="Courier New" w:hAnsi="Courier New" w:hint="default"/>
      </w:rPr>
    </w:lvl>
    <w:lvl w:ilvl="2" w:tplc="3D0A3BFC">
      <w:start w:val="1"/>
      <w:numFmt w:val="bullet"/>
      <w:lvlText w:val=""/>
      <w:lvlJc w:val="left"/>
      <w:pPr>
        <w:ind w:left="2160" w:hanging="360"/>
      </w:pPr>
      <w:rPr>
        <w:rFonts w:ascii="Wingdings" w:hAnsi="Wingdings" w:hint="default"/>
      </w:rPr>
    </w:lvl>
    <w:lvl w:ilvl="3" w:tplc="B394B386">
      <w:start w:val="1"/>
      <w:numFmt w:val="bullet"/>
      <w:lvlText w:val=""/>
      <w:lvlJc w:val="left"/>
      <w:pPr>
        <w:ind w:left="2880" w:hanging="360"/>
      </w:pPr>
      <w:rPr>
        <w:rFonts w:ascii="Symbol" w:hAnsi="Symbol" w:hint="default"/>
      </w:rPr>
    </w:lvl>
    <w:lvl w:ilvl="4" w:tplc="A4CE07F8">
      <w:start w:val="1"/>
      <w:numFmt w:val="bullet"/>
      <w:lvlText w:val="o"/>
      <w:lvlJc w:val="left"/>
      <w:pPr>
        <w:ind w:left="3600" w:hanging="360"/>
      </w:pPr>
      <w:rPr>
        <w:rFonts w:ascii="Courier New" w:hAnsi="Courier New" w:hint="default"/>
      </w:rPr>
    </w:lvl>
    <w:lvl w:ilvl="5" w:tplc="FA5E7F40">
      <w:start w:val="1"/>
      <w:numFmt w:val="bullet"/>
      <w:lvlText w:val=""/>
      <w:lvlJc w:val="left"/>
      <w:pPr>
        <w:ind w:left="4320" w:hanging="360"/>
      </w:pPr>
      <w:rPr>
        <w:rFonts w:ascii="Wingdings" w:hAnsi="Wingdings" w:hint="default"/>
      </w:rPr>
    </w:lvl>
    <w:lvl w:ilvl="6" w:tplc="4A54CBDC">
      <w:start w:val="1"/>
      <w:numFmt w:val="bullet"/>
      <w:lvlText w:val=""/>
      <w:lvlJc w:val="left"/>
      <w:pPr>
        <w:ind w:left="5040" w:hanging="360"/>
      </w:pPr>
      <w:rPr>
        <w:rFonts w:ascii="Symbol" w:hAnsi="Symbol" w:hint="default"/>
      </w:rPr>
    </w:lvl>
    <w:lvl w:ilvl="7" w:tplc="335EF9FA">
      <w:start w:val="1"/>
      <w:numFmt w:val="bullet"/>
      <w:lvlText w:val="o"/>
      <w:lvlJc w:val="left"/>
      <w:pPr>
        <w:ind w:left="5760" w:hanging="360"/>
      </w:pPr>
      <w:rPr>
        <w:rFonts w:ascii="Courier New" w:hAnsi="Courier New" w:hint="default"/>
      </w:rPr>
    </w:lvl>
    <w:lvl w:ilvl="8" w:tplc="B2200A7A">
      <w:start w:val="1"/>
      <w:numFmt w:val="bullet"/>
      <w:lvlText w:val=""/>
      <w:lvlJc w:val="left"/>
      <w:pPr>
        <w:ind w:left="6480" w:hanging="360"/>
      </w:pPr>
      <w:rPr>
        <w:rFonts w:ascii="Wingdings" w:hAnsi="Wingdings" w:hint="default"/>
      </w:rPr>
    </w:lvl>
  </w:abstractNum>
  <w:abstractNum w:abstractNumId="11" w15:restartNumberingAfterBreak="0">
    <w:nsid w:val="69D1C625"/>
    <w:multiLevelType w:val="hybridMultilevel"/>
    <w:tmpl w:val="D8666998"/>
    <w:lvl w:ilvl="0" w:tplc="51FCAC92">
      <w:start w:val="1"/>
      <w:numFmt w:val="bullet"/>
      <w:lvlText w:val=""/>
      <w:lvlJc w:val="left"/>
      <w:pPr>
        <w:ind w:left="720" w:hanging="360"/>
      </w:pPr>
      <w:rPr>
        <w:rFonts w:ascii="Symbol" w:hAnsi="Symbol" w:hint="default"/>
      </w:rPr>
    </w:lvl>
    <w:lvl w:ilvl="1" w:tplc="DF460C3A">
      <w:start w:val="1"/>
      <w:numFmt w:val="bullet"/>
      <w:lvlText w:val="o"/>
      <w:lvlJc w:val="left"/>
      <w:pPr>
        <w:ind w:left="1440" w:hanging="360"/>
      </w:pPr>
      <w:rPr>
        <w:rFonts w:ascii="Courier New" w:hAnsi="Courier New" w:hint="default"/>
      </w:rPr>
    </w:lvl>
    <w:lvl w:ilvl="2" w:tplc="853269CE">
      <w:start w:val="1"/>
      <w:numFmt w:val="bullet"/>
      <w:lvlText w:val=""/>
      <w:lvlJc w:val="left"/>
      <w:pPr>
        <w:ind w:left="2160" w:hanging="360"/>
      </w:pPr>
      <w:rPr>
        <w:rFonts w:ascii="Wingdings" w:hAnsi="Wingdings" w:hint="default"/>
      </w:rPr>
    </w:lvl>
    <w:lvl w:ilvl="3" w:tplc="5D96CE24">
      <w:start w:val="1"/>
      <w:numFmt w:val="bullet"/>
      <w:lvlText w:val=""/>
      <w:lvlJc w:val="left"/>
      <w:pPr>
        <w:ind w:left="2880" w:hanging="360"/>
      </w:pPr>
      <w:rPr>
        <w:rFonts w:ascii="Symbol" w:hAnsi="Symbol" w:hint="default"/>
      </w:rPr>
    </w:lvl>
    <w:lvl w:ilvl="4" w:tplc="D0A03C76">
      <w:start w:val="1"/>
      <w:numFmt w:val="bullet"/>
      <w:lvlText w:val="o"/>
      <w:lvlJc w:val="left"/>
      <w:pPr>
        <w:ind w:left="3600" w:hanging="360"/>
      </w:pPr>
      <w:rPr>
        <w:rFonts w:ascii="Courier New" w:hAnsi="Courier New" w:hint="default"/>
      </w:rPr>
    </w:lvl>
    <w:lvl w:ilvl="5" w:tplc="CA8A8A22">
      <w:start w:val="1"/>
      <w:numFmt w:val="bullet"/>
      <w:lvlText w:val=""/>
      <w:lvlJc w:val="left"/>
      <w:pPr>
        <w:ind w:left="4320" w:hanging="360"/>
      </w:pPr>
      <w:rPr>
        <w:rFonts w:ascii="Wingdings" w:hAnsi="Wingdings" w:hint="default"/>
      </w:rPr>
    </w:lvl>
    <w:lvl w:ilvl="6" w:tplc="A286839C">
      <w:start w:val="1"/>
      <w:numFmt w:val="bullet"/>
      <w:lvlText w:val=""/>
      <w:lvlJc w:val="left"/>
      <w:pPr>
        <w:ind w:left="5040" w:hanging="360"/>
      </w:pPr>
      <w:rPr>
        <w:rFonts w:ascii="Symbol" w:hAnsi="Symbol" w:hint="default"/>
      </w:rPr>
    </w:lvl>
    <w:lvl w:ilvl="7" w:tplc="804A068E">
      <w:start w:val="1"/>
      <w:numFmt w:val="bullet"/>
      <w:lvlText w:val="o"/>
      <w:lvlJc w:val="left"/>
      <w:pPr>
        <w:ind w:left="5760" w:hanging="360"/>
      </w:pPr>
      <w:rPr>
        <w:rFonts w:ascii="Courier New" w:hAnsi="Courier New" w:hint="default"/>
      </w:rPr>
    </w:lvl>
    <w:lvl w:ilvl="8" w:tplc="DA1C13CA">
      <w:start w:val="1"/>
      <w:numFmt w:val="bullet"/>
      <w:lvlText w:val=""/>
      <w:lvlJc w:val="left"/>
      <w:pPr>
        <w:ind w:left="6480" w:hanging="360"/>
      </w:pPr>
      <w:rPr>
        <w:rFonts w:ascii="Wingdings" w:hAnsi="Wingdings" w:hint="default"/>
      </w:rPr>
    </w:lvl>
  </w:abstractNum>
  <w:abstractNum w:abstractNumId="12" w15:restartNumberingAfterBreak="0">
    <w:nsid w:val="7174D2DE"/>
    <w:multiLevelType w:val="hybridMultilevel"/>
    <w:tmpl w:val="8C74DD90"/>
    <w:lvl w:ilvl="0" w:tplc="6ABE5CB4">
      <w:start w:val="1"/>
      <w:numFmt w:val="bullet"/>
      <w:lvlText w:val=""/>
      <w:lvlJc w:val="left"/>
      <w:pPr>
        <w:ind w:left="720" w:hanging="360"/>
      </w:pPr>
      <w:rPr>
        <w:rFonts w:ascii="Symbol" w:hAnsi="Symbol" w:hint="default"/>
      </w:rPr>
    </w:lvl>
    <w:lvl w:ilvl="1" w:tplc="01AA4386">
      <w:start w:val="1"/>
      <w:numFmt w:val="bullet"/>
      <w:lvlText w:val="o"/>
      <w:lvlJc w:val="left"/>
      <w:pPr>
        <w:ind w:left="1440" w:hanging="360"/>
      </w:pPr>
      <w:rPr>
        <w:rFonts w:ascii="Courier New" w:hAnsi="Courier New" w:hint="default"/>
      </w:rPr>
    </w:lvl>
    <w:lvl w:ilvl="2" w:tplc="C3A4DEF6">
      <w:start w:val="1"/>
      <w:numFmt w:val="bullet"/>
      <w:lvlText w:val=""/>
      <w:lvlJc w:val="left"/>
      <w:pPr>
        <w:ind w:left="2160" w:hanging="360"/>
      </w:pPr>
      <w:rPr>
        <w:rFonts w:ascii="Wingdings" w:hAnsi="Wingdings" w:hint="default"/>
      </w:rPr>
    </w:lvl>
    <w:lvl w:ilvl="3" w:tplc="13120B1C">
      <w:start w:val="1"/>
      <w:numFmt w:val="bullet"/>
      <w:lvlText w:val=""/>
      <w:lvlJc w:val="left"/>
      <w:pPr>
        <w:ind w:left="2880" w:hanging="360"/>
      </w:pPr>
      <w:rPr>
        <w:rFonts w:ascii="Symbol" w:hAnsi="Symbol" w:hint="default"/>
      </w:rPr>
    </w:lvl>
    <w:lvl w:ilvl="4" w:tplc="8A96228A">
      <w:start w:val="1"/>
      <w:numFmt w:val="bullet"/>
      <w:lvlText w:val="o"/>
      <w:lvlJc w:val="left"/>
      <w:pPr>
        <w:ind w:left="3600" w:hanging="360"/>
      </w:pPr>
      <w:rPr>
        <w:rFonts w:ascii="Courier New" w:hAnsi="Courier New" w:hint="default"/>
      </w:rPr>
    </w:lvl>
    <w:lvl w:ilvl="5" w:tplc="60089524">
      <w:start w:val="1"/>
      <w:numFmt w:val="bullet"/>
      <w:lvlText w:val=""/>
      <w:lvlJc w:val="left"/>
      <w:pPr>
        <w:ind w:left="4320" w:hanging="360"/>
      </w:pPr>
      <w:rPr>
        <w:rFonts w:ascii="Wingdings" w:hAnsi="Wingdings" w:hint="default"/>
      </w:rPr>
    </w:lvl>
    <w:lvl w:ilvl="6" w:tplc="120E1AE8">
      <w:start w:val="1"/>
      <w:numFmt w:val="bullet"/>
      <w:lvlText w:val=""/>
      <w:lvlJc w:val="left"/>
      <w:pPr>
        <w:ind w:left="5040" w:hanging="360"/>
      </w:pPr>
      <w:rPr>
        <w:rFonts w:ascii="Symbol" w:hAnsi="Symbol" w:hint="default"/>
      </w:rPr>
    </w:lvl>
    <w:lvl w:ilvl="7" w:tplc="9BDCDAC8">
      <w:start w:val="1"/>
      <w:numFmt w:val="bullet"/>
      <w:lvlText w:val="o"/>
      <w:lvlJc w:val="left"/>
      <w:pPr>
        <w:ind w:left="5760" w:hanging="360"/>
      </w:pPr>
      <w:rPr>
        <w:rFonts w:ascii="Courier New" w:hAnsi="Courier New" w:hint="default"/>
      </w:rPr>
    </w:lvl>
    <w:lvl w:ilvl="8" w:tplc="ADDE8A18">
      <w:start w:val="1"/>
      <w:numFmt w:val="bullet"/>
      <w:lvlText w:val=""/>
      <w:lvlJc w:val="left"/>
      <w:pPr>
        <w:ind w:left="6480" w:hanging="360"/>
      </w:pPr>
      <w:rPr>
        <w:rFonts w:ascii="Wingdings" w:hAnsi="Wingdings" w:hint="default"/>
      </w:rPr>
    </w:lvl>
  </w:abstractNum>
  <w:abstractNum w:abstractNumId="13" w15:restartNumberingAfterBreak="0">
    <w:nsid w:val="724F1C72"/>
    <w:multiLevelType w:val="hybridMultilevel"/>
    <w:tmpl w:val="E818894E"/>
    <w:lvl w:ilvl="0" w:tplc="264EC99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164343">
    <w:abstractNumId w:val="12"/>
  </w:num>
  <w:num w:numId="2" w16cid:durableId="1824004967">
    <w:abstractNumId w:val="10"/>
  </w:num>
  <w:num w:numId="3" w16cid:durableId="1873566099">
    <w:abstractNumId w:val="11"/>
  </w:num>
  <w:num w:numId="4" w16cid:durableId="11323625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9051793">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7210849">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526652">
    <w:abstractNumId w:val="5"/>
  </w:num>
  <w:num w:numId="8" w16cid:durableId="185752572">
    <w:abstractNumId w:val="1"/>
  </w:num>
  <w:num w:numId="9" w16cid:durableId="664280585">
    <w:abstractNumId w:val="13"/>
  </w:num>
  <w:num w:numId="10" w16cid:durableId="1469469660">
    <w:abstractNumId w:val="4"/>
  </w:num>
  <w:num w:numId="11" w16cid:durableId="1079399959">
    <w:abstractNumId w:val="6"/>
  </w:num>
  <w:num w:numId="12" w16cid:durableId="106120274">
    <w:abstractNumId w:val="3"/>
  </w:num>
  <w:num w:numId="13" w16cid:durableId="1034037778">
    <w:abstractNumId w:val="0"/>
  </w:num>
  <w:num w:numId="14" w16cid:durableId="14243023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9A"/>
    <w:rsid w:val="0000509A"/>
    <w:rsid w:val="001A39CE"/>
    <w:rsid w:val="00231837"/>
    <w:rsid w:val="00286AD1"/>
    <w:rsid w:val="003408AE"/>
    <w:rsid w:val="00552E0D"/>
    <w:rsid w:val="0079412E"/>
    <w:rsid w:val="00806E5D"/>
    <w:rsid w:val="0089076B"/>
    <w:rsid w:val="00A1667C"/>
    <w:rsid w:val="00C45177"/>
    <w:rsid w:val="00C553C2"/>
    <w:rsid w:val="00C81960"/>
    <w:rsid w:val="00CA2F40"/>
    <w:rsid w:val="00D170BA"/>
    <w:rsid w:val="00E46DD0"/>
    <w:rsid w:val="00F440B9"/>
    <w:rsid w:val="00FF03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7FBD"/>
  <w15:chartTrackingRefBased/>
  <w15:docId w15:val="{EE0409B6-EDD5-4337-8AF0-80E44103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09A"/>
  </w:style>
  <w:style w:type="paragraph" w:styleId="Heading1">
    <w:name w:val="heading 1"/>
    <w:basedOn w:val="Normal"/>
    <w:next w:val="Normal"/>
    <w:link w:val="Heading1Char"/>
    <w:uiPriority w:val="9"/>
    <w:qFormat/>
    <w:rsid w:val="00005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09A"/>
    <w:rPr>
      <w:rFonts w:eastAsiaTheme="majorEastAsia" w:cstheme="majorBidi"/>
      <w:color w:val="272727" w:themeColor="text1" w:themeTint="D8"/>
    </w:rPr>
  </w:style>
  <w:style w:type="paragraph" w:styleId="Title">
    <w:name w:val="Title"/>
    <w:basedOn w:val="Normal"/>
    <w:next w:val="Normal"/>
    <w:link w:val="TitleChar"/>
    <w:uiPriority w:val="10"/>
    <w:qFormat/>
    <w:rsid w:val="00005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09A"/>
    <w:pPr>
      <w:spacing w:before="160"/>
      <w:jc w:val="center"/>
    </w:pPr>
    <w:rPr>
      <w:i/>
      <w:iCs/>
      <w:color w:val="404040" w:themeColor="text1" w:themeTint="BF"/>
    </w:rPr>
  </w:style>
  <w:style w:type="character" w:customStyle="1" w:styleId="QuoteChar">
    <w:name w:val="Quote Char"/>
    <w:basedOn w:val="DefaultParagraphFont"/>
    <w:link w:val="Quote"/>
    <w:uiPriority w:val="29"/>
    <w:rsid w:val="0000509A"/>
    <w:rPr>
      <w:i/>
      <w:iCs/>
      <w:color w:val="404040" w:themeColor="text1" w:themeTint="BF"/>
    </w:rPr>
  </w:style>
  <w:style w:type="paragraph" w:styleId="ListParagraph">
    <w:name w:val="List Paragraph"/>
    <w:basedOn w:val="Normal"/>
    <w:uiPriority w:val="34"/>
    <w:qFormat/>
    <w:rsid w:val="0000509A"/>
    <w:pPr>
      <w:ind w:left="720"/>
      <w:contextualSpacing/>
    </w:pPr>
  </w:style>
  <w:style w:type="character" w:styleId="IntenseEmphasis">
    <w:name w:val="Intense Emphasis"/>
    <w:basedOn w:val="DefaultParagraphFont"/>
    <w:uiPriority w:val="21"/>
    <w:qFormat/>
    <w:rsid w:val="0000509A"/>
    <w:rPr>
      <w:i/>
      <w:iCs/>
      <w:color w:val="0F4761" w:themeColor="accent1" w:themeShade="BF"/>
    </w:rPr>
  </w:style>
  <w:style w:type="paragraph" w:styleId="IntenseQuote">
    <w:name w:val="Intense Quote"/>
    <w:basedOn w:val="Normal"/>
    <w:next w:val="Normal"/>
    <w:link w:val="IntenseQuoteChar"/>
    <w:uiPriority w:val="30"/>
    <w:qFormat/>
    <w:rsid w:val="00005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09A"/>
    <w:rPr>
      <w:i/>
      <w:iCs/>
      <w:color w:val="0F4761" w:themeColor="accent1" w:themeShade="BF"/>
    </w:rPr>
  </w:style>
  <w:style w:type="character" w:styleId="IntenseReference">
    <w:name w:val="Intense Reference"/>
    <w:basedOn w:val="DefaultParagraphFont"/>
    <w:uiPriority w:val="32"/>
    <w:qFormat/>
    <w:rsid w:val="0000509A"/>
    <w:rPr>
      <w:b/>
      <w:bCs/>
      <w:smallCaps/>
      <w:color w:val="0F4761" w:themeColor="accent1" w:themeShade="BF"/>
      <w:spacing w:val="5"/>
    </w:rPr>
  </w:style>
  <w:style w:type="paragraph" w:styleId="NormalWeb">
    <w:name w:val="Normal (Web)"/>
    <w:basedOn w:val="Normal"/>
    <w:uiPriority w:val="99"/>
    <w:semiHidden/>
    <w:unhideWhenUsed/>
    <w:rsid w:val="0000509A"/>
    <w:pPr>
      <w:spacing w:after="0" w:line="240" w:lineRule="auto"/>
    </w:pPr>
    <w:rPr>
      <w:rFonts w:ascii="Aptos" w:hAnsi="Aptos" w:cs="Aptos"/>
      <w:sz w:val="24"/>
      <w:szCs w:val="24"/>
      <w:lang w:eastAsia="en-GB"/>
    </w:rPr>
  </w:style>
  <w:style w:type="paragraph" w:customStyle="1" w:styleId="paragraph">
    <w:name w:val="paragraph"/>
    <w:basedOn w:val="Normal"/>
    <w:rsid w:val="00C451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45177"/>
  </w:style>
  <w:style w:type="character" w:customStyle="1" w:styleId="eop">
    <w:name w:val="eop"/>
    <w:basedOn w:val="DefaultParagraphFont"/>
    <w:rsid w:val="00C45177"/>
  </w:style>
  <w:style w:type="paragraph" w:styleId="Header">
    <w:name w:val="header"/>
    <w:basedOn w:val="Normal"/>
    <w:link w:val="HeaderChar"/>
    <w:uiPriority w:val="99"/>
    <w:unhideWhenUsed/>
    <w:rsid w:val="00C45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177"/>
  </w:style>
  <w:style w:type="paragraph" w:styleId="Footer">
    <w:name w:val="footer"/>
    <w:basedOn w:val="Normal"/>
    <w:link w:val="FooterChar"/>
    <w:uiPriority w:val="99"/>
    <w:unhideWhenUsed/>
    <w:rsid w:val="00C45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911</Words>
  <Characters>5197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Calnan</dc:creator>
  <cp:keywords/>
  <dc:description/>
  <cp:lastModifiedBy>Beth Calnan</cp:lastModifiedBy>
  <cp:revision>3</cp:revision>
  <dcterms:created xsi:type="dcterms:W3CDTF">2026-08-20T10:06:00Z</dcterms:created>
  <dcterms:modified xsi:type="dcterms:W3CDTF">2026-08-26T11:42:00Z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2026-04-15T14:13:42Z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11d9460c-ed5f-4ab3-8ba5-d83a9cedcdb8</vt:lpwstr>
  </property>
  <property fmtid="{D5CDD505-2E9C-101B-9397-08002B2CF9AE}" pid="8" name="MSIP_Label_d3f1612d-fb9f-4910-9745-3218a93e4acc_ContentBits">
    <vt:lpwstr>0</vt:lpwstr>
  </property>
  <property fmtid="{D5CDD505-2E9C-101B-9397-08002B2CF9AE}" pid="9" name="MSIP_Label_d3f1612d-fb9f-4910-9745-3218a93e4acc_Tag">
    <vt:lpwstr>10, 3, 0, 1</vt:lpwstr>
  </property>
</Properties>
</file>