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6D9A" w14:textId="796A64C6" w:rsidR="00457A28" w:rsidRDefault="0071311F">
      <w:pPr>
        <w:rPr>
          <w:rFonts w:asciiTheme="majorHAnsi" w:eastAsiaTheme="majorEastAsia" w:hAnsiTheme="majorHAnsi" w:cstheme="majorBidi"/>
          <w:color w:val="1F3864" w:themeColor="accent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EA05DA" wp14:editId="2388A3F5">
            <wp:simplePos x="0" y="0"/>
            <wp:positionH relativeFrom="page">
              <wp:posOffset>6350</wp:posOffset>
            </wp:positionH>
            <wp:positionV relativeFrom="paragraph">
              <wp:posOffset>0</wp:posOffset>
            </wp:positionV>
            <wp:extent cx="10682605" cy="7672070"/>
            <wp:effectExtent l="0" t="0" r="4445" b="5080"/>
            <wp:wrapSquare wrapText="bothSides"/>
            <wp:docPr id="1952436857" name="Picture 1" descr="A green background with a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6117" name="Picture 1" descr="A green background with a blue 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605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798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9BABD4" wp14:editId="79B3E968">
                <wp:simplePos x="0" y="0"/>
                <wp:positionH relativeFrom="page">
                  <wp:posOffset>344293</wp:posOffset>
                </wp:positionH>
                <wp:positionV relativeFrom="paragraph">
                  <wp:posOffset>3483487</wp:posOffset>
                </wp:positionV>
                <wp:extent cx="5680075" cy="3174365"/>
                <wp:effectExtent l="133350" t="114300" r="130175" b="159385"/>
                <wp:wrapSquare wrapText="bothSides"/>
                <wp:docPr id="2023190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1743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B46D875" w14:textId="57920AA5" w:rsidR="00296798" w:rsidRDefault="00296798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All Wales </w:t>
                            </w:r>
                            <w:r w:rsidR="00C8678D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i</w:t>
                            </w: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nduction </w:t>
                            </w:r>
                            <w:r w:rsidR="00C8678D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</w:t>
                            </w: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ramework for </w:t>
                            </w:r>
                          </w:p>
                          <w:p w14:paraId="77EAEA86" w14:textId="476425B5" w:rsidR="00296798" w:rsidRDefault="00C8678D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</w:t>
                            </w:r>
                            <w:r w:rsidR="00296798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arly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</w:t>
                            </w:r>
                            <w:r w:rsidR="00296798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ears and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296798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hildcare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m</w:t>
                            </w:r>
                            <w:r w:rsidR="00296798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anagers</w:t>
                            </w:r>
                          </w:p>
                          <w:p w14:paraId="0A3417B6" w14:textId="77777777" w:rsidR="00296798" w:rsidRDefault="00296798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02C8407" w14:textId="6BF2740E" w:rsidR="00296798" w:rsidRPr="00D93EB1" w:rsidRDefault="00BA1BBC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Linking the AWIF with </w:t>
                            </w:r>
                            <w:r w:rsidRPr="00BA1BBC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QCF Level 5 Diploma in Leadership for Children’s Care, Learning, and Development (Advanced Practice)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BABD4" id="Text Box 2" o:spid="_x0000_s1026" style="position:absolute;margin-left:27.1pt;margin-top:274.3pt;width:447.25pt;height:24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" filled="f" strokecolor="white [3212]" strokeweight="2.25pt">
                <v:stroke joinstyle="miter"/>
                <v:shadow on="t" color="black" offset="0,1pt"/>
                <v:textbox>
                  <w:txbxContent>
                    <w:p w14:paraId="4B46D875" w14:textId="57920AA5" w:rsidR="00296798" w:rsidRDefault="00296798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All Wales </w:t>
                      </w:r>
                      <w:r w:rsidR="00C8678D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i</w:t>
                      </w: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nduction </w:t>
                      </w:r>
                      <w:r w:rsidR="00C8678D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f</w:t>
                      </w: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ramework for </w:t>
                      </w:r>
                    </w:p>
                    <w:p w14:paraId="77EAEA86" w14:textId="476425B5" w:rsidR="00296798" w:rsidRDefault="00C8678D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e</w:t>
                      </w:r>
                      <w:r w:rsidR="00296798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arly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y</w:t>
                      </w:r>
                      <w:r w:rsidR="00296798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ears and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296798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hildcare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m</w:t>
                      </w:r>
                      <w:r w:rsidR="00296798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anagers</w:t>
                      </w:r>
                    </w:p>
                    <w:p w14:paraId="0A3417B6" w14:textId="77777777" w:rsidR="00296798" w:rsidRDefault="00296798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02C8407" w14:textId="6BF2740E" w:rsidR="00296798" w:rsidRPr="00D93EB1" w:rsidRDefault="00BA1BBC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Linking the AWIF with </w:t>
                      </w:r>
                      <w:r w:rsidRPr="00BA1BBC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QCF Level 5 Diploma in Leadership for Children’s Care, Learning, and Development (Advanced Practice)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p w14:paraId="40E2E191" w14:textId="77777777" w:rsidR="001E58C1" w:rsidRDefault="001E58C1" w:rsidP="00F1355F">
      <w:pPr>
        <w:spacing w:after="0" w:line="240" w:lineRule="auto"/>
        <w:rPr>
          <w:rFonts w:ascii="Arial" w:hAnsi="Arial" w:cs="Arial"/>
          <w:sz w:val="24"/>
          <w:szCs w:val="24"/>
        </w:rPr>
        <w:sectPr w:rsidR="001E58C1" w:rsidSect="001E58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0" w:orient="landscape"/>
          <w:pgMar w:top="26" w:right="1440" w:bottom="1134" w:left="1440" w:header="0" w:footer="0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7417475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87E0A8" w14:textId="77777777" w:rsidR="00176F84" w:rsidRPr="001E58C1" w:rsidRDefault="00176F84" w:rsidP="00176F84">
          <w:pPr>
            <w:pStyle w:val="TOCHeading"/>
            <w:rPr>
              <w:rFonts w:ascii="Arial" w:hAnsi="Arial" w:cs="Arial"/>
              <w:b/>
              <w:bCs/>
              <w:color w:val="008868"/>
            </w:rPr>
          </w:pPr>
          <w:r w:rsidRPr="001E58C1">
            <w:rPr>
              <w:rFonts w:ascii="Arial" w:hAnsi="Arial" w:cs="Arial"/>
              <w:b/>
              <w:bCs/>
              <w:color w:val="008868"/>
            </w:rPr>
            <w:t>Contents</w:t>
          </w:r>
        </w:p>
        <w:p w14:paraId="2AC27D0D" w14:textId="77777777" w:rsidR="00176F84" w:rsidRPr="00244FBA" w:rsidRDefault="00176F84" w:rsidP="00176F84"/>
        <w:p w14:paraId="157F4B7C" w14:textId="179D803D" w:rsidR="00380E7E" w:rsidRDefault="00176F84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912C16">
            <w:rPr>
              <w:rFonts w:ascii="Arial" w:hAnsi="Arial" w:cs="Arial"/>
              <w:sz w:val="24"/>
              <w:szCs w:val="24"/>
            </w:rPr>
            <w:fldChar w:fldCharType="begin"/>
          </w:r>
          <w:r w:rsidRPr="00912C1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12C1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1355955" w:history="1">
            <w:r w:rsidR="00380E7E" w:rsidRPr="00F44FAA">
              <w:rPr>
                <w:rStyle w:val="Hyperlink"/>
                <w:rFonts w:ascii="Arial" w:hAnsi="Arial" w:cs="Arial"/>
                <w:b/>
                <w:bCs/>
                <w:noProof/>
              </w:rPr>
              <w:t>Introduction</w:t>
            </w:r>
            <w:r w:rsidR="00380E7E">
              <w:rPr>
                <w:noProof/>
                <w:webHidden/>
              </w:rPr>
              <w:tab/>
            </w:r>
            <w:r w:rsidR="00380E7E">
              <w:rPr>
                <w:noProof/>
                <w:webHidden/>
              </w:rPr>
              <w:fldChar w:fldCharType="begin"/>
            </w:r>
            <w:r w:rsidR="00380E7E">
              <w:rPr>
                <w:noProof/>
                <w:webHidden/>
              </w:rPr>
              <w:instrText xml:space="preserve"> PAGEREF _Toc181355955 \h </w:instrText>
            </w:r>
            <w:r w:rsidR="00380E7E">
              <w:rPr>
                <w:noProof/>
                <w:webHidden/>
              </w:rPr>
            </w:r>
            <w:r w:rsidR="00380E7E">
              <w:rPr>
                <w:noProof/>
                <w:webHidden/>
              </w:rPr>
              <w:fldChar w:fldCharType="separate"/>
            </w:r>
            <w:r w:rsidR="00380E7E">
              <w:rPr>
                <w:noProof/>
                <w:webHidden/>
              </w:rPr>
              <w:t>1</w:t>
            </w:r>
            <w:r w:rsidR="00380E7E">
              <w:rPr>
                <w:noProof/>
                <w:webHidden/>
              </w:rPr>
              <w:fldChar w:fldCharType="end"/>
            </w:r>
          </w:hyperlink>
        </w:p>
        <w:p w14:paraId="4F7F9203" w14:textId="23FC2BCE" w:rsidR="00380E7E" w:rsidRDefault="00380E7E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355956" w:history="1">
            <w:r w:rsidRPr="00F44FAA">
              <w:rPr>
                <w:rStyle w:val="Hyperlink"/>
                <w:rFonts w:ascii="Arial" w:hAnsi="Arial" w:cs="Arial"/>
                <w:b/>
                <w:bCs/>
                <w:noProof/>
              </w:rPr>
              <w:t>Part A: Knowledge mapping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_Toc181355956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15F3E" w14:textId="068E0457" w:rsidR="00380E7E" w:rsidRDefault="00380E7E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1355957" w:history="1">
            <w:r w:rsidRPr="00F44FAA">
              <w:rPr>
                <w:rStyle w:val="Hyperlink"/>
                <w:rFonts w:ascii="Arial" w:hAnsi="Arial" w:cs="Arial"/>
                <w:b/>
                <w:bCs/>
                <w:noProof/>
              </w:rPr>
              <w:t>Part B: Competency skills mapping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_Toc181355957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4D182" w14:textId="717FCBC6" w:rsidR="00176F84" w:rsidRDefault="00176F84" w:rsidP="00176F84">
          <w:pPr>
            <w:rPr>
              <w:b/>
              <w:bCs/>
              <w:noProof/>
            </w:rPr>
          </w:pPr>
          <w:r w:rsidRPr="00912C16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BEE71E6" w14:textId="77777777" w:rsidR="00176F84" w:rsidRDefault="00176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AD4CA8" w14:textId="5EC3BA62" w:rsidR="002B34C8" w:rsidRPr="00FC774D" w:rsidRDefault="00BA1BBC" w:rsidP="002B34C8">
      <w:pPr>
        <w:pStyle w:val="Heading1"/>
        <w:rPr>
          <w:rFonts w:ascii="Arial" w:hAnsi="Arial" w:cs="Arial"/>
          <w:b/>
          <w:bCs/>
          <w:color w:val="008868"/>
        </w:rPr>
      </w:pPr>
      <w:bookmarkStart w:id="0" w:name="_Toc181355955"/>
      <w:bookmarkStart w:id="1" w:name="_Toc168648205"/>
      <w:bookmarkStart w:id="2" w:name="_Toc168649297"/>
      <w:r>
        <w:rPr>
          <w:rFonts w:ascii="Arial" w:hAnsi="Arial" w:cs="Arial"/>
          <w:b/>
          <w:bCs/>
          <w:color w:val="008868"/>
        </w:rPr>
        <w:lastRenderedPageBreak/>
        <w:t>Introduction</w:t>
      </w:r>
      <w:bookmarkEnd w:id="0"/>
      <w:r>
        <w:rPr>
          <w:rFonts w:ascii="Arial" w:hAnsi="Arial" w:cs="Arial"/>
          <w:b/>
          <w:bCs/>
          <w:color w:val="008868"/>
        </w:rPr>
        <w:tab/>
      </w:r>
      <w:bookmarkEnd w:id="1"/>
      <w:bookmarkEnd w:id="2"/>
      <w:r w:rsidR="002B34C8" w:rsidRPr="00FC774D">
        <w:rPr>
          <w:rFonts w:ascii="Arial" w:hAnsi="Arial" w:cs="Arial"/>
          <w:b/>
          <w:bCs/>
          <w:color w:val="008868"/>
        </w:rPr>
        <w:t xml:space="preserve"> </w:t>
      </w:r>
    </w:p>
    <w:p w14:paraId="6D12D495" w14:textId="092F2411" w:rsidR="00A16B6C" w:rsidRDefault="00A16B6C" w:rsidP="0067513B">
      <w:pPr>
        <w:rPr>
          <w:rFonts w:ascii="Arial" w:hAnsi="Arial" w:cs="Arial"/>
          <w:sz w:val="24"/>
          <w:szCs w:val="24"/>
        </w:rPr>
      </w:pPr>
    </w:p>
    <w:p w14:paraId="5802EF61" w14:textId="445E83E3" w:rsidR="00387033" w:rsidRPr="00FC774D" w:rsidRDefault="00BA1BBC" w:rsidP="00675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C8678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ve put together a </w:t>
      </w:r>
      <w:r w:rsidR="0087067A">
        <w:rPr>
          <w:rFonts w:ascii="Arial" w:hAnsi="Arial" w:cs="Arial"/>
          <w:sz w:val="24"/>
          <w:szCs w:val="24"/>
        </w:rPr>
        <w:t xml:space="preserve">small </w:t>
      </w:r>
      <w:r>
        <w:rPr>
          <w:rFonts w:ascii="Arial" w:hAnsi="Arial" w:cs="Arial"/>
          <w:sz w:val="24"/>
          <w:szCs w:val="24"/>
        </w:rPr>
        <w:t>resource document for</w:t>
      </w:r>
      <w:r w:rsidR="004B5D91">
        <w:rPr>
          <w:rFonts w:ascii="Arial" w:hAnsi="Arial" w:cs="Arial"/>
          <w:sz w:val="24"/>
          <w:szCs w:val="24"/>
        </w:rPr>
        <w:t xml:space="preserve"> </w:t>
      </w:r>
      <w:r w:rsidR="00B27DE6">
        <w:rPr>
          <w:rFonts w:ascii="Arial" w:hAnsi="Arial" w:cs="Arial"/>
          <w:sz w:val="24"/>
          <w:szCs w:val="24"/>
        </w:rPr>
        <w:t xml:space="preserve">individuals with a </w:t>
      </w:r>
      <w:r w:rsidR="00423FF2">
        <w:rPr>
          <w:rFonts w:ascii="Arial" w:hAnsi="Arial" w:cs="Arial"/>
          <w:b/>
          <w:bCs/>
          <w:sz w:val="24"/>
          <w:szCs w:val="24"/>
        </w:rPr>
        <w:t xml:space="preserve">QCF </w:t>
      </w:r>
      <w:r w:rsidR="00423FF2" w:rsidRPr="00483495">
        <w:rPr>
          <w:rFonts w:ascii="Arial" w:hAnsi="Arial" w:cs="Arial"/>
          <w:b/>
          <w:bCs/>
          <w:sz w:val="24"/>
          <w:szCs w:val="24"/>
        </w:rPr>
        <w:t xml:space="preserve">Level 5 Diploma in Leadership for Children’s Care, Learning, and Development (Advanced Practice) </w:t>
      </w:r>
      <w:r w:rsidR="00423FF2" w:rsidRPr="00483495">
        <w:rPr>
          <w:rFonts w:ascii="Arial" w:eastAsiaTheme="minorHAnsi" w:hAnsi="Arial" w:cs="Arial"/>
          <w:b/>
          <w:bCs/>
          <w:sz w:val="24"/>
          <w:szCs w:val="24"/>
        </w:rPr>
        <w:t>Wales and Northern Ireland</w:t>
      </w:r>
      <w:r w:rsidR="004B5D91">
        <w:rPr>
          <w:rFonts w:ascii="Arial" w:hAnsi="Arial" w:cs="Arial"/>
          <w:sz w:val="24"/>
          <w:szCs w:val="24"/>
        </w:rPr>
        <w:t xml:space="preserve"> </w:t>
      </w:r>
      <w:r w:rsidR="00BE2081">
        <w:rPr>
          <w:rFonts w:ascii="Arial" w:hAnsi="Arial" w:cs="Arial"/>
          <w:sz w:val="24"/>
          <w:szCs w:val="24"/>
        </w:rPr>
        <w:t xml:space="preserve">qualification. </w:t>
      </w:r>
      <w:r w:rsidR="00266923" w:rsidRPr="00266923">
        <w:rPr>
          <w:rFonts w:ascii="Arial" w:hAnsi="Arial" w:cs="Arial"/>
          <w:sz w:val="24"/>
          <w:szCs w:val="24"/>
        </w:rPr>
        <w:t>We</w:t>
      </w:r>
      <w:r w:rsidR="00C8678D">
        <w:rPr>
          <w:rFonts w:ascii="Arial" w:hAnsi="Arial" w:cs="Arial"/>
          <w:sz w:val="24"/>
          <w:szCs w:val="24"/>
        </w:rPr>
        <w:t>’</w:t>
      </w:r>
      <w:r w:rsidR="00266923" w:rsidRPr="00266923">
        <w:rPr>
          <w:rFonts w:ascii="Arial" w:hAnsi="Arial" w:cs="Arial"/>
          <w:sz w:val="24"/>
          <w:szCs w:val="24"/>
        </w:rPr>
        <w:t>ve already mapped the areas where</w:t>
      </w:r>
      <w:r w:rsidR="008B60B6">
        <w:rPr>
          <w:rFonts w:ascii="Arial" w:hAnsi="Arial" w:cs="Arial"/>
          <w:sz w:val="24"/>
          <w:szCs w:val="24"/>
        </w:rPr>
        <w:t xml:space="preserve"> </w:t>
      </w:r>
      <w:r w:rsidR="00266923" w:rsidRPr="00266923">
        <w:rPr>
          <w:rFonts w:ascii="Arial" w:hAnsi="Arial" w:cs="Arial"/>
          <w:sz w:val="24"/>
          <w:szCs w:val="24"/>
        </w:rPr>
        <w:t>prior knowledge and skills are recogni</w:t>
      </w:r>
      <w:r w:rsidR="00266923">
        <w:rPr>
          <w:rFonts w:ascii="Arial" w:hAnsi="Arial" w:cs="Arial"/>
          <w:sz w:val="24"/>
          <w:szCs w:val="24"/>
        </w:rPr>
        <w:t>s</w:t>
      </w:r>
      <w:r w:rsidR="00266923" w:rsidRPr="00266923">
        <w:rPr>
          <w:rFonts w:ascii="Arial" w:hAnsi="Arial" w:cs="Arial"/>
          <w:sz w:val="24"/>
          <w:szCs w:val="24"/>
        </w:rPr>
        <w:t xml:space="preserve">ed and aligned with the induction standards. </w:t>
      </w:r>
      <w:r w:rsidR="003A4ADD">
        <w:rPr>
          <w:rFonts w:ascii="Arial" w:hAnsi="Arial" w:cs="Arial"/>
          <w:sz w:val="24"/>
          <w:szCs w:val="24"/>
        </w:rPr>
        <w:t xml:space="preserve">The individual can </w:t>
      </w:r>
      <w:r w:rsidR="001936DD">
        <w:rPr>
          <w:rFonts w:ascii="Arial" w:hAnsi="Arial" w:cs="Arial"/>
          <w:sz w:val="24"/>
          <w:szCs w:val="24"/>
        </w:rPr>
        <w:t>write</w:t>
      </w:r>
      <w:r w:rsidR="00472FD7">
        <w:rPr>
          <w:rFonts w:ascii="Arial" w:hAnsi="Arial" w:cs="Arial"/>
          <w:sz w:val="24"/>
          <w:szCs w:val="24"/>
        </w:rPr>
        <w:t xml:space="preserve"> </w:t>
      </w:r>
      <w:r w:rsidR="00A826E2">
        <w:rPr>
          <w:rFonts w:ascii="Arial" w:hAnsi="Arial" w:cs="Arial"/>
          <w:sz w:val="24"/>
          <w:szCs w:val="24"/>
        </w:rPr>
        <w:t>where their advanced practice qualification covered each induction standard</w:t>
      </w:r>
      <w:r w:rsidR="001936DD">
        <w:rPr>
          <w:rFonts w:ascii="Arial" w:hAnsi="Arial" w:cs="Arial"/>
          <w:sz w:val="24"/>
          <w:szCs w:val="24"/>
        </w:rPr>
        <w:t xml:space="preserve"> in their progress logs noting some examples or reflection</w:t>
      </w:r>
      <w:r w:rsidR="00A826E2">
        <w:rPr>
          <w:rFonts w:ascii="Arial" w:hAnsi="Arial" w:cs="Arial"/>
          <w:sz w:val="24"/>
          <w:szCs w:val="24"/>
        </w:rPr>
        <w:t xml:space="preserve">. </w:t>
      </w:r>
      <w:r w:rsidR="00266923" w:rsidRPr="00266923">
        <w:rPr>
          <w:rFonts w:ascii="Arial" w:hAnsi="Arial" w:cs="Arial"/>
          <w:sz w:val="24"/>
          <w:szCs w:val="24"/>
        </w:rPr>
        <w:t>However, since this qualification was offered</w:t>
      </w:r>
      <w:r w:rsidR="0061195F">
        <w:rPr>
          <w:rFonts w:ascii="Arial" w:hAnsi="Arial" w:cs="Arial"/>
          <w:sz w:val="24"/>
          <w:szCs w:val="24"/>
        </w:rPr>
        <w:t xml:space="preserve"> since</w:t>
      </w:r>
      <w:r w:rsidR="00266923" w:rsidRPr="00266923">
        <w:rPr>
          <w:rFonts w:ascii="Arial" w:hAnsi="Arial" w:cs="Arial"/>
          <w:sz w:val="24"/>
          <w:szCs w:val="24"/>
        </w:rPr>
        <w:t xml:space="preserve"> </w:t>
      </w:r>
      <w:r w:rsidR="00357196">
        <w:rPr>
          <w:rFonts w:ascii="Arial" w:hAnsi="Arial" w:cs="Arial"/>
          <w:sz w:val="24"/>
          <w:szCs w:val="24"/>
        </w:rPr>
        <w:t>2011</w:t>
      </w:r>
      <w:r w:rsidR="0061195F">
        <w:rPr>
          <w:rFonts w:ascii="Arial" w:hAnsi="Arial" w:cs="Arial"/>
          <w:sz w:val="24"/>
          <w:szCs w:val="24"/>
        </w:rPr>
        <w:t xml:space="preserve">, </w:t>
      </w:r>
      <w:r w:rsidR="001936DD">
        <w:rPr>
          <w:rFonts w:ascii="Arial" w:hAnsi="Arial" w:cs="Arial"/>
          <w:sz w:val="24"/>
          <w:szCs w:val="24"/>
        </w:rPr>
        <w:t>depending on how long ago the individuals completed their advance</w:t>
      </w:r>
      <w:r w:rsidR="001C51A2">
        <w:rPr>
          <w:rFonts w:ascii="Arial" w:hAnsi="Arial" w:cs="Arial"/>
          <w:sz w:val="24"/>
          <w:szCs w:val="24"/>
        </w:rPr>
        <w:t>d</w:t>
      </w:r>
      <w:r w:rsidR="001936DD">
        <w:rPr>
          <w:rFonts w:ascii="Arial" w:hAnsi="Arial" w:cs="Arial"/>
          <w:sz w:val="24"/>
          <w:szCs w:val="24"/>
        </w:rPr>
        <w:t xml:space="preserve"> practice qualification, they</w:t>
      </w:r>
      <w:r w:rsidR="00266923" w:rsidRPr="00266923">
        <w:rPr>
          <w:rFonts w:ascii="Arial" w:hAnsi="Arial" w:cs="Arial"/>
          <w:sz w:val="24"/>
          <w:szCs w:val="24"/>
        </w:rPr>
        <w:t xml:space="preserve"> may need to provide additional </w:t>
      </w:r>
      <w:r w:rsidR="001936DD">
        <w:rPr>
          <w:rFonts w:ascii="Arial" w:hAnsi="Arial" w:cs="Arial"/>
          <w:sz w:val="24"/>
          <w:szCs w:val="24"/>
        </w:rPr>
        <w:t>pieces of</w:t>
      </w:r>
      <w:r w:rsidR="00266923" w:rsidRPr="00266923">
        <w:rPr>
          <w:rFonts w:ascii="Arial" w:hAnsi="Arial" w:cs="Arial"/>
          <w:sz w:val="24"/>
          <w:szCs w:val="24"/>
        </w:rPr>
        <w:t xml:space="preserve"> evidence to demonstrate that their knowledge and understanding </w:t>
      </w:r>
      <w:r w:rsidR="0087067A">
        <w:rPr>
          <w:rFonts w:ascii="Arial" w:hAnsi="Arial" w:cs="Arial"/>
          <w:sz w:val="24"/>
          <w:szCs w:val="24"/>
        </w:rPr>
        <w:t>is</w:t>
      </w:r>
      <w:r w:rsidR="00266923" w:rsidRPr="00266923">
        <w:rPr>
          <w:rFonts w:ascii="Arial" w:hAnsi="Arial" w:cs="Arial"/>
          <w:sz w:val="24"/>
          <w:szCs w:val="24"/>
        </w:rPr>
        <w:t xml:space="preserve"> curren</w:t>
      </w:r>
      <w:r w:rsidR="00654894">
        <w:rPr>
          <w:rFonts w:ascii="Arial" w:hAnsi="Arial" w:cs="Arial"/>
          <w:sz w:val="24"/>
          <w:szCs w:val="24"/>
        </w:rPr>
        <w:t>t.</w:t>
      </w:r>
      <w:r w:rsidR="00B33326">
        <w:rPr>
          <w:rFonts w:ascii="Arial" w:hAnsi="Arial" w:cs="Arial"/>
          <w:sz w:val="24"/>
          <w:szCs w:val="24"/>
        </w:rPr>
        <w:t xml:space="preserve"> </w:t>
      </w:r>
    </w:p>
    <w:p w14:paraId="1D166F1E" w14:textId="0D6258FC" w:rsidR="00912C16" w:rsidRPr="00FC774D" w:rsidRDefault="00387033" w:rsidP="0067513B">
      <w:pPr>
        <w:rPr>
          <w:rFonts w:ascii="Arial" w:hAnsi="Arial" w:cs="Arial"/>
          <w:sz w:val="24"/>
          <w:szCs w:val="24"/>
        </w:rPr>
      </w:pPr>
      <w:r w:rsidRPr="00FC774D">
        <w:rPr>
          <w:rFonts w:ascii="Arial" w:hAnsi="Arial" w:cs="Arial"/>
          <w:sz w:val="24"/>
          <w:szCs w:val="24"/>
        </w:rPr>
        <w:t xml:space="preserve">Version 1: </w:t>
      </w:r>
      <w:r w:rsidR="00A7394F">
        <w:rPr>
          <w:rFonts w:ascii="Arial" w:hAnsi="Arial" w:cs="Arial"/>
          <w:sz w:val="24"/>
          <w:szCs w:val="24"/>
        </w:rPr>
        <w:t>November</w:t>
      </w:r>
      <w:r w:rsidRPr="00FC774D">
        <w:rPr>
          <w:rFonts w:ascii="Arial" w:hAnsi="Arial" w:cs="Arial"/>
          <w:sz w:val="24"/>
          <w:szCs w:val="24"/>
        </w:rPr>
        <w:t xml:space="preserve"> 2024</w:t>
      </w:r>
    </w:p>
    <w:p w14:paraId="5A1B4368" w14:textId="62F5C3FF" w:rsidR="001E58C1" w:rsidRPr="00FC774D" w:rsidRDefault="001E58C1">
      <w:pPr>
        <w:rPr>
          <w:rFonts w:ascii="Arial" w:hAnsi="Arial" w:cs="Arial"/>
          <w:sz w:val="24"/>
          <w:szCs w:val="24"/>
        </w:rPr>
      </w:pPr>
      <w:r w:rsidRPr="00FC774D">
        <w:rPr>
          <w:rFonts w:ascii="Arial" w:hAnsi="Arial" w:cs="Arial"/>
          <w:sz w:val="24"/>
          <w:szCs w:val="24"/>
        </w:rPr>
        <w:br w:type="page"/>
      </w:r>
    </w:p>
    <w:p w14:paraId="6BA52DB4" w14:textId="3B2B306D" w:rsidR="000C0FA3" w:rsidRDefault="00247BF9" w:rsidP="00380E7E">
      <w:pPr>
        <w:pStyle w:val="Heading1"/>
        <w:rPr>
          <w:rFonts w:ascii="Arial" w:hAnsi="Arial" w:cs="Arial"/>
          <w:b/>
          <w:bCs/>
        </w:rPr>
      </w:pPr>
      <w:bookmarkStart w:id="3" w:name="_Toc181355956"/>
      <w:r w:rsidRPr="00380E7E">
        <w:rPr>
          <w:rFonts w:ascii="Arial" w:hAnsi="Arial" w:cs="Arial"/>
          <w:b/>
          <w:bCs/>
        </w:rPr>
        <w:lastRenderedPageBreak/>
        <w:t>Part A: Knowledge mapping</w:t>
      </w:r>
      <w:bookmarkEnd w:id="3"/>
    </w:p>
    <w:p w14:paraId="66167210" w14:textId="77777777" w:rsidR="00380E7E" w:rsidRPr="00380E7E" w:rsidRDefault="00380E7E" w:rsidP="00380E7E"/>
    <w:tbl>
      <w:tblPr>
        <w:tblStyle w:val="TableGrid"/>
        <w:tblW w:w="13914" w:type="dxa"/>
        <w:tblLook w:val="04A0" w:firstRow="1" w:lastRow="0" w:firstColumn="1" w:lastColumn="0" w:noHBand="0" w:noVBand="1"/>
      </w:tblPr>
      <w:tblGrid>
        <w:gridCol w:w="2812"/>
        <w:gridCol w:w="1665"/>
        <w:gridCol w:w="2362"/>
        <w:gridCol w:w="793"/>
        <w:gridCol w:w="1569"/>
        <w:gridCol w:w="3109"/>
        <w:gridCol w:w="1604"/>
      </w:tblGrid>
      <w:tr w:rsidR="001B7509" w14:paraId="3F447277" w14:textId="6D583B9D" w:rsidTr="25C4C378">
        <w:trPr>
          <w:trHeight w:val="1308"/>
        </w:trPr>
        <w:tc>
          <w:tcPr>
            <w:tcW w:w="4477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7D1D36B7" w14:textId="776BE261" w:rsidR="001B7509" w:rsidRPr="00A65224" w:rsidRDefault="001B7509" w:rsidP="00C801F9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A65224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Section 1: Leading child-centred practice</w:t>
            </w:r>
          </w:p>
        </w:tc>
        <w:tc>
          <w:tcPr>
            <w:tcW w:w="47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DFC204" w14:textId="1BDDE704" w:rsidR="001B7509" w:rsidRPr="00A65224" w:rsidRDefault="001B7509" w:rsidP="00C801F9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2C5A20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Section 2: Theoretical frameworks for leadership and management</w:t>
            </w:r>
          </w:p>
        </w:tc>
        <w:tc>
          <w:tcPr>
            <w:tcW w:w="471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F3EFA4" w14:textId="450FBB4C" w:rsidR="001B7509" w:rsidRPr="00A65224" w:rsidRDefault="001B7509" w:rsidP="00C801F9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2C5A20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Section 3: Understand how to lead and manage effective team performance</w:t>
            </w:r>
          </w:p>
        </w:tc>
      </w:tr>
      <w:tr w:rsidR="001B7509" w14:paraId="61628DDB" w14:textId="2BA56AB6" w:rsidTr="25C4C378">
        <w:tc>
          <w:tcPr>
            <w:tcW w:w="28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FE825BC" w14:textId="1DE5CBBE" w:rsidR="001B7509" w:rsidRPr="00C8678D" w:rsidRDefault="001B7509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Induction standards</w:t>
            </w:r>
          </w:p>
        </w:tc>
        <w:tc>
          <w:tcPr>
            <w:tcW w:w="1665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7FC635B" w14:textId="3E65EE44" w:rsidR="001B7509" w:rsidRPr="00C8678D" w:rsidRDefault="001B7509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Covered / not covered</w:t>
            </w:r>
          </w:p>
        </w:tc>
        <w:tc>
          <w:tcPr>
            <w:tcW w:w="315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387C6D88" w14:textId="5669BE79" w:rsidR="001B7509" w:rsidRPr="00C8678D" w:rsidRDefault="001B7509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Induction standards</w:t>
            </w:r>
          </w:p>
        </w:tc>
        <w:tc>
          <w:tcPr>
            <w:tcW w:w="1569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882BB39" w14:textId="31BCFD4D" w:rsidR="001B7509" w:rsidRPr="00C8678D" w:rsidRDefault="001B7509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Covered / not covered</w:t>
            </w:r>
          </w:p>
        </w:tc>
        <w:tc>
          <w:tcPr>
            <w:tcW w:w="31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</w:tcBorders>
            <w:vAlign w:val="center"/>
          </w:tcPr>
          <w:p w14:paraId="6A5531C0" w14:textId="03F04FD6" w:rsidR="001B7509" w:rsidRPr="00C8678D" w:rsidRDefault="001B7509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Induction standards</w:t>
            </w:r>
          </w:p>
        </w:tc>
        <w:tc>
          <w:tcPr>
            <w:tcW w:w="1604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3FB9346" w14:textId="3533742C" w:rsidR="001B7509" w:rsidRPr="00C8678D" w:rsidRDefault="001B7509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Covered / not covered</w:t>
            </w:r>
          </w:p>
        </w:tc>
      </w:tr>
      <w:tr w:rsidR="001B7509" w14:paraId="5D1D7771" w14:textId="732065A4" w:rsidTr="25C4C378">
        <w:trPr>
          <w:trHeight w:val="838"/>
        </w:trPr>
        <w:tc>
          <w:tcPr>
            <w:tcW w:w="2812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1CE8F51C" w14:textId="0EFFF1BE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506DA0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Understand the development of </w:t>
            </w:r>
            <w:proofErr w:type="gramStart"/>
            <w:r w:rsidRPr="00506DA0">
              <w:rPr>
                <w:rFonts w:eastAsiaTheme="majorEastAsia"/>
                <w:color w:val="000000" w:themeColor="text1"/>
                <w:sz w:val="24"/>
                <w:szCs w:val="24"/>
              </w:rPr>
              <w:t>rights based</w:t>
            </w:r>
            <w:proofErr w:type="gramEnd"/>
            <w:r w:rsidRPr="00506DA0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approaches and how these continuously evolve and influence child-centred practice</w:t>
            </w:r>
          </w:p>
        </w:tc>
        <w:tc>
          <w:tcPr>
            <w:tcW w:w="166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0FF1E3" w14:textId="357A36C3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6EBF6C93" w14:textId="78BEEAEA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Understand theoretical approaches to leadership, management, innovation and change</w:t>
            </w:r>
          </w:p>
        </w:tc>
        <w:tc>
          <w:tcPr>
            <w:tcW w:w="156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B53ECF" w14:textId="5A154198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31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4376B56" w14:textId="3D5A83D7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Understand equality, diversity and inclusion in the context of workforce development</w:t>
            </w:r>
          </w:p>
        </w:tc>
        <w:tc>
          <w:tcPr>
            <w:tcW w:w="160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E83665" w14:textId="7E27667F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1B7509" w14:paraId="12C95759" w14:textId="77777777" w:rsidTr="25C4C378">
        <w:trPr>
          <w:trHeight w:val="77"/>
        </w:trPr>
        <w:tc>
          <w:tcPr>
            <w:tcW w:w="2812" w:type="dxa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10047C0E" w14:textId="54809995" w:rsidR="001B7509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CE6FF7">
              <w:rPr>
                <w:rFonts w:eastAsiaTheme="majorEastAsia"/>
                <w:color w:val="000000" w:themeColor="text1"/>
                <w:sz w:val="24"/>
                <w:szCs w:val="24"/>
              </w:rPr>
              <w:t>Understand equality, diversity and inclusion in the context of workforce development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18" w:space="0" w:color="000000" w:themeColor="text1"/>
            </w:tcBorders>
            <w:vAlign w:val="center"/>
          </w:tcPr>
          <w:p w14:paraId="1717EEF8" w14:textId="39004837" w:rsidR="001B7509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14:paraId="0C375752" w14:textId="6490D819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Understand how self-assessment of service and evaluation should be used to support continual improvement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421D933F" w14:textId="0E9F6C08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03A6A30B" w14:textId="23BF114C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Understand the importance of Welsh language in the context of workforce development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2AC99797" w14:textId="770FBC43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1B7509" w14:paraId="0ACE4AD8" w14:textId="02551678" w:rsidTr="25C4C378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4E7C028A" w14:textId="74075EC2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CE6FF7">
              <w:rPr>
                <w:rFonts w:eastAsiaTheme="majorEastAsia"/>
                <w:color w:val="000000" w:themeColor="text1"/>
                <w:sz w:val="24"/>
                <w:szCs w:val="24"/>
              </w:rPr>
              <w:t>Understand the importance of Welsh language in the context of workforce development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067A55D5" w14:textId="1292646D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3155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14:paraId="1E3B7CDC" w14:textId="6D3687B2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Understand managing innovation and change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6B31CB67" w14:textId="6000B8C4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70551332" w14:textId="59CB239F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Understand approaches, skills and qualities for the effective leadership and management of teams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154BB756" w14:textId="3B4B226F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C8678D" w14:paraId="13E1DAA8" w14:textId="24FD1108" w:rsidTr="008A6840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271A06AE" w14:textId="527D883A" w:rsidR="00C8678D" w:rsidRPr="00CE6FF7" w:rsidRDefault="00C8678D" w:rsidP="25C4C378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  <w:highlight w:val="yellow"/>
              </w:rPr>
            </w:pPr>
            <w:r w:rsidRPr="00C8678D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Understand prevention and early intervention</w:t>
            </w:r>
            <w:r w:rsidRPr="25C4C378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2C7EFC42" w14:textId="00C5708B" w:rsidR="00C8678D" w:rsidRPr="00CE6FF7" w:rsidRDefault="00C8678D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2362" w:type="dxa"/>
            <w:tcBorders>
              <w:left w:val="single" w:sz="18" w:space="0" w:color="000000" w:themeColor="text1"/>
              <w:bottom w:val="single" w:sz="18" w:space="0" w:color="FFFFFF" w:themeColor="background1"/>
              <w:right w:val="single" w:sz="18" w:space="0" w:color="000000" w:themeColor="text1"/>
            </w:tcBorders>
            <w:vAlign w:val="center"/>
          </w:tcPr>
          <w:p w14:paraId="18C1D913" w14:textId="77777777" w:rsidR="00C8678D" w:rsidRPr="000C6098" w:rsidRDefault="00C8678D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left w:val="single" w:sz="18" w:space="0" w:color="000000" w:themeColor="text1"/>
              <w:bottom w:val="single" w:sz="18" w:space="0" w:color="FFFFFF" w:themeColor="background1"/>
              <w:right w:val="single" w:sz="18" w:space="0" w:color="000000" w:themeColor="text1"/>
            </w:tcBorders>
            <w:vAlign w:val="center"/>
          </w:tcPr>
          <w:p w14:paraId="01406206" w14:textId="3ECB4FD1" w:rsidR="00C8678D" w:rsidRPr="000C6098" w:rsidRDefault="00C8678D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1DFD2785" w14:textId="60E3833A" w:rsidR="00C8678D" w:rsidRPr="000C6098" w:rsidRDefault="00C8678D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Understand the purpose and requirements of values-based recruitment and induction of workers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1B831662" w14:textId="375D510C" w:rsidR="00C8678D" w:rsidRPr="00CE6FF7" w:rsidRDefault="00C8678D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1B7509" w14:paraId="5668AA8D" w14:textId="11FAFA8D" w:rsidTr="25C4C378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5A8E2CFE" w14:textId="65CC2C5B" w:rsidR="001B7509" w:rsidRPr="00CE6FF7" w:rsidRDefault="79C47AD9" w:rsidP="25C4C378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25C4C378">
              <w:rPr>
                <w:rFonts w:eastAsiaTheme="majorEastAsia"/>
                <w:color w:val="000000" w:themeColor="text1"/>
                <w:sz w:val="24"/>
                <w:szCs w:val="24"/>
              </w:rPr>
              <w:t>Understand the impact of safeguarding on your workplace/setting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1B60F92F" w14:textId="317B3D38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4724" w:type="dxa"/>
            <w:gridSpan w:val="3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6E77E2" w14:textId="77777777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68F9E8E6" w14:textId="6BFF87CF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Know how to support effective team performance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29853678" w14:textId="7E1B51F3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1B7509" w14:paraId="4DFB605F" w14:textId="2C1F0772" w:rsidTr="25C4C378">
        <w:tc>
          <w:tcPr>
            <w:tcW w:w="2812" w:type="dxa"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0863CBC0" w14:textId="40445EC1" w:rsidR="001B7509" w:rsidRPr="00CE6FF7" w:rsidRDefault="65A315E8" w:rsidP="25C4C378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  <w:highlight w:val="yellow"/>
              </w:rPr>
            </w:pPr>
            <w:r w:rsidRPr="00C8678D">
              <w:rPr>
                <w:rFonts w:eastAsiaTheme="majorEastAsia"/>
                <w:color w:val="000000" w:themeColor="text1"/>
                <w:sz w:val="24"/>
                <w:szCs w:val="24"/>
              </w:rPr>
              <w:t>Know how theories and models support the understanding of child development</w:t>
            </w:r>
          </w:p>
        </w:tc>
        <w:tc>
          <w:tcPr>
            <w:tcW w:w="166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778C4722" w14:textId="5FE85413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gridSpan w:val="2"/>
            <w:tcBorders>
              <w:top w:val="single" w:sz="18" w:space="0" w:color="FFFFFF" w:themeColor="background1"/>
              <w:left w:val="single" w:sz="18" w:space="0" w:color="000000" w:themeColor="text1"/>
              <w:bottom w:val="nil"/>
              <w:right w:val="single" w:sz="18" w:space="0" w:color="FFFFFF" w:themeColor="background1"/>
            </w:tcBorders>
            <w:vAlign w:val="center"/>
          </w:tcPr>
          <w:p w14:paraId="5B91E101" w14:textId="77777777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000000" w:themeColor="text1"/>
            </w:tcBorders>
            <w:vAlign w:val="center"/>
          </w:tcPr>
          <w:p w14:paraId="0671D4BC" w14:textId="77777777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57FADCF4" w14:textId="1633B7F0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Know how to manage team conflict and poor performance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3D6D6CD7" w14:textId="59243300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1B7509" w14:paraId="30C9C18C" w14:textId="5CC56569" w:rsidTr="25C4C378">
        <w:trPr>
          <w:gridBefore w:val="4"/>
          <w:wBefore w:w="7632" w:type="dxa"/>
        </w:trPr>
        <w:tc>
          <w:tcPr>
            <w:tcW w:w="1569" w:type="dxa"/>
            <w:vMerge/>
            <w:vAlign w:val="center"/>
          </w:tcPr>
          <w:p w14:paraId="67343A78" w14:textId="77777777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59B40B66" w14:textId="6ABD4397" w:rsidR="001B7509" w:rsidRPr="000C6098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63733">
              <w:rPr>
                <w:rFonts w:eastAsiaTheme="majorEastAsia"/>
                <w:color w:val="000000" w:themeColor="text1"/>
                <w:sz w:val="24"/>
                <w:szCs w:val="24"/>
              </w:rPr>
              <w:t>Understand supervision and appraisal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6B2620EB" w14:textId="342C586D" w:rsidR="001B7509" w:rsidRPr="00CE6FF7" w:rsidRDefault="001B7509" w:rsidP="00145064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1B7509" w14:paraId="74B0A44E" w14:textId="116CF6AB" w:rsidTr="25C4C378">
        <w:trPr>
          <w:gridBefore w:val="4"/>
          <w:wBefore w:w="7632" w:type="dxa"/>
        </w:trPr>
        <w:tc>
          <w:tcPr>
            <w:tcW w:w="1569" w:type="dxa"/>
            <w:vMerge/>
            <w:vAlign w:val="center"/>
          </w:tcPr>
          <w:p w14:paraId="2BF0A02A" w14:textId="77777777" w:rsidR="001B7509" w:rsidRPr="000C6098" w:rsidRDefault="001B7509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493D336A" w14:textId="2FD7D079" w:rsidR="001B7509" w:rsidRPr="000C6098" w:rsidRDefault="001B7509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Know how to use coaching, mentoring and motivational interviewing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4BEA4046" w14:textId="2449232B" w:rsidR="001B7509" w:rsidRPr="00CE6FF7" w:rsidRDefault="001B7509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C6098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</w:tbl>
    <w:p w14:paraId="75D6D24D" w14:textId="7AE7E60A" w:rsidR="004E2E23" w:rsidRDefault="004E2E23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p w14:paraId="2D710824" w14:textId="7F8200FD" w:rsidR="004E2E23" w:rsidRDefault="004E2E23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p w14:paraId="20DA1DAB" w14:textId="77777777" w:rsidR="00C8678D" w:rsidRDefault="00C8678D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p w14:paraId="20DD2ACC" w14:textId="77777777" w:rsidR="00C8678D" w:rsidRDefault="00C8678D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p w14:paraId="47770010" w14:textId="77777777" w:rsidR="00C8678D" w:rsidRDefault="00C8678D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p w14:paraId="7447A092" w14:textId="585E99DF" w:rsidR="007F36C9" w:rsidRPr="00380E7E" w:rsidRDefault="004E2E23" w:rsidP="00380E7E">
      <w:pPr>
        <w:pStyle w:val="Heading1"/>
        <w:rPr>
          <w:rFonts w:ascii="Arial" w:hAnsi="Arial" w:cs="Arial"/>
          <w:b/>
          <w:bCs/>
        </w:rPr>
      </w:pPr>
      <w:bookmarkStart w:id="4" w:name="_Toc181355957"/>
      <w:r w:rsidRPr="00380E7E">
        <w:rPr>
          <w:rFonts w:ascii="Arial" w:hAnsi="Arial" w:cs="Arial"/>
          <w:b/>
          <w:bCs/>
        </w:rPr>
        <w:lastRenderedPageBreak/>
        <w:t>Part B: Competency skills mapping</w:t>
      </w:r>
      <w:bookmarkEnd w:id="4"/>
    </w:p>
    <w:p w14:paraId="38DC570A" w14:textId="77777777" w:rsidR="004E2E23" w:rsidRDefault="004E2E23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1665"/>
        <w:gridCol w:w="3155"/>
        <w:gridCol w:w="1569"/>
        <w:gridCol w:w="3109"/>
        <w:gridCol w:w="1604"/>
      </w:tblGrid>
      <w:tr w:rsidR="004E2E23" w14:paraId="0C69742A" w14:textId="77777777">
        <w:trPr>
          <w:trHeight w:val="1308"/>
        </w:trPr>
        <w:tc>
          <w:tcPr>
            <w:tcW w:w="447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48D9AB01" w14:textId="77777777" w:rsidR="004E2E23" w:rsidRPr="00A65224" w:rsidRDefault="004E2E23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A65224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Section 1: Leading child-centred practice</w:t>
            </w:r>
          </w:p>
        </w:tc>
        <w:tc>
          <w:tcPr>
            <w:tcW w:w="4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182292B" w14:textId="2D1E2AFB" w:rsidR="004E2E23" w:rsidRPr="00A65224" w:rsidRDefault="007123EE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7123EE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Section 2: Lead and manage effective team performance </w:t>
            </w:r>
          </w:p>
        </w:tc>
        <w:tc>
          <w:tcPr>
            <w:tcW w:w="471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9722E5C" w14:textId="657CCB7B" w:rsidR="004E2E23" w:rsidRPr="00A65224" w:rsidRDefault="00C02016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C02016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Section 3: Lead and manage the quality of workplace/setting </w:t>
            </w:r>
          </w:p>
        </w:tc>
      </w:tr>
      <w:tr w:rsidR="004E2E23" w14:paraId="009BC361" w14:textId="77777777"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49A2295" w14:textId="77777777" w:rsidR="004E2E23" w:rsidRPr="00C8678D" w:rsidRDefault="004E2E23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Induction standards</w:t>
            </w:r>
          </w:p>
        </w:tc>
        <w:tc>
          <w:tcPr>
            <w:tcW w:w="166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2D983A" w14:textId="77777777" w:rsidR="004E2E23" w:rsidRPr="00C8678D" w:rsidRDefault="004E2E23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Covered / not covered</w:t>
            </w:r>
          </w:p>
        </w:tc>
        <w:tc>
          <w:tcPr>
            <w:tcW w:w="3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835CAB4" w14:textId="77777777" w:rsidR="004E2E23" w:rsidRPr="00C8678D" w:rsidRDefault="004E2E23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Induction standards</w:t>
            </w:r>
          </w:p>
        </w:tc>
        <w:tc>
          <w:tcPr>
            <w:tcW w:w="15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AE28DF" w14:textId="77777777" w:rsidR="004E2E23" w:rsidRPr="00C8678D" w:rsidRDefault="004E2E23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Covered / not covered</w:t>
            </w:r>
          </w:p>
        </w:tc>
        <w:tc>
          <w:tcPr>
            <w:tcW w:w="31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E629F71" w14:textId="77777777" w:rsidR="004E2E23" w:rsidRPr="00C8678D" w:rsidRDefault="004E2E23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Induction standards</w:t>
            </w:r>
          </w:p>
        </w:tc>
        <w:tc>
          <w:tcPr>
            <w:tcW w:w="16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8BA73D" w14:textId="77777777" w:rsidR="004E2E23" w:rsidRPr="00C8678D" w:rsidRDefault="004E2E23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Covered / not covered</w:t>
            </w:r>
          </w:p>
        </w:tc>
      </w:tr>
      <w:tr w:rsidR="004E2E23" w:rsidRPr="001B7509" w14:paraId="2C1E458E" w14:textId="77777777" w:rsidTr="001B7509">
        <w:tc>
          <w:tcPr>
            <w:tcW w:w="2812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2A30925" w14:textId="32FB9C8F" w:rsidR="004E2E23" w:rsidRPr="001B7509" w:rsidRDefault="00B82C16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Lead the use of research and evidence informed practice for the holistic development and well-being of children</w:t>
            </w:r>
          </w:p>
        </w:tc>
        <w:tc>
          <w:tcPr>
            <w:tcW w:w="166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3A2D763" w14:textId="48FF3A35" w:rsidR="004E2E23" w:rsidRPr="001B7509" w:rsidRDefault="003A43E4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92DDB96" w14:textId="70C553C8" w:rsidR="004E2E23" w:rsidRPr="001B7509" w:rsidRDefault="00AD5423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Lead the development of a positive culture which is motivating and inspiring</w:t>
            </w:r>
          </w:p>
        </w:tc>
        <w:tc>
          <w:tcPr>
            <w:tcW w:w="156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F4DF59C" w14:textId="4836FE51" w:rsidR="004E2E23" w:rsidRPr="001B7509" w:rsidRDefault="00282967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Partially covered</w:t>
            </w:r>
          </w:p>
        </w:tc>
        <w:tc>
          <w:tcPr>
            <w:tcW w:w="31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CD465FE" w14:textId="358C693E" w:rsidR="004E2E23" w:rsidRPr="001B7509" w:rsidRDefault="00C02016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Understand theories, methods and models which can be used to support the service provision to meet the requirements for quality standards</w:t>
            </w:r>
          </w:p>
        </w:tc>
        <w:tc>
          <w:tcPr>
            <w:tcW w:w="16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B59B916" w14:textId="05D436E6" w:rsidR="004E2E23" w:rsidRPr="001B7509" w:rsidRDefault="001C0E2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4E2E23" w:rsidRPr="001B7509" w14:paraId="189185B9" w14:textId="77777777" w:rsidTr="001B7509">
        <w:tc>
          <w:tcPr>
            <w:tcW w:w="2812" w:type="dxa"/>
            <w:tcBorders>
              <w:left w:val="single" w:sz="18" w:space="0" w:color="000000"/>
            </w:tcBorders>
            <w:vAlign w:val="center"/>
          </w:tcPr>
          <w:p w14:paraId="205F13C8" w14:textId="5D2C25DA" w:rsidR="004E2E23" w:rsidRPr="001B7509" w:rsidRDefault="00B82C16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Lead and manage practice which promotes children’s rights and the voice of the child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  <w:vAlign w:val="center"/>
          </w:tcPr>
          <w:p w14:paraId="7A86A629" w14:textId="0268EDA8" w:rsidR="004E2E23" w:rsidRPr="001B7509" w:rsidRDefault="003A43E4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</w:tcBorders>
            <w:vAlign w:val="center"/>
          </w:tcPr>
          <w:p w14:paraId="1AA1702D" w14:textId="01B50254" w:rsidR="004E2E23" w:rsidRPr="001B7509" w:rsidRDefault="00AD5423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Manage effective </w:t>
            </w:r>
            <w:proofErr w:type="gramStart"/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values based</w:t>
            </w:r>
            <w:proofErr w:type="gramEnd"/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recruitment and selection processes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  <w:vAlign w:val="center"/>
          </w:tcPr>
          <w:p w14:paraId="3E593CCC" w14:textId="08984580" w:rsidR="004E2E23" w:rsidRPr="001B7509" w:rsidRDefault="001C0E2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3109" w:type="dxa"/>
            <w:tcBorders>
              <w:left w:val="single" w:sz="18" w:space="0" w:color="000000"/>
            </w:tcBorders>
            <w:vAlign w:val="center"/>
          </w:tcPr>
          <w:p w14:paraId="007E3EC5" w14:textId="53933467" w:rsidR="004E2E23" w:rsidRPr="001B7509" w:rsidRDefault="00C02016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Manage the implementation of systems, procedures and practice to monitor, measure and improve performance of the workplace/setting</w:t>
            </w:r>
          </w:p>
        </w:tc>
        <w:tc>
          <w:tcPr>
            <w:tcW w:w="1604" w:type="dxa"/>
            <w:tcBorders>
              <w:right w:val="single" w:sz="18" w:space="0" w:color="000000"/>
            </w:tcBorders>
            <w:vAlign w:val="center"/>
          </w:tcPr>
          <w:p w14:paraId="063ACB2F" w14:textId="394ABED7" w:rsidR="004E2E23" w:rsidRPr="001B7509" w:rsidRDefault="001C0E2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4E2E23" w:rsidRPr="001B7509" w14:paraId="50392350" w14:textId="77777777" w:rsidTr="001B7509">
        <w:tc>
          <w:tcPr>
            <w:tcW w:w="2812" w:type="dxa"/>
            <w:tcBorders>
              <w:left w:val="single" w:sz="18" w:space="0" w:color="000000"/>
            </w:tcBorders>
            <w:vAlign w:val="center"/>
          </w:tcPr>
          <w:p w14:paraId="21C3B94C" w14:textId="1826F3BC" w:rsidR="004E2E23" w:rsidRPr="001B7509" w:rsidRDefault="00B82C16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Lead and manage settings that apply an </w:t>
            </w: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understanding of child development theories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  <w:vAlign w:val="center"/>
          </w:tcPr>
          <w:p w14:paraId="6CA85DD2" w14:textId="0E71F6D0" w:rsidR="004E2E23" w:rsidRPr="001B7509" w:rsidRDefault="003A43E4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</w:tcBorders>
            <w:vAlign w:val="center"/>
          </w:tcPr>
          <w:p w14:paraId="12244311" w14:textId="29613503" w:rsidR="004E2E23" w:rsidRPr="001B7509" w:rsidRDefault="00AD5423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Manage effective </w:t>
            </w:r>
            <w:proofErr w:type="gramStart"/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values based</w:t>
            </w:r>
            <w:proofErr w:type="gramEnd"/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induction of workers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  <w:vAlign w:val="center"/>
          </w:tcPr>
          <w:p w14:paraId="142DADBC" w14:textId="54AEFCCA" w:rsidR="004E2E23" w:rsidRPr="001B7509" w:rsidRDefault="001C0E2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3109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376EAE82" w14:textId="66AE3701" w:rsidR="004E2E23" w:rsidRPr="001B7509" w:rsidRDefault="009347E6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Use analysis of incidents, compliments, concerns </w:t>
            </w: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and complaints to improve the workplace/setting</w:t>
            </w:r>
          </w:p>
        </w:tc>
        <w:tc>
          <w:tcPr>
            <w:tcW w:w="1604" w:type="dxa"/>
            <w:tcBorders>
              <w:right w:val="single" w:sz="18" w:space="0" w:color="000000"/>
            </w:tcBorders>
            <w:vAlign w:val="center"/>
          </w:tcPr>
          <w:p w14:paraId="2C298752" w14:textId="03881B2C" w:rsidR="004E2E23" w:rsidRPr="001B7509" w:rsidRDefault="001C0E2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Not covered</w:t>
            </w:r>
          </w:p>
        </w:tc>
      </w:tr>
      <w:tr w:rsidR="00732D71" w:rsidRPr="001B7509" w14:paraId="2CFAD9A2" w14:textId="77777777" w:rsidTr="001B7509">
        <w:tc>
          <w:tcPr>
            <w:tcW w:w="2812" w:type="dxa"/>
            <w:tcBorders>
              <w:left w:val="single" w:sz="18" w:space="0" w:color="000000"/>
            </w:tcBorders>
            <w:vAlign w:val="center"/>
          </w:tcPr>
          <w:p w14:paraId="7D8E02E5" w14:textId="113B8A09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Lead and manage practice that promotes and supports holistic learning, growth, and development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  <w:vAlign w:val="center"/>
          </w:tcPr>
          <w:p w14:paraId="4C11FDAE" w14:textId="4516468E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</w:tcBorders>
            <w:vAlign w:val="center"/>
          </w:tcPr>
          <w:p w14:paraId="693DEB07" w14:textId="342B3BDC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Manage the continuing professional development of workers through supervision and performance reviews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  <w:vAlign w:val="center"/>
          </w:tcPr>
          <w:p w14:paraId="076E5E30" w14:textId="5824C18D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471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FFFFFF" w:themeColor="background1"/>
            </w:tcBorders>
          </w:tcPr>
          <w:p w14:paraId="57CB4AA1" w14:textId="77777777" w:rsidR="00732D71" w:rsidRPr="001B7509" w:rsidRDefault="00732D71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  <w:tr w:rsidR="00732D71" w:rsidRPr="001B7509" w14:paraId="661B83D7" w14:textId="77777777" w:rsidTr="001B7509">
        <w:tc>
          <w:tcPr>
            <w:tcW w:w="2812" w:type="dxa"/>
            <w:tcBorders>
              <w:left w:val="single" w:sz="18" w:space="0" w:color="000000"/>
            </w:tcBorders>
            <w:vAlign w:val="center"/>
          </w:tcPr>
          <w:p w14:paraId="04539ACF" w14:textId="79A4306C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Lead and manage the use of play to support the holistic learning, growth and development of children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  <w:vAlign w:val="center"/>
          </w:tcPr>
          <w:p w14:paraId="1666B877" w14:textId="029DA0E3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</w:tcBorders>
            <w:vAlign w:val="center"/>
          </w:tcPr>
          <w:p w14:paraId="7DBF68B8" w14:textId="2AE2A6B5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Manage poor performance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  <w:vAlign w:val="center"/>
          </w:tcPr>
          <w:p w14:paraId="33216397" w14:textId="152214D8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4713" w:type="dxa"/>
            <w:gridSpan w:val="2"/>
            <w:vMerge/>
            <w:tcBorders>
              <w:left w:val="single" w:sz="18" w:space="0" w:color="000000"/>
              <w:right w:val="single" w:sz="18" w:space="0" w:color="FFFFFF" w:themeColor="background1"/>
            </w:tcBorders>
          </w:tcPr>
          <w:p w14:paraId="608EECB3" w14:textId="77777777" w:rsidR="00732D71" w:rsidRPr="001B7509" w:rsidRDefault="00732D71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  <w:tr w:rsidR="00732D71" w:rsidRPr="001B7509" w14:paraId="0F66850E" w14:textId="77777777" w:rsidTr="001B7509">
        <w:tc>
          <w:tcPr>
            <w:tcW w:w="2812" w:type="dxa"/>
            <w:tcBorders>
              <w:left w:val="single" w:sz="18" w:space="0" w:color="000000"/>
            </w:tcBorders>
            <w:vAlign w:val="center"/>
          </w:tcPr>
          <w:p w14:paraId="3A977602" w14:textId="542230D0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Lead and manage the planning process for children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  <w:vAlign w:val="center"/>
          </w:tcPr>
          <w:p w14:paraId="5F970F21" w14:textId="7431DC22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</w:tcBorders>
            <w:vAlign w:val="center"/>
          </w:tcPr>
          <w:p w14:paraId="412C4E1D" w14:textId="3EB78B35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Manage conflict within teams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  <w:vAlign w:val="center"/>
          </w:tcPr>
          <w:p w14:paraId="5BBD824E" w14:textId="5786550B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4713" w:type="dxa"/>
            <w:gridSpan w:val="2"/>
            <w:vMerge/>
            <w:tcBorders>
              <w:left w:val="single" w:sz="18" w:space="0" w:color="000000"/>
              <w:right w:val="single" w:sz="18" w:space="0" w:color="FFFFFF" w:themeColor="background1"/>
            </w:tcBorders>
          </w:tcPr>
          <w:p w14:paraId="06ABFF1C" w14:textId="77777777" w:rsidR="00732D71" w:rsidRPr="001B7509" w:rsidRDefault="00732D71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  <w:tr w:rsidR="00732D71" w:rsidRPr="001B7509" w14:paraId="187271DC" w14:textId="77777777" w:rsidTr="001B7509">
        <w:tc>
          <w:tcPr>
            <w:tcW w:w="281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E350816" w14:textId="22643C75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Lead and manage support for change and transitions</w:t>
            </w:r>
          </w:p>
        </w:tc>
        <w:tc>
          <w:tcPr>
            <w:tcW w:w="166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383F16E" w14:textId="37D702FC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</w:tcBorders>
            <w:vAlign w:val="center"/>
          </w:tcPr>
          <w:p w14:paraId="27D20711" w14:textId="7A7023ED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Manage the delegation of tasks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  <w:vAlign w:val="center"/>
          </w:tcPr>
          <w:p w14:paraId="3F65E5A0" w14:textId="57797823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4713" w:type="dxa"/>
            <w:gridSpan w:val="2"/>
            <w:vMerge/>
            <w:tcBorders>
              <w:left w:val="single" w:sz="18" w:space="0" w:color="000000"/>
              <w:right w:val="single" w:sz="18" w:space="0" w:color="FFFFFF" w:themeColor="background1"/>
            </w:tcBorders>
          </w:tcPr>
          <w:p w14:paraId="4BFBDDA2" w14:textId="77777777" w:rsidR="00732D71" w:rsidRPr="001B7509" w:rsidRDefault="00732D71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  <w:tr w:rsidR="00732D71" w:rsidRPr="001B7509" w14:paraId="5D4A7DC6" w14:textId="77777777" w:rsidTr="001B7509">
        <w:tc>
          <w:tcPr>
            <w:tcW w:w="2812" w:type="dxa"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E5EC748" w14:textId="77777777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/>
            </w:tcBorders>
            <w:vAlign w:val="center"/>
          </w:tcPr>
          <w:p w14:paraId="750FF284" w14:textId="77777777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FD7983A" w14:textId="3B1F299E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Lead and manage innovation and change</w:t>
            </w:r>
          </w:p>
        </w:tc>
        <w:tc>
          <w:tcPr>
            <w:tcW w:w="156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CF7E707" w14:textId="6A02BB31" w:rsidR="00732D71" w:rsidRPr="001B7509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B7509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  <w:tc>
          <w:tcPr>
            <w:tcW w:w="4713" w:type="dxa"/>
            <w:gridSpan w:val="2"/>
            <w:vMerge/>
            <w:tcBorders>
              <w:left w:val="single" w:sz="18" w:space="0" w:color="000000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8AFD9FD" w14:textId="77777777" w:rsidR="00732D71" w:rsidRPr="001B7509" w:rsidRDefault="00732D71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1E46685C" w14:textId="7E45B85B" w:rsidR="00732D71" w:rsidRPr="001B7509" w:rsidRDefault="00732D71">
      <w:pPr>
        <w:rPr>
          <w:rFonts w:ascii="Arial" w:eastAsiaTheme="majorEastAsia" w:hAnsi="Arial" w:cs="Arial"/>
          <w:b/>
          <w:bCs/>
          <w:color w:val="008868"/>
          <w:sz w:val="24"/>
          <w:szCs w:val="24"/>
        </w:rPr>
      </w:pPr>
    </w:p>
    <w:p w14:paraId="53BE805B" w14:textId="77777777" w:rsidR="00732D71" w:rsidRDefault="00732D71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  <w:r>
        <w:rPr>
          <w:rFonts w:ascii="Arial" w:eastAsiaTheme="majorEastAsia" w:hAnsi="Arial" w:cs="Arial"/>
          <w:b/>
          <w:bCs/>
          <w:color w:val="008868"/>
          <w:sz w:val="36"/>
          <w:szCs w:val="36"/>
        </w:rPr>
        <w:br w:type="page"/>
      </w:r>
    </w:p>
    <w:p w14:paraId="6C406A95" w14:textId="77777777" w:rsidR="004E2E23" w:rsidRDefault="004E2E23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1665"/>
        <w:gridCol w:w="3155"/>
        <w:gridCol w:w="1569"/>
        <w:gridCol w:w="3109"/>
        <w:gridCol w:w="1604"/>
      </w:tblGrid>
      <w:tr w:rsidR="001C0E2A" w14:paraId="52DA8104" w14:textId="77777777">
        <w:trPr>
          <w:trHeight w:val="1308"/>
        </w:trPr>
        <w:tc>
          <w:tcPr>
            <w:tcW w:w="447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6A3E6319" w14:textId="372DD7D3" w:rsidR="001C0E2A" w:rsidRPr="00A65224" w:rsidRDefault="008D4D11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8D4D11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Section 4: Professional practice  </w:t>
            </w:r>
          </w:p>
        </w:tc>
        <w:tc>
          <w:tcPr>
            <w:tcW w:w="4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66C92C4" w14:textId="0F8AC861" w:rsidR="001C0E2A" w:rsidRPr="00A65224" w:rsidRDefault="00464855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464855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Section 5: Lead and manage practice which promotes the safeguarding of children </w:t>
            </w:r>
          </w:p>
        </w:tc>
        <w:tc>
          <w:tcPr>
            <w:tcW w:w="471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E475D7E" w14:textId="72B87C8F" w:rsidR="001C0E2A" w:rsidRPr="00A65224" w:rsidRDefault="002665DC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2665DC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Section 6: Lead and manage health, safety and security in the workplace/setting</w:t>
            </w:r>
          </w:p>
        </w:tc>
      </w:tr>
      <w:tr w:rsidR="001C0E2A" w14:paraId="7559150C" w14:textId="77777777"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39452EB" w14:textId="77777777" w:rsidR="001C0E2A" w:rsidRPr="00C8678D" w:rsidRDefault="001C0E2A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Induction standards</w:t>
            </w:r>
          </w:p>
        </w:tc>
        <w:tc>
          <w:tcPr>
            <w:tcW w:w="166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3DBA65" w14:textId="77777777" w:rsidR="001C0E2A" w:rsidRPr="00C8678D" w:rsidRDefault="001C0E2A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Covered / not covered</w:t>
            </w:r>
          </w:p>
        </w:tc>
        <w:tc>
          <w:tcPr>
            <w:tcW w:w="3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72470EF" w14:textId="77777777" w:rsidR="001C0E2A" w:rsidRPr="00C8678D" w:rsidRDefault="001C0E2A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Induction standards</w:t>
            </w:r>
          </w:p>
        </w:tc>
        <w:tc>
          <w:tcPr>
            <w:tcW w:w="15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0D5C2A" w14:textId="77777777" w:rsidR="001C0E2A" w:rsidRPr="00C8678D" w:rsidRDefault="001C0E2A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Covered / not covered</w:t>
            </w:r>
          </w:p>
        </w:tc>
        <w:tc>
          <w:tcPr>
            <w:tcW w:w="31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7957AD7" w14:textId="77777777" w:rsidR="001C0E2A" w:rsidRPr="00C8678D" w:rsidRDefault="001C0E2A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Induction standards</w:t>
            </w:r>
          </w:p>
        </w:tc>
        <w:tc>
          <w:tcPr>
            <w:tcW w:w="16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96842A" w14:textId="77777777" w:rsidR="001C0E2A" w:rsidRPr="00C8678D" w:rsidRDefault="001C0E2A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C8678D">
              <w:rPr>
                <w:rFonts w:eastAsiaTheme="majorEastAsia"/>
                <w:color w:val="00613E"/>
                <w:sz w:val="28"/>
                <w:szCs w:val="28"/>
              </w:rPr>
              <w:t>Covered / not covered</w:t>
            </w:r>
          </w:p>
        </w:tc>
      </w:tr>
      <w:tr w:rsidR="001C0E2A" w14:paraId="37D050FB" w14:textId="77777777" w:rsidTr="001B7509">
        <w:tc>
          <w:tcPr>
            <w:tcW w:w="2812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5896CBC" w14:textId="44810624" w:rsidR="001C0E2A" w:rsidRPr="00732D71" w:rsidRDefault="008D4D1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Understand the role, responsibilities and accountabilities of a manager</w:t>
            </w:r>
          </w:p>
        </w:tc>
        <w:tc>
          <w:tcPr>
            <w:tcW w:w="166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41D6068" w14:textId="36B06DDC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6085636" w14:textId="24D578AF" w:rsidR="001C0E2A" w:rsidRPr="00732D71" w:rsidRDefault="00464855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Lead and manage compliance with legislative, regulatory and organisational requirements for the safeguarding of children</w:t>
            </w:r>
          </w:p>
        </w:tc>
        <w:tc>
          <w:tcPr>
            <w:tcW w:w="156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8E04D0D" w14:textId="5F916B3E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FF8DA17" w14:textId="2C8390BE" w:rsidR="001C0E2A" w:rsidRPr="00732D71" w:rsidRDefault="0090006C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Understand legislative and regulatory requirements for health, safety and security in the workplace/setting</w:t>
            </w:r>
          </w:p>
        </w:tc>
        <w:tc>
          <w:tcPr>
            <w:tcW w:w="16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8D3938E" w14:textId="16E18C0D" w:rsidR="001C0E2A" w:rsidRPr="00732D71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</w:tr>
      <w:tr w:rsidR="001C0E2A" w14:paraId="7A5AE5FD" w14:textId="77777777" w:rsidTr="001B7509">
        <w:tc>
          <w:tcPr>
            <w:tcW w:w="2812" w:type="dxa"/>
            <w:tcBorders>
              <w:left w:val="single" w:sz="18" w:space="0" w:color="000000"/>
            </w:tcBorders>
            <w:vAlign w:val="center"/>
          </w:tcPr>
          <w:p w14:paraId="4DBF6EF8" w14:textId="713337E7" w:rsidR="001C0E2A" w:rsidRPr="00732D71" w:rsidRDefault="00A15BA9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Develop leadership skills and ethical practice that recognises and values equity, equality and diversity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  <w:vAlign w:val="center"/>
          </w:tcPr>
          <w:p w14:paraId="44110C5D" w14:textId="29736897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</w:tcBorders>
            <w:vAlign w:val="center"/>
          </w:tcPr>
          <w:p w14:paraId="5D1437AE" w14:textId="5BBA4C56" w:rsidR="001C0E2A" w:rsidRPr="00732D71" w:rsidRDefault="00FB1A3C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Develop and maintain knowledge and understanding of safeguarding of children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  <w:vAlign w:val="center"/>
          </w:tcPr>
          <w:p w14:paraId="6BA8FDA1" w14:textId="68CC20CF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09" w:type="dxa"/>
            <w:tcBorders>
              <w:left w:val="single" w:sz="18" w:space="0" w:color="000000"/>
            </w:tcBorders>
            <w:vAlign w:val="center"/>
          </w:tcPr>
          <w:p w14:paraId="4D16E726" w14:textId="26C54A88" w:rsidR="001C0E2A" w:rsidRPr="00732D71" w:rsidRDefault="0090006C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Monitor and maintain compliance with health, safety and security requirements</w:t>
            </w:r>
          </w:p>
        </w:tc>
        <w:tc>
          <w:tcPr>
            <w:tcW w:w="1604" w:type="dxa"/>
            <w:tcBorders>
              <w:right w:val="single" w:sz="18" w:space="0" w:color="000000"/>
            </w:tcBorders>
            <w:vAlign w:val="center"/>
          </w:tcPr>
          <w:p w14:paraId="02AE78BF" w14:textId="65C699CC" w:rsidR="001C0E2A" w:rsidRPr="00732D71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</w:tr>
      <w:tr w:rsidR="001C0E2A" w14:paraId="0906F8D0" w14:textId="77777777" w:rsidTr="001B7509">
        <w:tc>
          <w:tcPr>
            <w:tcW w:w="2812" w:type="dxa"/>
            <w:tcBorders>
              <w:left w:val="single" w:sz="18" w:space="0" w:color="000000"/>
            </w:tcBorders>
            <w:vAlign w:val="center"/>
          </w:tcPr>
          <w:p w14:paraId="0C361A5E" w14:textId="647BC533" w:rsidR="001C0E2A" w:rsidRPr="00732D71" w:rsidRDefault="00A15BA9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Lead and manage effective partnership working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  <w:vAlign w:val="center"/>
          </w:tcPr>
          <w:p w14:paraId="129E5182" w14:textId="4B803043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</w:tcBorders>
            <w:vAlign w:val="center"/>
          </w:tcPr>
          <w:p w14:paraId="5EA99508" w14:textId="4E548138" w:rsidR="001C0E2A" w:rsidRPr="00732D71" w:rsidRDefault="00FB1A3C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Lead and manage practice that safeguards children from harm and abuse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  <w:vAlign w:val="center"/>
          </w:tcPr>
          <w:p w14:paraId="2AC74593" w14:textId="7A1385A1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09" w:type="dxa"/>
            <w:tcBorders>
              <w:left w:val="single" w:sz="18" w:space="0" w:color="000000"/>
            </w:tcBorders>
            <w:vAlign w:val="center"/>
          </w:tcPr>
          <w:p w14:paraId="39C4E0EF" w14:textId="24BBD8D5" w:rsidR="001C0E2A" w:rsidRPr="00732D71" w:rsidRDefault="0090006C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Lead and manage health and safety risk assessments for children</w:t>
            </w:r>
          </w:p>
        </w:tc>
        <w:tc>
          <w:tcPr>
            <w:tcW w:w="1604" w:type="dxa"/>
            <w:tcBorders>
              <w:right w:val="single" w:sz="18" w:space="0" w:color="000000"/>
            </w:tcBorders>
            <w:vAlign w:val="center"/>
          </w:tcPr>
          <w:p w14:paraId="50F60412" w14:textId="0F072777" w:rsidR="001C0E2A" w:rsidRPr="00732D71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</w:tr>
      <w:tr w:rsidR="001C0E2A" w14:paraId="5CF1EB21" w14:textId="77777777" w:rsidTr="001B7509">
        <w:tc>
          <w:tcPr>
            <w:tcW w:w="2812" w:type="dxa"/>
            <w:tcBorders>
              <w:left w:val="single" w:sz="18" w:space="0" w:color="000000"/>
            </w:tcBorders>
            <w:vAlign w:val="center"/>
          </w:tcPr>
          <w:p w14:paraId="6B8407F8" w14:textId="2934F1D0" w:rsidR="001C0E2A" w:rsidRPr="00732D71" w:rsidRDefault="00A15BA9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Lead and </w:t>
            </w:r>
            <w:proofErr w:type="gramStart"/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manage  information</w:t>
            </w:r>
            <w:proofErr w:type="gramEnd"/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requirements for presenting, recording, </w:t>
            </w: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reporting and storing information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  <w:vAlign w:val="center"/>
          </w:tcPr>
          <w:p w14:paraId="4332AF14" w14:textId="0FC85827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</w:tcBorders>
            <w:vAlign w:val="center"/>
          </w:tcPr>
          <w:p w14:paraId="0A736105" w14:textId="60A07939" w:rsidR="001C0E2A" w:rsidRPr="00732D71" w:rsidRDefault="00FB1A3C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Lead and manage practice that supports rights, choice, well-being and positive </w:t>
            </w: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relationships to promote safeguarding</w:t>
            </w:r>
          </w:p>
        </w:tc>
        <w:tc>
          <w:tcPr>
            <w:tcW w:w="1569" w:type="dxa"/>
            <w:tcBorders>
              <w:right w:val="single" w:sz="18" w:space="0" w:color="000000"/>
            </w:tcBorders>
            <w:vAlign w:val="center"/>
          </w:tcPr>
          <w:p w14:paraId="075DACA0" w14:textId="59FA68EC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Covered</w:t>
            </w:r>
          </w:p>
        </w:tc>
        <w:tc>
          <w:tcPr>
            <w:tcW w:w="3109" w:type="dxa"/>
            <w:tcBorders>
              <w:left w:val="single" w:sz="18" w:space="0" w:color="000000"/>
            </w:tcBorders>
            <w:vAlign w:val="center"/>
          </w:tcPr>
          <w:p w14:paraId="2FB42542" w14:textId="45AD2DB1" w:rsidR="001C0E2A" w:rsidRPr="00732D71" w:rsidRDefault="0090006C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Manage the risks of work-related ill-health</w:t>
            </w:r>
          </w:p>
        </w:tc>
        <w:tc>
          <w:tcPr>
            <w:tcW w:w="1604" w:type="dxa"/>
            <w:tcBorders>
              <w:right w:val="single" w:sz="18" w:space="0" w:color="000000"/>
            </w:tcBorders>
            <w:vAlign w:val="center"/>
          </w:tcPr>
          <w:p w14:paraId="2D06121F" w14:textId="65902091" w:rsidR="001C0E2A" w:rsidRPr="00732D71" w:rsidRDefault="00732D71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Not covered</w:t>
            </w:r>
          </w:p>
        </w:tc>
      </w:tr>
      <w:tr w:rsidR="001C0E2A" w14:paraId="191BC14D" w14:textId="77777777" w:rsidTr="001B7509">
        <w:tc>
          <w:tcPr>
            <w:tcW w:w="2812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47D62FD9" w14:textId="292A8733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E</w:t>
            </w:r>
            <w:r w:rsidR="00A15BA9"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nsure own continuing professional development meets legislative requirements, standards and the Codes of Conduct and Professional Practice</w:t>
            </w:r>
          </w:p>
        </w:tc>
        <w:tc>
          <w:tcPr>
            <w:tcW w:w="166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7EF67005" w14:textId="13EA9388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55" w:type="dxa"/>
            <w:tcBorders>
              <w:left w:val="single" w:sz="1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4F346800" w14:textId="25E0DC93" w:rsidR="001C0E2A" w:rsidRPr="00732D71" w:rsidRDefault="00FB1A3C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Lead and manage practice that supports children to be kept safe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86AF54" w14:textId="76981440" w:rsidR="001C0E2A" w:rsidRPr="00732D71" w:rsidRDefault="00403C6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32D71">
              <w:rPr>
                <w:rFonts w:eastAsiaTheme="majorEastAsia"/>
                <w:color w:val="000000" w:themeColor="text1"/>
                <w:sz w:val="24"/>
                <w:szCs w:val="24"/>
              </w:rPr>
              <w:t>Covered</w:t>
            </w:r>
          </w:p>
        </w:tc>
        <w:tc>
          <w:tcPr>
            <w:tcW w:w="3109" w:type="dxa"/>
            <w:tcBorders>
              <w:top w:val="single" w:sz="18" w:space="0" w:color="000000"/>
              <w:left w:val="single" w:sz="18" w:space="0" w:color="000000"/>
              <w:bottom w:val="single" w:sz="18" w:space="0" w:color="FFFFFF"/>
              <w:right w:val="single" w:sz="18" w:space="0" w:color="FFFFFF"/>
            </w:tcBorders>
            <w:vAlign w:val="center"/>
          </w:tcPr>
          <w:p w14:paraId="5200EF7F" w14:textId="77777777" w:rsidR="001C0E2A" w:rsidRPr="00732D71" w:rsidRDefault="001C0E2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08F0CE01" w14:textId="77777777" w:rsidR="001C0E2A" w:rsidRPr="00732D71" w:rsidRDefault="001C0E2A" w:rsidP="001B7509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5D651F62" w14:textId="77777777" w:rsidR="001C0E2A" w:rsidRDefault="001C0E2A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sectPr w:rsidR="001C0E2A" w:rsidSect="001E58C1">
      <w:pgSz w:w="16840" w:h="11900" w:orient="landscape"/>
      <w:pgMar w:top="1134" w:right="1440" w:bottom="1134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F84C4" w14:textId="77777777" w:rsidR="00F51AE4" w:rsidRDefault="00F51AE4" w:rsidP="0063690C">
      <w:pPr>
        <w:spacing w:after="0" w:line="240" w:lineRule="auto"/>
      </w:pPr>
      <w:r>
        <w:separator/>
      </w:r>
    </w:p>
  </w:endnote>
  <w:endnote w:type="continuationSeparator" w:id="0">
    <w:p w14:paraId="5A55715F" w14:textId="77777777" w:rsidR="00F51AE4" w:rsidRDefault="00F51AE4" w:rsidP="0063690C">
      <w:pPr>
        <w:spacing w:after="0" w:line="240" w:lineRule="auto"/>
      </w:pPr>
      <w:r>
        <w:continuationSeparator/>
      </w:r>
    </w:p>
  </w:endnote>
  <w:endnote w:type="continuationNotice" w:id="1">
    <w:p w14:paraId="49AC85E2" w14:textId="77777777" w:rsidR="00F51AE4" w:rsidRDefault="00F51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6319" w14:textId="77777777" w:rsidR="00C936B1" w:rsidRDefault="00C9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1918" w14:textId="77777777" w:rsidR="00C936B1" w:rsidRDefault="00C93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53C0" w14:textId="77777777" w:rsidR="00C936B1" w:rsidRDefault="00C9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DF2B6" w14:textId="77777777" w:rsidR="00F51AE4" w:rsidRDefault="00F51AE4" w:rsidP="0063690C">
      <w:pPr>
        <w:spacing w:after="0" w:line="240" w:lineRule="auto"/>
      </w:pPr>
      <w:r>
        <w:separator/>
      </w:r>
    </w:p>
  </w:footnote>
  <w:footnote w:type="continuationSeparator" w:id="0">
    <w:p w14:paraId="7A1B7CCE" w14:textId="77777777" w:rsidR="00F51AE4" w:rsidRDefault="00F51AE4" w:rsidP="0063690C">
      <w:pPr>
        <w:spacing w:after="0" w:line="240" w:lineRule="auto"/>
      </w:pPr>
      <w:r>
        <w:continuationSeparator/>
      </w:r>
    </w:p>
  </w:footnote>
  <w:footnote w:type="continuationNotice" w:id="1">
    <w:p w14:paraId="28AC2DAA" w14:textId="77777777" w:rsidR="00F51AE4" w:rsidRDefault="00F51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5477" w14:textId="77777777" w:rsidR="00C936B1" w:rsidRDefault="00C93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21DD" w14:textId="0A512BE4" w:rsidR="00C936B1" w:rsidRDefault="00C936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F9D0" w14:textId="77777777" w:rsidR="00C936B1" w:rsidRDefault="00C93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5DD9"/>
    <w:multiLevelType w:val="hybridMultilevel"/>
    <w:tmpl w:val="47EEC72A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7054"/>
    <w:multiLevelType w:val="hybridMultilevel"/>
    <w:tmpl w:val="0CBA8AD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4C4"/>
    <w:multiLevelType w:val="hybridMultilevel"/>
    <w:tmpl w:val="46908DB8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6726"/>
    <w:multiLevelType w:val="hybridMultilevel"/>
    <w:tmpl w:val="DBF4E2F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4549"/>
    <w:multiLevelType w:val="hybridMultilevel"/>
    <w:tmpl w:val="9B24323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1BF9"/>
    <w:multiLevelType w:val="hybridMultilevel"/>
    <w:tmpl w:val="FCDE7C48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DD1"/>
    <w:multiLevelType w:val="hybridMultilevel"/>
    <w:tmpl w:val="99F49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3271"/>
    <w:multiLevelType w:val="hybridMultilevel"/>
    <w:tmpl w:val="943E8E8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5624"/>
    <w:multiLevelType w:val="hybridMultilevel"/>
    <w:tmpl w:val="EC320024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7B2D"/>
    <w:multiLevelType w:val="hybridMultilevel"/>
    <w:tmpl w:val="40EE719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0FE2"/>
    <w:multiLevelType w:val="hybridMultilevel"/>
    <w:tmpl w:val="E1ECD5B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15F4D"/>
    <w:multiLevelType w:val="multilevel"/>
    <w:tmpl w:val="BB62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32665"/>
    <w:multiLevelType w:val="hybridMultilevel"/>
    <w:tmpl w:val="466CF210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403EE"/>
    <w:multiLevelType w:val="hybridMultilevel"/>
    <w:tmpl w:val="FD3460D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93102"/>
    <w:multiLevelType w:val="hybridMultilevel"/>
    <w:tmpl w:val="B25053B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5E2"/>
    <w:multiLevelType w:val="hybridMultilevel"/>
    <w:tmpl w:val="46CC7B5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43C0"/>
    <w:multiLevelType w:val="hybridMultilevel"/>
    <w:tmpl w:val="19588948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13B94"/>
    <w:multiLevelType w:val="hybridMultilevel"/>
    <w:tmpl w:val="B5120050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BE6"/>
    <w:multiLevelType w:val="hybridMultilevel"/>
    <w:tmpl w:val="50B228C2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742F"/>
    <w:multiLevelType w:val="hybridMultilevel"/>
    <w:tmpl w:val="09240714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D0D9B"/>
    <w:multiLevelType w:val="hybridMultilevel"/>
    <w:tmpl w:val="308CEEC4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75041">
    <w:abstractNumId w:val="6"/>
  </w:num>
  <w:num w:numId="2" w16cid:durableId="267391978">
    <w:abstractNumId w:val="16"/>
  </w:num>
  <w:num w:numId="3" w16cid:durableId="669716239">
    <w:abstractNumId w:val="15"/>
  </w:num>
  <w:num w:numId="4" w16cid:durableId="2079277511">
    <w:abstractNumId w:val="9"/>
  </w:num>
  <w:num w:numId="5" w16cid:durableId="660237311">
    <w:abstractNumId w:val="17"/>
  </w:num>
  <w:num w:numId="6" w16cid:durableId="537939984">
    <w:abstractNumId w:val="13"/>
  </w:num>
  <w:num w:numId="7" w16cid:durableId="363407893">
    <w:abstractNumId w:val="3"/>
  </w:num>
  <w:num w:numId="8" w16cid:durableId="553732624">
    <w:abstractNumId w:val="2"/>
  </w:num>
  <w:num w:numId="9" w16cid:durableId="409160125">
    <w:abstractNumId w:val="4"/>
  </w:num>
  <w:num w:numId="10" w16cid:durableId="2052411746">
    <w:abstractNumId w:val="18"/>
  </w:num>
  <w:num w:numId="11" w16cid:durableId="2018534899">
    <w:abstractNumId w:val="19"/>
  </w:num>
  <w:num w:numId="12" w16cid:durableId="1628390385">
    <w:abstractNumId w:val="8"/>
  </w:num>
  <w:num w:numId="13" w16cid:durableId="687802879">
    <w:abstractNumId w:val="7"/>
  </w:num>
  <w:num w:numId="14" w16cid:durableId="1639528695">
    <w:abstractNumId w:val="1"/>
  </w:num>
  <w:num w:numId="15" w16cid:durableId="1589000581">
    <w:abstractNumId w:val="20"/>
  </w:num>
  <w:num w:numId="16" w16cid:durableId="132792309">
    <w:abstractNumId w:val="14"/>
  </w:num>
  <w:num w:numId="17" w16cid:durableId="1068960715">
    <w:abstractNumId w:val="0"/>
  </w:num>
  <w:num w:numId="18" w16cid:durableId="1593270802">
    <w:abstractNumId w:val="5"/>
  </w:num>
  <w:num w:numId="19" w16cid:durableId="566458730">
    <w:abstractNumId w:val="10"/>
  </w:num>
  <w:num w:numId="20" w16cid:durableId="1377467868">
    <w:abstractNumId w:val="12"/>
  </w:num>
  <w:num w:numId="21" w16cid:durableId="2063627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006E31"/>
    <w:rsid w:val="0000709B"/>
    <w:rsid w:val="0001123A"/>
    <w:rsid w:val="0001200B"/>
    <w:rsid w:val="000175D3"/>
    <w:rsid w:val="00032671"/>
    <w:rsid w:val="00036E57"/>
    <w:rsid w:val="00037C80"/>
    <w:rsid w:val="000441F0"/>
    <w:rsid w:val="00064665"/>
    <w:rsid w:val="00065A60"/>
    <w:rsid w:val="00065E21"/>
    <w:rsid w:val="00070BB1"/>
    <w:rsid w:val="00073F21"/>
    <w:rsid w:val="00076CB1"/>
    <w:rsid w:val="00081468"/>
    <w:rsid w:val="000828A4"/>
    <w:rsid w:val="00090834"/>
    <w:rsid w:val="000913D2"/>
    <w:rsid w:val="000975C4"/>
    <w:rsid w:val="000B37DF"/>
    <w:rsid w:val="000C0FA3"/>
    <w:rsid w:val="000C6098"/>
    <w:rsid w:val="000D42DB"/>
    <w:rsid w:val="000D589D"/>
    <w:rsid w:val="000E7066"/>
    <w:rsid w:val="000F5CB1"/>
    <w:rsid w:val="000F75A5"/>
    <w:rsid w:val="00104D73"/>
    <w:rsid w:val="001200EC"/>
    <w:rsid w:val="00145064"/>
    <w:rsid w:val="00152827"/>
    <w:rsid w:val="00162DC8"/>
    <w:rsid w:val="00163733"/>
    <w:rsid w:val="001709E4"/>
    <w:rsid w:val="00176F84"/>
    <w:rsid w:val="0018371A"/>
    <w:rsid w:val="00185647"/>
    <w:rsid w:val="001936DD"/>
    <w:rsid w:val="001A7902"/>
    <w:rsid w:val="001B7509"/>
    <w:rsid w:val="001B79C9"/>
    <w:rsid w:val="001C0E2A"/>
    <w:rsid w:val="001C51A2"/>
    <w:rsid w:val="001C73E3"/>
    <w:rsid w:val="001D35DA"/>
    <w:rsid w:val="001D3DD5"/>
    <w:rsid w:val="001D537F"/>
    <w:rsid w:val="001E529A"/>
    <w:rsid w:val="001E58C1"/>
    <w:rsid w:val="001F0943"/>
    <w:rsid w:val="001F6B72"/>
    <w:rsid w:val="00216C68"/>
    <w:rsid w:val="00225E62"/>
    <w:rsid w:val="00232FD4"/>
    <w:rsid w:val="002344AB"/>
    <w:rsid w:val="00244FBA"/>
    <w:rsid w:val="00247BF9"/>
    <w:rsid w:val="00257659"/>
    <w:rsid w:val="002665DC"/>
    <w:rsid w:val="00266923"/>
    <w:rsid w:val="00273D3C"/>
    <w:rsid w:val="00280B7E"/>
    <w:rsid w:val="00282967"/>
    <w:rsid w:val="00287967"/>
    <w:rsid w:val="00296798"/>
    <w:rsid w:val="002B143C"/>
    <w:rsid w:val="002B34C8"/>
    <w:rsid w:val="002C5A20"/>
    <w:rsid w:val="002C7944"/>
    <w:rsid w:val="002D3564"/>
    <w:rsid w:val="002E45F8"/>
    <w:rsid w:val="002F1024"/>
    <w:rsid w:val="002F40A8"/>
    <w:rsid w:val="00303CA2"/>
    <w:rsid w:val="00305C49"/>
    <w:rsid w:val="00307625"/>
    <w:rsid w:val="00315138"/>
    <w:rsid w:val="00325087"/>
    <w:rsid w:val="00325C49"/>
    <w:rsid w:val="00332C17"/>
    <w:rsid w:val="00352953"/>
    <w:rsid w:val="00356558"/>
    <w:rsid w:val="00357196"/>
    <w:rsid w:val="003609FC"/>
    <w:rsid w:val="00372437"/>
    <w:rsid w:val="00373A45"/>
    <w:rsid w:val="00380E7E"/>
    <w:rsid w:val="00387033"/>
    <w:rsid w:val="003A361F"/>
    <w:rsid w:val="003A43E4"/>
    <w:rsid w:val="003A4ADD"/>
    <w:rsid w:val="003D1245"/>
    <w:rsid w:val="003D5BAE"/>
    <w:rsid w:val="003E0C63"/>
    <w:rsid w:val="003E733D"/>
    <w:rsid w:val="003F331D"/>
    <w:rsid w:val="003F786A"/>
    <w:rsid w:val="004020E4"/>
    <w:rsid w:val="00403C6A"/>
    <w:rsid w:val="00421954"/>
    <w:rsid w:val="00423F4B"/>
    <w:rsid w:val="00423FF2"/>
    <w:rsid w:val="0042520D"/>
    <w:rsid w:val="0043209F"/>
    <w:rsid w:val="004458C8"/>
    <w:rsid w:val="00446E73"/>
    <w:rsid w:val="00451F71"/>
    <w:rsid w:val="00457A28"/>
    <w:rsid w:val="00464855"/>
    <w:rsid w:val="00472FD7"/>
    <w:rsid w:val="00482B0B"/>
    <w:rsid w:val="00494E19"/>
    <w:rsid w:val="004B5D91"/>
    <w:rsid w:val="004B6B59"/>
    <w:rsid w:val="004D6C7B"/>
    <w:rsid w:val="004E2E23"/>
    <w:rsid w:val="004E6D2B"/>
    <w:rsid w:val="004F2462"/>
    <w:rsid w:val="00506DA0"/>
    <w:rsid w:val="0051446F"/>
    <w:rsid w:val="0051730D"/>
    <w:rsid w:val="0053189D"/>
    <w:rsid w:val="005341ED"/>
    <w:rsid w:val="0053541A"/>
    <w:rsid w:val="00536613"/>
    <w:rsid w:val="00537E69"/>
    <w:rsid w:val="005417B4"/>
    <w:rsid w:val="005434A4"/>
    <w:rsid w:val="00546D9A"/>
    <w:rsid w:val="00556CF4"/>
    <w:rsid w:val="00566FAA"/>
    <w:rsid w:val="00574AF6"/>
    <w:rsid w:val="005818F2"/>
    <w:rsid w:val="0058406E"/>
    <w:rsid w:val="005A16C2"/>
    <w:rsid w:val="005B6969"/>
    <w:rsid w:val="005B7AB0"/>
    <w:rsid w:val="005B7BD6"/>
    <w:rsid w:val="005D503C"/>
    <w:rsid w:val="005F254E"/>
    <w:rsid w:val="005F3B1A"/>
    <w:rsid w:val="00601C1A"/>
    <w:rsid w:val="0061195F"/>
    <w:rsid w:val="00616086"/>
    <w:rsid w:val="006233CF"/>
    <w:rsid w:val="00631800"/>
    <w:rsid w:val="0063690C"/>
    <w:rsid w:val="00654894"/>
    <w:rsid w:val="0066339E"/>
    <w:rsid w:val="0066604A"/>
    <w:rsid w:val="0067513B"/>
    <w:rsid w:val="00685AA8"/>
    <w:rsid w:val="00695CC4"/>
    <w:rsid w:val="006968E0"/>
    <w:rsid w:val="00696E88"/>
    <w:rsid w:val="006A18A6"/>
    <w:rsid w:val="006A5B10"/>
    <w:rsid w:val="006D2F59"/>
    <w:rsid w:val="006E1CF9"/>
    <w:rsid w:val="006E26B3"/>
    <w:rsid w:val="006F3C7B"/>
    <w:rsid w:val="006F704C"/>
    <w:rsid w:val="00701E2E"/>
    <w:rsid w:val="0070218C"/>
    <w:rsid w:val="00706B87"/>
    <w:rsid w:val="007111E4"/>
    <w:rsid w:val="007123EE"/>
    <w:rsid w:val="0071311F"/>
    <w:rsid w:val="007252D2"/>
    <w:rsid w:val="00732D71"/>
    <w:rsid w:val="00741021"/>
    <w:rsid w:val="007469F6"/>
    <w:rsid w:val="0074725E"/>
    <w:rsid w:val="00757DB7"/>
    <w:rsid w:val="00765623"/>
    <w:rsid w:val="00765B88"/>
    <w:rsid w:val="007808A0"/>
    <w:rsid w:val="007824B2"/>
    <w:rsid w:val="0078757D"/>
    <w:rsid w:val="007A068F"/>
    <w:rsid w:val="007B741A"/>
    <w:rsid w:val="007C321C"/>
    <w:rsid w:val="007D3C02"/>
    <w:rsid w:val="007D478A"/>
    <w:rsid w:val="007D4EC7"/>
    <w:rsid w:val="007E202E"/>
    <w:rsid w:val="007E2459"/>
    <w:rsid w:val="007F36C9"/>
    <w:rsid w:val="0080235D"/>
    <w:rsid w:val="00815B10"/>
    <w:rsid w:val="0082347B"/>
    <w:rsid w:val="00826638"/>
    <w:rsid w:val="0083583B"/>
    <w:rsid w:val="00842D51"/>
    <w:rsid w:val="008577A9"/>
    <w:rsid w:val="00860C1D"/>
    <w:rsid w:val="0087067A"/>
    <w:rsid w:val="00871024"/>
    <w:rsid w:val="008737E5"/>
    <w:rsid w:val="008A1EDF"/>
    <w:rsid w:val="008B34B6"/>
    <w:rsid w:val="008B60B6"/>
    <w:rsid w:val="008D0458"/>
    <w:rsid w:val="008D1934"/>
    <w:rsid w:val="008D4D11"/>
    <w:rsid w:val="008D7056"/>
    <w:rsid w:val="008E13BD"/>
    <w:rsid w:val="0090006C"/>
    <w:rsid w:val="00903134"/>
    <w:rsid w:val="009046CF"/>
    <w:rsid w:val="00907689"/>
    <w:rsid w:val="00912C16"/>
    <w:rsid w:val="00917077"/>
    <w:rsid w:val="009215B5"/>
    <w:rsid w:val="00922BCC"/>
    <w:rsid w:val="009313AC"/>
    <w:rsid w:val="009347E6"/>
    <w:rsid w:val="00943FC8"/>
    <w:rsid w:val="00967F91"/>
    <w:rsid w:val="00970CEB"/>
    <w:rsid w:val="00982441"/>
    <w:rsid w:val="009A3CD0"/>
    <w:rsid w:val="009A3FFF"/>
    <w:rsid w:val="009A5965"/>
    <w:rsid w:val="009A6767"/>
    <w:rsid w:val="009B4EF0"/>
    <w:rsid w:val="009B6B9E"/>
    <w:rsid w:val="009C11B2"/>
    <w:rsid w:val="009D79B5"/>
    <w:rsid w:val="00A03483"/>
    <w:rsid w:val="00A06E08"/>
    <w:rsid w:val="00A15BA9"/>
    <w:rsid w:val="00A16B6C"/>
    <w:rsid w:val="00A55F4C"/>
    <w:rsid w:val="00A65224"/>
    <w:rsid w:val="00A7394F"/>
    <w:rsid w:val="00A826E2"/>
    <w:rsid w:val="00A97C03"/>
    <w:rsid w:val="00A97C35"/>
    <w:rsid w:val="00AB62DD"/>
    <w:rsid w:val="00AC6897"/>
    <w:rsid w:val="00AD4B39"/>
    <w:rsid w:val="00AD5423"/>
    <w:rsid w:val="00B0144F"/>
    <w:rsid w:val="00B04A5E"/>
    <w:rsid w:val="00B13370"/>
    <w:rsid w:val="00B27DE6"/>
    <w:rsid w:val="00B33326"/>
    <w:rsid w:val="00B35D74"/>
    <w:rsid w:val="00B4223D"/>
    <w:rsid w:val="00B475AE"/>
    <w:rsid w:val="00B57702"/>
    <w:rsid w:val="00B60161"/>
    <w:rsid w:val="00B63752"/>
    <w:rsid w:val="00B74258"/>
    <w:rsid w:val="00B81328"/>
    <w:rsid w:val="00B82C16"/>
    <w:rsid w:val="00B951BD"/>
    <w:rsid w:val="00B96D2F"/>
    <w:rsid w:val="00BA1BBC"/>
    <w:rsid w:val="00BA1D48"/>
    <w:rsid w:val="00BA4BAB"/>
    <w:rsid w:val="00BB1925"/>
    <w:rsid w:val="00BB2C8B"/>
    <w:rsid w:val="00BB6EDB"/>
    <w:rsid w:val="00BE2081"/>
    <w:rsid w:val="00BE6BE9"/>
    <w:rsid w:val="00BF0E2F"/>
    <w:rsid w:val="00C02016"/>
    <w:rsid w:val="00C03DF8"/>
    <w:rsid w:val="00C03E58"/>
    <w:rsid w:val="00C05F21"/>
    <w:rsid w:val="00C0670F"/>
    <w:rsid w:val="00C20CAD"/>
    <w:rsid w:val="00C30515"/>
    <w:rsid w:val="00C36746"/>
    <w:rsid w:val="00C47E88"/>
    <w:rsid w:val="00C54876"/>
    <w:rsid w:val="00C56422"/>
    <w:rsid w:val="00C61A9C"/>
    <w:rsid w:val="00C801F9"/>
    <w:rsid w:val="00C8678D"/>
    <w:rsid w:val="00C936B1"/>
    <w:rsid w:val="00CA3ECD"/>
    <w:rsid w:val="00CA4386"/>
    <w:rsid w:val="00CB7FFA"/>
    <w:rsid w:val="00CC0807"/>
    <w:rsid w:val="00CC0FB2"/>
    <w:rsid w:val="00CD6EE0"/>
    <w:rsid w:val="00CD750E"/>
    <w:rsid w:val="00CE10FC"/>
    <w:rsid w:val="00CE5F4C"/>
    <w:rsid w:val="00CE6FF7"/>
    <w:rsid w:val="00D01B3B"/>
    <w:rsid w:val="00D1369B"/>
    <w:rsid w:val="00D32022"/>
    <w:rsid w:val="00D35208"/>
    <w:rsid w:val="00D5073A"/>
    <w:rsid w:val="00D56145"/>
    <w:rsid w:val="00D7082E"/>
    <w:rsid w:val="00D76F26"/>
    <w:rsid w:val="00D846A7"/>
    <w:rsid w:val="00D84AC7"/>
    <w:rsid w:val="00DA5DD8"/>
    <w:rsid w:val="00DA7FBC"/>
    <w:rsid w:val="00DC66B9"/>
    <w:rsid w:val="00DD4378"/>
    <w:rsid w:val="00DD6F08"/>
    <w:rsid w:val="00DE19C4"/>
    <w:rsid w:val="00DE36AC"/>
    <w:rsid w:val="00DE6A90"/>
    <w:rsid w:val="00DF3D0D"/>
    <w:rsid w:val="00DF4DD2"/>
    <w:rsid w:val="00E0120B"/>
    <w:rsid w:val="00E063AF"/>
    <w:rsid w:val="00E15C1B"/>
    <w:rsid w:val="00E23E67"/>
    <w:rsid w:val="00E36262"/>
    <w:rsid w:val="00E44E70"/>
    <w:rsid w:val="00E642AA"/>
    <w:rsid w:val="00E67071"/>
    <w:rsid w:val="00E71E98"/>
    <w:rsid w:val="00E75F05"/>
    <w:rsid w:val="00E8005F"/>
    <w:rsid w:val="00EA17CC"/>
    <w:rsid w:val="00EA5475"/>
    <w:rsid w:val="00EB5CE7"/>
    <w:rsid w:val="00EE5E4B"/>
    <w:rsid w:val="00F01BD7"/>
    <w:rsid w:val="00F02CE5"/>
    <w:rsid w:val="00F0730B"/>
    <w:rsid w:val="00F12EDE"/>
    <w:rsid w:val="00F1355F"/>
    <w:rsid w:val="00F153FF"/>
    <w:rsid w:val="00F20E98"/>
    <w:rsid w:val="00F212C8"/>
    <w:rsid w:val="00F37042"/>
    <w:rsid w:val="00F51AE4"/>
    <w:rsid w:val="00F73591"/>
    <w:rsid w:val="00F8625D"/>
    <w:rsid w:val="00FA46D0"/>
    <w:rsid w:val="00FA4DDB"/>
    <w:rsid w:val="00FA5D44"/>
    <w:rsid w:val="00FB1A3C"/>
    <w:rsid w:val="00FC774D"/>
    <w:rsid w:val="00FE094A"/>
    <w:rsid w:val="00FE0DEE"/>
    <w:rsid w:val="00FE2192"/>
    <w:rsid w:val="0505C448"/>
    <w:rsid w:val="0BF21394"/>
    <w:rsid w:val="13699DDC"/>
    <w:rsid w:val="16B485A8"/>
    <w:rsid w:val="188D1952"/>
    <w:rsid w:val="2281DA41"/>
    <w:rsid w:val="236D6753"/>
    <w:rsid w:val="25C4C378"/>
    <w:rsid w:val="29069F80"/>
    <w:rsid w:val="2C841570"/>
    <w:rsid w:val="2DF16804"/>
    <w:rsid w:val="3257B2BC"/>
    <w:rsid w:val="3527915F"/>
    <w:rsid w:val="3561B0B4"/>
    <w:rsid w:val="3B66AFB5"/>
    <w:rsid w:val="3C35449A"/>
    <w:rsid w:val="45575C5E"/>
    <w:rsid w:val="4677EB57"/>
    <w:rsid w:val="49FB0820"/>
    <w:rsid w:val="4AEBC0E2"/>
    <w:rsid w:val="4D188636"/>
    <w:rsid w:val="4E2863E4"/>
    <w:rsid w:val="4E82F3E0"/>
    <w:rsid w:val="4E9DEF61"/>
    <w:rsid w:val="52DD918B"/>
    <w:rsid w:val="570530ED"/>
    <w:rsid w:val="5777B936"/>
    <w:rsid w:val="5831BB1A"/>
    <w:rsid w:val="5AFBB732"/>
    <w:rsid w:val="5B628A0B"/>
    <w:rsid w:val="5F937516"/>
    <w:rsid w:val="6144EE4D"/>
    <w:rsid w:val="65A315E8"/>
    <w:rsid w:val="65ABBA58"/>
    <w:rsid w:val="66232AC9"/>
    <w:rsid w:val="6AFDEDBD"/>
    <w:rsid w:val="6B99FB46"/>
    <w:rsid w:val="6F86D03A"/>
    <w:rsid w:val="72C78122"/>
    <w:rsid w:val="79C47AD9"/>
    <w:rsid w:val="7A59D628"/>
    <w:rsid w:val="7A6CE69F"/>
    <w:rsid w:val="7A74E3FB"/>
    <w:rsid w:val="7BA23459"/>
    <w:rsid w:val="7D7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98093428-62DF-46AA-BFB8-A9B5FD0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E5"/>
  </w:style>
  <w:style w:type="paragraph" w:styleId="Heading1">
    <w:name w:val="heading 1"/>
    <w:basedOn w:val="Normal"/>
    <w:next w:val="Normal"/>
    <w:link w:val="Heading1Char"/>
    <w:uiPriority w:val="9"/>
    <w:qFormat/>
    <w:rsid w:val="00380E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1846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0E7E"/>
    <w:rPr>
      <w:rFonts w:asciiTheme="majorHAnsi" w:eastAsiaTheme="majorEastAsia" w:hAnsiTheme="majorHAnsi" w:cstheme="majorBidi"/>
      <w:color w:val="11846A"/>
      <w:sz w:val="36"/>
      <w:szCs w:val="3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4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47"/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70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E2E"/>
  </w:style>
  <w:style w:type="character" w:customStyle="1" w:styleId="eop">
    <w:name w:val="eop"/>
    <w:basedOn w:val="DefaultParagraphFont"/>
    <w:rsid w:val="00701E2E"/>
  </w:style>
  <w:style w:type="paragraph" w:styleId="TOCHeading">
    <w:name w:val="TOC Heading"/>
    <w:basedOn w:val="Heading1"/>
    <w:next w:val="Normal"/>
    <w:uiPriority w:val="39"/>
    <w:unhideWhenUsed/>
    <w:qFormat/>
    <w:rsid w:val="00F02CE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57A28"/>
    <w:pPr>
      <w:tabs>
        <w:tab w:val="right" w:leader="dot" w:pos="13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3F4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CE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CE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CE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CE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CE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CE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2C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C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CE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2CE5"/>
    <w:rPr>
      <w:b/>
      <w:bCs/>
    </w:rPr>
  </w:style>
  <w:style w:type="character" w:styleId="Emphasis">
    <w:name w:val="Emphasis"/>
    <w:basedOn w:val="DefaultParagraphFont"/>
    <w:uiPriority w:val="20"/>
    <w:qFormat/>
    <w:rsid w:val="00F02CE5"/>
    <w:rPr>
      <w:i/>
      <w:iCs/>
    </w:rPr>
  </w:style>
  <w:style w:type="paragraph" w:styleId="NoSpacing">
    <w:name w:val="No Spacing"/>
    <w:link w:val="NoSpacingChar"/>
    <w:uiPriority w:val="1"/>
    <w:qFormat/>
    <w:rsid w:val="00F02C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2C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CE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C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C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C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C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2CE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2CE5"/>
    <w:rPr>
      <w:b/>
      <w:bCs/>
      <w:smallCap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970CEB"/>
  </w:style>
  <w:style w:type="character" w:styleId="UnresolvedMention">
    <w:name w:val="Unresolved Mention"/>
    <w:basedOn w:val="DefaultParagraphFont"/>
    <w:uiPriority w:val="99"/>
    <w:semiHidden/>
    <w:unhideWhenUsed/>
    <w:rsid w:val="00AD4B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B7F79BDD96439CC29AF16258DB4F" ma:contentTypeVersion="16" ma:contentTypeDescription="Create a new document." ma:contentTypeScope="" ma:versionID="3200607cd8f99fcb012e18e08ebf2f41">
  <xsd:schema xmlns:xsd="http://www.w3.org/2001/XMLSchema" xmlns:xs="http://www.w3.org/2001/XMLSchema" xmlns:p="http://schemas.microsoft.com/office/2006/metadata/properties" xmlns:ns2="eb2f391d-c696-4363-aa46-7901ab5f2d1c" xmlns:ns3="c1f309d3-352d-49d3-bfe6-fbb3793c3417" targetNamespace="http://schemas.microsoft.com/office/2006/metadata/properties" ma:root="true" ma:fieldsID="d9f5bec191d780149e6dd34e62131cd3" ns2:_="" ns3:_="">
    <xsd:import namespace="eb2f391d-c696-4363-aa46-7901ab5f2d1c"/>
    <xsd:import namespace="c1f309d3-352d-49d3-bfe6-fbb3793c3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rm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Organis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391d-c696-4363-aa46-7901ab5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Organisation" ma:index="22" nillable="true" ma:displayName="Organisation" ma:format="Dropdown" ma:internalName="Organisation">
      <xsd:simpleType>
        <xsd:restriction base="dms:Text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09d3-352d-49d3-bfe6-fbb3793c341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245266-e91f-44d0-b9e2-26877b6efe5c}" ma:internalName="TaxCatchAll" ma:showField="CatchAllData" ma:web="c1f309d3-352d-49d3-bfe6-fbb3793c3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eb2f391d-c696-4363-aa46-7901ab5f2d1c" xsi:nil="true"/>
    <lcf76f155ced4ddcb4097134ff3c332f xmlns="eb2f391d-c696-4363-aa46-7901ab5f2d1c">
      <Terms xmlns="http://schemas.microsoft.com/office/infopath/2007/PartnerControls"/>
    </lcf76f155ced4ddcb4097134ff3c332f>
    <TaxCatchAll xmlns="c1f309d3-352d-49d3-bfe6-fbb3793c3417" xsi:nil="true"/>
    <Organisation xmlns="eb2f391d-c696-4363-aa46-7901ab5f2d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4160-F3FA-4E78-94F9-14ED5FF11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391d-c696-4363-aa46-7901ab5f2d1c"/>
    <ds:schemaRef ds:uri="c1f309d3-352d-49d3-bfe6-fbb3793c3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B0D91-29EC-43ED-81CD-AC36AD2E2E0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1f309d3-352d-49d3-bfe6-fbb3793c3417"/>
    <ds:schemaRef ds:uri="http://schemas.microsoft.com/office/2006/documentManagement/types"/>
    <ds:schemaRef ds:uri="eb2f391d-c696-4363-aa46-7901ab5f2d1c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645D1C-3781-4AFF-85F2-F337AF23A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7A468-13F9-43D0-BF52-6AE83ACB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966</Words>
  <Characters>5508</Characters>
  <Application>Microsoft Office Word</Application>
  <DocSecurity>4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Carys Jones</cp:lastModifiedBy>
  <cp:revision>2</cp:revision>
  <dcterms:created xsi:type="dcterms:W3CDTF">2025-06-24T11:59:00Z</dcterms:created>
  <dcterms:modified xsi:type="dcterms:W3CDTF">2025-06-24T11:59:00Z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0x01010035AEB7F79BDD96439CC29AF16258DB4F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2024-01-24T08:41:13Z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66949571-eaf3-4d20-9bd8-39c766214449</vt:lpwstr>
  </property>
  <property fmtid="{D5CDD505-2E9C-101B-9397-08002B2CF9AE}" pid="9" name="MSIP_Label_d3f1612d-fb9f-4910-9745-3218a93e4acc_ContentBits">
    <vt:lpwstr>0</vt:lpwstr>
  </property>
</Properties>
</file>