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F1EEB" w14:textId="77777777" w:rsidR="009B2649" w:rsidRPr="00B568F3" w:rsidRDefault="009B2649" w:rsidP="002D1B1F">
      <w:pPr>
        <w:widowControl w:val="0"/>
        <w:suppressAutoHyphens/>
        <w:spacing w:after="0" w:line="240" w:lineRule="auto"/>
        <w:jc w:val="center"/>
        <w:rPr>
          <w:rFonts w:ascii="Arial" w:eastAsia="Calibri" w:hAnsi="Arial" w:cs="Arial"/>
          <w:b/>
          <w:sz w:val="32"/>
          <w:szCs w:val="32"/>
        </w:rPr>
      </w:pPr>
    </w:p>
    <w:p w14:paraId="5D9D2199" w14:textId="3E77BF02" w:rsidR="002D1B1F" w:rsidRPr="000C06A7" w:rsidRDefault="069F4A6E" w:rsidP="000C06A7">
      <w:pPr>
        <w:pStyle w:val="Heading1"/>
        <w:rPr>
          <w:rFonts w:ascii="Arial" w:hAnsi="Arial" w:cs="Arial"/>
          <w:b/>
          <w:bCs/>
          <w:color w:val="11846A"/>
          <w:sz w:val="52"/>
          <w:szCs w:val="52"/>
        </w:rPr>
      </w:pPr>
      <w:r w:rsidRPr="000C06A7">
        <w:rPr>
          <w:rFonts w:ascii="Arial" w:hAnsi="Arial" w:cs="Arial"/>
          <w:b/>
          <w:bCs/>
          <w:color w:val="11846A"/>
          <w:sz w:val="52"/>
          <w:szCs w:val="52"/>
          <w:lang w:eastAsia="en-GB"/>
        </w:rPr>
        <w:t>Social Care Wales Workforce Development Programme</w:t>
      </w:r>
      <w:r w:rsidRPr="000C06A7">
        <w:rPr>
          <w:rFonts w:ascii="Arial" w:hAnsi="Arial" w:cs="Arial"/>
          <w:b/>
          <w:bCs/>
          <w:color w:val="11846A"/>
          <w:sz w:val="52"/>
          <w:szCs w:val="52"/>
        </w:rPr>
        <w:t xml:space="preserve"> (SCWWDP) end of year monitoring for 2023</w:t>
      </w:r>
      <w:r w:rsidR="0090613E" w:rsidRPr="000C06A7">
        <w:rPr>
          <w:rFonts w:ascii="Arial" w:hAnsi="Arial" w:cs="Arial"/>
          <w:b/>
          <w:bCs/>
          <w:color w:val="11846A"/>
          <w:sz w:val="52"/>
          <w:szCs w:val="52"/>
        </w:rPr>
        <w:t xml:space="preserve"> to </w:t>
      </w:r>
      <w:r w:rsidRPr="000C06A7">
        <w:rPr>
          <w:rFonts w:ascii="Arial" w:hAnsi="Arial" w:cs="Arial"/>
          <w:b/>
          <w:bCs/>
          <w:color w:val="11846A"/>
          <w:sz w:val="52"/>
          <w:szCs w:val="52"/>
        </w:rPr>
        <w:t xml:space="preserve">2024: </w:t>
      </w:r>
      <w:r w:rsidR="00454731" w:rsidRPr="000C06A7">
        <w:rPr>
          <w:rFonts w:ascii="Arial" w:hAnsi="Arial" w:cs="Arial"/>
          <w:b/>
          <w:bCs/>
          <w:color w:val="11846A"/>
          <w:sz w:val="52"/>
          <w:szCs w:val="52"/>
        </w:rPr>
        <w:t>Summary of themes and findings</w:t>
      </w:r>
    </w:p>
    <w:p w14:paraId="701ECC70" w14:textId="77777777" w:rsidR="002D1B1F" w:rsidRPr="00B568F3" w:rsidRDefault="002D1B1F" w:rsidP="002D1B1F">
      <w:pPr>
        <w:spacing w:after="0" w:line="240" w:lineRule="auto"/>
        <w:rPr>
          <w:rFonts w:ascii="Arial" w:eastAsia="Calibri" w:hAnsi="Arial" w:cs="Arial"/>
          <w:b/>
          <w:color w:val="FF0000"/>
          <w:sz w:val="24"/>
          <w:szCs w:val="24"/>
        </w:rPr>
      </w:pPr>
    </w:p>
    <w:p w14:paraId="6895C711" w14:textId="77777777" w:rsidR="002D1B1F" w:rsidRPr="00B568F3" w:rsidRDefault="002D1B1F" w:rsidP="002D1B1F">
      <w:pPr>
        <w:spacing w:after="0" w:line="240" w:lineRule="auto"/>
        <w:rPr>
          <w:rFonts w:ascii="Arial" w:eastAsia="Calibri" w:hAnsi="Arial" w:cs="Arial"/>
          <w:color w:val="FF0000"/>
          <w:sz w:val="24"/>
          <w:szCs w:val="24"/>
        </w:rPr>
      </w:pPr>
    </w:p>
    <w:sdt>
      <w:sdtPr>
        <w:rPr>
          <w:rFonts w:ascii="Arial" w:eastAsiaTheme="minorEastAsia" w:hAnsi="Arial" w:cs="Arial"/>
          <w:color w:val="auto"/>
          <w:sz w:val="22"/>
          <w:szCs w:val="22"/>
          <w:lang w:val="en-GB"/>
        </w:rPr>
        <w:id w:val="-1091155775"/>
        <w:docPartObj>
          <w:docPartGallery w:val="Table of Contents"/>
          <w:docPartUnique/>
        </w:docPartObj>
      </w:sdtPr>
      <w:sdtEndPr>
        <w:rPr>
          <w:b/>
        </w:rPr>
      </w:sdtEndPr>
      <w:sdtContent>
        <w:p w14:paraId="6627D746" w14:textId="77777777" w:rsidR="002D1B1F" w:rsidRPr="000C06A7" w:rsidRDefault="002D1B1F" w:rsidP="002D1B1F">
          <w:pPr>
            <w:pStyle w:val="TOCHeading"/>
            <w:rPr>
              <w:rFonts w:ascii="Arial" w:hAnsi="Arial" w:cs="Arial"/>
              <w:b/>
              <w:color w:val="auto"/>
              <w:sz w:val="28"/>
              <w:szCs w:val="28"/>
              <w:lang w:val="en-GB" w:eastAsia="en-GB"/>
            </w:rPr>
          </w:pPr>
          <w:r w:rsidRPr="000C06A7">
            <w:rPr>
              <w:rFonts w:ascii="Arial" w:hAnsi="Arial" w:cs="Arial"/>
              <w:b/>
              <w:color w:val="auto"/>
              <w:sz w:val="28"/>
              <w:szCs w:val="28"/>
              <w:lang w:val="en-GB" w:eastAsia="en-GB"/>
            </w:rPr>
            <w:t>Contents</w:t>
          </w:r>
        </w:p>
        <w:p w14:paraId="217A8D3F" w14:textId="77777777" w:rsidR="002D1B1F" w:rsidRPr="000C06A7" w:rsidRDefault="002D1B1F" w:rsidP="002D1B1F">
          <w:pPr>
            <w:rPr>
              <w:rFonts w:ascii="Arial" w:hAnsi="Arial" w:cs="Arial"/>
              <w:sz w:val="24"/>
              <w:szCs w:val="24"/>
              <w:lang w:eastAsia="en-GB"/>
            </w:rPr>
          </w:pPr>
        </w:p>
        <w:p w14:paraId="03E3E1F1" w14:textId="524CD5F8" w:rsidR="00F64253" w:rsidRPr="000C06A7" w:rsidRDefault="002D1B1F">
          <w:pPr>
            <w:pStyle w:val="TOC1"/>
            <w:tabs>
              <w:tab w:val="right" w:leader="dot" w:pos="9016"/>
            </w:tabs>
            <w:rPr>
              <w:rFonts w:ascii="Arial" w:eastAsiaTheme="minorEastAsia" w:hAnsi="Arial" w:cs="Arial"/>
              <w:noProof/>
              <w:kern w:val="2"/>
              <w:sz w:val="24"/>
              <w:szCs w:val="24"/>
              <w:lang w:eastAsia="en-GB"/>
              <w14:ligatures w14:val="standardContextual"/>
            </w:rPr>
          </w:pPr>
          <w:r w:rsidRPr="000C06A7">
            <w:rPr>
              <w:rFonts w:ascii="Arial" w:hAnsi="Arial" w:cs="Arial"/>
              <w:sz w:val="24"/>
              <w:szCs w:val="24"/>
            </w:rPr>
            <w:fldChar w:fldCharType="begin"/>
          </w:r>
          <w:r w:rsidRPr="000C06A7">
            <w:rPr>
              <w:rFonts w:ascii="Arial" w:hAnsi="Arial" w:cs="Arial"/>
              <w:sz w:val="24"/>
              <w:szCs w:val="24"/>
            </w:rPr>
            <w:instrText xml:space="preserve"> TOC \o "1-3" \h \z \u </w:instrText>
          </w:r>
          <w:r w:rsidRPr="000C06A7">
            <w:rPr>
              <w:rFonts w:ascii="Arial" w:hAnsi="Arial" w:cs="Arial"/>
              <w:sz w:val="24"/>
              <w:szCs w:val="24"/>
            </w:rPr>
            <w:fldChar w:fldCharType="separate"/>
          </w:r>
          <w:hyperlink w:anchor="_Toc179481621" w:history="1">
            <w:r w:rsidR="00F64253" w:rsidRPr="000C06A7">
              <w:rPr>
                <w:rStyle w:val="Hyperlink"/>
                <w:rFonts w:ascii="Arial" w:hAnsi="Arial" w:cs="Arial"/>
                <w:noProof/>
                <w:sz w:val="24"/>
                <w:szCs w:val="24"/>
                <w:lang w:eastAsia="en-GB"/>
              </w:rPr>
              <w:t>Introduction</w:t>
            </w:r>
            <w:r w:rsidR="00F64253" w:rsidRPr="000C06A7">
              <w:rPr>
                <w:rFonts w:ascii="Arial" w:hAnsi="Arial" w:cs="Arial"/>
                <w:noProof/>
                <w:webHidden/>
                <w:sz w:val="24"/>
                <w:szCs w:val="24"/>
              </w:rPr>
              <w:tab/>
            </w:r>
            <w:r w:rsidR="00F64253" w:rsidRPr="000C06A7">
              <w:rPr>
                <w:rFonts w:ascii="Arial" w:hAnsi="Arial" w:cs="Arial"/>
                <w:noProof/>
                <w:webHidden/>
                <w:sz w:val="24"/>
                <w:szCs w:val="24"/>
              </w:rPr>
              <w:fldChar w:fldCharType="begin"/>
            </w:r>
            <w:r w:rsidR="00F64253" w:rsidRPr="000C06A7">
              <w:rPr>
                <w:rFonts w:ascii="Arial" w:hAnsi="Arial" w:cs="Arial"/>
                <w:noProof/>
                <w:webHidden/>
                <w:sz w:val="24"/>
                <w:szCs w:val="24"/>
              </w:rPr>
              <w:instrText xml:space="preserve"> PAGEREF _Toc179481621 \h </w:instrText>
            </w:r>
            <w:r w:rsidR="00F64253" w:rsidRPr="000C06A7">
              <w:rPr>
                <w:rFonts w:ascii="Arial" w:hAnsi="Arial" w:cs="Arial"/>
                <w:noProof/>
                <w:webHidden/>
                <w:sz w:val="24"/>
                <w:szCs w:val="24"/>
              </w:rPr>
            </w:r>
            <w:r w:rsidR="00F64253" w:rsidRPr="000C06A7">
              <w:rPr>
                <w:rFonts w:ascii="Arial" w:hAnsi="Arial" w:cs="Arial"/>
                <w:noProof/>
                <w:webHidden/>
                <w:sz w:val="24"/>
                <w:szCs w:val="24"/>
              </w:rPr>
              <w:fldChar w:fldCharType="separate"/>
            </w:r>
            <w:r w:rsidR="0076756D" w:rsidRPr="000C06A7">
              <w:rPr>
                <w:rFonts w:ascii="Arial" w:hAnsi="Arial" w:cs="Arial"/>
                <w:noProof/>
                <w:webHidden/>
                <w:sz w:val="24"/>
                <w:szCs w:val="24"/>
              </w:rPr>
              <w:t>2</w:t>
            </w:r>
            <w:r w:rsidR="00F64253" w:rsidRPr="000C06A7">
              <w:rPr>
                <w:rFonts w:ascii="Arial" w:hAnsi="Arial" w:cs="Arial"/>
                <w:noProof/>
                <w:webHidden/>
                <w:sz w:val="24"/>
                <w:szCs w:val="24"/>
              </w:rPr>
              <w:fldChar w:fldCharType="end"/>
            </w:r>
          </w:hyperlink>
        </w:p>
        <w:p w14:paraId="585F7A78" w14:textId="2A1E3401" w:rsidR="00F64253" w:rsidRPr="000C06A7" w:rsidRDefault="00B568F3">
          <w:pPr>
            <w:pStyle w:val="TOC1"/>
            <w:tabs>
              <w:tab w:val="right" w:leader="dot" w:pos="9016"/>
            </w:tabs>
            <w:rPr>
              <w:rFonts w:ascii="Arial" w:eastAsiaTheme="minorEastAsia" w:hAnsi="Arial" w:cs="Arial"/>
              <w:noProof/>
              <w:kern w:val="2"/>
              <w:sz w:val="24"/>
              <w:szCs w:val="24"/>
              <w:lang w:eastAsia="en-GB"/>
              <w14:ligatures w14:val="standardContextual"/>
            </w:rPr>
          </w:pPr>
          <w:r>
            <w:rPr>
              <w:rFonts w:ascii="Arial" w:hAnsi="Arial" w:cs="Arial"/>
            </w:rPr>
            <w:t>Main</w:t>
          </w:r>
          <w:hyperlink w:anchor="_Toc179481622" w:history="1">
            <w:r w:rsidR="00F64253" w:rsidRPr="000C06A7">
              <w:rPr>
                <w:rStyle w:val="Hyperlink"/>
                <w:rFonts w:ascii="Arial" w:hAnsi="Arial" w:cs="Arial"/>
                <w:noProof/>
                <w:sz w:val="24"/>
                <w:szCs w:val="24"/>
                <w:lang w:eastAsia="en-GB"/>
              </w:rPr>
              <w:t xml:space="preserve"> findings </w:t>
            </w:r>
            <w:r w:rsidR="006F0A67" w:rsidRPr="000C06A7">
              <w:rPr>
                <w:rStyle w:val="Hyperlink"/>
                <w:rFonts w:ascii="Arial" w:hAnsi="Arial" w:cs="Arial"/>
                <w:noProof/>
                <w:sz w:val="24"/>
                <w:szCs w:val="24"/>
                <w:lang w:eastAsia="en-GB"/>
              </w:rPr>
              <w:t xml:space="preserve">and </w:t>
            </w:r>
            <w:r w:rsidR="00F64253" w:rsidRPr="000C06A7">
              <w:rPr>
                <w:rStyle w:val="Hyperlink"/>
                <w:rFonts w:ascii="Arial" w:hAnsi="Arial" w:cs="Arial"/>
                <w:noProof/>
                <w:sz w:val="24"/>
                <w:szCs w:val="24"/>
                <w:lang w:eastAsia="en-GB"/>
              </w:rPr>
              <w:t>future developments</w:t>
            </w:r>
            <w:r w:rsidR="00F64253" w:rsidRPr="000C06A7">
              <w:rPr>
                <w:rFonts w:ascii="Arial" w:hAnsi="Arial" w:cs="Arial"/>
                <w:noProof/>
                <w:webHidden/>
                <w:sz w:val="24"/>
                <w:szCs w:val="24"/>
              </w:rPr>
              <w:tab/>
            </w:r>
            <w:r w:rsidR="00F64253" w:rsidRPr="000C06A7">
              <w:rPr>
                <w:rFonts w:ascii="Arial" w:hAnsi="Arial" w:cs="Arial"/>
                <w:noProof/>
                <w:webHidden/>
                <w:sz w:val="24"/>
                <w:szCs w:val="24"/>
              </w:rPr>
              <w:fldChar w:fldCharType="begin"/>
            </w:r>
            <w:r w:rsidR="00F64253" w:rsidRPr="000C06A7">
              <w:rPr>
                <w:rFonts w:ascii="Arial" w:hAnsi="Arial" w:cs="Arial"/>
                <w:noProof/>
                <w:webHidden/>
                <w:sz w:val="24"/>
                <w:szCs w:val="24"/>
              </w:rPr>
              <w:instrText xml:space="preserve"> PAGEREF _Toc179481622 \h </w:instrText>
            </w:r>
            <w:r w:rsidR="00F64253" w:rsidRPr="000C06A7">
              <w:rPr>
                <w:rFonts w:ascii="Arial" w:hAnsi="Arial" w:cs="Arial"/>
                <w:noProof/>
                <w:webHidden/>
                <w:sz w:val="24"/>
                <w:szCs w:val="24"/>
              </w:rPr>
            </w:r>
            <w:r w:rsidR="00F64253" w:rsidRPr="000C06A7">
              <w:rPr>
                <w:rFonts w:ascii="Arial" w:hAnsi="Arial" w:cs="Arial"/>
                <w:noProof/>
                <w:webHidden/>
                <w:sz w:val="24"/>
                <w:szCs w:val="24"/>
              </w:rPr>
              <w:fldChar w:fldCharType="separate"/>
            </w:r>
            <w:r w:rsidR="0076756D" w:rsidRPr="000C06A7">
              <w:rPr>
                <w:rFonts w:ascii="Arial" w:hAnsi="Arial" w:cs="Arial"/>
                <w:noProof/>
                <w:webHidden/>
                <w:sz w:val="24"/>
                <w:szCs w:val="24"/>
              </w:rPr>
              <w:t>4</w:t>
            </w:r>
            <w:r w:rsidR="00F64253" w:rsidRPr="000C06A7">
              <w:rPr>
                <w:rFonts w:ascii="Arial" w:hAnsi="Arial" w:cs="Arial"/>
                <w:noProof/>
                <w:webHidden/>
                <w:sz w:val="24"/>
                <w:szCs w:val="24"/>
              </w:rPr>
              <w:fldChar w:fldCharType="end"/>
            </w:r>
          </w:hyperlink>
        </w:p>
        <w:p w14:paraId="3DF7B4D1" w14:textId="6AD6A8E0" w:rsidR="00F64253" w:rsidRPr="000C06A7" w:rsidRDefault="00F64253" w:rsidP="069F4A6E">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79481625" w:history="1">
            <w:r w:rsidRPr="000C06A7">
              <w:rPr>
                <w:rStyle w:val="Hyperlink"/>
                <w:rFonts w:ascii="Arial" w:hAnsi="Arial" w:cs="Arial"/>
                <w:noProof/>
                <w:sz w:val="24"/>
                <w:szCs w:val="24"/>
                <w:lang w:eastAsia="en-GB"/>
              </w:rPr>
              <w:t xml:space="preserve">Spend </w:t>
            </w:r>
            <w:r w:rsidR="006F0A67" w:rsidRPr="000C06A7">
              <w:rPr>
                <w:rStyle w:val="Hyperlink"/>
                <w:rFonts w:ascii="Arial" w:hAnsi="Arial" w:cs="Arial"/>
                <w:noProof/>
                <w:sz w:val="24"/>
                <w:szCs w:val="24"/>
                <w:lang w:eastAsia="en-GB"/>
              </w:rPr>
              <w:t>analysis</w:t>
            </w:r>
            <w:r w:rsidRPr="000C06A7">
              <w:rPr>
                <w:rFonts w:ascii="Arial" w:hAnsi="Arial" w:cs="Arial"/>
                <w:noProof/>
                <w:webHidden/>
                <w:sz w:val="24"/>
                <w:szCs w:val="24"/>
              </w:rPr>
              <w:tab/>
            </w:r>
            <w:r w:rsidRPr="000C06A7">
              <w:rPr>
                <w:rFonts w:ascii="Arial" w:hAnsi="Arial" w:cs="Arial"/>
                <w:noProof/>
                <w:webHidden/>
                <w:sz w:val="24"/>
                <w:szCs w:val="24"/>
              </w:rPr>
              <w:fldChar w:fldCharType="begin"/>
            </w:r>
            <w:r w:rsidRPr="000C06A7">
              <w:rPr>
                <w:rFonts w:ascii="Arial" w:hAnsi="Arial" w:cs="Arial"/>
                <w:noProof/>
                <w:webHidden/>
                <w:sz w:val="24"/>
                <w:szCs w:val="24"/>
              </w:rPr>
              <w:instrText xml:space="preserve"> PAGEREF _Toc179481625 \h </w:instrText>
            </w:r>
            <w:r w:rsidRPr="000C06A7">
              <w:rPr>
                <w:rFonts w:ascii="Arial" w:hAnsi="Arial" w:cs="Arial"/>
                <w:noProof/>
                <w:webHidden/>
                <w:sz w:val="24"/>
                <w:szCs w:val="24"/>
              </w:rPr>
            </w:r>
            <w:r w:rsidRPr="000C06A7">
              <w:rPr>
                <w:rFonts w:ascii="Arial" w:hAnsi="Arial" w:cs="Arial"/>
                <w:noProof/>
                <w:webHidden/>
                <w:sz w:val="24"/>
                <w:szCs w:val="24"/>
              </w:rPr>
              <w:fldChar w:fldCharType="separate"/>
            </w:r>
            <w:r w:rsidR="0076756D" w:rsidRPr="000C06A7">
              <w:rPr>
                <w:rFonts w:ascii="Arial" w:hAnsi="Arial" w:cs="Arial"/>
                <w:noProof/>
                <w:webHidden/>
                <w:sz w:val="24"/>
                <w:szCs w:val="24"/>
              </w:rPr>
              <w:t>5</w:t>
            </w:r>
            <w:r w:rsidRPr="000C06A7">
              <w:rPr>
                <w:rFonts w:ascii="Arial" w:hAnsi="Arial" w:cs="Arial"/>
                <w:noProof/>
                <w:webHidden/>
                <w:sz w:val="24"/>
                <w:szCs w:val="24"/>
              </w:rPr>
              <w:fldChar w:fldCharType="end"/>
            </w:r>
          </w:hyperlink>
        </w:p>
        <w:p w14:paraId="0B528CF7" w14:textId="30D60E3B" w:rsidR="00F64253" w:rsidRPr="000C06A7" w:rsidRDefault="00F6425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79481630" w:history="1">
            <w:r w:rsidRPr="000C06A7">
              <w:rPr>
                <w:rStyle w:val="Hyperlink"/>
                <w:rFonts w:ascii="Arial" w:hAnsi="Arial" w:cs="Arial"/>
                <w:noProof/>
                <w:sz w:val="24"/>
                <w:szCs w:val="24"/>
                <w:lang w:eastAsia="en-GB"/>
              </w:rPr>
              <w:t xml:space="preserve">Training places </w:t>
            </w:r>
            <w:r w:rsidR="006F0A67" w:rsidRPr="000C06A7">
              <w:rPr>
                <w:rStyle w:val="Hyperlink"/>
                <w:rFonts w:ascii="Arial" w:hAnsi="Arial" w:cs="Arial"/>
                <w:noProof/>
                <w:sz w:val="24"/>
                <w:szCs w:val="24"/>
                <w:lang w:eastAsia="en-GB"/>
              </w:rPr>
              <w:t xml:space="preserve">and </w:t>
            </w:r>
            <w:r w:rsidRPr="000C06A7">
              <w:rPr>
                <w:rStyle w:val="Hyperlink"/>
                <w:rFonts w:ascii="Arial" w:hAnsi="Arial" w:cs="Arial"/>
                <w:noProof/>
                <w:sz w:val="24"/>
                <w:szCs w:val="24"/>
                <w:lang w:eastAsia="en-GB"/>
              </w:rPr>
              <w:t>attendance</w:t>
            </w:r>
            <w:r w:rsidRPr="000C06A7">
              <w:rPr>
                <w:rFonts w:ascii="Arial" w:hAnsi="Arial" w:cs="Arial"/>
                <w:noProof/>
                <w:webHidden/>
                <w:sz w:val="24"/>
                <w:szCs w:val="24"/>
              </w:rPr>
              <w:tab/>
            </w:r>
            <w:r w:rsidRPr="000C06A7">
              <w:rPr>
                <w:rFonts w:ascii="Arial" w:hAnsi="Arial" w:cs="Arial"/>
                <w:noProof/>
                <w:webHidden/>
                <w:sz w:val="24"/>
                <w:szCs w:val="24"/>
              </w:rPr>
              <w:fldChar w:fldCharType="begin"/>
            </w:r>
            <w:r w:rsidRPr="000C06A7">
              <w:rPr>
                <w:rFonts w:ascii="Arial" w:hAnsi="Arial" w:cs="Arial"/>
                <w:noProof/>
                <w:webHidden/>
                <w:sz w:val="24"/>
                <w:szCs w:val="24"/>
              </w:rPr>
              <w:instrText xml:space="preserve"> PAGEREF _Toc179481630 \h </w:instrText>
            </w:r>
            <w:r w:rsidRPr="000C06A7">
              <w:rPr>
                <w:rFonts w:ascii="Arial" w:hAnsi="Arial" w:cs="Arial"/>
                <w:noProof/>
                <w:webHidden/>
                <w:sz w:val="24"/>
                <w:szCs w:val="24"/>
              </w:rPr>
            </w:r>
            <w:r w:rsidRPr="000C06A7">
              <w:rPr>
                <w:rFonts w:ascii="Arial" w:hAnsi="Arial" w:cs="Arial"/>
                <w:noProof/>
                <w:webHidden/>
                <w:sz w:val="24"/>
                <w:szCs w:val="24"/>
              </w:rPr>
              <w:fldChar w:fldCharType="separate"/>
            </w:r>
            <w:r w:rsidR="0076756D" w:rsidRPr="000C06A7">
              <w:rPr>
                <w:rFonts w:ascii="Arial" w:hAnsi="Arial" w:cs="Arial"/>
                <w:noProof/>
                <w:webHidden/>
                <w:sz w:val="24"/>
                <w:szCs w:val="24"/>
              </w:rPr>
              <w:t>20</w:t>
            </w:r>
            <w:r w:rsidRPr="000C06A7">
              <w:rPr>
                <w:rFonts w:ascii="Arial" w:hAnsi="Arial" w:cs="Arial"/>
                <w:noProof/>
                <w:webHidden/>
                <w:sz w:val="24"/>
                <w:szCs w:val="24"/>
              </w:rPr>
              <w:fldChar w:fldCharType="end"/>
            </w:r>
          </w:hyperlink>
        </w:p>
        <w:p w14:paraId="78F6A0EA" w14:textId="62DB77C4" w:rsidR="00F64253" w:rsidRPr="000C06A7" w:rsidRDefault="00F6425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79481631" w:history="1">
            <w:r w:rsidRPr="000C06A7">
              <w:rPr>
                <w:rStyle w:val="Hyperlink"/>
                <w:rFonts w:ascii="Arial" w:hAnsi="Arial" w:cs="Arial"/>
                <w:noProof/>
                <w:sz w:val="24"/>
                <w:szCs w:val="24"/>
                <w:lang w:eastAsia="en-GB"/>
              </w:rPr>
              <w:t xml:space="preserve">Qualifications </w:t>
            </w:r>
            <w:r w:rsidR="006F0A67" w:rsidRPr="000C06A7">
              <w:rPr>
                <w:rStyle w:val="Hyperlink"/>
                <w:rFonts w:ascii="Arial" w:hAnsi="Arial" w:cs="Arial"/>
                <w:noProof/>
                <w:sz w:val="24"/>
                <w:szCs w:val="24"/>
                <w:lang w:eastAsia="en-GB"/>
              </w:rPr>
              <w:t>activity</w:t>
            </w:r>
            <w:r w:rsidRPr="000C06A7">
              <w:rPr>
                <w:rFonts w:ascii="Arial" w:hAnsi="Arial" w:cs="Arial"/>
                <w:noProof/>
                <w:webHidden/>
                <w:sz w:val="24"/>
                <w:szCs w:val="24"/>
              </w:rPr>
              <w:tab/>
            </w:r>
            <w:r w:rsidRPr="000C06A7">
              <w:rPr>
                <w:rFonts w:ascii="Arial" w:hAnsi="Arial" w:cs="Arial"/>
                <w:noProof/>
                <w:webHidden/>
                <w:sz w:val="24"/>
                <w:szCs w:val="24"/>
              </w:rPr>
              <w:fldChar w:fldCharType="begin"/>
            </w:r>
            <w:r w:rsidRPr="000C06A7">
              <w:rPr>
                <w:rFonts w:ascii="Arial" w:hAnsi="Arial" w:cs="Arial"/>
                <w:noProof/>
                <w:webHidden/>
                <w:sz w:val="24"/>
                <w:szCs w:val="24"/>
              </w:rPr>
              <w:instrText xml:space="preserve"> PAGEREF _Toc179481631 \h </w:instrText>
            </w:r>
            <w:r w:rsidRPr="000C06A7">
              <w:rPr>
                <w:rFonts w:ascii="Arial" w:hAnsi="Arial" w:cs="Arial"/>
                <w:noProof/>
                <w:webHidden/>
                <w:sz w:val="24"/>
                <w:szCs w:val="24"/>
              </w:rPr>
            </w:r>
            <w:r w:rsidRPr="000C06A7">
              <w:rPr>
                <w:rFonts w:ascii="Arial" w:hAnsi="Arial" w:cs="Arial"/>
                <w:noProof/>
                <w:webHidden/>
                <w:sz w:val="24"/>
                <w:szCs w:val="24"/>
              </w:rPr>
              <w:fldChar w:fldCharType="separate"/>
            </w:r>
            <w:r w:rsidR="0076756D" w:rsidRPr="000C06A7">
              <w:rPr>
                <w:rFonts w:ascii="Arial" w:hAnsi="Arial" w:cs="Arial"/>
                <w:noProof/>
                <w:webHidden/>
                <w:sz w:val="24"/>
                <w:szCs w:val="24"/>
              </w:rPr>
              <w:t>24</w:t>
            </w:r>
            <w:r w:rsidRPr="000C06A7">
              <w:rPr>
                <w:rFonts w:ascii="Arial" w:hAnsi="Arial" w:cs="Arial"/>
                <w:noProof/>
                <w:webHidden/>
                <w:sz w:val="24"/>
                <w:szCs w:val="24"/>
              </w:rPr>
              <w:fldChar w:fldCharType="end"/>
            </w:r>
          </w:hyperlink>
        </w:p>
        <w:p w14:paraId="28883243" w14:textId="01ED6331" w:rsidR="00F64253" w:rsidRPr="000C06A7" w:rsidRDefault="00F6425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79481632" w:history="1">
            <w:r w:rsidRPr="000C06A7">
              <w:rPr>
                <w:rStyle w:val="Hyperlink"/>
                <w:rFonts w:ascii="Arial" w:hAnsi="Arial" w:cs="Arial"/>
                <w:noProof/>
                <w:sz w:val="24"/>
                <w:szCs w:val="24"/>
                <w:lang w:eastAsia="en-GB"/>
              </w:rPr>
              <w:t>Vocational awards and AWIF</w:t>
            </w:r>
            <w:r w:rsidRPr="000C06A7">
              <w:rPr>
                <w:rFonts w:ascii="Arial" w:hAnsi="Arial" w:cs="Arial"/>
                <w:noProof/>
                <w:webHidden/>
                <w:sz w:val="24"/>
                <w:szCs w:val="24"/>
              </w:rPr>
              <w:tab/>
            </w:r>
            <w:r w:rsidRPr="000C06A7">
              <w:rPr>
                <w:rFonts w:ascii="Arial" w:hAnsi="Arial" w:cs="Arial"/>
                <w:noProof/>
                <w:webHidden/>
                <w:sz w:val="24"/>
                <w:szCs w:val="24"/>
              </w:rPr>
              <w:fldChar w:fldCharType="begin"/>
            </w:r>
            <w:r w:rsidRPr="000C06A7">
              <w:rPr>
                <w:rFonts w:ascii="Arial" w:hAnsi="Arial" w:cs="Arial"/>
                <w:noProof/>
                <w:webHidden/>
                <w:sz w:val="24"/>
                <w:szCs w:val="24"/>
              </w:rPr>
              <w:instrText xml:space="preserve"> PAGEREF _Toc179481632 \h </w:instrText>
            </w:r>
            <w:r w:rsidRPr="000C06A7">
              <w:rPr>
                <w:rFonts w:ascii="Arial" w:hAnsi="Arial" w:cs="Arial"/>
                <w:noProof/>
                <w:webHidden/>
                <w:sz w:val="24"/>
                <w:szCs w:val="24"/>
              </w:rPr>
            </w:r>
            <w:r w:rsidRPr="000C06A7">
              <w:rPr>
                <w:rFonts w:ascii="Arial" w:hAnsi="Arial" w:cs="Arial"/>
                <w:noProof/>
                <w:webHidden/>
                <w:sz w:val="24"/>
                <w:szCs w:val="24"/>
              </w:rPr>
              <w:fldChar w:fldCharType="separate"/>
            </w:r>
            <w:r w:rsidR="0076756D" w:rsidRPr="000C06A7">
              <w:rPr>
                <w:rFonts w:ascii="Arial" w:hAnsi="Arial" w:cs="Arial"/>
                <w:noProof/>
                <w:webHidden/>
                <w:sz w:val="24"/>
                <w:szCs w:val="24"/>
              </w:rPr>
              <w:t>26</w:t>
            </w:r>
            <w:r w:rsidRPr="000C06A7">
              <w:rPr>
                <w:rFonts w:ascii="Arial" w:hAnsi="Arial" w:cs="Arial"/>
                <w:noProof/>
                <w:webHidden/>
                <w:sz w:val="24"/>
                <w:szCs w:val="24"/>
              </w:rPr>
              <w:fldChar w:fldCharType="end"/>
            </w:r>
          </w:hyperlink>
        </w:p>
        <w:p w14:paraId="0BFCF48F" w14:textId="34A56440" w:rsidR="00F64253" w:rsidRPr="000C06A7" w:rsidRDefault="00F6425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79481633" w:history="1">
            <w:r w:rsidRPr="000C06A7">
              <w:rPr>
                <w:rStyle w:val="Hyperlink"/>
                <w:rFonts w:ascii="Arial" w:hAnsi="Arial" w:cs="Arial"/>
                <w:noProof/>
                <w:sz w:val="24"/>
                <w:szCs w:val="24"/>
                <w:lang w:eastAsia="en-GB"/>
              </w:rPr>
              <w:t>Social work</w:t>
            </w:r>
            <w:r w:rsidRPr="000C06A7">
              <w:rPr>
                <w:rFonts w:ascii="Arial" w:hAnsi="Arial" w:cs="Arial"/>
                <w:noProof/>
                <w:webHidden/>
                <w:sz w:val="24"/>
                <w:szCs w:val="24"/>
              </w:rPr>
              <w:tab/>
            </w:r>
            <w:r w:rsidRPr="000C06A7">
              <w:rPr>
                <w:rFonts w:ascii="Arial" w:hAnsi="Arial" w:cs="Arial"/>
                <w:noProof/>
                <w:webHidden/>
                <w:sz w:val="24"/>
                <w:szCs w:val="24"/>
              </w:rPr>
              <w:fldChar w:fldCharType="begin"/>
            </w:r>
            <w:r w:rsidRPr="000C06A7">
              <w:rPr>
                <w:rFonts w:ascii="Arial" w:hAnsi="Arial" w:cs="Arial"/>
                <w:noProof/>
                <w:webHidden/>
                <w:sz w:val="24"/>
                <w:szCs w:val="24"/>
              </w:rPr>
              <w:instrText xml:space="preserve"> PAGEREF _Toc179481633 \h </w:instrText>
            </w:r>
            <w:r w:rsidRPr="000C06A7">
              <w:rPr>
                <w:rFonts w:ascii="Arial" w:hAnsi="Arial" w:cs="Arial"/>
                <w:noProof/>
                <w:webHidden/>
                <w:sz w:val="24"/>
                <w:szCs w:val="24"/>
              </w:rPr>
            </w:r>
            <w:r w:rsidRPr="000C06A7">
              <w:rPr>
                <w:rFonts w:ascii="Arial" w:hAnsi="Arial" w:cs="Arial"/>
                <w:noProof/>
                <w:webHidden/>
                <w:sz w:val="24"/>
                <w:szCs w:val="24"/>
              </w:rPr>
              <w:fldChar w:fldCharType="separate"/>
            </w:r>
            <w:r w:rsidR="0076756D" w:rsidRPr="000C06A7">
              <w:rPr>
                <w:rFonts w:ascii="Arial" w:hAnsi="Arial" w:cs="Arial"/>
                <w:noProof/>
                <w:webHidden/>
                <w:sz w:val="24"/>
                <w:szCs w:val="24"/>
              </w:rPr>
              <w:t>27</w:t>
            </w:r>
            <w:r w:rsidRPr="000C06A7">
              <w:rPr>
                <w:rFonts w:ascii="Arial" w:hAnsi="Arial" w:cs="Arial"/>
                <w:noProof/>
                <w:webHidden/>
                <w:sz w:val="24"/>
                <w:szCs w:val="24"/>
              </w:rPr>
              <w:fldChar w:fldCharType="end"/>
            </w:r>
          </w:hyperlink>
        </w:p>
        <w:p w14:paraId="023EB89E" w14:textId="0DFB12B6" w:rsidR="00F64253" w:rsidRPr="000C06A7" w:rsidRDefault="00F6425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79481634" w:history="1">
            <w:r w:rsidRPr="000C06A7">
              <w:rPr>
                <w:rStyle w:val="Hyperlink"/>
                <w:rFonts w:ascii="Arial" w:hAnsi="Arial" w:cs="Arial"/>
                <w:noProof/>
                <w:sz w:val="24"/>
                <w:szCs w:val="24"/>
                <w:lang w:eastAsia="en-GB"/>
              </w:rPr>
              <w:t>National priorities key themes and analysis</w:t>
            </w:r>
            <w:r w:rsidRPr="000C06A7">
              <w:rPr>
                <w:rFonts w:ascii="Arial" w:hAnsi="Arial" w:cs="Arial"/>
                <w:noProof/>
                <w:webHidden/>
                <w:sz w:val="24"/>
                <w:szCs w:val="24"/>
              </w:rPr>
              <w:tab/>
            </w:r>
            <w:r w:rsidRPr="000C06A7">
              <w:rPr>
                <w:rFonts w:ascii="Arial" w:hAnsi="Arial" w:cs="Arial"/>
                <w:noProof/>
                <w:webHidden/>
                <w:sz w:val="24"/>
                <w:szCs w:val="24"/>
              </w:rPr>
              <w:fldChar w:fldCharType="begin"/>
            </w:r>
            <w:r w:rsidRPr="000C06A7">
              <w:rPr>
                <w:rFonts w:ascii="Arial" w:hAnsi="Arial" w:cs="Arial"/>
                <w:noProof/>
                <w:webHidden/>
                <w:sz w:val="24"/>
                <w:szCs w:val="24"/>
              </w:rPr>
              <w:instrText xml:space="preserve"> PAGEREF _Toc179481634 \h </w:instrText>
            </w:r>
            <w:r w:rsidRPr="000C06A7">
              <w:rPr>
                <w:rFonts w:ascii="Arial" w:hAnsi="Arial" w:cs="Arial"/>
                <w:noProof/>
                <w:webHidden/>
                <w:sz w:val="24"/>
                <w:szCs w:val="24"/>
              </w:rPr>
            </w:r>
            <w:r w:rsidRPr="000C06A7">
              <w:rPr>
                <w:rFonts w:ascii="Arial" w:hAnsi="Arial" w:cs="Arial"/>
                <w:noProof/>
                <w:webHidden/>
                <w:sz w:val="24"/>
                <w:szCs w:val="24"/>
              </w:rPr>
              <w:fldChar w:fldCharType="separate"/>
            </w:r>
            <w:r w:rsidR="0076756D" w:rsidRPr="000C06A7">
              <w:rPr>
                <w:rFonts w:ascii="Arial" w:hAnsi="Arial" w:cs="Arial"/>
                <w:noProof/>
                <w:webHidden/>
                <w:sz w:val="24"/>
                <w:szCs w:val="24"/>
              </w:rPr>
              <w:t>32</w:t>
            </w:r>
            <w:r w:rsidRPr="000C06A7">
              <w:rPr>
                <w:rFonts w:ascii="Arial" w:hAnsi="Arial" w:cs="Arial"/>
                <w:noProof/>
                <w:webHidden/>
                <w:sz w:val="24"/>
                <w:szCs w:val="24"/>
              </w:rPr>
              <w:fldChar w:fldCharType="end"/>
            </w:r>
          </w:hyperlink>
        </w:p>
        <w:p w14:paraId="3B3D2E63" w14:textId="65361CCE" w:rsidR="00F64253" w:rsidRPr="000C06A7" w:rsidRDefault="00F64253">
          <w:pPr>
            <w:pStyle w:val="TOC2"/>
            <w:tabs>
              <w:tab w:val="left" w:pos="1680"/>
              <w:tab w:val="right" w:leader="dot" w:pos="9016"/>
            </w:tabs>
            <w:rPr>
              <w:rFonts w:ascii="Arial" w:eastAsiaTheme="minorEastAsia" w:hAnsi="Arial" w:cs="Arial"/>
              <w:noProof/>
              <w:kern w:val="2"/>
              <w:sz w:val="24"/>
              <w:szCs w:val="24"/>
              <w:lang w:eastAsia="en-GB"/>
              <w14:ligatures w14:val="standardContextual"/>
            </w:rPr>
          </w:pPr>
          <w:hyperlink w:anchor="_Toc179481635" w:history="1">
            <w:r w:rsidRPr="000C06A7">
              <w:rPr>
                <w:rStyle w:val="Hyperlink"/>
                <w:rFonts w:ascii="Arial" w:hAnsi="Arial" w:cs="Arial"/>
                <w:noProof/>
                <w:sz w:val="24"/>
                <w:szCs w:val="24"/>
              </w:rPr>
              <w:t>Priority 1:</w:t>
            </w:r>
            <w:r w:rsidRPr="000C06A7">
              <w:rPr>
                <w:rFonts w:ascii="Arial" w:eastAsiaTheme="minorEastAsia" w:hAnsi="Arial" w:cs="Arial"/>
                <w:noProof/>
                <w:kern w:val="2"/>
                <w:sz w:val="24"/>
                <w:szCs w:val="24"/>
                <w:lang w:eastAsia="en-GB"/>
                <w14:ligatures w14:val="standardContextual"/>
              </w:rPr>
              <w:tab/>
            </w:r>
            <w:r w:rsidRPr="000C06A7">
              <w:rPr>
                <w:rStyle w:val="Hyperlink"/>
                <w:rFonts w:ascii="Arial" w:hAnsi="Arial" w:cs="Arial"/>
                <w:noProof/>
                <w:sz w:val="24"/>
                <w:szCs w:val="24"/>
              </w:rPr>
              <w:t>Building a digitally ready workforce</w:t>
            </w:r>
            <w:r w:rsidRPr="000C06A7">
              <w:rPr>
                <w:rFonts w:ascii="Arial" w:hAnsi="Arial" w:cs="Arial"/>
                <w:noProof/>
                <w:webHidden/>
                <w:sz w:val="24"/>
                <w:szCs w:val="24"/>
              </w:rPr>
              <w:tab/>
            </w:r>
            <w:r w:rsidRPr="000C06A7">
              <w:rPr>
                <w:rFonts w:ascii="Arial" w:hAnsi="Arial" w:cs="Arial"/>
                <w:noProof/>
                <w:webHidden/>
                <w:sz w:val="24"/>
                <w:szCs w:val="24"/>
              </w:rPr>
              <w:fldChar w:fldCharType="begin"/>
            </w:r>
            <w:r w:rsidRPr="000C06A7">
              <w:rPr>
                <w:rFonts w:ascii="Arial" w:hAnsi="Arial" w:cs="Arial"/>
                <w:noProof/>
                <w:webHidden/>
                <w:sz w:val="24"/>
                <w:szCs w:val="24"/>
              </w:rPr>
              <w:instrText xml:space="preserve"> PAGEREF _Toc179481635 \h </w:instrText>
            </w:r>
            <w:r w:rsidRPr="000C06A7">
              <w:rPr>
                <w:rFonts w:ascii="Arial" w:hAnsi="Arial" w:cs="Arial"/>
                <w:noProof/>
                <w:webHidden/>
                <w:sz w:val="24"/>
                <w:szCs w:val="24"/>
              </w:rPr>
            </w:r>
            <w:r w:rsidRPr="000C06A7">
              <w:rPr>
                <w:rFonts w:ascii="Arial" w:hAnsi="Arial" w:cs="Arial"/>
                <w:noProof/>
                <w:webHidden/>
                <w:sz w:val="24"/>
                <w:szCs w:val="24"/>
              </w:rPr>
              <w:fldChar w:fldCharType="separate"/>
            </w:r>
            <w:r w:rsidR="0076756D" w:rsidRPr="000C06A7">
              <w:rPr>
                <w:rFonts w:ascii="Arial" w:hAnsi="Arial" w:cs="Arial"/>
                <w:noProof/>
                <w:webHidden/>
                <w:sz w:val="24"/>
                <w:szCs w:val="24"/>
              </w:rPr>
              <w:t>32</w:t>
            </w:r>
            <w:r w:rsidRPr="000C06A7">
              <w:rPr>
                <w:rFonts w:ascii="Arial" w:hAnsi="Arial" w:cs="Arial"/>
                <w:noProof/>
                <w:webHidden/>
                <w:sz w:val="24"/>
                <w:szCs w:val="24"/>
              </w:rPr>
              <w:fldChar w:fldCharType="end"/>
            </w:r>
          </w:hyperlink>
        </w:p>
        <w:p w14:paraId="35294D28" w14:textId="04DEE61C" w:rsidR="00F64253" w:rsidRPr="000C06A7" w:rsidRDefault="00F64253">
          <w:pPr>
            <w:pStyle w:val="TOC2"/>
            <w:tabs>
              <w:tab w:val="left" w:pos="1680"/>
              <w:tab w:val="right" w:leader="dot" w:pos="9016"/>
            </w:tabs>
            <w:rPr>
              <w:rFonts w:ascii="Arial" w:eastAsiaTheme="minorEastAsia" w:hAnsi="Arial" w:cs="Arial"/>
              <w:noProof/>
              <w:kern w:val="2"/>
              <w:sz w:val="24"/>
              <w:szCs w:val="24"/>
              <w:lang w:eastAsia="en-GB"/>
              <w14:ligatures w14:val="standardContextual"/>
            </w:rPr>
          </w:pPr>
          <w:hyperlink w:anchor="_Toc179481636" w:history="1">
            <w:r w:rsidRPr="000C06A7">
              <w:rPr>
                <w:rStyle w:val="Hyperlink"/>
                <w:rFonts w:ascii="Arial" w:hAnsi="Arial" w:cs="Arial"/>
                <w:noProof/>
                <w:sz w:val="24"/>
                <w:szCs w:val="24"/>
              </w:rPr>
              <w:t>Priority 2:</w:t>
            </w:r>
            <w:r w:rsidRPr="000C06A7">
              <w:rPr>
                <w:rFonts w:ascii="Arial" w:eastAsiaTheme="minorEastAsia" w:hAnsi="Arial" w:cs="Arial"/>
                <w:noProof/>
                <w:kern w:val="2"/>
                <w:sz w:val="24"/>
                <w:szCs w:val="24"/>
                <w:lang w:eastAsia="en-GB"/>
                <w14:ligatures w14:val="standardContextual"/>
              </w:rPr>
              <w:tab/>
            </w:r>
            <w:r w:rsidRPr="000C06A7">
              <w:rPr>
                <w:rStyle w:val="Hyperlink"/>
                <w:rFonts w:ascii="Arial" w:hAnsi="Arial" w:cs="Arial"/>
                <w:noProof/>
                <w:sz w:val="24"/>
                <w:szCs w:val="24"/>
              </w:rPr>
              <w:t>Excellent education and learning</w:t>
            </w:r>
            <w:r w:rsidRPr="000C06A7">
              <w:rPr>
                <w:rFonts w:ascii="Arial" w:hAnsi="Arial" w:cs="Arial"/>
                <w:noProof/>
                <w:webHidden/>
                <w:sz w:val="24"/>
                <w:szCs w:val="24"/>
              </w:rPr>
              <w:tab/>
            </w:r>
            <w:r w:rsidRPr="000C06A7">
              <w:rPr>
                <w:rFonts w:ascii="Arial" w:hAnsi="Arial" w:cs="Arial"/>
                <w:noProof/>
                <w:webHidden/>
                <w:sz w:val="24"/>
                <w:szCs w:val="24"/>
              </w:rPr>
              <w:fldChar w:fldCharType="begin"/>
            </w:r>
            <w:r w:rsidRPr="000C06A7">
              <w:rPr>
                <w:rFonts w:ascii="Arial" w:hAnsi="Arial" w:cs="Arial"/>
                <w:noProof/>
                <w:webHidden/>
                <w:sz w:val="24"/>
                <w:szCs w:val="24"/>
              </w:rPr>
              <w:instrText xml:space="preserve"> PAGEREF _Toc179481636 \h </w:instrText>
            </w:r>
            <w:r w:rsidRPr="000C06A7">
              <w:rPr>
                <w:rFonts w:ascii="Arial" w:hAnsi="Arial" w:cs="Arial"/>
                <w:noProof/>
                <w:webHidden/>
                <w:sz w:val="24"/>
                <w:szCs w:val="24"/>
              </w:rPr>
            </w:r>
            <w:r w:rsidRPr="000C06A7">
              <w:rPr>
                <w:rFonts w:ascii="Arial" w:hAnsi="Arial" w:cs="Arial"/>
                <w:noProof/>
                <w:webHidden/>
                <w:sz w:val="24"/>
                <w:szCs w:val="24"/>
              </w:rPr>
              <w:fldChar w:fldCharType="separate"/>
            </w:r>
            <w:r w:rsidR="0076756D" w:rsidRPr="000C06A7">
              <w:rPr>
                <w:rFonts w:ascii="Arial" w:hAnsi="Arial" w:cs="Arial"/>
                <w:noProof/>
                <w:webHidden/>
                <w:sz w:val="24"/>
                <w:szCs w:val="24"/>
              </w:rPr>
              <w:t>35</w:t>
            </w:r>
            <w:r w:rsidRPr="000C06A7">
              <w:rPr>
                <w:rFonts w:ascii="Arial" w:hAnsi="Arial" w:cs="Arial"/>
                <w:noProof/>
                <w:webHidden/>
                <w:sz w:val="24"/>
                <w:szCs w:val="24"/>
              </w:rPr>
              <w:fldChar w:fldCharType="end"/>
            </w:r>
          </w:hyperlink>
        </w:p>
        <w:p w14:paraId="0C81C310" w14:textId="7C87CC38" w:rsidR="00F64253" w:rsidRPr="000C06A7" w:rsidRDefault="00F64253">
          <w:pPr>
            <w:pStyle w:val="TOC2"/>
            <w:tabs>
              <w:tab w:val="left" w:pos="1680"/>
              <w:tab w:val="right" w:leader="dot" w:pos="9016"/>
            </w:tabs>
            <w:rPr>
              <w:rFonts w:ascii="Arial" w:eastAsiaTheme="minorEastAsia" w:hAnsi="Arial" w:cs="Arial"/>
              <w:noProof/>
              <w:kern w:val="2"/>
              <w:sz w:val="24"/>
              <w:szCs w:val="24"/>
              <w:lang w:eastAsia="en-GB"/>
              <w14:ligatures w14:val="standardContextual"/>
            </w:rPr>
          </w:pPr>
          <w:hyperlink w:anchor="_Toc179481637" w:history="1">
            <w:r w:rsidRPr="000C06A7">
              <w:rPr>
                <w:rStyle w:val="Hyperlink"/>
                <w:rFonts w:ascii="Arial" w:hAnsi="Arial" w:cs="Arial"/>
                <w:noProof/>
                <w:sz w:val="24"/>
                <w:szCs w:val="24"/>
              </w:rPr>
              <w:t>Priority 3:</w:t>
            </w:r>
            <w:r w:rsidRPr="000C06A7">
              <w:rPr>
                <w:rFonts w:ascii="Arial" w:eastAsiaTheme="minorEastAsia" w:hAnsi="Arial" w:cs="Arial"/>
                <w:noProof/>
                <w:kern w:val="2"/>
                <w:sz w:val="24"/>
                <w:szCs w:val="24"/>
                <w:lang w:eastAsia="en-GB"/>
                <w14:ligatures w14:val="standardContextual"/>
              </w:rPr>
              <w:tab/>
            </w:r>
            <w:r w:rsidRPr="000C06A7">
              <w:rPr>
                <w:rStyle w:val="Hyperlink"/>
                <w:rFonts w:ascii="Arial" w:hAnsi="Arial" w:cs="Arial"/>
                <w:noProof/>
                <w:sz w:val="24"/>
                <w:szCs w:val="24"/>
              </w:rPr>
              <w:t>Qualifying and post qualifying programmes for social work</w:t>
            </w:r>
            <w:r w:rsidRPr="000C06A7">
              <w:rPr>
                <w:rFonts w:ascii="Arial" w:hAnsi="Arial" w:cs="Arial"/>
                <w:noProof/>
                <w:webHidden/>
                <w:sz w:val="24"/>
                <w:szCs w:val="24"/>
              </w:rPr>
              <w:tab/>
            </w:r>
            <w:r w:rsidRPr="000C06A7">
              <w:rPr>
                <w:rFonts w:ascii="Arial" w:hAnsi="Arial" w:cs="Arial"/>
                <w:noProof/>
                <w:webHidden/>
                <w:sz w:val="24"/>
                <w:szCs w:val="24"/>
              </w:rPr>
              <w:fldChar w:fldCharType="begin"/>
            </w:r>
            <w:r w:rsidRPr="000C06A7">
              <w:rPr>
                <w:rFonts w:ascii="Arial" w:hAnsi="Arial" w:cs="Arial"/>
                <w:noProof/>
                <w:webHidden/>
                <w:sz w:val="24"/>
                <w:szCs w:val="24"/>
              </w:rPr>
              <w:instrText xml:space="preserve"> PAGEREF _Toc179481637 \h </w:instrText>
            </w:r>
            <w:r w:rsidRPr="000C06A7">
              <w:rPr>
                <w:rFonts w:ascii="Arial" w:hAnsi="Arial" w:cs="Arial"/>
                <w:noProof/>
                <w:webHidden/>
                <w:sz w:val="24"/>
                <w:szCs w:val="24"/>
              </w:rPr>
            </w:r>
            <w:r w:rsidRPr="000C06A7">
              <w:rPr>
                <w:rFonts w:ascii="Arial" w:hAnsi="Arial" w:cs="Arial"/>
                <w:noProof/>
                <w:webHidden/>
                <w:sz w:val="24"/>
                <w:szCs w:val="24"/>
              </w:rPr>
              <w:fldChar w:fldCharType="separate"/>
            </w:r>
            <w:r w:rsidR="0076756D" w:rsidRPr="000C06A7">
              <w:rPr>
                <w:rFonts w:ascii="Arial" w:hAnsi="Arial" w:cs="Arial"/>
                <w:noProof/>
                <w:webHidden/>
                <w:sz w:val="24"/>
                <w:szCs w:val="24"/>
              </w:rPr>
              <w:t>40</w:t>
            </w:r>
            <w:r w:rsidRPr="000C06A7">
              <w:rPr>
                <w:rFonts w:ascii="Arial" w:hAnsi="Arial" w:cs="Arial"/>
                <w:noProof/>
                <w:webHidden/>
                <w:sz w:val="24"/>
                <w:szCs w:val="24"/>
              </w:rPr>
              <w:fldChar w:fldCharType="end"/>
            </w:r>
          </w:hyperlink>
        </w:p>
        <w:p w14:paraId="6924F3E2" w14:textId="1B098CF0" w:rsidR="00F64253" w:rsidRPr="000C06A7" w:rsidRDefault="00F64253">
          <w:pPr>
            <w:pStyle w:val="TOC2"/>
            <w:tabs>
              <w:tab w:val="left" w:pos="1680"/>
              <w:tab w:val="right" w:leader="dot" w:pos="9016"/>
            </w:tabs>
            <w:rPr>
              <w:rFonts w:ascii="Arial" w:eastAsiaTheme="minorEastAsia" w:hAnsi="Arial" w:cs="Arial"/>
              <w:noProof/>
              <w:kern w:val="2"/>
              <w:sz w:val="24"/>
              <w:szCs w:val="24"/>
              <w:lang w:eastAsia="en-GB"/>
              <w14:ligatures w14:val="standardContextual"/>
            </w:rPr>
          </w:pPr>
          <w:hyperlink w:anchor="_Toc179481638" w:history="1">
            <w:r w:rsidRPr="000C06A7">
              <w:rPr>
                <w:rStyle w:val="Hyperlink"/>
                <w:rFonts w:ascii="Arial" w:hAnsi="Arial" w:cs="Arial"/>
                <w:noProof/>
                <w:sz w:val="24"/>
                <w:szCs w:val="24"/>
              </w:rPr>
              <w:t>Priority 4:</w:t>
            </w:r>
            <w:r w:rsidRPr="000C06A7">
              <w:rPr>
                <w:rFonts w:ascii="Arial" w:eastAsiaTheme="minorEastAsia" w:hAnsi="Arial" w:cs="Arial"/>
                <w:noProof/>
                <w:kern w:val="2"/>
                <w:sz w:val="24"/>
                <w:szCs w:val="24"/>
                <w:lang w:eastAsia="en-GB"/>
                <w14:ligatures w14:val="standardContextual"/>
              </w:rPr>
              <w:tab/>
            </w:r>
            <w:r w:rsidRPr="000C06A7">
              <w:rPr>
                <w:rStyle w:val="Hyperlink"/>
                <w:rFonts w:ascii="Arial" w:hAnsi="Arial" w:cs="Arial"/>
                <w:noProof/>
                <w:sz w:val="24"/>
                <w:szCs w:val="24"/>
              </w:rPr>
              <w:t>Leadership and succession</w:t>
            </w:r>
            <w:r w:rsidRPr="000C06A7">
              <w:rPr>
                <w:rFonts w:ascii="Arial" w:hAnsi="Arial" w:cs="Arial"/>
                <w:noProof/>
                <w:webHidden/>
                <w:sz w:val="24"/>
                <w:szCs w:val="24"/>
              </w:rPr>
              <w:tab/>
            </w:r>
            <w:r w:rsidRPr="000C06A7">
              <w:rPr>
                <w:rFonts w:ascii="Arial" w:hAnsi="Arial" w:cs="Arial"/>
                <w:noProof/>
                <w:webHidden/>
                <w:sz w:val="24"/>
                <w:szCs w:val="24"/>
              </w:rPr>
              <w:fldChar w:fldCharType="begin"/>
            </w:r>
            <w:r w:rsidRPr="000C06A7">
              <w:rPr>
                <w:rFonts w:ascii="Arial" w:hAnsi="Arial" w:cs="Arial"/>
                <w:noProof/>
                <w:webHidden/>
                <w:sz w:val="24"/>
                <w:szCs w:val="24"/>
              </w:rPr>
              <w:instrText xml:space="preserve"> PAGEREF _Toc179481638 \h </w:instrText>
            </w:r>
            <w:r w:rsidRPr="000C06A7">
              <w:rPr>
                <w:rFonts w:ascii="Arial" w:hAnsi="Arial" w:cs="Arial"/>
                <w:noProof/>
                <w:webHidden/>
                <w:sz w:val="24"/>
                <w:szCs w:val="24"/>
              </w:rPr>
            </w:r>
            <w:r w:rsidRPr="000C06A7">
              <w:rPr>
                <w:rFonts w:ascii="Arial" w:hAnsi="Arial" w:cs="Arial"/>
                <w:noProof/>
                <w:webHidden/>
                <w:sz w:val="24"/>
                <w:szCs w:val="24"/>
              </w:rPr>
              <w:fldChar w:fldCharType="separate"/>
            </w:r>
            <w:r w:rsidR="0076756D" w:rsidRPr="000C06A7">
              <w:rPr>
                <w:rFonts w:ascii="Arial" w:hAnsi="Arial" w:cs="Arial"/>
                <w:noProof/>
                <w:webHidden/>
                <w:sz w:val="24"/>
                <w:szCs w:val="24"/>
              </w:rPr>
              <w:t>44</w:t>
            </w:r>
            <w:r w:rsidRPr="000C06A7">
              <w:rPr>
                <w:rFonts w:ascii="Arial" w:hAnsi="Arial" w:cs="Arial"/>
                <w:noProof/>
                <w:webHidden/>
                <w:sz w:val="24"/>
                <w:szCs w:val="24"/>
              </w:rPr>
              <w:fldChar w:fldCharType="end"/>
            </w:r>
          </w:hyperlink>
        </w:p>
        <w:p w14:paraId="49AD1259" w14:textId="6E470484" w:rsidR="00F64253" w:rsidRPr="000C06A7" w:rsidRDefault="00F64253">
          <w:pPr>
            <w:pStyle w:val="TOC2"/>
            <w:tabs>
              <w:tab w:val="left" w:pos="1680"/>
              <w:tab w:val="right" w:leader="dot" w:pos="9016"/>
            </w:tabs>
            <w:rPr>
              <w:rFonts w:ascii="Arial" w:eastAsiaTheme="minorEastAsia" w:hAnsi="Arial" w:cs="Arial"/>
              <w:noProof/>
              <w:kern w:val="2"/>
              <w:sz w:val="24"/>
              <w:szCs w:val="24"/>
              <w:lang w:eastAsia="en-GB"/>
              <w14:ligatures w14:val="standardContextual"/>
            </w:rPr>
          </w:pPr>
          <w:hyperlink w:anchor="_Toc179481639" w:history="1">
            <w:r w:rsidRPr="000C06A7">
              <w:rPr>
                <w:rStyle w:val="Hyperlink"/>
                <w:rFonts w:ascii="Arial" w:hAnsi="Arial" w:cs="Arial"/>
                <w:noProof/>
                <w:sz w:val="24"/>
                <w:szCs w:val="24"/>
              </w:rPr>
              <w:t>Priority 5:</w:t>
            </w:r>
            <w:r w:rsidRPr="000C06A7">
              <w:rPr>
                <w:rFonts w:ascii="Arial" w:eastAsiaTheme="minorEastAsia" w:hAnsi="Arial" w:cs="Arial"/>
                <w:noProof/>
                <w:kern w:val="2"/>
                <w:sz w:val="24"/>
                <w:szCs w:val="24"/>
                <w:lang w:eastAsia="en-GB"/>
                <w14:ligatures w14:val="standardContextual"/>
              </w:rPr>
              <w:tab/>
            </w:r>
            <w:r w:rsidRPr="000C06A7">
              <w:rPr>
                <w:rStyle w:val="Hyperlink"/>
                <w:rFonts w:ascii="Arial" w:hAnsi="Arial" w:cs="Arial"/>
                <w:noProof/>
                <w:sz w:val="24"/>
                <w:szCs w:val="24"/>
              </w:rPr>
              <w:t>Workforce shape and supply</w:t>
            </w:r>
            <w:r w:rsidRPr="000C06A7">
              <w:rPr>
                <w:rFonts w:ascii="Arial" w:hAnsi="Arial" w:cs="Arial"/>
                <w:noProof/>
                <w:webHidden/>
                <w:sz w:val="24"/>
                <w:szCs w:val="24"/>
              </w:rPr>
              <w:tab/>
            </w:r>
            <w:r w:rsidRPr="000C06A7">
              <w:rPr>
                <w:rFonts w:ascii="Arial" w:hAnsi="Arial" w:cs="Arial"/>
                <w:noProof/>
                <w:webHidden/>
                <w:sz w:val="24"/>
                <w:szCs w:val="24"/>
              </w:rPr>
              <w:fldChar w:fldCharType="begin"/>
            </w:r>
            <w:r w:rsidRPr="000C06A7">
              <w:rPr>
                <w:rFonts w:ascii="Arial" w:hAnsi="Arial" w:cs="Arial"/>
                <w:noProof/>
                <w:webHidden/>
                <w:sz w:val="24"/>
                <w:szCs w:val="24"/>
              </w:rPr>
              <w:instrText xml:space="preserve"> PAGEREF _Toc179481639 \h </w:instrText>
            </w:r>
            <w:r w:rsidRPr="000C06A7">
              <w:rPr>
                <w:rFonts w:ascii="Arial" w:hAnsi="Arial" w:cs="Arial"/>
                <w:noProof/>
                <w:webHidden/>
                <w:sz w:val="24"/>
                <w:szCs w:val="24"/>
              </w:rPr>
            </w:r>
            <w:r w:rsidRPr="000C06A7">
              <w:rPr>
                <w:rFonts w:ascii="Arial" w:hAnsi="Arial" w:cs="Arial"/>
                <w:noProof/>
                <w:webHidden/>
                <w:sz w:val="24"/>
                <w:szCs w:val="24"/>
              </w:rPr>
              <w:fldChar w:fldCharType="separate"/>
            </w:r>
            <w:r w:rsidR="0076756D" w:rsidRPr="000C06A7">
              <w:rPr>
                <w:rFonts w:ascii="Arial" w:hAnsi="Arial" w:cs="Arial"/>
                <w:noProof/>
                <w:webHidden/>
                <w:sz w:val="24"/>
                <w:szCs w:val="24"/>
              </w:rPr>
              <w:t>46</w:t>
            </w:r>
            <w:r w:rsidRPr="000C06A7">
              <w:rPr>
                <w:rFonts w:ascii="Arial" w:hAnsi="Arial" w:cs="Arial"/>
                <w:noProof/>
                <w:webHidden/>
                <w:sz w:val="24"/>
                <w:szCs w:val="24"/>
              </w:rPr>
              <w:fldChar w:fldCharType="end"/>
            </w:r>
          </w:hyperlink>
        </w:p>
        <w:p w14:paraId="0FA5B3BB" w14:textId="6D74E1CC" w:rsidR="00F64253" w:rsidRPr="000C06A7" w:rsidRDefault="00F6425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79481640" w:history="1">
            <w:r w:rsidRPr="000C06A7">
              <w:rPr>
                <w:rStyle w:val="Hyperlink"/>
                <w:rFonts w:ascii="Arial" w:hAnsi="Arial" w:cs="Arial"/>
                <w:noProof/>
                <w:sz w:val="24"/>
                <w:szCs w:val="24"/>
                <w:lang w:eastAsia="en-GB"/>
              </w:rPr>
              <w:t>Regional Facilitation Grant</w:t>
            </w:r>
            <w:r w:rsidRPr="000C06A7">
              <w:rPr>
                <w:rFonts w:ascii="Arial" w:hAnsi="Arial" w:cs="Arial"/>
                <w:noProof/>
                <w:webHidden/>
                <w:sz w:val="24"/>
                <w:szCs w:val="24"/>
              </w:rPr>
              <w:tab/>
            </w:r>
            <w:r w:rsidRPr="000C06A7">
              <w:rPr>
                <w:rFonts w:ascii="Arial" w:hAnsi="Arial" w:cs="Arial"/>
                <w:noProof/>
                <w:webHidden/>
                <w:sz w:val="24"/>
                <w:szCs w:val="24"/>
              </w:rPr>
              <w:fldChar w:fldCharType="begin"/>
            </w:r>
            <w:r w:rsidRPr="000C06A7">
              <w:rPr>
                <w:rFonts w:ascii="Arial" w:hAnsi="Arial" w:cs="Arial"/>
                <w:noProof/>
                <w:webHidden/>
                <w:sz w:val="24"/>
                <w:szCs w:val="24"/>
              </w:rPr>
              <w:instrText xml:space="preserve"> PAGEREF _Toc179481640 \h </w:instrText>
            </w:r>
            <w:r w:rsidRPr="000C06A7">
              <w:rPr>
                <w:rFonts w:ascii="Arial" w:hAnsi="Arial" w:cs="Arial"/>
                <w:noProof/>
                <w:webHidden/>
                <w:sz w:val="24"/>
                <w:szCs w:val="24"/>
              </w:rPr>
            </w:r>
            <w:r w:rsidRPr="000C06A7">
              <w:rPr>
                <w:rFonts w:ascii="Arial" w:hAnsi="Arial" w:cs="Arial"/>
                <w:noProof/>
                <w:webHidden/>
                <w:sz w:val="24"/>
                <w:szCs w:val="24"/>
              </w:rPr>
              <w:fldChar w:fldCharType="separate"/>
            </w:r>
            <w:r w:rsidR="0076756D" w:rsidRPr="000C06A7">
              <w:rPr>
                <w:rFonts w:ascii="Arial" w:hAnsi="Arial" w:cs="Arial"/>
                <w:noProof/>
                <w:webHidden/>
                <w:sz w:val="24"/>
                <w:szCs w:val="24"/>
              </w:rPr>
              <w:t>49</w:t>
            </w:r>
            <w:r w:rsidRPr="000C06A7">
              <w:rPr>
                <w:rFonts w:ascii="Arial" w:hAnsi="Arial" w:cs="Arial"/>
                <w:noProof/>
                <w:webHidden/>
                <w:sz w:val="24"/>
                <w:szCs w:val="24"/>
              </w:rPr>
              <w:fldChar w:fldCharType="end"/>
            </w:r>
          </w:hyperlink>
        </w:p>
        <w:p w14:paraId="62ECC6C7" w14:textId="67FBFF33" w:rsidR="00F64253" w:rsidRPr="000C06A7" w:rsidRDefault="00F64253" w:rsidP="069F4A6E">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79481641" w:history="1">
            <w:r w:rsidRPr="000C06A7">
              <w:rPr>
                <w:rStyle w:val="Hyperlink"/>
                <w:rFonts w:ascii="Arial" w:hAnsi="Arial" w:cs="Arial"/>
                <w:noProof/>
                <w:sz w:val="24"/>
                <w:szCs w:val="24"/>
                <w:lang w:eastAsia="en-GB"/>
              </w:rPr>
              <w:t xml:space="preserve">Fundamental principles: Well-being, Welsh language and </w:t>
            </w:r>
            <w:r w:rsidR="006F0A67" w:rsidRPr="000C06A7">
              <w:rPr>
                <w:rStyle w:val="Hyperlink"/>
                <w:rFonts w:ascii="Arial" w:hAnsi="Arial" w:cs="Arial"/>
                <w:noProof/>
                <w:sz w:val="24"/>
                <w:szCs w:val="24"/>
                <w:lang w:eastAsia="en-GB"/>
              </w:rPr>
              <w:t>i</w:t>
            </w:r>
            <w:r w:rsidRPr="000C06A7">
              <w:rPr>
                <w:rStyle w:val="Hyperlink"/>
                <w:rFonts w:ascii="Arial" w:hAnsi="Arial" w:cs="Arial"/>
                <w:noProof/>
                <w:sz w:val="24"/>
                <w:szCs w:val="24"/>
                <w:lang w:eastAsia="en-GB"/>
              </w:rPr>
              <w:t>nclusion</w:t>
            </w:r>
            <w:r w:rsidRPr="000C06A7">
              <w:rPr>
                <w:rFonts w:ascii="Arial" w:hAnsi="Arial" w:cs="Arial"/>
                <w:noProof/>
                <w:webHidden/>
                <w:sz w:val="24"/>
                <w:szCs w:val="24"/>
              </w:rPr>
              <w:tab/>
            </w:r>
            <w:r w:rsidRPr="000C06A7">
              <w:rPr>
                <w:rFonts w:ascii="Arial" w:hAnsi="Arial" w:cs="Arial"/>
                <w:noProof/>
                <w:webHidden/>
                <w:sz w:val="24"/>
                <w:szCs w:val="24"/>
              </w:rPr>
              <w:fldChar w:fldCharType="begin"/>
            </w:r>
            <w:r w:rsidRPr="000C06A7">
              <w:rPr>
                <w:rFonts w:ascii="Arial" w:hAnsi="Arial" w:cs="Arial"/>
                <w:noProof/>
                <w:webHidden/>
                <w:sz w:val="24"/>
                <w:szCs w:val="24"/>
              </w:rPr>
              <w:instrText xml:space="preserve"> PAGEREF _Toc179481641 \h </w:instrText>
            </w:r>
            <w:r w:rsidRPr="000C06A7">
              <w:rPr>
                <w:rFonts w:ascii="Arial" w:hAnsi="Arial" w:cs="Arial"/>
                <w:noProof/>
                <w:webHidden/>
                <w:sz w:val="24"/>
                <w:szCs w:val="24"/>
              </w:rPr>
            </w:r>
            <w:r w:rsidRPr="000C06A7">
              <w:rPr>
                <w:rFonts w:ascii="Arial" w:hAnsi="Arial" w:cs="Arial"/>
                <w:noProof/>
                <w:webHidden/>
                <w:sz w:val="24"/>
                <w:szCs w:val="24"/>
              </w:rPr>
              <w:fldChar w:fldCharType="separate"/>
            </w:r>
            <w:r w:rsidR="0076756D" w:rsidRPr="000C06A7">
              <w:rPr>
                <w:rFonts w:ascii="Arial" w:hAnsi="Arial" w:cs="Arial"/>
                <w:noProof/>
                <w:webHidden/>
                <w:sz w:val="24"/>
                <w:szCs w:val="24"/>
              </w:rPr>
              <w:t>51</w:t>
            </w:r>
            <w:r w:rsidRPr="000C06A7">
              <w:rPr>
                <w:rFonts w:ascii="Arial" w:hAnsi="Arial" w:cs="Arial"/>
                <w:noProof/>
                <w:webHidden/>
                <w:sz w:val="24"/>
                <w:szCs w:val="24"/>
              </w:rPr>
              <w:fldChar w:fldCharType="end"/>
            </w:r>
          </w:hyperlink>
        </w:p>
        <w:p w14:paraId="3092A2D3" w14:textId="78F87CAE" w:rsidR="00F64253" w:rsidRPr="000C06A7" w:rsidRDefault="00F64253">
          <w:pPr>
            <w:pStyle w:val="TOC1"/>
            <w:tabs>
              <w:tab w:val="right" w:leader="dot" w:pos="9016"/>
            </w:tabs>
            <w:rPr>
              <w:rFonts w:ascii="Arial" w:eastAsiaTheme="minorEastAsia" w:hAnsi="Arial" w:cs="Arial"/>
              <w:noProof/>
              <w:kern w:val="2"/>
              <w:sz w:val="24"/>
              <w:szCs w:val="24"/>
              <w:lang w:eastAsia="en-GB"/>
              <w14:ligatures w14:val="standardContextual"/>
            </w:rPr>
          </w:pPr>
          <w:hyperlink w:anchor="_Toc179481642" w:history="1">
            <w:r w:rsidRPr="000C06A7">
              <w:rPr>
                <w:rStyle w:val="Hyperlink"/>
                <w:rFonts w:ascii="Arial" w:hAnsi="Arial" w:cs="Arial"/>
                <w:noProof/>
                <w:sz w:val="24"/>
                <w:szCs w:val="24"/>
                <w:lang w:eastAsia="en-GB"/>
              </w:rPr>
              <w:t>Future SCWWDP developments</w:t>
            </w:r>
            <w:r w:rsidRPr="000C06A7">
              <w:rPr>
                <w:rFonts w:ascii="Arial" w:hAnsi="Arial" w:cs="Arial"/>
                <w:noProof/>
                <w:webHidden/>
                <w:sz w:val="24"/>
                <w:szCs w:val="24"/>
              </w:rPr>
              <w:tab/>
            </w:r>
            <w:r w:rsidRPr="000C06A7">
              <w:rPr>
                <w:rFonts w:ascii="Arial" w:hAnsi="Arial" w:cs="Arial"/>
                <w:noProof/>
                <w:webHidden/>
                <w:sz w:val="24"/>
                <w:szCs w:val="24"/>
              </w:rPr>
              <w:fldChar w:fldCharType="begin"/>
            </w:r>
            <w:r w:rsidRPr="000C06A7">
              <w:rPr>
                <w:rFonts w:ascii="Arial" w:hAnsi="Arial" w:cs="Arial"/>
                <w:noProof/>
                <w:webHidden/>
                <w:sz w:val="24"/>
                <w:szCs w:val="24"/>
              </w:rPr>
              <w:instrText xml:space="preserve"> PAGEREF _Toc179481642 \h </w:instrText>
            </w:r>
            <w:r w:rsidRPr="000C06A7">
              <w:rPr>
                <w:rFonts w:ascii="Arial" w:hAnsi="Arial" w:cs="Arial"/>
                <w:noProof/>
                <w:webHidden/>
                <w:sz w:val="24"/>
                <w:szCs w:val="24"/>
              </w:rPr>
            </w:r>
            <w:r w:rsidRPr="000C06A7">
              <w:rPr>
                <w:rFonts w:ascii="Arial" w:hAnsi="Arial" w:cs="Arial"/>
                <w:noProof/>
                <w:webHidden/>
                <w:sz w:val="24"/>
                <w:szCs w:val="24"/>
              </w:rPr>
              <w:fldChar w:fldCharType="separate"/>
            </w:r>
            <w:r w:rsidR="0076756D" w:rsidRPr="000C06A7">
              <w:rPr>
                <w:rFonts w:ascii="Arial" w:hAnsi="Arial" w:cs="Arial"/>
                <w:noProof/>
                <w:webHidden/>
                <w:sz w:val="24"/>
                <w:szCs w:val="24"/>
              </w:rPr>
              <w:t>56</w:t>
            </w:r>
            <w:r w:rsidRPr="000C06A7">
              <w:rPr>
                <w:rFonts w:ascii="Arial" w:hAnsi="Arial" w:cs="Arial"/>
                <w:noProof/>
                <w:webHidden/>
                <w:sz w:val="24"/>
                <w:szCs w:val="24"/>
              </w:rPr>
              <w:fldChar w:fldCharType="end"/>
            </w:r>
          </w:hyperlink>
        </w:p>
        <w:p w14:paraId="65017707" w14:textId="0C0E6FC9" w:rsidR="002D1B1F" w:rsidRPr="000C06A7" w:rsidRDefault="002D1B1F" w:rsidP="002D1B1F">
          <w:pPr>
            <w:rPr>
              <w:rFonts w:ascii="Arial" w:hAnsi="Arial" w:cs="Arial"/>
            </w:rPr>
          </w:pPr>
          <w:r w:rsidRPr="000C06A7">
            <w:rPr>
              <w:rFonts w:ascii="Arial" w:hAnsi="Arial" w:cs="Arial"/>
              <w:noProof/>
              <w:sz w:val="24"/>
              <w:szCs w:val="24"/>
            </w:rPr>
            <w:fldChar w:fldCharType="end"/>
          </w:r>
        </w:p>
      </w:sdtContent>
    </w:sdt>
    <w:p w14:paraId="04402BBA" w14:textId="77777777" w:rsidR="002D1B1F" w:rsidRPr="000C06A7" w:rsidRDefault="002D1B1F" w:rsidP="000C06A7">
      <w:pPr>
        <w:rPr>
          <w:lang w:eastAsia="en-GB"/>
        </w:rPr>
      </w:pPr>
    </w:p>
    <w:p w14:paraId="4F666BF1" w14:textId="77777777" w:rsidR="006048EB" w:rsidRPr="000C06A7" w:rsidRDefault="006048EB" w:rsidP="006048EB">
      <w:pPr>
        <w:rPr>
          <w:rFonts w:ascii="Arial" w:hAnsi="Arial" w:cs="Arial"/>
          <w:lang w:eastAsia="en-GB"/>
        </w:rPr>
      </w:pPr>
    </w:p>
    <w:p w14:paraId="093AD48A" w14:textId="77777777" w:rsidR="006048EB" w:rsidRPr="000C06A7" w:rsidRDefault="006048EB" w:rsidP="006048EB">
      <w:pPr>
        <w:rPr>
          <w:rFonts w:ascii="Arial" w:hAnsi="Arial" w:cs="Arial"/>
          <w:lang w:eastAsia="en-GB"/>
        </w:rPr>
      </w:pPr>
    </w:p>
    <w:p w14:paraId="2CDA2C6E" w14:textId="77777777" w:rsidR="002D1B1F" w:rsidRPr="000C06A7" w:rsidRDefault="002D1B1F" w:rsidP="000C06A7">
      <w:pPr>
        <w:pStyle w:val="Heading2"/>
        <w:rPr>
          <w:b w:val="0"/>
        </w:rPr>
      </w:pPr>
      <w:bookmarkStart w:id="0" w:name="_Toc179481621"/>
      <w:r w:rsidRPr="000C06A7">
        <w:t>Introduction</w:t>
      </w:r>
      <w:bookmarkEnd w:id="0"/>
    </w:p>
    <w:p w14:paraId="54D6A5A4" w14:textId="77777777" w:rsidR="002A12C5" w:rsidRPr="000C06A7" w:rsidRDefault="002A12C5" w:rsidP="00F706C0">
      <w:pPr>
        <w:spacing w:after="0"/>
        <w:rPr>
          <w:rFonts w:ascii="Arial" w:hAnsi="Arial" w:cs="Arial"/>
          <w:sz w:val="24"/>
          <w:szCs w:val="24"/>
          <w:lang w:eastAsia="en-GB"/>
        </w:rPr>
      </w:pPr>
    </w:p>
    <w:p w14:paraId="6F6B94B9" w14:textId="2D530956" w:rsidR="008377C7" w:rsidRPr="00B568F3" w:rsidRDefault="069F4A6E" w:rsidP="008377C7">
      <w:pPr>
        <w:spacing w:after="0" w:line="240" w:lineRule="auto"/>
        <w:rPr>
          <w:rFonts w:ascii="Arial" w:eastAsia="Calibri" w:hAnsi="Arial" w:cs="Arial"/>
          <w:color w:val="FF0000"/>
          <w:sz w:val="24"/>
          <w:szCs w:val="24"/>
        </w:rPr>
      </w:pPr>
      <w:r w:rsidRPr="00B568F3">
        <w:rPr>
          <w:rFonts w:ascii="Arial" w:eastAsia="Calibri" w:hAnsi="Arial" w:cs="Arial"/>
          <w:sz w:val="24"/>
          <w:szCs w:val="24"/>
        </w:rPr>
        <w:t xml:space="preserve">This report sets out how the </w:t>
      </w:r>
      <w:r w:rsidRPr="000C06A7">
        <w:rPr>
          <w:rFonts w:ascii="Arial" w:hAnsi="Arial" w:cs="Arial"/>
          <w:sz w:val="24"/>
          <w:szCs w:val="24"/>
          <w:lang w:eastAsia="en-GB"/>
        </w:rPr>
        <w:t>Social Care Wales Workforce Development Programme (SCWWDP) grant was invested by local authorities in 2023</w:t>
      </w:r>
      <w:r w:rsidR="0090613E" w:rsidRPr="000C06A7">
        <w:rPr>
          <w:rFonts w:ascii="Arial" w:hAnsi="Arial" w:cs="Arial"/>
          <w:sz w:val="24"/>
          <w:szCs w:val="24"/>
          <w:lang w:eastAsia="en-GB"/>
        </w:rPr>
        <w:t xml:space="preserve"> to 20</w:t>
      </w:r>
      <w:r w:rsidRPr="000C06A7">
        <w:rPr>
          <w:rFonts w:ascii="Arial" w:hAnsi="Arial" w:cs="Arial"/>
          <w:sz w:val="24"/>
          <w:szCs w:val="24"/>
          <w:lang w:eastAsia="en-GB"/>
        </w:rPr>
        <w:t>24.</w:t>
      </w:r>
    </w:p>
    <w:p w14:paraId="6132703A" w14:textId="77777777" w:rsidR="008377C7" w:rsidRPr="000C06A7" w:rsidRDefault="008377C7" w:rsidP="002A12C5">
      <w:pPr>
        <w:rPr>
          <w:rFonts w:ascii="Arial" w:hAnsi="Arial" w:cs="Arial"/>
          <w:sz w:val="24"/>
          <w:szCs w:val="24"/>
          <w:lang w:eastAsia="en-GB"/>
        </w:rPr>
      </w:pPr>
    </w:p>
    <w:p w14:paraId="12565D78" w14:textId="2BCF503E" w:rsidR="1F08FDF2" w:rsidRPr="000C06A7" w:rsidRDefault="1F08FDF2" w:rsidP="7BBCBD8A">
      <w:pPr>
        <w:rPr>
          <w:rFonts w:ascii="Arial" w:hAnsi="Arial" w:cs="Arial"/>
          <w:b/>
          <w:bCs/>
          <w:sz w:val="24"/>
          <w:szCs w:val="24"/>
          <w:lang w:eastAsia="en-GB"/>
        </w:rPr>
      </w:pPr>
      <w:r w:rsidRPr="000C06A7">
        <w:rPr>
          <w:rFonts w:ascii="Arial" w:hAnsi="Arial" w:cs="Arial"/>
          <w:b/>
          <w:bCs/>
          <w:sz w:val="24"/>
          <w:szCs w:val="24"/>
          <w:lang w:eastAsia="en-GB"/>
        </w:rPr>
        <w:t>What is the SCWWDP grant?</w:t>
      </w:r>
    </w:p>
    <w:p w14:paraId="6B2283B9" w14:textId="10E27B6F" w:rsidR="002A12C5" w:rsidRPr="000C06A7" w:rsidRDefault="00CC710A" w:rsidP="00A24AE9">
      <w:pPr>
        <w:rPr>
          <w:rFonts w:ascii="Arial" w:hAnsi="Arial" w:cs="Arial"/>
          <w:sz w:val="24"/>
          <w:szCs w:val="24"/>
          <w:lang w:eastAsia="en-GB"/>
        </w:rPr>
      </w:pPr>
      <w:r w:rsidRPr="000C06A7">
        <w:rPr>
          <w:rFonts w:ascii="Arial" w:hAnsi="Arial" w:cs="Arial"/>
          <w:sz w:val="24"/>
          <w:szCs w:val="24"/>
          <w:lang w:eastAsia="en-GB"/>
        </w:rPr>
        <w:t>SCWWDP is a long-</w:t>
      </w:r>
      <w:r w:rsidR="00A53D06" w:rsidRPr="000C06A7">
        <w:rPr>
          <w:rFonts w:ascii="Arial" w:hAnsi="Arial" w:cs="Arial"/>
          <w:sz w:val="24"/>
          <w:szCs w:val="24"/>
          <w:lang w:eastAsia="en-GB"/>
        </w:rPr>
        <w:t xml:space="preserve">established </w:t>
      </w:r>
      <w:r w:rsidR="00A24AE9" w:rsidRPr="000C06A7">
        <w:rPr>
          <w:rFonts w:ascii="Arial" w:hAnsi="Arial" w:cs="Arial"/>
          <w:sz w:val="24"/>
          <w:szCs w:val="24"/>
          <w:lang w:eastAsia="en-GB"/>
        </w:rPr>
        <w:t xml:space="preserve">grant </w:t>
      </w:r>
      <w:r w:rsidR="007631C4" w:rsidRPr="000C06A7">
        <w:rPr>
          <w:rFonts w:ascii="Arial" w:hAnsi="Arial" w:cs="Arial"/>
          <w:sz w:val="24"/>
          <w:szCs w:val="24"/>
          <w:lang w:eastAsia="en-GB"/>
        </w:rPr>
        <w:t xml:space="preserve">programme </w:t>
      </w:r>
      <w:r w:rsidRPr="000C06A7">
        <w:rPr>
          <w:rFonts w:ascii="Arial" w:hAnsi="Arial" w:cs="Arial"/>
          <w:sz w:val="24"/>
          <w:szCs w:val="24"/>
          <w:lang w:eastAsia="en-GB"/>
        </w:rPr>
        <w:t>to support training and workforce development across social care in Wales</w:t>
      </w:r>
      <w:r w:rsidR="00080E51" w:rsidRPr="000C06A7">
        <w:rPr>
          <w:rFonts w:ascii="Arial" w:hAnsi="Arial" w:cs="Arial"/>
          <w:sz w:val="24"/>
          <w:szCs w:val="24"/>
          <w:lang w:eastAsia="en-GB"/>
        </w:rPr>
        <w:t xml:space="preserve">. </w:t>
      </w:r>
      <w:r w:rsidR="002A77E0" w:rsidRPr="000C06A7">
        <w:rPr>
          <w:rFonts w:ascii="Arial" w:hAnsi="Arial" w:cs="Arial"/>
          <w:sz w:val="24"/>
          <w:szCs w:val="24"/>
          <w:lang w:eastAsia="en-GB"/>
        </w:rPr>
        <w:t xml:space="preserve">The </w:t>
      </w:r>
      <w:r w:rsidR="00506130" w:rsidRPr="000C06A7">
        <w:rPr>
          <w:rFonts w:ascii="Arial" w:hAnsi="Arial" w:cs="Arial"/>
          <w:sz w:val="24"/>
          <w:szCs w:val="24"/>
          <w:lang w:eastAsia="en-GB"/>
        </w:rPr>
        <w:t>annual grant from Social Care Wales</w:t>
      </w:r>
      <w:r w:rsidR="002A77E0" w:rsidRPr="000C06A7">
        <w:rPr>
          <w:rFonts w:ascii="Arial" w:hAnsi="Arial" w:cs="Arial"/>
          <w:sz w:val="24"/>
          <w:szCs w:val="24"/>
          <w:lang w:eastAsia="en-GB"/>
        </w:rPr>
        <w:t xml:space="preserve"> is </w:t>
      </w:r>
      <w:r w:rsidRPr="000C06A7">
        <w:rPr>
          <w:rFonts w:ascii="Arial" w:hAnsi="Arial" w:cs="Arial"/>
          <w:sz w:val="24"/>
          <w:szCs w:val="24"/>
          <w:lang w:eastAsia="en-GB"/>
        </w:rPr>
        <w:t xml:space="preserve">distributed </w:t>
      </w:r>
      <w:r w:rsidR="00C23476" w:rsidRPr="000C06A7">
        <w:rPr>
          <w:rFonts w:ascii="Arial" w:hAnsi="Arial" w:cs="Arial"/>
          <w:sz w:val="24"/>
          <w:szCs w:val="24"/>
          <w:lang w:eastAsia="en-GB"/>
        </w:rPr>
        <w:t xml:space="preserve">regionally </w:t>
      </w:r>
      <w:r w:rsidR="00152426" w:rsidRPr="000C06A7">
        <w:rPr>
          <w:rFonts w:ascii="Arial" w:hAnsi="Arial" w:cs="Arial"/>
          <w:sz w:val="24"/>
          <w:szCs w:val="24"/>
          <w:lang w:eastAsia="en-GB"/>
        </w:rPr>
        <w:t xml:space="preserve">and </w:t>
      </w:r>
      <w:r w:rsidR="009A3ADE" w:rsidRPr="000C06A7">
        <w:rPr>
          <w:rFonts w:ascii="Arial" w:hAnsi="Arial" w:cs="Arial"/>
          <w:sz w:val="24"/>
          <w:szCs w:val="24"/>
          <w:lang w:eastAsia="en-GB"/>
        </w:rPr>
        <w:t xml:space="preserve">is used by </w:t>
      </w:r>
      <w:r w:rsidRPr="000C06A7">
        <w:rPr>
          <w:rFonts w:ascii="Arial" w:hAnsi="Arial" w:cs="Arial"/>
          <w:sz w:val="24"/>
          <w:szCs w:val="24"/>
          <w:lang w:eastAsia="en-GB"/>
        </w:rPr>
        <w:t xml:space="preserve">local authorities to support training and workforce development </w:t>
      </w:r>
      <w:r w:rsidR="00323BD0" w:rsidRPr="000C06A7">
        <w:rPr>
          <w:rFonts w:ascii="Arial" w:hAnsi="Arial" w:cs="Arial"/>
          <w:sz w:val="24"/>
          <w:szCs w:val="24"/>
          <w:lang w:eastAsia="en-GB"/>
        </w:rPr>
        <w:t xml:space="preserve">activity </w:t>
      </w:r>
      <w:r w:rsidRPr="000C06A7">
        <w:rPr>
          <w:rFonts w:ascii="Arial" w:hAnsi="Arial" w:cs="Arial"/>
          <w:sz w:val="24"/>
          <w:szCs w:val="24"/>
          <w:lang w:eastAsia="en-GB"/>
        </w:rPr>
        <w:t xml:space="preserve">in both </w:t>
      </w:r>
      <w:r w:rsidR="00323BD0" w:rsidRPr="000C06A7">
        <w:rPr>
          <w:rFonts w:ascii="Arial" w:hAnsi="Arial" w:cs="Arial"/>
          <w:sz w:val="24"/>
          <w:szCs w:val="24"/>
          <w:lang w:eastAsia="en-GB"/>
        </w:rPr>
        <w:t xml:space="preserve">their own organisations </w:t>
      </w:r>
      <w:r w:rsidRPr="000C06A7">
        <w:rPr>
          <w:rFonts w:ascii="Arial" w:hAnsi="Arial" w:cs="Arial"/>
          <w:sz w:val="24"/>
          <w:szCs w:val="24"/>
          <w:lang w:eastAsia="en-GB"/>
        </w:rPr>
        <w:t xml:space="preserve">and </w:t>
      </w:r>
      <w:r w:rsidR="00323BD0" w:rsidRPr="000C06A7">
        <w:rPr>
          <w:rFonts w:ascii="Arial" w:hAnsi="Arial" w:cs="Arial"/>
          <w:sz w:val="24"/>
          <w:szCs w:val="24"/>
          <w:lang w:eastAsia="en-GB"/>
        </w:rPr>
        <w:t xml:space="preserve">for </w:t>
      </w:r>
      <w:r w:rsidR="37EB0829" w:rsidRPr="000C06A7">
        <w:rPr>
          <w:rFonts w:ascii="Arial" w:hAnsi="Arial" w:cs="Arial"/>
          <w:sz w:val="24"/>
          <w:szCs w:val="24"/>
          <w:lang w:eastAsia="en-GB"/>
        </w:rPr>
        <w:t xml:space="preserve">providers in </w:t>
      </w:r>
      <w:r w:rsidRPr="000C06A7">
        <w:rPr>
          <w:rFonts w:ascii="Arial" w:hAnsi="Arial" w:cs="Arial"/>
          <w:sz w:val="24"/>
          <w:szCs w:val="24"/>
          <w:lang w:eastAsia="en-GB"/>
        </w:rPr>
        <w:t xml:space="preserve">the independent </w:t>
      </w:r>
      <w:r w:rsidR="00C23476" w:rsidRPr="000C06A7">
        <w:rPr>
          <w:rFonts w:ascii="Arial" w:hAnsi="Arial" w:cs="Arial"/>
          <w:sz w:val="24"/>
          <w:szCs w:val="24"/>
          <w:lang w:eastAsia="en-GB"/>
        </w:rPr>
        <w:t xml:space="preserve">and voluntary </w:t>
      </w:r>
      <w:r w:rsidRPr="000C06A7">
        <w:rPr>
          <w:rFonts w:ascii="Arial" w:hAnsi="Arial" w:cs="Arial"/>
          <w:sz w:val="24"/>
          <w:szCs w:val="24"/>
          <w:lang w:eastAsia="en-GB"/>
        </w:rPr>
        <w:t>sector</w:t>
      </w:r>
      <w:r w:rsidR="006021CB" w:rsidRPr="000C06A7">
        <w:rPr>
          <w:rFonts w:ascii="Arial" w:hAnsi="Arial" w:cs="Arial"/>
          <w:sz w:val="24"/>
          <w:szCs w:val="24"/>
          <w:lang w:eastAsia="en-GB"/>
        </w:rPr>
        <w:t xml:space="preserve">. </w:t>
      </w:r>
    </w:p>
    <w:p w14:paraId="658F235A" w14:textId="5E16174D" w:rsidR="0003755A" w:rsidRPr="000C06A7" w:rsidRDefault="069F4A6E" w:rsidP="069F4A6E">
      <w:pPr>
        <w:rPr>
          <w:rFonts w:ascii="Arial" w:hAnsi="Arial" w:cs="Arial"/>
          <w:sz w:val="24"/>
          <w:szCs w:val="24"/>
          <w:lang w:eastAsia="en-GB"/>
        </w:rPr>
      </w:pPr>
      <w:r w:rsidRPr="000C06A7">
        <w:rPr>
          <w:rFonts w:ascii="Arial" w:hAnsi="Arial" w:cs="Arial"/>
          <w:sz w:val="24"/>
          <w:szCs w:val="24"/>
          <w:lang w:eastAsia="en-GB"/>
        </w:rPr>
        <w:t>Local authorities are required to provide match funding for SCWWDP, the same as 30</w:t>
      </w:r>
      <w:r w:rsidR="0090613E" w:rsidRPr="000C06A7">
        <w:rPr>
          <w:rFonts w:ascii="Arial" w:hAnsi="Arial" w:cs="Arial"/>
          <w:sz w:val="24"/>
          <w:szCs w:val="24"/>
          <w:lang w:eastAsia="en-GB"/>
        </w:rPr>
        <w:t xml:space="preserve"> per cent </w:t>
      </w:r>
      <w:r w:rsidRPr="000C06A7">
        <w:rPr>
          <w:rFonts w:ascii="Arial" w:hAnsi="Arial" w:cs="Arial"/>
          <w:sz w:val="24"/>
          <w:szCs w:val="24"/>
          <w:lang w:eastAsia="en-GB"/>
        </w:rPr>
        <w:t xml:space="preserve">of the funding provided by Social Care Wales. </w:t>
      </w:r>
    </w:p>
    <w:p w14:paraId="48E731BB" w14:textId="77777777" w:rsidR="002D1B1F" w:rsidRPr="00B568F3" w:rsidRDefault="002D1B1F" w:rsidP="002D1B1F">
      <w:pPr>
        <w:spacing w:after="0" w:line="240" w:lineRule="auto"/>
        <w:rPr>
          <w:rFonts w:ascii="Arial" w:eastAsia="Calibri" w:hAnsi="Arial" w:cs="Arial"/>
          <w:color w:val="FF0000"/>
          <w:sz w:val="24"/>
          <w:szCs w:val="24"/>
        </w:rPr>
      </w:pPr>
    </w:p>
    <w:p w14:paraId="3C6F187F" w14:textId="1BD4BD6D" w:rsidR="00137D16" w:rsidRPr="00B568F3" w:rsidRDefault="00137D16" w:rsidP="002D1B1F">
      <w:pPr>
        <w:spacing w:after="0" w:line="240" w:lineRule="auto"/>
        <w:rPr>
          <w:rFonts w:ascii="Arial" w:eastAsia="Calibri" w:hAnsi="Arial" w:cs="Arial"/>
          <w:b/>
          <w:bCs/>
          <w:sz w:val="24"/>
          <w:szCs w:val="24"/>
        </w:rPr>
      </w:pPr>
      <w:r w:rsidRPr="00B568F3">
        <w:rPr>
          <w:rFonts w:ascii="Arial" w:eastAsia="Calibri" w:hAnsi="Arial" w:cs="Arial"/>
          <w:b/>
          <w:bCs/>
          <w:sz w:val="24"/>
          <w:szCs w:val="24"/>
        </w:rPr>
        <w:t>How is the grant managed?</w:t>
      </w:r>
    </w:p>
    <w:p w14:paraId="1F1EF7E3" w14:textId="77777777" w:rsidR="00137D16" w:rsidRPr="00B568F3" w:rsidRDefault="00137D16" w:rsidP="002D1B1F">
      <w:pPr>
        <w:spacing w:after="0" w:line="240" w:lineRule="auto"/>
        <w:rPr>
          <w:rFonts w:ascii="Arial" w:eastAsia="Calibri" w:hAnsi="Arial" w:cs="Arial"/>
          <w:b/>
          <w:bCs/>
          <w:sz w:val="24"/>
          <w:szCs w:val="24"/>
        </w:rPr>
      </w:pPr>
    </w:p>
    <w:p w14:paraId="72211E52" w14:textId="5BA60C4B" w:rsidR="00323BD0" w:rsidRPr="00B568F3" w:rsidRDefault="00A271C3" w:rsidP="069F4A6E">
      <w:pPr>
        <w:spacing w:after="0" w:line="240" w:lineRule="auto"/>
        <w:rPr>
          <w:rFonts w:ascii="Arial" w:eastAsia="Calibri" w:hAnsi="Arial" w:cs="Arial"/>
          <w:sz w:val="24"/>
          <w:szCs w:val="24"/>
        </w:rPr>
      </w:pPr>
      <w:r w:rsidRPr="00B568F3">
        <w:rPr>
          <w:rFonts w:ascii="Arial" w:eastAsia="Calibri" w:hAnsi="Arial" w:cs="Arial"/>
          <w:sz w:val="24"/>
          <w:szCs w:val="24"/>
        </w:rPr>
        <w:t>We issue</w:t>
      </w:r>
      <w:r w:rsidR="069F4A6E" w:rsidRPr="00B568F3">
        <w:rPr>
          <w:rFonts w:ascii="Arial" w:eastAsia="Calibri" w:hAnsi="Arial" w:cs="Arial"/>
          <w:sz w:val="24"/>
          <w:szCs w:val="24"/>
        </w:rPr>
        <w:t xml:space="preserve"> the requirements of the grant to regions each year through the ‘grant circular</w:t>
      </w:r>
      <w:r w:rsidR="005A60F9" w:rsidRPr="00B568F3">
        <w:rPr>
          <w:rFonts w:ascii="Arial" w:eastAsia="Calibri" w:hAnsi="Arial" w:cs="Arial"/>
          <w:sz w:val="24"/>
          <w:szCs w:val="24"/>
        </w:rPr>
        <w:t>.’</w:t>
      </w:r>
      <w:r w:rsidR="069F4A6E" w:rsidRPr="00B568F3">
        <w:rPr>
          <w:rFonts w:ascii="Arial" w:eastAsia="Calibri" w:hAnsi="Arial" w:cs="Arial"/>
          <w:sz w:val="24"/>
          <w:szCs w:val="24"/>
        </w:rPr>
        <w:t xml:space="preserve"> The grant circular is approved by </w:t>
      </w:r>
      <w:r w:rsidRPr="00B568F3">
        <w:rPr>
          <w:rFonts w:ascii="Arial" w:eastAsia="Calibri" w:hAnsi="Arial" w:cs="Arial"/>
          <w:sz w:val="24"/>
          <w:szCs w:val="24"/>
        </w:rPr>
        <w:t>our</w:t>
      </w:r>
      <w:r w:rsidR="069F4A6E" w:rsidRPr="00B568F3">
        <w:rPr>
          <w:rFonts w:ascii="Arial" w:eastAsia="Calibri" w:hAnsi="Arial" w:cs="Arial"/>
          <w:sz w:val="24"/>
          <w:szCs w:val="24"/>
        </w:rPr>
        <w:t xml:space="preserve"> Board, and includes</w:t>
      </w:r>
      <w:r w:rsidR="00323BD0" w:rsidRPr="00B568F3" w:rsidDel="069F4A6E">
        <w:rPr>
          <w:rFonts w:ascii="Arial" w:eastAsia="Calibri" w:hAnsi="Arial" w:cs="Arial"/>
          <w:sz w:val="24"/>
          <w:szCs w:val="24"/>
        </w:rPr>
        <w:t xml:space="preserve"> </w:t>
      </w:r>
      <w:r w:rsidR="069F4A6E" w:rsidRPr="00B568F3">
        <w:rPr>
          <w:rFonts w:ascii="Arial" w:eastAsia="Calibri" w:hAnsi="Arial" w:cs="Arial"/>
          <w:sz w:val="24"/>
          <w:szCs w:val="24"/>
        </w:rPr>
        <w:t xml:space="preserve">information </w:t>
      </w:r>
      <w:r w:rsidRPr="00B568F3">
        <w:rPr>
          <w:rFonts w:ascii="Arial" w:eastAsia="Calibri" w:hAnsi="Arial" w:cs="Arial"/>
          <w:sz w:val="24"/>
          <w:szCs w:val="24"/>
        </w:rPr>
        <w:t>about</w:t>
      </w:r>
      <w:r w:rsidR="069F4A6E" w:rsidRPr="00B568F3">
        <w:rPr>
          <w:rFonts w:ascii="Arial" w:eastAsia="Calibri" w:hAnsi="Arial" w:cs="Arial"/>
          <w:sz w:val="24"/>
          <w:szCs w:val="24"/>
        </w:rPr>
        <w:t>:</w:t>
      </w:r>
    </w:p>
    <w:p w14:paraId="653A3293" w14:textId="4699369B" w:rsidR="00323BD0" w:rsidRPr="00B568F3" w:rsidRDefault="069F4A6E" w:rsidP="00163D3F">
      <w:pPr>
        <w:pStyle w:val="ListParagraph"/>
        <w:numPr>
          <w:ilvl w:val="0"/>
          <w:numId w:val="5"/>
        </w:numPr>
        <w:spacing w:after="0" w:line="240" w:lineRule="auto"/>
        <w:rPr>
          <w:rFonts w:ascii="Arial" w:eastAsia="Calibri" w:hAnsi="Arial" w:cs="Arial"/>
          <w:sz w:val="24"/>
          <w:szCs w:val="24"/>
        </w:rPr>
      </w:pPr>
      <w:r w:rsidRPr="00B568F3">
        <w:rPr>
          <w:rFonts w:ascii="Arial" w:eastAsia="Calibri" w:hAnsi="Arial" w:cs="Arial"/>
          <w:sz w:val="24"/>
          <w:szCs w:val="24"/>
        </w:rPr>
        <w:t>the amount of the grant</w:t>
      </w:r>
    </w:p>
    <w:p w14:paraId="342AD479" w14:textId="7E174D64" w:rsidR="00323BD0" w:rsidRPr="00B568F3" w:rsidRDefault="069F4A6E" w:rsidP="00163D3F">
      <w:pPr>
        <w:pStyle w:val="ListParagraph"/>
        <w:numPr>
          <w:ilvl w:val="0"/>
          <w:numId w:val="5"/>
        </w:numPr>
        <w:spacing w:after="0" w:line="240" w:lineRule="auto"/>
        <w:rPr>
          <w:rFonts w:ascii="Arial" w:eastAsia="Calibri" w:hAnsi="Arial" w:cs="Arial"/>
          <w:sz w:val="24"/>
          <w:szCs w:val="24"/>
        </w:rPr>
      </w:pPr>
      <w:r w:rsidRPr="00B568F3">
        <w:rPr>
          <w:rFonts w:ascii="Arial" w:eastAsia="Calibri" w:hAnsi="Arial" w:cs="Arial"/>
          <w:sz w:val="24"/>
          <w:szCs w:val="24"/>
        </w:rPr>
        <w:t xml:space="preserve">what it can be used for that year </w:t>
      </w:r>
    </w:p>
    <w:p w14:paraId="5F8ACA91" w14:textId="5F00FC7F" w:rsidR="00323BD0" w:rsidRPr="00B568F3" w:rsidRDefault="069F4A6E" w:rsidP="00163D3F">
      <w:pPr>
        <w:pStyle w:val="ListParagraph"/>
        <w:numPr>
          <w:ilvl w:val="0"/>
          <w:numId w:val="5"/>
        </w:numPr>
        <w:spacing w:after="0" w:line="240" w:lineRule="auto"/>
        <w:rPr>
          <w:rFonts w:ascii="Arial" w:eastAsia="Calibri" w:hAnsi="Arial" w:cs="Arial"/>
          <w:sz w:val="24"/>
          <w:szCs w:val="24"/>
        </w:rPr>
      </w:pPr>
      <w:r w:rsidRPr="00B568F3">
        <w:rPr>
          <w:rFonts w:ascii="Arial" w:eastAsia="Calibri" w:hAnsi="Arial" w:cs="Arial"/>
          <w:sz w:val="24"/>
          <w:szCs w:val="24"/>
        </w:rPr>
        <w:t xml:space="preserve">how to apply for the money </w:t>
      </w:r>
    </w:p>
    <w:p w14:paraId="7B6B744C" w14:textId="25836BC9" w:rsidR="00323BD0" w:rsidRPr="00B568F3" w:rsidRDefault="069F4A6E" w:rsidP="00163D3F">
      <w:pPr>
        <w:pStyle w:val="ListParagraph"/>
        <w:numPr>
          <w:ilvl w:val="0"/>
          <w:numId w:val="5"/>
        </w:numPr>
        <w:spacing w:after="0" w:line="240" w:lineRule="auto"/>
        <w:rPr>
          <w:rFonts w:ascii="Arial" w:eastAsia="Calibri" w:hAnsi="Arial" w:cs="Arial"/>
          <w:sz w:val="24"/>
          <w:szCs w:val="24"/>
        </w:rPr>
      </w:pPr>
      <w:r w:rsidRPr="00B568F3">
        <w:rPr>
          <w:rFonts w:ascii="Arial" w:eastAsia="Calibri" w:hAnsi="Arial" w:cs="Arial"/>
          <w:sz w:val="24"/>
          <w:szCs w:val="24"/>
        </w:rPr>
        <w:t>how the grant should be managed</w:t>
      </w:r>
    </w:p>
    <w:p w14:paraId="2471F229" w14:textId="43E3880D" w:rsidR="00323BD0" w:rsidRPr="00B568F3" w:rsidRDefault="069F4A6E" w:rsidP="00163D3F">
      <w:pPr>
        <w:pStyle w:val="ListParagraph"/>
        <w:numPr>
          <w:ilvl w:val="0"/>
          <w:numId w:val="5"/>
        </w:numPr>
        <w:spacing w:after="0" w:line="240" w:lineRule="auto"/>
        <w:rPr>
          <w:rFonts w:ascii="Arial" w:eastAsia="Calibri" w:hAnsi="Arial" w:cs="Arial"/>
          <w:sz w:val="24"/>
          <w:szCs w:val="24"/>
        </w:rPr>
      </w:pPr>
      <w:r w:rsidRPr="00B568F3">
        <w:rPr>
          <w:rFonts w:ascii="Arial" w:eastAsia="Calibri" w:hAnsi="Arial" w:cs="Arial"/>
          <w:sz w:val="24"/>
          <w:szCs w:val="24"/>
        </w:rPr>
        <w:t>what our expectations are for reporting and monitoring.</w:t>
      </w:r>
    </w:p>
    <w:p w14:paraId="1C3DE7B8" w14:textId="77777777" w:rsidR="00AD6C88" w:rsidRPr="00B568F3" w:rsidRDefault="00AD6C88" w:rsidP="00D4406A">
      <w:pPr>
        <w:spacing w:after="0" w:line="240" w:lineRule="auto"/>
        <w:rPr>
          <w:rFonts w:ascii="Arial" w:eastAsia="Calibri" w:hAnsi="Arial" w:cs="Arial"/>
          <w:sz w:val="24"/>
          <w:szCs w:val="24"/>
        </w:rPr>
      </w:pPr>
    </w:p>
    <w:p w14:paraId="74D9EFE2" w14:textId="1955507B" w:rsidR="00AD6C88" w:rsidRPr="00B568F3" w:rsidRDefault="069F4A6E" w:rsidP="00AD6C88">
      <w:pPr>
        <w:spacing w:after="0" w:line="240" w:lineRule="auto"/>
        <w:rPr>
          <w:rFonts w:ascii="Arial" w:eastAsia="Calibri" w:hAnsi="Arial" w:cs="Arial"/>
          <w:sz w:val="24"/>
          <w:szCs w:val="24"/>
        </w:rPr>
      </w:pPr>
      <w:r w:rsidRPr="00B568F3">
        <w:rPr>
          <w:rFonts w:ascii="Arial" w:eastAsia="Calibri" w:hAnsi="Arial" w:cs="Arial"/>
          <w:sz w:val="24"/>
          <w:szCs w:val="24"/>
        </w:rPr>
        <w:t>The SCWWDP programme also includes</w:t>
      </w:r>
      <w:r w:rsidR="00AD6C88" w:rsidRPr="00B568F3" w:rsidDel="069F4A6E">
        <w:rPr>
          <w:rFonts w:ascii="Arial" w:eastAsia="Calibri" w:hAnsi="Arial" w:cs="Arial"/>
          <w:sz w:val="24"/>
          <w:szCs w:val="24"/>
        </w:rPr>
        <w:t xml:space="preserve"> </w:t>
      </w:r>
      <w:r w:rsidRPr="00B568F3">
        <w:rPr>
          <w:rFonts w:ascii="Arial" w:eastAsia="Calibri" w:hAnsi="Arial" w:cs="Arial"/>
          <w:sz w:val="24"/>
          <w:szCs w:val="24"/>
        </w:rPr>
        <w:t xml:space="preserve">the Regional Facilitation Grant. This funding </w:t>
      </w:r>
      <w:r w:rsidR="00FC65FE" w:rsidRPr="00B568F3">
        <w:rPr>
          <w:rFonts w:ascii="Arial" w:eastAsia="Calibri" w:hAnsi="Arial" w:cs="Arial"/>
          <w:sz w:val="24"/>
          <w:szCs w:val="24"/>
        </w:rPr>
        <w:t>doesn’t</w:t>
      </w:r>
      <w:r w:rsidRPr="00B568F3">
        <w:rPr>
          <w:rFonts w:ascii="Arial" w:eastAsia="Calibri" w:hAnsi="Arial" w:cs="Arial"/>
          <w:sz w:val="24"/>
          <w:szCs w:val="24"/>
        </w:rPr>
        <w:t xml:space="preserve"> need to be match funded by local authorities but must be used on specific priorities to support sector wide engagement within the regions.</w:t>
      </w:r>
    </w:p>
    <w:p w14:paraId="7AB63890" w14:textId="77777777" w:rsidR="004B37ED" w:rsidRPr="00B568F3" w:rsidRDefault="004B37ED" w:rsidP="00AD6C88">
      <w:pPr>
        <w:spacing w:after="0" w:line="240" w:lineRule="auto"/>
        <w:rPr>
          <w:rFonts w:ascii="Arial" w:eastAsia="Calibri" w:hAnsi="Arial" w:cs="Arial"/>
          <w:sz w:val="24"/>
          <w:szCs w:val="24"/>
        </w:rPr>
      </w:pPr>
    </w:p>
    <w:p w14:paraId="12E8B71F" w14:textId="77777777" w:rsidR="00A54908" w:rsidRPr="00B568F3" w:rsidRDefault="00A54908" w:rsidP="00AD6C88">
      <w:pPr>
        <w:spacing w:after="0" w:line="240" w:lineRule="auto"/>
        <w:rPr>
          <w:rFonts w:ascii="Arial" w:eastAsia="Calibri" w:hAnsi="Arial" w:cs="Arial"/>
          <w:sz w:val="24"/>
          <w:szCs w:val="24"/>
          <w:u w:val="single"/>
        </w:rPr>
      </w:pPr>
    </w:p>
    <w:p w14:paraId="3A128A4F" w14:textId="29FA7282" w:rsidR="00E87CB7" w:rsidRPr="00B568F3" w:rsidRDefault="00E87CB7" w:rsidP="002D1B1F">
      <w:pPr>
        <w:spacing w:after="0" w:line="240" w:lineRule="auto"/>
        <w:rPr>
          <w:rFonts w:ascii="Arial" w:eastAsia="Calibri" w:hAnsi="Arial" w:cs="Arial"/>
          <w:b/>
          <w:bCs/>
          <w:sz w:val="24"/>
          <w:szCs w:val="24"/>
        </w:rPr>
      </w:pPr>
      <w:r w:rsidRPr="00B568F3">
        <w:rPr>
          <w:rFonts w:ascii="Arial" w:eastAsia="Calibri" w:hAnsi="Arial" w:cs="Arial"/>
          <w:b/>
          <w:bCs/>
          <w:sz w:val="24"/>
          <w:szCs w:val="24"/>
        </w:rPr>
        <w:t xml:space="preserve">What’s in this report? </w:t>
      </w:r>
    </w:p>
    <w:p w14:paraId="5E2BC3BA" w14:textId="77777777" w:rsidR="00137D16" w:rsidRPr="00B568F3" w:rsidRDefault="00137D16" w:rsidP="002D1B1F">
      <w:pPr>
        <w:spacing w:after="0" w:line="240" w:lineRule="auto"/>
        <w:rPr>
          <w:rFonts w:ascii="Arial" w:eastAsia="Calibri" w:hAnsi="Arial" w:cs="Arial"/>
          <w:b/>
          <w:bCs/>
          <w:sz w:val="24"/>
          <w:szCs w:val="24"/>
        </w:rPr>
      </w:pPr>
    </w:p>
    <w:p w14:paraId="363ACD9A" w14:textId="0C327137" w:rsidR="00E87CB7" w:rsidRPr="00B568F3" w:rsidRDefault="00760530" w:rsidP="00B66246">
      <w:pPr>
        <w:spacing w:after="0" w:line="240" w:lineRule="auto"/>
        <w:rPr>
          <w:rFonts w:ascii="Arial" w:eastAsia="Calibri" w:hAnsi="Arial" w:cs="Arial"/>
          <w:sz w:val="24"/>
          <w:szCs w:val="24"/>
        </w:rPr>
      </w:pPr>
      <w:r w:rsidRPr="00B568F3">
        <w:rPr>
          <w:rFonts w:ascii="Arial" w:eastAsia="Calibri" w:hAnsi="Arial" w:cs="Arial"/>
          <w:sz w:val="24"/>
          <w:szCs w:val="24"/>
        </w:rPr>
        <w:t>As p</w:t>
      </w:r>
      <w:r w:rsidR="069F4A6E" w:rsidRPr="00B568F3">
        <w:rPr>
          <w:rFonts w:ascii="Arial" w:eastAsia="Calibri" w:hAnsi="Arial" w:cs="Arial"/>
          <w:sz w:val="24"/>
          <w:szCs w:val="24"/>
        </w:rPr>
        <w:t xml:space="preserve">art of </w:t>
      </w:r>
      <w:r w:rsidR="004C1644" w:rsidRPr="00B568F3">
        <w:rPr>
          <w:rFonts w:ascii="Arial" w:eastAsia="Calibri" w:hAnsi="Arial" w:cs="Arial"/>
          <w:sz w:val="24"/>
          <w:szCs w:val="24"/>
        </w:rPr>
        <w:t>our</w:t>
      </w:r>
      <w:r w:rsidR="069F4A6E" w:rsidRPr="00B568F3">
        <w:rPr>
          <w:rFonts w:ascii="Arial" w:eastAsia="Calibri" w:hAnsi="Arial" w:cs="Arial"/>
          <w:sz w:val="24"/>
          <w:szCs w:val="24"/>
        </w:rPr>
        <w:t xml:space="preserve"> requirements for receiving the SCWWDP grant</w:t>
      </w:r>
      <w:r w:rsidR="00FE261A" w:rsidRPr="00B568F3">
        <w:rPr>
          <w:rFonts w:ascii="Arial" w:eastAsia="Calibri" w:hAnsi="Arial" w:cs="Arial"/>
          <w:sz w:val="24"/>
          <w:szCs w:val="24"/>
        </w:rPr>
        <w:t>,</w:t>
      </w:r>
      <w:r w:rsidR="069F4A6E" w:rsidRPr="00B568F3">
        <w:rPr>
          <w:rFonts w:ascii="Arial" w:eastAsia="Calibri" w:hAnsi="Arial" w:cs="Arial"/>
          <w:sz w:val="24"/>
          <w:szCs w:val="24"/>
        </w:rPr>
        <w:t xml:space="preserve"> regions must report on how they’ve invested the SCWWDP funds. This includes the money </w:t>
      </w:r>
      <w:r w:rsidR="0003710E" w:rsidRPr="00B568F3">
        <w:rPr>
          <w:rFonts w:ascii="Arial" w:eastAsia="Calibri" w:hAnsi="Arial" w:cs="Arial"/>
          <w:sz w:val="24"/>
          <w:szCs w:val="24"/>
        </w:rPr>
        <w:t>we’ve issued</w:t>
      </w:r>
      <w:r w:rsidR="069F4A6E" w:rsidRPr="00B568F3">
        <w:rPr>
          <w:rFonts w:ascii="Arial" w:eastAsia="Calibri" w:hAnsi="Arial" w:cs="Arial"/>
          <w:sz w:val="24"/>
          <w:szCs w:val="24"/>
        </w:rPr>
        <w:t xml:space="preserve"> and the 30</w:t>
      </w:r>
      <w:r w:rsidRPr="00B568F3">
        <w:rPr>
          <w:rFonts w:ascii="Arial" w:eastAsia="Calibri" w:hAnsi="Arial" w:cs="Arial"/>
          <w:sz w:val="24"/>
          <w:szCs w:val="24"/>
        </w:rPr>
        <w:t xml:space="preserve"> per cent</w:t>
      </w:r>
      <w:r w:rsidR="069F4A6E" w:rsidRPr="00B568F3">
        <w:rPr>
          <w:rFonts w:ascii="Arial" w:eastAsia="Calibri" w:hAnsi="Arial" w:cs="Arial"/>
          <w:sz w:val="24"/>
          <w:szCs w:val="24"/>
        </w:rPr>
        <w:t xml:space="preserve"> match funding contributed by each local authority.</w:t>
      </w:r>
    </w:p>
    <w:p w14:paraId="1C10568D" w14:textId="77777777" w:rsidR="00625C6C" w:rsidRPr="00B568F3" w:rsidRDefault="00625C6C" w:rsidP="00B66246">
      <w:pPr>
        <w:spacing w:after="0" w:line="240" w:lineRule="auto"/>
        <w:rPr>
          <w:rFonts w:ascii="Arial" w:eastAsia="Calibri" w:hAnsi="Arial" w:cs="Arial"/>
          <w:sz w:val="24"/>
          <w:szCs w:val="24"/>
        </w:rPr>
      </w:pPr>
    </w:p>
    <w:p w14:paraId="5EDEFBF2" w14:textId="7F0DFAA2" w:rsidR="00625C6C" w:rsidRPr="00B568F3" w:rsidRDefault="069F4A6E" w:rsidP="00B66246">
      <w:pPr>
        <w:spacing w:after="0" w:line="240" w:lineRule="auto"/>
        <w:rPr>
          <w:rFonts w:ascii="Arial" w:eastAsia="Calibri" w:hAnsi="Arial" w:cs="Arial"/>
          <w:sz w:val="24"/>
          <w:szCs w:val="24"/>
        </w:rPr>
      </w:pPr>
      <w:r w:rsidRPr="00B568F3">
        <w:rPr>
          <w:rFonts w:ascii="Arial" w:eastAsia="Calibri" w:hAnsi="Arial" w:cs="Arial"/>
          <w:sz w:val="24"/>
          <w:szCs w:val="24"/>
        </w:rPr>
        <w:t>Each region is audited every year by Audit Wales to make sure</w:t>
      </w:r>
      <w:r w:rsidRPr="00B568F3" w:rsidDel="0003710E">
        <w:rPr>
          <w:rFonts w:ascii="Arial" w:eastAsia="Calibri" w:hAnsi="Arial" w:cs="Arial"/>
          <w:sz w:val="24"/>
          <w:szCs w:val="24"/>
        </w:rPr>
        <w:t xml:space="preserve"> </w:t>
      </w:r>
      <w:r w:rsidRPr="00B568F3">
        <w:rPr>
          <w:rFonts w:ascii="Arial" w:eastAsia="Calibri" w:hAnsi="Arial" w:cs="Arial"/>
          <w:sz w:val="24"/>
          <w:szCs w:val="24"/>
        </w:rPr>
        <w:t>all the public money invested in SCWWDP is accounted for.</w:t>
      </w:r>
    </w:p>
    <w:p w14:paraId="6CE0E314" w14:textId="77777777" w:rsidR="0068759D" w:rsidRPr="00B568F3" w:rsidRDefault="0068759D" w:rsidP="00B66246">
      <w:pPr>
        <w:spacing w:after="0" w:line="240" w:lineRule="auto"/>
        <w:rPr>
          <w:rFonts w:ascii="Arial" w:eastAsia="Calibri" w:hAnsi="Arial" w:cs="Arial"/>
          <w:sz w:val="24"/>
          <w:szCs w:val="24"/>
        </w:rPr>
      </w:pPr>
    </w:p>
    <w:p w14:paraId="2519365C" w14:textId="2EF1CFE2" w:rsidR="0068759D" w:rsidRPr="00B568F3" w:rsidRDefault="069F4A6E" w:rsidP="00B66246">
      <w:pPr>
        <w:spacing w:after="0" w:line="240" w:lineRule="auto"/>
        <w:rPr>
          <w:rFonts w:ascii="Arial" w:eastAsia="Calibri" w:hAnsi="Arial" w:cs="Arial"/>
          <w:sz w:val="24"/>
          <w:szCs w:val="24"/>
        </w:rPr>
      </w:pPr>
      <w:r w:rsidRPr="00B568F3">
        <w:rPr>
          <w:rFonts w:ascii="Arial" w:eastAsia="Calibri" w:hAnsi="Arial" w:cs="Arial"/>
          <w:sz w:val="24"/>
          <w:szCs w:val="24"/>
        </w:rPr>
        <w:t>As well as the SCWWDP funding and 30</w:t>
      </w:r>
      <w:r w:rsidR="0003710E" w:rsidRPr="00B568F3">
        <w:rPr>
          <w:rFonts w:ascii="Arial" w:eastAsia="Calibri" w:hAnsi="Arial" w:cs="Arial"/>
          <w:sz w:val="24"/>
          <w:szCs w:val="24"/>
        </w:rPr>
        <w:t xml:space="preserve"> per cent</w:t>
      </w:r>
      <w:r w:rsidRPr="00B568F3">
        <w:rPr>
          <w:rFonts w:ascii="Arial" w:eastAsia="Calibri" w:hAnsi="Arial" w:cs="Arial"/>
          <w:sz w:val="24"/>
          <w:szCs w:val="24"/>
        </w:rPr>
        <w:t xml:space="preserve"> match funding, some local authorities give more information </w:t>
      </w:r>
      <w:r w:rsidR="0003710E" w:rsidRPr="00B568F3">
        <w:rPr>
          <w:rFonts w:ascii="Arial" w:eastAsia="Calibri" w:hAnsi="Arial" w:cs="Arial"/>
          <w:sz w:val="24"/>
          <w:szCs w:val="24"/>
        </w:rPr>
        <w:t>about</w:t>
      </w:r>
      <w:r w:rsidRPr="00B568F3">
        <w:rPr>
          <w:rFonts w:ascii="Arial" w:eastAsia="Calibri" w:hAnsi="Arial" w:cs="Arial"/>
          <w:sz w:val="24"/>
          <w:szCs w:val="24"/>
        </w:rPr>
        <w:t xml:space="preserve"> the additional funding they spend on training and workforce development. </w:t>
      </w:r>
      <w:r w:rsidR="0075572F" w:rsidRPr="00B568F3">
        <w:rPr>
          <w:rFonts w:ascii="Arial" w:eastAsia="Calibri" w:hAnsi="Arial" w:cs="Arial"/>
          <w:sz w:val="24"/>
          <w:szCs w:val="24"/>
        </w:rPr>
        <w:t>We don’t have to include t</w:t>
      </w:r>
      <w:r w:rsidRPr="00B568F3">
        <w:rPr>
          <w:rFonts w:ascii="Arial" w:eastAsia="Calibri" w:hAnsi="Arial" w:cs="Arial"/>
          <w:sz w:val="24"/>
          <w:szCs w:val="24"/>
        </w:rPr>
        <w:t>his additional local authority spending information, but we include</w:t>
      </w:r>
      <w:r w:rsidR="0075572F" w:rsidRPr="00B568F3">
        <w:rPr>
          <w:rFonts w:ascii="Arial" w:eastAsia="Calibri" w:hAnsi="Arial" w:cs="Arial"/>
          <w:sz w:val="24"/>
          <w:szCs w:val="24"/>
        </w:rPr>
        <w:t xml:space="preserve"> it</w:t>
      </w:r>
      <w:r w:rsidR="00EC6BAE" w:rsidRPr="00B568F3">
        <w:rPr>
          <w:rFonts w:ascii="Arial" w:eastAsia="Calibri" w:hAnsi="Arial" w:cs="Arial"/>
          <w:sz w:val="24"/>
          <w:szCs w:val="24"/>
        </w:rPr>
        <w:t xml:space="preserve"> if a local authority has provided it</w:t>
      </w:r>
      <w:r w:rsidR="00250E8E" w:rsidRPr="00B568F3">
        <w:rPr>
          <w:rFonts w:ascii="Arial" w:eastAsia="Calibri" w:hAnsi="Arial" w:cs="Arial"/>
          <w:sz w:val="24"/>
          <w:szCs w:val="24"/>
        </w:rPr>
        <w:t>.</w:t>
      </w:r>
      <w:r w:rsidRPr="00B568F3" w:rsidDel="00EC6BAE">
        <w:rPr>
          <w:rFonts w:ascii="Arial" w:eastAsia="Calibri" w:hAnsi="Arial" w:cs="Arial"/>
          <w:sz w:val="24"/>
          <w:szCs w:val="24"/>
        </w:rPr>
        <w:t xml:space="preserve"> </w:t>
      </w:r>
      <w:r w:rsidR="003C06F4" w:rsidRPr="00B568F3">
        <w:rPr>
          <w:rFonts w:ascii="Arial" w:eastAsia="Calibri" w:hAnsi="Arial" w:cs="Arial"/>
          <w:sz w:val="24"/>
          <w:szCs w:val="24"/>
        </w:rPr>
        <w:t xml:space="preserve">Because of </w:t>
      </w:r>
      <w:r w:rsidR="006E12C9" w:rsidRPr="00B568F3">
        <w:rPr>
          <w:rFonts w:ascii="Arial" w:eastAsia="Calibri" w:hAnsi="Arial" w:cs="Arial"/>
          <w:sz w:val="24"/>
          <w:szCs w:val="24"/>
        </w:rPr>
        <w:t xml:space="preserve">this, </w:t>
      </w:r>
      <w:r w:rsidR="006E12C9" w:rsidRPr="00B568F3" w:rsidDel="00EC6BAE">
        <w:rPr>
          <w:rFonts w:ascii="Arial" w:eastAsia="Calibri" w:hAnsi="Arial" w:cs="Arial"/>
          <w:sz w:val="24"/>
          <w:szCs w:val="24"/>
        </w:rPr>
        <w:t>we</w:t>
      </w:r>
      <w:r w:rsidRPr="00B568F3">
        <w:rPr>
          <w:rFonts w:ascii="Arial" w:eastAsia="Calibri" w:hAnsi="Arial" w:cs="Arial"/>
          <w:sz w:val="24"/>
          <w:szCs w:val="24"/>
        </w:rPr>
        <w:t xml:space="preserve"> have two figures for spend. One figure is referred to as the </w:t>
      </w:r>
      <w:r w:rsidR="007E7CC9" w:rsidRPr="00B568F3">
        <w:rPr>
          <w:rFonts w:ascii="Arial" w:eastAsia="Calibri" w:hAnsi="Arial" w:cs="Arial"/>
          <w:sz w:val="24"/>
          <w:szCs w:val="24"/>
        </w:rPr>
        <w:t>core</w:t>
      </w:r>
      <w:r w:rsidRPr="00B568F3">
        <w:rPr>
          <w:rFonts w:ascii="Arial" w:eastAsia="Calibri" w:hAnsi="Arial" w:cs="Arial"/>
          <w:sz w:val="24"/>
          <w:szCs w:val="24"/>
        </w:rPr>
        <w:t xml:space="preserve"> SCWWDP funding,</w:t>
      </w:r>
      <w:r w:rsidR="0067442E" w:rsidRPr="00B568F3">
        <w:rPr>
          <w:rFonts w:ascii="Arial" w:eastAsia="Calibri" w:hAnsi="Arial" w:cs="Arial"/>
          <w:sz w:val="24"/>
          <w:szCs w:val="24"/>
        </w:rPr>
        <w:t xml:space="preserve"> and</w:t>
      </w:r>
      <w:r w:rsidRPr="00B568F3">
        <w:rPr>
          <w:rFonts w:ascii="Arial" w:eastAsia="Calibri" w:hAnsi="Arial" w:cs="Arial"/>
          <w:sz w:val="24"/>
          <w:szCs w:val="24"/>
        </w:rPr>
        <w:t xml:space="preserve"> the other is referred to as additional local authority spend. Both figures combined are referred to as ‘total’ or ‘overall</w:t>
      </w:r>
      <w:r w:rsidR="0041706A" w:rsidRPr="00B568F3">
        <w:rPr>
          <w:rFonts w:ascii="Arial" w:eastAsia="Calibri" w:hAnsi="Arial" w:cs="Arial"/>
          <w:sz w:val="24"/>
          <w:szCs w:val="24"/>
        </w:rPr>
        <w:t>’</w:t>
      </w:r>
      <w:r w:rsidRPr="00B568F3">
        <w:rPr>
          <w:rFonts w:ascii="Arial" w:eastAsia="Calibri" w:hAnsi="Arial" w:cs="Arial"/>
          <w:sz w:val="24"/>
          <w:szCs w:val="24"/>
        </w:rPr>
        <w:t xml:space="preserve"> spend.</w:t>
      </w:r>
    </w:p>
    <w:p w14:paraId="05BCE892" w14:textId="07968581" w:rsidR="00555530" w:rsidRPr="00B568F3" w:rsidRDefault="00DA0A9E" w:rsidP="002C6553">
      <w:pPr>
        <w:spacing w:after="0" w:line="240" w:lineRule="auto"/>
        <w:rPr>
          <w:rFonts w:ascii="Arial" w:eastAsia="Calibri" w:hAnsi="Arial" w:cs="Arial"/>
          <w:b/>
          <w:bCs/>
          <w:sz w:val="24"/>
          <w:szCs w:val="24"/>
        </w:rPr>
      </w:pPr>
      <w:r w:rsidRPr="00B568F3">
        <w:rPr>
          <w:rFonts w:ascii="Arial" w:eastAsia="Calibri" w:hAnsi="Arial" w:cs="Arial"/>
          <w:b/>
          <w:bCs/>
          <w:sz w:val="24"/>
          <w:szCs w:val="24"/>
        </w:rPr>
        <w:t>How is th</w:t>
      </w:r>
      <w:r w:rsidR="0041706A" w:rsidRPr="00B568F3">
        <w:rPr>
          <w:rFonts w:ascii="Arial" w:eastAsia="Calibri" w:hAnsi="Arial" w:cs="Arial"/>
          <w:b/>
          <w:bCs/>
          <w:sz w:val="24"/>
          <w:szCs w:val="24"/>
        </w:rPr>
        <w:t>is</w:t>
      </w:r>
      <w:r w:rsidRPr="00B568F3">
        <w:rPr>
          <w:rFonts w:ascii="Arial" w:eastAsia="Calibri" w:hAnsi="Arial" w:cs="Arial"/>
          <w:b/>
          <w:bCs/>
          <w:sz w:val="24"/>
          <w:szCs w:val="24"/>
        </w:rPr>
        <w:t xml:space="preserve"> report structured?</w:t>
      </w:r>
    </w:p>
    <w:p w14:paraId="69AD1EF6" w14:textId="77777777" w:rsidR="00DA0A9E" w:rsidRPr="00B568F3" w:rsidRDefault="00DA0A9E" w:rsidP="002C6553">
      <w:pPr>
        <w:spacing w:after="0" w:line="240" w:lineRule="auto"/>
        <w:rPr>
          <w:rFonts w:ascii="Arial" w:eastAsia="Calibri" w:hAnsi="Arial" w:cs="Arial"/>
          <w:sz w:val="24"/>
          <w:szCs w:val="24"/>
        </w:rPr>
      </w:pPr>
    </w:p>
    <w:p w14:paraId="3E1C7105" w14:textId="348C6CE5" w:rsidR="002D1B1F" w:rsidRPr="00B568F3" w:rsidRDefault="069F4A6E" w:rsidP="069F4A6E">
      <w:pPr>
        <w:spacing w:after="200" w:line="276" w:lineRule="auto"/>
        <w:contextualSpacing/>
        <w:rPr>
          <w:rFonts w:ascii="Arial" w:eastAsia="Calibri" w:hAnsi="Arial" w:cs="Arial"/>
          <w:sz w:val="24"/>
          <w:szCs w:val="24"/>
        </w:rPr>
      </w:pPr>
      <w:r w:rsidRPr="00B568F3">
        <w:rPr>
          <w:rFonts w:ascii="Arial" w:eastAsia="Calibri" w:hAnsi="Arial" w:cs="Arial"/>
          <w:sz w:val="24"/>
          <w:szCs w:val="24"/>
        </w:rPr>
        <w:t>The first part of the report shows:</w:t>
      </w:r>
    </w:p>
    <w:p w14:paraId="3DAFF2D3" w14:textId="3A8027F0" w:rsidR="002D1B1F" w:rsidRPr="00B568F3" w:rsidRDefault="069F4A6E" w:rsidP="00163D3F">
      <w:pPr>
        <w:pStyle w:val="ListParagraph"/>
        <w:numPr>
          <w:ilvl w:val="0"/>
          <w:numId w:val="4"/>
        </w:numPr>
        <w:spacing w:after="200" w:line="276" w:lineRule="auto"/>
        <w:rPr>
          <w:rFonts w:ascii="Arial" w:eastAsia="Calibri" w:hAnsi="Arial" w:cs="Arial"/>
          <w:sz w:val="24"/>
          <w:szCs w:val="24"/>
        </w:rPr>
      </w:pPr>
      <w:r w:rsidRPr="00B568F3">
        <w:rPr>
          <w:rFonts w:ascii="Arial" w:eastAsia="Calibri" w:hAnsi="Arial" w:cs="Arial"/>
          <w:sz w:val="24"/>
          <w:szCs w:val="24"/>
        </w:rPr>
        <w:t>the financial data on how the SCWWDP money has been invested in 2023</w:t>
      </w:r>
      <w:r w:rsidR="0041706A" w:rsidRPr="00B568F3">
        <w:rPr>
          <w:rFonts w:ascii="Arial" w:eastAsia="Calibri" w:hAnsi="Arial" w:cs="Arial"/>
          <w:sz w:val="24"/>
          <w:szCs w:val="24"/>
        </w:rPr>
        <w:t xml:space="preserve"> to </w:t>
      </w:r>
      <w:r w:rsidRPr="00B568F3">
        <w:rPr>
          <w:rFonts w:ascii="Arial" w:eastAsia="Calibri" w:hAnsi="Arial" w:cs="Arial"/>
          <w:sz w:val="24"/>
          <w:szCs w:val="24"/>
        </w:rPr>
        <w:t>2024</w:t>
      </w:r>
    </w:p>
    <w:p w14:paraId="2BCA6633" w14:textId="2776FF04" w:rsidR="002D1B1F" w:rsidRPr="00B568F3" w:rsidRDefault="069F4A6E" w:rsidP="00163D3F">
      <w:pPr>
        <w:pStyle w:val="ListParagraph"/>
        <w:numPr>
          <w:ilvl w:val="0"/>
          <w:numId w:val="4"/>
        </w:numPr>
        <w:spacing w:after="200" w:line="276" w:lineRule="auto"/>
        <w:rPr>
          <w:rFonts w:ascii="Arial" w:eastAsia="Calibri" w:hAnsi="Arial" w:cs="Arial"/>
          <w:sz w:val="24"/>
          <w:szCs w:val="24"/>
        </w:rPr>
      </w:pPr>
      <w:r w:rsidRPr="00B568F3">
        <w:rPr>
          <w:rFonts w:ascii="Arial" w:eastAsia="Calibri" w:hAnsi="Arial" w:cs="Arial"/>
          <w:sz w:val="24"/>
          <w:szCs w:val="24"/>
        </w:rPr>
        <w:t>key figures such as training numbers and qualification activity</w:t>
      </w:r>
    </w:p>
    <w:p w14:paraId="56F35FE8" w14:textId="7D47B542" w:rsidR="002D1B1F" w:rsidRPr="00B568F3" w:rsidRDefault="069F4A6E" w:rsidP="00163D3F">
      <w:pPr>
        <w:pStyle w:val="ListParagraph"/>
        <w:numPr>
          <w:ilvl w:val="0"/>
          <w:numId w:val="4"/>
        </w:numPr>
        <w:spacing w:after="200" w:line="276" w:lineRule="auto"/>
        <w:rPr>
          <w:rFonts w:ascii="Arial" w:eastAsia="Calibri" w:hAnsi="Arial" w:cs="Arial"/>
          <w:sz w:val="24"/>
          <w:szCs w:val="24"/>
        </w:rPr>
      </w:pPr>
      <w:r w:rsidRPr="00B568F3">
        <w:rPr>
          <w:rFonts w:ascii="Arial" w:eastAsia="Calibri" w:hAnsi="Arial" w:cs="Arial"/>
          <w:sz w:val="24"/>
          <w:szCs w:val="24"/>
        </w:rPr>
        <w:t>comparisons for the last three financial years, where possible.</w:t>
      </w:r>
    </w:p>
    <w:p w14:paraId="44EFBAFB" w14:textId="50581905" w:rsidR="001E0DB6" w:rsidRPr="00B568F3" w:rsidRDefault="069F4A6E" w:rsidP="069F4A6E">
      <w:pPr>
        <w:spacing w:after="200" w:line="276" w:lineRule="auto"/>
        <w:contextualSpacing/>
        <w:rPr>
          <w:rFonts w:ascii="Arial" w:eastAsia="Calibri" w:hAnsi="Arial" w:cs="Arial"/>
          <w:sz w:val="24"/>
          <w:szCs w:val="24"/>
        </w:rPr>
      </w:pPr>
      <w:r w:rsidRPr="00B568F3">
        <w:rPr>
          <w:rFonts w:ascii="Arial" w:eastAsia="Calibri" w:hAnsi="Arial" w:cs="Arial"/>
          <w:sz w:val="24"/>
          <w:szCs w:val="24"/>
        </w:rPr>
        <w:t>The second part of the report:</w:t>
      </w:r>
    </w:p>
    <w:p w14:paraId="6957B872" w14:textId="354DA500" w:rsidR="001E0DB6" w:rsidRPr="00B568F3" w:rsidRDefault="069F4A6E" w:rsidP="00163D3F">
      <w:pPr>
        <w:pStyle w:val="ListParagraph"/>
        <w:numPr>
          <w:ilvl w:val="0"/>
          <w:numId w:val="3"/>
        </w:numPr>
        <w:spacing w:after="200" w:line="276" w:lineRule="auto"/>
        <w:rPr>
          <w:rFonts w:ascii="Arial" w:eastAsia="Calibri" w:hAnsi="Arial" w:cs="Arial"/>
          <w:sz w:val="24"/>
          <w:szCs w:val="24"/>
        </w:rPr>
      </w:pPr>
      <w:r w:rsidRPr="00B568F3">
        <w:rPr>
          <w:rFonts w:ascii="Arial" w:eastAsia="Calibri" w:hAnsi="Arial" w:cs="Arial"/>
          <w:sz w:val="24"/>
          <w:szCs w:val="24"/>
        </w:rPr>
        <w:t>highlights the activity against the key themes outlined in the SCWWDP grant circular</w:t>
      </w:r>
    </w:p>
    <w:p w14:paraId="25B33CCF" w14:textId="7EBFC3F1" w:rsidR="001E0DB6" w:rsidRPr="00B568F3" w:rsidRDefault="069F4A6E" w:rsidP="00163D3F">
      <w:pPr>
        <w:pStyle w:val="ListParagraph"/>
        <w:numPr>
          <w:ilvl w:val="0"/>
          <w:numId w:val="3"/>
        </w:numPr>
        <w:spacing w:after="200" w:line="276" w:lineRule="auto"/>
        <w:rPr>
          <w:rFonts w:ascii="Arial" w:eastAsia="Calibri" w:hAnsi="Arial" w:cs="Arial"/>
          <w:sz w:val="24"/>
          <w:szCs w:val="24"/>
        </w:rPr>
      </w:pPr>
      <w:r w:rsidRPr="00B568F3">
        <w:rPr>
          <w:rFonts w:ascii="Arial" w:eastAsia="Calibri" w:hAnsi="Arial" w:cs="Arial"/>
          <w:sz w:val="24"/>
          <w:szCs w:val="24"/>
        </w:rPr>
        <w:t>has information on outcomes and outputs for each region.</w:t>
      </w:r>
    </w:p>
    <w:p w14:paraId="03959FB4" w14:textId="77777777" w:rsidR="002D286F" w:rsidRPr="00B568F3" w:rsidRDefault="002D286F" w:rsidP="00F8777C">
      <w:pPr>
        <w:spacing w:after="200" w:line="276" w:lineRule="auto"/>
        <w:contextualSpacing/>
        <w:rPr>
          <w:rFonts w:ascii="Arial" w:eastAsia="Calibri" w:hAnsi="Arial" w:cs="Arial"/>
          <w:sz w:val="24"/>
          <w:szCs w:val="24"/>
        </w:rPr>
      </w:pPr>
    </w:p>
    <w:p w14:paraId="2C4A7909" w14:textId="1DCCF7AD" w:rsidR="00876CB5" w:rsidRPr="00B568F3" w:rsidRDefault="069F4A6E" w:rsidP="002D286F">
      <w:pPr>
        <w:spacing w:after="20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Following an independent review in 2021, the national priorities of the SCWWDP grant were aligned to selected themes in </w:t>
      </w:r>
      <w:hyperlink r:id="rId8">
        <w:r w:rsidRPr="00B568F3">
          <w:rPr>
            <w:rStyle w:val="Hyperlink"/>
            <w:rFonts w:ascii="Arial" w:eastAsia="Calibri" w:hAnsi="Arial" w:cs="Arial"/>
            <w:sz w:val="24"/>
            <w:szCs w:val="24"/>
          </w:rPr>
          <w:t>A Healthier Wales: Our Workforce Strategy for Health and Social Care.</w:t>
        </w:r>
      </w:hyperlink>
      <w:r w:rsidRPr="00B568F3">
        <w:rPr>
          <w:rFonts w:ascii="Arial" w:eastAsia="Calibri" w:hAnsi="Arial" w:cs="Arial"/>
          <w:sz w:val="24"/>
          <w:szCs w:val="24"/>
        </w:rPr>
        <w:t xml:space="preserve"> </w:t>
      </w:r>
      <w:r w:rsidR="496B9917" w:rsidRPr="00B568F3">
        <w:rPr>
          <w:rFonts w:ascii="Arial" w:eastAsia="Calibri" w:hAnsi="Arial" w:cs="Arial"/>
          <w:sz w:val="24"/>
          <w:szCs w:val="24"/>
        </w:rPr>
        <w:t>We</w:t>
      </w:r>
      <w:r w:rsidRPr="00B568F3">
        <w:rPr>
          <w:rFonts w:ascii="Arial" w:eastAsia="Calibri" w:hAnsi="Arial" w:cs="Arial"/>
          <w:sz w:val="24"/>
          <w:szCs w:val="24"/>
        </w:rPr>
        <w:t xml:space="preserve"> developed and published the </w:t>
      </w:r>
      <w:r w:rsidR="00EB7A30" w:rsidRPr="00B568F3">
        <w:rPr>
          <w:rFonts w:ascii="Arial" w:eastAsia="Calibri" w:hAnsi="Arial" w:cs="Arial"/>
          <w:sz w:val="24"/>
          <w:szCs w:val="24"/>
        </w:rPr>
        <w:t xml:space="preserve">joint </w:t>
      </w:r>
      <w:r w:rsidRPr="00B568F3">
        <w:rPr>
          <w:rFonts w:ascii="Arial" w:eastAsia="Calibri" w:hAnsi="Arial" w:cs="Arial"/>
          <w:sz w:val="24"/>
          <w:szCs w:val="24"/>
        </w:rPr>
        <w:t xml:space="preserve">workforce strategy with Health Education and Improvement Wales in October 2020. </w:t>
      </w:r>
    </w:p>
    <w:p w14:paraId="7C321495" w14:textId="77777777" w:rsidR="00876CB5" w:rsidRPr="00B568F3" w:rsidRDefault="00876CB5" w:rsidP="002D286F">
      <w:pPr>
        <w:spacing w:after="200" w:line="276" w:lineRule="auto"/>
        <w:contextualSpacing/>
        <w:rPr>
          <w:rFonts w:ascii="Arial" w:eastAsia="Calibri" w:hAnsi="Arial" w:cs="Arial"/>
          <w:sz w:val="24"/>
          <w:szCs w:val="24"/>
          <w:lang w:eastAsia="en-GB"/>
        </w:rPr>
      </w:pPr>
    </w:p>
    <w:p w14:paraId="3D83080E" w14:textId="2EA4D70F" w:rsidR="002D286F" w:rsidRPr="00B568F3" w:rsidRDefault="069F4A6E" w:rsidP="002D286F">
      <w:pPr>
        <w:spacing w:after="20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Since SCWWDP can't fully fund the entire ambition of the workforce strategy, and to make sure the current funding is used proportionately, the grant focus</w:t>
      </w:r>
      <w:r w:rsidR="00D957C3" w:rsidRPr="00B568F3">
        <w:rPr>
          <w:rFonts w:ascii="Arial" w:eastAsia="Calibri" w:hAnsi="Arial" w:cs="Arial"/>
          <w:sz w:val="24"/>
          <w:szCs w:val="24"/>
          <w:lang w:eastAsia="en-GB"/>
        </w:rPr>
        <w:t>es</w:t>
      </w:r>
      <w:r w:rsidRPr="00B568F3">
        <w:rPr>
          <w:rFonts w:ascii="Arial" w:eastAsia="Calibri" w:hAnsi="Arial" w:cs="Arial"/>
          <w:sz w:val="24"/>
          <w:szCs w:val="24"/>
          <w:lang w:eastAsia="en-GB"/>
        </w:rPr>
        <w:t xml:space="preserve"> on the following key areas:</w:t>
      </w:r>
    </w:p>
    <w:p w14:paraId="11E993BA" w14:textId="77777777" w:rsidR="00AE336D" w:rsidRPr="00B568F3" w:rsidRDefault="00AE336D" w:rsidP="002D286F">
      <w:pPr>
        <w:spacing w:after="200" w:line="276" w:lineRule="auto"/>
        <w:contextualSpacing/>
        <w:rPr>
          <w:rFonts w:ascii="Arial" w:eastAsia="Calibri" w:hAnsi="Arial" w:cs="Arial"/>
          <w:sz w:val="24"/>
          <w:szCs w:val="24"/>
          <w:lang w:eastAsia="en-GB"/>
        </w:rPr>
      </w:pPr>
    </w:p>
    <w:p w14:paraId="7D47FD59" w14:textId="27A2FFEB" w:rsidR="00AE336D" w:rsidRPr="00B568F3" w:rsidRDefault="069F4A6E" w:rsidP="00B2131D">
      <w:pPr>
        <w:spacing w:after="200" w:line="276" w:lineRule="auto"/>
        <w:ind w:left="360"/>
        <w:contextualSpacing/>
        <w:rPr>
          <w:rFonts w:ascii="Arial" w:eastAsia="Calibri" w:hAnsi="Arial" w:cs="Arial"/>
          <w:b/>
          <w:sz w:val="24"/>
          <w:szCs w:val="24"/>
          <w:lang w:eastAsia="en-GB"/>
        </w:rPr>
      </w:pPr>
      <w:r w:rsidRPr="00B568F3">
        <w:rPr>
          <w:rFonts w:ascii="Arial" w:eastAsia="Calibri" w:hAnsi="Arial" w:cs="Arial"/>
          <w:b/>
          <w:sz w:val="24"/>
          <w:szCs w:val="24"/>
          <w:lang w:eastAsia="en-GB"/>
        </w:rPr>
        <w:t>SCWWDP (match funded)</w:t>
      </w:r>
    </w:p>
    <w:p w14:paraId="66D8D010" w14:textId="67254578" w:rsidR="002D286F" w:rsidRPr="00B568F3" w:rsidRDefault="069F4A6E" w:rsidP="00B2131D">
      <w:pPr>
        <w:pStyle w:val="ListParagraph"/>
        <w:numPr>
          <w:ilvl w:val="0"/>
          <w:numId w:val="2"/>
        </w:numPr>
        <w:spacing w:after="0" w:line="240" w:lineRule="auto"/>
        <w:rPr>
          <w:rFonts w:ascii="Arial" w:eastAsia="Calibri" w:hAnsi="Arial" w:cs="Arial"/>
          <w:sz w:val="24"/>
          <w:szCs w:val="24"/>
          <w:lang w:eastAsia="en-GB"/>
        </w:rPr>
      </w:pPr>
      <w:r w:rsidRPr="00B568F3">
        <w:rPr>
          <w:rFonts w:ascii="Arial" w:eastAsia="Calibri" w:hAnsi="Arial" w:cs="Arial"/>
          <w:sz w:val="24"/>
          <w:szCs w:val="24"/>
          <w:lang w:eastAsia="en-GB"/>
        </w:rPr>
        <w:t>Building a digitally ready workforce </w:t>
      </w:r>
    </w:p>
    <w:p w14:paraId="26B2D187" w14:textId="77777777" w:rsidR="002D286F" w:rsidRPr="00B568F3" w:rsidRDefault="069F4A6E" w:rsidP="00B2131D">
      <w:pPr>
        <w:pStyle w:val="ListParagraph"/>
        <w:numPr>
          <w:ilvl w:val="0"/>
          <w:numId w:val="2"/>
        </w:numPr>
        <w:spacing w:after="0" w:line="240" w:lineRule="auto"/>
        <w:rPr>
          <w:rFonts w:ascii="Arial" w:eastAsia="Calibri" w:hAnsi="Arial" w:cs="Arial"/>
          <w:sz w:val="24"/>
          <w:szCs w:val="24"/>
          <w:lang w:eastAsia="en-GB"/>
        </w:rPr>
      </w:pPr>
      <w:r w:rsidRPr="00B568F3">
        <w:rPr>
          <w:rFonts w:ascii="Arial" w:eastAsia="Calibri" w:hAnsi="Arial" w:cs="Arial"/>
          <w:sz w:val="24"/>
          <w:szCs w:val="24"/>
          <w:lang w:eastAsia="en-GB"/>
        </w:rPr>
        <w:t>Excellent education and learning  </w:t>
      </w:r>
    </w:p>
    <w:p w14:paraId="31013943" w14:textId="77777777" w:rsidR="002D286F" w:rsidRPr="00B568F3" w:rsidRDefault="069F4A6E" w:rsidP="00B2131D">
      <w:pPr>
        <w:pStyle w:val="ListParagraph"/>
        <w:numPr>
          <w:ilvl w:val="0"/>
          <w:numId w:val="2"/>
        </w:numPr>
        <w:spacing w:after="0" w:line="240" w:lineRule="auto"/>
        <w:rPr>
          <w:rFonts w:ascii="Arial" w:eastAsia="Calibri" w:hAnsi="Arial" w:cs="Arial"/>
          <w:sz w:val="24"/>
          <w:szCs w:val="24"/>
          <w:lang w:eastAsia="en-GB"/>
        </w:rPr>
      </w:pPr>
      <w:r w:rsidRPr="00B568F3">
        <w:rPr>
          <w:rFonts w:ascii="Arial" w:eastAsia="Calibri" w:hAnsi="Arial" w:cs="Arial"/>
          <w:sz w:val="24"/>
          <w:szCs w:val="24"/>
          <w:lang w:eastAsia="en-GB"/>
        </w:rPr>
        <w:t>Leadership and succession  </w:t>
      </w:r>
    </w:p>
    <w:p w14:paraId="4DB198E2" w14:textId="77777777" w:rsidR="00571360" w:rsidRPr="00B568F3" w:rsidRDefault="069F4A6E" w:rsidP="00B2131D">
      <w:pPr>
        <w:pStyle w:val="ListParagraph"/>
        <w:numPr>
          <w:ilvl w:val="0"/>
          <w:numId w:val="2"/>
        </w:numPr>
        <w:spacing w:after="0" w:line="240" w:lineRule="auto"/>
        <w:rPr>
          <w:rFonts w:ascii="Arial" w:eastAsia="Calibri" w:hAnsi="Arial" w:cs="Arial"/>
          <w:sz w:val="24"/>
          <w:szCs w:val="24"/>
          <w:lang w:eastAsia="en-GB"/>
        </w:rPr>
      </w:pPr>
      <w:r w:rsidRPr="00B568F3">
        <w:rPr>
          <w:rFonts w:ascii="Arial" w:eastAsia="Calibri" w:hAnsi="Arial" w:cs="Arial"/>
          <w:sz w:val="24"/>
          <w:szCs w:val="24"/>
          <w:lang w:eastAsia="en-GB"/>
        </w:rPr>
        <w:t>Workforce shape and supply  </w:t>
      </w:r>
    </w:p>
    <w:p w14:paraId="0DB0812C" w14:textId="794598C3" w:rsidR="005B0F58" w:rsidRPr="00B568F3" w:rsidRDefault="069F4A6E" w:rsidP="00B2131D">
      <w:pPr>
        <w:pStyle w:val="ListParagraph"/>
        <w:numPr>
          <w:ilvl w:val="0"/>
          <w:numId w:val="2"/>
        </w:numPr>
        <w:spacing w:after="0" w:line="240" w:lineRule="auto"/>
        <w:rPr>
          <w:rFonts w:ascii="Arial" w:eastAsia="Calibri" w:hAnsi="Arial" w:cs="Arial"/>
          <w:sz w:val="24"/>
          <w:szCs w:val="24"/>
          <w:lang w:eastAsia="en-GB"/>
        </w:rPr>
      </w:pPr>
      <w:r w:rsidRPr="00B568F3">
        <w:rPr>
          <w:rFonts w:ascii="Arial" w:eastAsia="Calibri" w:hAnsi="Arial" w:cs="Arial"/>
          <w:sz w:val="24"/>
          <w:szCs w:val="24"/>
          <w:lang w:eastAsia="en-GB"/>
        </w:rPr>
        <w:t>Provision of qualifying and post qualifying social work training</w:t>
      </w:r>
      <w:r w:rsidR="0067423A" w:rsidRPr="00B568F3">
        <w:rPr>
          <w:rFonts w:ascii="Arial" w:eastAsia="Calibri" w:hAnsi="Arial" w:cs="Arial"/>
          <w:sz w:val="24"/>
          <w:szCs w:val="24"/>
          <w:lang w:eastAsia="en-GB"/>
        </w:rPr>
        <w:t xml:space="preserve"> (</w:t>
      </w:r>
      <w:r w:rsidR="00D957C3" w:rsidRPr="00B568F3">
        <w:rPr>
          <w:rFonts w:ascii="Arial" w:eastAsia="Calibri" w:hAnsi="Arial" w:cs="Arial"/>
          <w:sz w:val="24"/>
          <w:szCs w:val="24"/>
          <w:lang w:eastAsia="en-GB"/>
        </w:rPr>
        <w:t xml:space="preserve">This is a priority of the </w:t>
      </w:r>
      <w:hyperlink r:id="rId9" w:history="1">
        <w:r w:rsidRPr="00B568F3">
          <w:rPr>
            <w:rStyle w:val="Hyperlink"/>
            <w:rFonts w:ascii="Arial" w:eastAsia="Calibri" w:hAnsi="Arial" w:cs="Arial"/>
            <w:sz w:val="24"/>
            <w:szCs w:val="24"/>
            <w:lang w:eastAsia="en-GB"/>
          </w:rPr>
          <w:t>Social Work Workforce Plan</w:t>
        </w:r>
      </w:hyperlink>
      <w:r w:rsidRPr="00B568F3">
        <w:rPr>
          <w:rFonts w:ascii="Arial" w:eastAsia="Calibri" w:hAnsi="Arial" w:cs="Arial"/>
          <w:sz w:val="24"/>
          <w:szCs w:val="24"/>
          <w:lang w:eastAsia="en-GB"/>
        </w:rPr>
        <w:t>)</w:t>
      </w:r>
    </w:p>
    <w:p w14:paraId="66E0B6B5" w14:textId="77777777" w:rsidR="00192FC4" w:rsidRPr="00B568F3" w:rsidRDefault="00192FC4" w:rsidP="00192FC4">
      <w:pPr>
        <w:spacing w:after="0" w:line="240" w:lineRule="auto"/>
        <w:rPr>
          <w:rFonts w:ascii="Arial" w:eastAsia="Calibri" w:hAnsi="Arial" w:cs="Arial"/>
          <w:sz w:val="24"/>
          <w:szCs w:val="24"/>
          <w:lang w:eastAsia="en-GB"/>
        </w:rPr>
      </w:pPr>
    </w:p>
    <w:p w14:paraId="5643A855" w14:textId="3F7DA4A1" w:rsidR="00192FC4" w:rsidRPr="00B568F3" w:rsidRDefault="069F4A6E" w:rsidP="00B2131D">
      <w:pPr>
        <w:spacing w:after="200" w:line="276" w:lineRule="auto"/>
        <w:ind w:left="360"/>
        <w:contextualSpacing/>
        <w:rPr>
          <w:rFonts w:ascii="Arial" w:eastAsia="Calibri" w:hAnsi="Arial" w:cs="Arial"/>
          <w:b/>
          <w:sz w:val="24"/>
          <w:szCs w:val="24"/>
          <w:lang w:eastAsia="en-GB"/>
        </w:rPr>
      </w:pPr>
      <w:r w:rsidRPr="00B568F3">
        <w:rPr>
          <w:rFonts w:ascii="Arial" w:eastAsia="Calibri" w:hAnsi="Arial" w:cs="Arial"/>
          <w:b/>
          <w:sz w:val="24"/>
          <w:szCs w:val="24"/>
          <w:lang w:eastAsia="en-GB"/>
        </w:rPr>
        <w:t xml:space="preserve"> Regional Facilitation Grant (not match funded)</w:t>
      </w:r>
    </w:p>
    <w:p w14:paraId="2ED82577" w14:textId="111DB315" w:rsidR="009C4340" w:rsidRPr="00B568F3" w:rsidRDefault="069F4A6E" w:rsidP="00B2131D">
      <w:pPr>
        <w:pStyle w:val="ListParagraph"/>
        <w:numPr>
          <w:ilvl w:val="0"/>
          <w:numId w:val="1"/>
        </w:numPr>
        <w:spacing w:after="0" w:line="240" w:lineRule="auto"/>
        <w:rPr>
          <w:rFonts w:ascii="Arial" w:eastAsia="Calibri" w:hAnsi="Arial" w:cs="Arial"/>
          <w:sz w:val="24"/>
          <w:szCs w:val="24"/>
          <w:lang w:eastAsia="en-GB"/>
        </w:rPr>
      </w:pPr>
      <w:r w:rsidRPr="00B568F3">
        <w:rPr>
          <w:rFonts w:ascii="Arial" w:eastAsia="Calibri" w:hAnsi="Arial" w:cs="Arial"/>
          <w:sz w:val="24"/>
          <w:szCs w:val="24"/>
          <w:lang w:eastAsia="en-GB"/>
        </w:rPr>
        <w:t>Attraction, recruitment and retention</w:t>
      </w:r>
    </w:p>
    <w:p w14:paraId="6049DDA2" w14:textId="77777777" w:rsidR="00474043" w:rsidRPr="00B568F3" w:rsidRDefault="00474043" w:rsidP="005B3813">
      <w:pPr>
        <w:spacing w:after="0" w:line="240" w:lineRule="auto"/>
        <w:rPr>
          <w:rFonts w:ascii="Arial" w:eastAsia="Calibri" w:hAnsi="Arial" w:cs="Arial"/>
          <w:sz w:val="24"/>
          <w:szCs w:val="24"/>
          <w:lang w:eastAsia="en-GB"/>
        </w:rPr>
      </w:pPr>
    </w:p>
    <w:p w14:paraId="4F61A8EA" w14:textId="2F529509" w:rsidR="00EA0DAF" w:rsidRPr="00B568F3" w:rsidRDefault="069F4A6E" w:rsidP="00865C75">
      <w:pPr>
        <w:spacing w:after="0" w:line="240" w:lineRule="auto"/>
        <w:rPr>
          <w:rFonts w:ascii="Arial" w:eastAsia="Calibri" w:hAnsi="Arial" w:cs="Arial"/>
          <w:sz w:val="24"/>
          <w:szCs w:val="24"/>
        </w:rPr>
      </w:pPr>
      <w:r w:rsidRPr="00B568F3">
        <w:rPr>
          <w:rFonts w:ascii="Arial" w:eastAsia="Calibri" w:hAnsi="Arial" w:cs="Arial"/>
          <w:sz w:val="24"/>
          <w:szCs w:val="24"/>
        </w:rPr>
        <w:t>2023</w:t>
      </w:r>
      <w:r w:rsidR="00D957C3" w:rsidRPr="00B568F3">
        <w:rPr>
          <w:rFonts w:ascii="Arial" w:eastAsia="Calibri" w:hAnsi="Arial" w:cs="Arial"/>
          <w:sz w:val="24"/>
          <w:szCs w:val="24"/>
        </w:rPr>
        <w:t xml:space="preserve"> to </w:t>
      </w:r>
      <w:r w:rsidRPr="00B568F3">
        <w:rPr>
          <w:rFonts w:ascii="Arial" w:eastAsia="Calibri" w:hAnsi="Arial" w:cs="Arial"/>
          <w:sz w:val="24"/>
          <w:szCs w:val="24"/>
        </w:rPr>
        <w:t>2024 is the second year that the national priorities in the grant circular matches some of the themes of the workforce strategy.</w:t>
      </w:r>
    </w:p>
    <w:p w14:paraId="134BCCA7" w14:textId="052A5257" w:rsidR="00EA0DAF" w:rsidRPr="00B568F3" w:rsidRDefault="00EA0DAF" w:rsidP="00865C75">
      <w:pPr>
        <w:spacing w:after="0" w:line="240" w:lineRule="auto"/>
        <w:rPr>
          <w:rFonts w:ascii="Arial" w:eastAsia="Calibri" w:hAnsi="Arial" w:cs="Arial"/>
          <w:sz w:val="24"/>
          <w:szCs w:val="24"/>
        </w:rPr>
      </w:pPr>
    </w:p>
    <w:p w14:paraId="0C1F57D4" w14:textId="7A5BA26D" w:rsidR="006C587D" w:rsidRPr="000C06A7" w:rsidRDefault="006C587D" w:rsidP="006C587D">
      <w:pPr>
        <w:rPr>
          <w:rFonts w:ascii="Arial" w:hAnsi="Arial" w:cs="Arial"/>
        </w:rPr>
      </w:pPr>
      <w:bookmarkStart w:id="1" w:name="_Toc179481622"/>
    </w:p>
    <w:p w14:paraId="60B4A5AB" w14:textId="77777777" w:rsidR="00A17F10" w:rsidRPr="000C06A7" w:rsidRDefault="00A17F10" w:rsidP="006C587D">
      <w:pPr>
        <w:rPr>
          <w:rFonts w:ascii="Arial" w:hAnsi="Arial" w:cs="Arial"/>
        </w:rPr>
      </w:pPr>
    </w:p>
    <w:p w14:paraId="5EAAEE76" w14:textId="6C51660B" w:rsidR="00167583" w:rsidRPr="000C06A7" w:rsidRDefault="00D83570" w:rsidP="000C06A7">
      <w:pPr>
        <w:pStyle w:val="Heading2"/>
        <w:rPr>
          <w:b w:val="0"/>
        </w:rPr>
      </w:pPr>
      <w:r w:rsidRPr="000C06A7">
        <w:t>Main</w:t>
      </w:r>
      <w:r w:rsidR="069F4A6E" w:rsidRPr="000C06A7">
        <w:t xml:space="preserve"> findings and future developments</w:t>
      </w:r>
      <w:bookmarkEnd w:id="1"/>
    </w:p>
    <w:p w14:paraId="15250181" w14:textId="542F50EA" w:rsidR="00A21C3F" w:rsidRPr="000C06A7" w:rsidRDefault="00D83570" w:rsidP="00B568F3">
      <w:pPr>
        <w:pStyle w:val="Heading2"/>
        <w:rPr>
          <w:color w:val="auto"/>
          <w:sz w:val="28"/>
          <w:szCs w:val="28"/>
        </w:rPr>
      </w:pPr>
      <w:bookmarkStart w:id="2" w:name="_Toc179481623"/>
      <w:r w:rsidRPr="000C06A7">
        <w:rPr>
          <w:bCs/>
          <w:color w:val="auto"/>
          <w:sz w:val="28"/>
          <w:szCs w:val="28"/>
        </w:rPr>
        <w:t>Main</w:t>
      </w:r>
      <w:r w:rsidR="00A21C3F" w:rsidRPr="000C06A7">
        <w:rPr>
          <w:color w:val="auto"/>
          <w:sz w:val="28"/>
          <w:szCs w:val="28"/>
        </w:rPr>
        <w:t xml:space="preserve"> findings</w:t>
      </w:r>
      <w:bookmarkEnd w:id="2"/>
    </w:p>
    <w:p w14:paraId="253560F3" w14:textId="6789782F" w:rsidR="00D83570" w:rsidRPr="00B568F3" w:rsidRDefault="00D83570" w:rsidP="00D83570">
      <w:pPr>
        <w:rPr>
          <w:rFonts w:ascii="Arial" w:hAnsi="Arial" w:cs="Arial"/>
          <w:sz w:val="24"/>
          <w:szCs w:val="24"/>
        </w:rPr>
      </w:pPr>
      <w:r w:rsidRPr="00B568F3">
        <w:rPr>
          <w:rFonts w:ascii="Arial" w:hAnsi="Arial" w:cs="Arial"/>
          <w:sz w:val="24"/>
          <w:szCs w:val="24"/>
        </w:rPr>
        <w:t>The main findings from the SCWWDP end of year monitoring for 2023 to 2024 are:</w:t>
      </w:r>
    </w:p>
    <w:p w14:paraId="0BD517C2" w14:textId="4072A43F" w:rsidR="00D83570" w:rsidRPr="00B568F3" w:rsidRDefault="00D83570" w:rsidP="00632461">
      <w:pPr>
        <w:numPr>
          <w:ilvl w:val="0"/>
          <w:numId w:val="15"/>
        </w:numPr>
        <w:rPr>
          <w:rFonts w:ascii="Arial" w:hAnsi="Arial" w:cs="Arial"/>
          <w:sz w:val="24"/>
          <w:szCs w:val="24"/>
        </w:rPr>
      </w:pPr>
      <w:r w:rsidRPr="00B568F3">
        <w:rPr>
          <w:rFonts w:ascii="Arial" w:hAnsi="Arial" w:cs="Arial"/>
          <w:sz w:val="24"/>
          <w:szCs w:val="24"/>
        </w:rPr>
        <w:t>overall, total spend on SCWWDP has increased by 1.8 per cent (£219,086)</w:t>
      </w:r>
      <w:r w:rsidR="00A657AB" w:rsidRPr="00B568F3">
        <w:rPr>
          <w:rFonts w:ascii="Arial" w:hAnsi="Arial" w:cs="Arial"/>
          <w:sz w:val="24"/>
          <w:szCs w:val="24"/>
        </w:rPr>
        <w:t>,</w:t>
      </w:r>
      <w:r w:rsidRPr="00B568F3">
        <w:rPr>
          <w:rFonts w:ascii="Arial" w:hAnsi="Arial" w:cs="Arial"/>
          <w:sz w:val="24"/>
          <w:szCs w:val="24"/>
        </w:rPr>
        <w:t xml:space="preserve"> from £12,475,258 to £12,694,344</w:t>
      </w:r>
    </w:p>
    <w:p w14:paraId="08FD19EA" w14:textId="0C536FAA" w:rsidR="00D83570" w:rsidRPr="00B568F3" w:rsidRDefault="00D83570" w:rsidP="00632461">
      <w:pPr>
        <w:numPr>
          <w:ilvl w:val="0"/>
          <w:numId w:val="15"/>
        </w:numPr>
        <w:rPr>
          <w:rFonts w:ascii="Arial" w:hAnsi="Arial" w:cs="Arial"/>
          <w:sz w:val="24"/>
          <w:szCs w:val="24"/>
        </w:rPr>
      </w:pPr>
      <w:r w:rsidRPr="00B568F3">
        <w:rPr>
          <w:rFonts w:ascii="Arial" w:hAnsi="Arial" w:cs="Arial"/>
          <w:sz w:val="24"/>
          <w:szCs w:val="24"/>
        </w:rPr>
        <w:t>the additional investment by local authorities (over and above their expected 30 per cent match funding) decreased for the first time in three years</w:t>
      </w:r>
      <w:r w:rsidR="00BD1DC8" w:rsidRPr="00B568F3">
        <w:rPr>
          <w:rFonts w:ascii="Arial" w:hAnsi="Arial" w:cs="Arial"/>
          <w:sz w:val="24"/>
          <w:szCs w:val="24"/>
        </w:rPr>
        <w:t>,</w:t>
      </w:r>
      <w:r w:rsidRPr="00B568F3">
        <w:rPr>
          <w:rFonts w:ascii="Arial" w:hAnsi="Arial" w:cs="Arial"/>
          <w:sz w:val="24"/>
          <w:szCs w:val="24"/>
        </w:rPr>
        <w:t xml:space="preserve"> by 21.3 per cent (compared to an increase of 32.4 per cent in 2022 to 2023)</w:t>
      </w:r>
    </w:p>
    <w:p w14:paraId="70D7CE77" w14:textId="435AB1F4" w:rsidR="00D83570" w:rsidRPr="00B568F3" w:rsidRDefault="00D83570" w:rsidP="00632461">
      <w:pPr>
        <w:numPr>
          <w:ilvl w:val="0"/>
          <w:numId w:val="15"/>
        </w:numPr>
        <w:rPr>
          <w:rFonts w:ascii="Arial" w:hAnsi="Arial" w:cs="Arial"/>
          <w:sz w:val="24"/>
          <w:szCs w:val="24"/>
        </w:rPr>
      </w:pPr>
      <w:r w:rsidRPr="00B568F3">
        <w:rPr>
          <w:rFonts w:ascii="Arial" w:hAnsi="Arial" w:cs="Arial"/>
          <w:sz w:val="24"/>
          <w:szCs w:val="24"/>
        </w:rPr>
        <w:t>there was an increase of 9.2 per cent in spend on staff who provide direct learning and development</w:t>
      </w:r>
    </w:p>
    <w:p w14:paraId="175ACD9D" w14:textId="74AE4DF9" w:rsidR="00BB0F52" w:rsidRPr="00B568F3" w:rsidRDefault="00BB0F52" w:rsidP="00632461">
      <w:pPr>
        <w:numPr>
          <w:ilvl w:val="0"/>
          <w:numId w:val="15"/>
        </w:numPr>
        <w:spacing w:before="100" w:beforeAutospacing="1" w:after="100" w:afterAutospacing="1" w:line="240" w:lineRule="auto"/>
        <w:rPr>
          <w:rFonts w:ascii="Arial" w:eastAsia="Times New Roman" w:hAnsi="Arial" w:cs="Arial"/>
          <w:sz w:val="24"/>
          <w:szCs w:val="24"/>
          <w:lang w:eastAsia="en-GB"/>
        </w:rPr>
      </w:pPr>
      <w:r w:rsidRPr="00B568F3">
        <w:rPr>
          <w:rFonts w:ascii="Arial" w:eastAsia="Times New Roman" w:hAnsi="Arial" w:cs="Arial"/>
          <w:sz w:val="24"/>
          <w:szCs w:val="24"/>
          <w:lang w:eastAsia="en-GB"/>
        </w:rPr>
        <w:t>the two main areas of SCWWDP national priorities spending are:</w:t>
      </w:r>
    </w:p>
    <w:p w14:paraId="118EC57F" w14:textId="30F101A5" w:rsidR="00BB0F52" w:rsidRPr="00B568F3" w:rsidRDefault="00BB0F52" w:rsidP="00F521F9">
      <w:pPr>
        <w:numPr>
          <w:ilvl w:val="0"/>
          <w:numId w:val="16"/>
        </w:numPr>
        <w:spacing w:before="100" w:beforeAutospacing="1" w:after="240" w:line="240" w:lineRule="auto"/>
        <w:rPr>
          <w:rFonts w:ascii="Arial" w:eastAsia="Times New Roman" w:hAnsi="Arial" w:cs="Arial"/>
          <w:sz w:val="24"/>
          <w:szCs w:val="24"/>
          <w:lang w:eastAsia="en-GB"/>
        </w:rPr>
      </w:pPr>
      <w:r w:rsidRPr="00B568F3">
        <w:rPr>
          <w:rFonts w:ascii="Arial" w:eastAsia="Times New Roman" w:hAnsi="Arial" w:cs="Arial"/>
          <w:sz w:val="24"/>
          <w:szCs w:val="24"/>
          <w:lang w:eastAsia="en-GB"/>
        </w:rPr>
        <w:t>providing excellent education and learning, which includes vocational qualifications (43.3 per cent, £1,397,797)</w:t>
      </w:r>
    </w:p>
    <w:p w14:paraId="2D3B5B3A" w14:textId="77777777" w:rsidR="00BB0F52" w:rsidRPr="00B568F3" w:rsidRDefault="00BB0F52" w:rsidP="00632461">
      <w:pPr>
        <w:numPr>
          <w:ilvl w:val="0"/>
          <w:numId w:val="16"/>
        </w:numPr>
        <w:spacing w:before="100" w:beforeAutospacing="1" w:after="100" w:afterAutospacing="1" w:line="240" w:lineRule="auto"/>
        <w:rPr>
          <w:rFonts w:ascii="Arial" w:eastAsia="Times New Roman" w:hAnsi="Arial" w:cs="Arial"/>
          <w:sz w:val="24"/>
          <w:szCs w:val="24"/>
          <w:lang w:eastAsia="en-GB"/>
        </w:rPr>
      </w:pPr>
      <w:r w:rsidRPr="00B568F3">
        <w:rPr>
          <w:rFonts w:ascii="Arial" w:eastAsia="Times New Roman" w:hAnsi="Arial" w:cs="Arial"/>
          <w:sz w:val="24"/>
          <w:szCs w:val="24"/>
          <w:lang w:eastAsia="en-GB"/>
        </w:rPr>
        <w:t>providing qualifying and post qualifying social work training (35.5 per cent, £1,146,467).</w:t>
      </w:r>
    </w:p>
    <w:p w14:paraId="72935F94" w14:textId="32E0BD40" w:rsidR="00D83570" w:rsidRPr="00B568F3" w:rsidDel="00424F2F" w:rsidRDefault="00E85B90" w:rsidP="00B2131D">
      <w:pPr>
        <w:rPr>
          <w:rFonts w:ascii="Arial" w:hAnsi="Arial" w:cs="Arial"/>
          <w:sz w:val="24"/>
          <w:szCs w:val="24"/>
        </w:rPr>
      </w:pPr>
      <w:r w:rsidRPr="00B568F3">
        <w:rPr>
          <w:rFonts w:ascii="Arial" w:hAnsi="Arial" w:cs="Arial"/>
          <w:sz w:val="24"/>
          <w:szCs w:val="24"/>
        </w:rPr>
        <w:t>The SCWWDP grant:</w:t>
      </w:r>
    </w:p>
    <w:p w14:paraId="2D471235" w14:textId="77777777" w:rsidR="00FE137A" w:rsidRPr="000C06A7" w:rsidRDefault="00FE137A" w:rsidP="002D1B1F">
      <w:pPr>
        <w:spacing w:after="0" w:line="240" w:lineRule="auto"/>
        <w:rPr>
          <w:rFonts w:ascii="Arial" w:hAnsi="Arial" w:cs="Arial"/>
          <w:b/>
          <w:bCs/>
          <w:sz w:val="28"/>
          <w:szCs w:val="28"/>
          <w:u w:val="single"/>
          <w:lang w:eastAsia="en-GB"/>
        </w:rPr>
      </w:pPr>
    </w:p>
    <w:p w14:paraId="18A90D9B" w14:textId="301B544D" w:rsidR="00DE7F60" w:rsidRPr="00B568F3" w:rsidRDefault="069F4A6E" w:rsidP="00632461">
      <w:pPr>
        <w:pStyle w:val="ListParagraph"/>
        <w:numPr>
          <w:ilvl w:val="0"/>
          <w:numId w:val="6"/>
        </w:numPr>
        <w:spacing w:after="0" w:line="276" w:lineRule="auto"/>
        <w:ind w:left="360"/>
        <w:rPr>
          <w:rFonts w:ascii="Arial" w:eastAsia="Calibri" w:hAnsi="Arial" w:cs="Arial"/>
          <w:sz w:val="24"/>
          <w:szCs w:val="24"/>
        </w:rPr>
      </w:pPr>
      <w:r w:rsidRPr="00B568F3">
        <w:rPr>
          <w:rFonts w:ascii="Arial" w:eastAsia="Calibri" w:hAnsi="Arial" w:cs="Arial"/>
          <w:sz w:val="24"/>
          <w:szCs w:val="24"/>
        </w:rPr>
        <w:t>was used to support learning and development programmes in all seven regions of Wales</w:t>
      </w:r>
      <w:r w:rsidR="00424F2F" w:rsidRPr="00B568F3">
        <w:rPr>
          <w:rFonts w:ascii="Arial" w:eastAsia="Calibri" w:hAnsi="Arial" w:cs="Arial"/>
          <w:sz w:val="24"/>
          <w:szCs w:val="24"/>
        </w:rPr>
        <w:t>,</w:t>
      </w:r>
      <w:r w:rsidRPr="00B568F3">
        <w:rPr>
          <w:rFonts w:ascii="Arial" w:eastAsia="Calibri" w:hAnsi="Arial" w:cs="Arial"/>
          <w:sz w:val="24"/>
          <w:szCs w:val="24"/>
        </w:rPr>
        <w:t xml:space="preserve"> with a continued trend of delivering on a more local level. </w:t>
      </w:r>
    </w:p>
    <w:p w14:paraId="0CE2BFEF" w14:textId="77777777" w:rsidR="000E53DC" w:rsidRPr="00B568F3" w:rsidRDefault="000E53DC" w:rsidP="00B2131D">
      <w:pPr>
        <w:spacing w:after="0" w:line="276" w:lineRule="auto"/>
        <w:contextualSpacing/>
        <w:rPr>
          <w:rFonts w:ascii="Arial" w:eastAsia="Calibri" w:hAnsi="Arial" w:cs="Arial"/>
          <w:sz w:val="24"/>
          <w:szCs w:val="24"/>
        </w:rPr>
      </w:pPr>
    </w:p>
    <w:p w14:paraId="4C4A85C7" w14:textId="46EB437E" w:rsidR="0084005F" w:rsidRPr="00B568F3" w:rsidRDefault="00424F2F" w:rsidP="00632461">
      <w:pPr>
        <w:pStyle w:val="ListParagraph"/>
        <w:numPr>
          <w:ilvl w:val="0"/>
          <w:numId w:val="6"/>
        </w:numPr>
        <w:spacing w:after="0" w:line="276" w:lineRule="auto"/>
        <w:ind w:left="360"/>
        <w:rPr>
          <w:rFonts w:ascii="Arial" w:eastAsia="Calibri" w:hAnsi="Arial" w:cs="Arial"/>
          <w:sz w:val="24"/>
          <w:szCs w:val="24"/>
        </w:rPr>
      </w:pPr>
      <w:r w:rsidRPr="00B568F3">
        <w:rPr>
          <w:rFonts w:ascii="Arial" w:eastAsia="Calibri" w:hAnsi="Arial" w:cs="Arial"/>
          <w:sz w:val="24"/>
          <w:szCs w:val="24"/>
        </w:rPr>
        <w:t xml:space="preserve">supported </w:t>
      </w:r>
      <w:r w:rsidR="069F4A6E" w:rsidRPr="00B568F3">
        <w:rPr>
          <w:rFonts w:ascii="Arial" w:eastAsia="Calibri" w:hAnsi="Arial" w:cs="Arial"/>
          <w:sz w:val="24"/>
          <w:szCs w:val="24"/>
        </w:rPr>
        <w:t>1,889 vocational qualification learners, an increase of 3.3</w:t>
      </w:r>
      <w:r w:rsidR="347F833A" w:rsidRPr="00B568F3">
        <w:rPr>
          <w:rFonts w:ascii="Arial" w:eastAsia="Calibri" w:hAnsi="Arial" w:cs="Arial"/>
          <w:sz w:val="24"/>
          <w:szCs w:val="24"/>
        </w:rPr>
        <w:t xml:space="preserve"> per cent</w:t>
      </w:r>
      <w:r w:rsidR="069F4A6E" w:rsidRPr="00B568F3">
        <w:rPr>
          <w:rFonts w:ascii="Arial" w:eastAsia="Calibri" w:hAnsi="Arial" w:cs="Arial"/>
          <w:sz w:val="24"/>
          <w:szCs w:val="24"/>
        </w:rPr>
        <w:t xml:space="preserve"> on last year.</w:t>
      </w:r>
    </w:p>
    <w:p w14:paraId="61FB0885" w14:textId="77777777" w:rsidR="0084005F" w:rsidRPr="00B568F3" w:rsidRDefault="0084005F" w:rsidP="00B2131D">
      <w:pPr>
        <w:spacing w:after="0" w:line="276" w:lineRule="auto"/>
        <w:contextualSpacing/>
        <w:rPr>
          <w:rFonts w:ascii="Arial" w:eastAsia="Calibri" w:hAnsi="Arial" w:cs="Arial"/>
          <w:sz w:val="24"/>
          <w:szCs w:val="24"/>
        </w:rPr>
      </w:pPr>
    </w:p>
    <w:p w14:paraId="48CBDCF3" w14:textId="4ED5939A" w:rsidR="00CD4C67" w:rsidRPr="00B568F3" w:rsidRDefault="00A201AD" w:rsidP="00632461">
      <w:pPr>
        <w:pStyle w:val="ListParagraph"/>
        <w:numPr>
          <w:ilvl w:val="0"/>
          <w:numId w:val="6"/>
        </w:numPr>
        <w:spacing w:after="0" w:line="276" w:lineRule="auto"/>
        <w:ind w:left="360"/>
        <w:rPr>
          <w:rFonts w:ascii="Arial" w:eastAsia="Calibri" w:hAnsi="Arial" w:cs="Arial"/>
          <w:sz w:val="24"/>
          <w:szCs w:val="24"/>
        </w:rPr>
      </w:pPr>
      <w:r w:rsidRPr="00B568F3">
        <w:rPr>
          <w:rFonts w:ascii="Arial" w:eastAsia="Calibri" w:hAnsi="Arial" w:cs="Arial"/>
          <w:sz w:val="24"/>
          <w:szCs w:val="24"/>
        </w:rPr>
        <w:t xml:space="preserve">supported </w:t>
      </w:r>
      <w:r w:rsidR="069F4A6E" w:rsidRPr="00B568F3">
        <w:rPr>
          <w:rFonts w:ascii="Arial" w:eastAsia="Calibri" w:hAnsi="Arial" w:cs="Arial"/>
          <w:sz w:val="24"/>
          <w:szCs w:val="24"/>
        </w:rPr>
        <w:t>1,356 people</w:t>
      </w:r>
      <w:r w:rsidR="069F4A6E" w:rsidRPr="00B568F3" w:rsidDel="00A201AD">
        <w:rPr>
          <w:rFonts w:ascii="Arial" w:eastAsia="Calibri" w:hAnsi="Arial" w:cs="Arial"/>
          <w:sz w:val="24"/>
          <w:szCs w:val="24"/>
        </w:rPr>
        <w:t xml:space="preserve"> </w:t>
      </w:r>
      <w:r w:rsidR="069F4A6E" w:rsidRPr="00B568F3">
        <w:rPr>
          <w:rFonts w:ascii="Arial" w:eastAsia="Calibri" w:hAnsi="Arial" w:cs="Arial"/>
          <w:sz w:val="24"/>
          <w:szCs w:val="24"/>
        </w:rPr>
        <w:t>on social work qualifying training, an increase of 15.9</w:t>
      </w:r>
      <w:r w:rsidR="347F833A" w:rsidRPr="00B568F3">
        <w:rPr>
          <w:rFonts w:ascii="Arial" w:eastAsia="Calibri" w:hAnsi="Arial" w:cs="Arial"/>
          <w:sz w:val="24"/>
          <w:szCs w:val="24"/>
        </w:rPr>
        <w:t xml:space="preserve"> </w:t>
      </w:r>
      <w:r w:rsidR="006D4942" w:rsidRPr="00B568F3">
        <w:rPr>
          <w:rFonts w:ascii="Arial" w:eastAsia="Calibri" w:hAnsi="Arial" w:cs="Arial"/>
          <w:sz w:val="24"/>
          <w:szCs w:val="24"/>
        </w:rPr>
        <w:t>per</w:t>
      </w:r>
      <w:r w:rsidR="347F833A" w:rsidRPr="00B568F3">
        <w:rPr>
          <w:rFonts w:ascii="Arial" w:eastAsia="Calibri" w:hAnsi="Arial" w:cs="Arial"/>
          <w:sz w:val="24"/>
          <w:szCs w:val="24"/>
        </w:rPr>
        <w:t xml:space="preserve"> cent</w:t>
      </w:r>
      <w:r w:rsidR="069F4A6E" w:rsidRPr="00B568F3">
        <w:rPr>
          <w:rFonts w:ascii="Arial" w:eastAsia="Calibri" w:hAnsi="Arial" w:cs="Arial"/>
          <w:sz w:val="24"/>
          <w:szCs w:val="24"/>
        </w:rPr>
        <w:t xml:space="preserve"> on last year.</w:t>
      </w:r>
    </w:p>
    <w:p w14:paraId="4FE84505" w14:textId="77777777" w:rsidR="00CD4C67" w:rsidRPr="00B568F3" w:rsidRDefault="00CD4C67" w:rsidP="00B2131D">
      <w:pPr>
        <w:spacing w:after="0" w:line="276" w:lineRule="auto"/>
        <w:contextualSpacing/>
        <w:rPr>
          <w:rFonts w:ascii="Arial" w:eastAsia="Calibri" w:hAnsi="Arial" w:cs="Arial"/>
          <w:sz w:val="24"/>
          <w:szCs w:val="24"/>
        </w:rPr>
      </w:pPr>
    </w:p>
    <w:p w14:paraId="318F7791" w14:textId="34701F8C" w:rsidR="004F3A95" w:rsidRPr="00B568F3" w:rsidRDefault="00A201AD" w:rsidP="00632461">
      <w:pPr>
        <w:pStyle w:val="ListParagraph"/>
        <w:numPr>
          <w:ilvl w:val="0"/>
          <w:numId w:val="6"/>
        </w:numPr>
        <w:spacing w:after="0" w:line="276" w:lineRule="auto"/>
        <w:ind w:left="360"/>
        <w:rPr>
          <w:rFonts w:ascii="Arial" w:eastAsia="Calibri" w:hAnsi="Arial" w:cs="Arial"/>
          <w:sz w:val="24"/>
          <w:szCs w:val="24"/>
        </w:rPr>
      </w:pPr>
      <w:r w:rsidRPr="00B568F3">
        <w:rPr>
          <w:rFonts w:ascii="Arial" w:eastAsia="Calibri" w:hAnsi="Arial" w:cs="Arial"/>
          <w:sz w:val="24"/>
          <w:szCs w:val="24"/>
        </w:rPr>
        <w:t xml:space="preserve">supported </w:t>
      </w:r>
      <w:r w:rsidR="069F4A6E" w:rsidRPr="00B568F3">
        <w:rPr>
          <w:rFonts w:ascii="Arial" w:eastAsia="Calibri" w:hAnsi="Arial" w:cs="Arial"/>
          <w:sz w:val="24"/>
          <w:szCs w:val="24"/>
        </w:rPr>
        <w:t>996 people with social work post qualifying training, an increase of 16.8</w:t>
      </w:r>
      <w:r w:rsidR="5407A560" w:rsidRPr="00B568F3">
        <w:rPr>
          <w:rFonts w:ascii="Arial" w:eastAsia="Calibri" w:hAnsi="Arial" w:cs="Arial"/>
          <w:sz w:val="24"/>
          <w:szCs w:val="24"/>
        </w:rPr>
        <w:t xml:space="preserve"> per cent</w:t>
      </w:r>
      <w:r w:rsidR="069F4A6E" w:rsidRPr="00B568F3">
        <w:rPr>
          <w:rFonts w:ascii="Arial" w:eastAsia="Calibri" w:hAnsi="Arial" w:cs="Arial"/>
          <w:sz w:val="24"/>
          <w:szCs w:val="24"/>
        </w:rPr>
        <w:t xml:space="preserve"> on last year</w:t>
      </w:r>
    </w:p>
    <w:p w14:paraId="67EAB3F0" w14:textId="77777777" w:rsidR="004F3A95" w:rsidRPr="00B568F3" w:rsidRDefault="004F3A95" w:rsidP="00B2131D">
      <w:pPr>
        <w:spacing w:after="0" w:line="276" w:lineRule="auto"/>
        <w:contextualSpacing/>
        <w:rPr>
          <w:rFonts w:ascii="Arial" w:eastAsia="Calibri" w:hAnsi="Arial" w:cs="Arial"/>
          <w:sz w:val="24"/>
          <w:szCs w:val="24"/>
        </w:rPr>
      </w:pPr>
    </w:p>
    <w:p w14:paraId="38F95883" w14:textId="2B66978C" w:rsidR="00CD4C67" w:rsidRPr="00B568F3" w:rsidRDefault="00604C7A" w:rsidP="00632461">
      <w:pPr>
        <w:pStyle w:val="ListParagraph"/>
        <w:numPr>
          <w:ilvl w:val="0"/>
          <w:numId w:val="6"/>
        </w:numPr>
        <w:spacing w:after="0" w:line="276" w:lineRule="auto"/>
        <w:ind w:left="360"/>
        <w:rPr>
          <w:rFonts w:ascii="Arial" w:eastAsia="Calibri" w:hAnsi="Arial" w:cs="Arial"/>
          <w:sz w:val="24"/>
          <w:szCs w:val="24"/>
        </w:rPr>
      </w:pPr>
      <w:r w:rsidRPr="00B568F3">
        <w:rPr>
          <w:rFonts w:ascii="Arial" w:eastAsia="Calibri" w:hAnsi="Arial" w:cs="Arial"/>
          <w:sz w:val="24"/>
          <w:szCs w:val="24"/>
        </w:rPr>
        <w:t xml:space="preserve">supported </w:t>
      </w:r>
      <w:r w:rsidR="069F4A6E" w:rsidRPr="00B568F3">
        <w:rPr>
          <w:rFonts w:ascii="Arial" w:eastAsia="Calibri" w:hAnsi="Arial" w:cs="Arial"/>
          <w:sz w:val="24"/>
          <w:szCs w:val="24"/>
        </w:rPr>
        <w:t>448 people</w:t>
      </w:r>
      <w:r w:rsidR="069F4A6E" w:rsidRPr="00B568F3" w:rsidDel="00604C7A">
        <w:rPr>
          <w:rFonts w:ascii="Arial" w:eastAsia="Calibri" w:hAnsi="Arial" w:cs="Arial"/>
          <w:sz w:val="24"/>
          <w:szCs w:val="24"/>
        </w:rPr>
        <w:t xml:space="preserve"> </w:t>
      </w:r>
      <w:r w:rsidR="069F4A6E" w:rsidRPr="00B568F3">
        <w:rPr>
          <w:rFonts w:ascii="Arial" w:eastAsia="Calibri" w:hAnsi="Arial" w:cs="Arial"/>
          <w:sz w:val="24"/>
          <w:szCs w:val="24"/>
        </w:rPr>
        <w:t>with social work post qualifying specialist awards</w:t>
      </w:r>
      <w:r w:rsidRPr="00B568F3">
        <w:rPr>
          <w:rFonts w:ascii="Arial" w:eastAsia="Calibri" w:hAnsi="Arial" w:cs="Arial"/>
          <w:sz w:val="24"/>
          <w:szCs w:val="24"/>
        </w:rPr>
        <w:t>, for example</w:t>
      </w:r>
      <w:r w:rsidR="069F4A6E" w:rsidRPr="00B568F3" w:rsidDel="00604C7A">
        <w:rPr>
          <w:rFonts w:ascii="Arial" w:eastAsia="Calibri" w:hAnsi="Arial" w:cs="Arial"/>
          <w:sz w:val="24"/>
          <w:szCs w:val="24"/>
        </w:rPr>
        <w:t xml:space="preserve"> </w:t>
      </w:r>
      <w:r w:rsidR="069F4A6E" w:rsidRPr="00B568F3">
        <w:rPr>
          <w:rFonts w:ascii="Arial" w:eastAsia="Calibri" w:hAnsi="Arial" w:cs="Arial"/>
          <w:sz w:val="24"/>
          <w:szCs w:val="24"/>
        </w:rPr>
        <w:t xml:space="preserve">enabling practice, best interest assessor and </w:t>
      </w:r>
      <w:r w:rsidR="00D37BD7" w:rsidRPr="00B568F3">
        <w:rPr>
          <w:rFonts w:ascii="Arial" w:eastAsia="Calibri" w:hAnsi="Arial" w:cs="Arial"/>
          <w:sz w:val="24"/>
          <w:szCs w:val="24"/>
        </w:rPr>
        <w:t>Approved Mental Health Professional (</w:t>
      </w:r>
      <w:r w:rsidR="069F4A6E" w:rsidRPr="00B568F3">
        <w:rPr>
          <w:rFonts w:ascii="Arial" w:eastAsia="Calibri" w:hAnsi="Arial" w:cs="Arial"/>
          <w:sz w:val="24"/>
          <w:szCs w:val="24"/>
        </w:rPr>
        <w:t>AMHP</w:t>
      </w:r>
      <w:r w:rsidR="00D37BD7" w:rsidRPr="00B568F3">
        <w:rPr>
          <w:rFonts w:ascii="Arial" w:eastAsia="Calibri" w:hAnsi="Arial" w:cs="Arial"/>
          <w:sz w:val="24"/>
          <w:szCs w:val="24"/>
        </w:rPr>
        <w:t>)</w:t>
      </w:r>
      <w:r w:rsidR="069F4A6E" w:rsidRPr="00B568F3">
        <w:rPr>
          <w:rFonts w:ascii="Arial" w:eastAsia="Calibri" w:hAnsi="Arial" w:cs="Arial"/>
          <w:sz w:val="24"/>
          <w:szCs w:val="24"/>
        </w:rPr>
        <w:t>.</w:t>
      </w:r>
      <w:r w:rsidR="00922A09" w:rsidRPr="00B568F3">
        <w:rPr>
          <w:rFonts w:ascii="Arial" w:eastAsia="Calibri" w:hAnsi="Arial" w:cs="Arial"/>
          <w:sz w:val="24"/>
          <w:szCs w:val="24"/>
        </w:rPr>
        <w:t xml:space="preserve"> This was a</w:t>
      </w:r>
      <w:r w:rsidR="069F4A6E" w:rsidRPr="00B568F3">
        <w:rPr>
          <w:rFonts w:ascii="Arial" w:eastAsia="Calibri" w:hAnsi="Arial" w:cs="Arial"/>
          <w:sz w:val="24"/>
          <w:szCs w:val="24"/>
        </w:rPr>
        <w:t>n increase of 15.2</w:t>
      </w:r>
      <w:r w:rsidR="5407A560" w:rsidRPr="00B568F3">
        <w:rPr>
          <w:rFonts w:ascii="Arial" w:eastAsia="Calibri" w:hAnsi="Arial" w:cs="Arial"/>
          <w:sz w:val="24"/>
          <w:szCs w:val="24"/>
        </w:rPr>
        <w:t xml:space="preserve"> per cent</w:t>
      </w:r>
      <w:r w:rsidR="069F4A6E" w:rsidRPr="00B568F3">
        <w:rPr>
          <w:rFonts w:ascii="Arial" w:eastAsia="Calibri" w:hAnsi="Arial" w:cs="Arial"/>
          <w:sz w:val="24"/>
          <w:szCs w:val="24"/>
        </w:rPr>
        <w:t xml:space="preserve"> on last year</w:t>
      </w:r>
    </w:p>
    <w:p w14:paraId="3DEBE3A0" w14:textId="77777777" w:rsidR="003F7374" w:rsidRPr="00B568F3" w:rsidRDefault="003F7374" w:rsidP="00B2131D">
      <w:pPr>
        <w:spacing w:after="0" w:line="276" w:lineRule="auto"/>
        <w:contextualSpacing/>
        <w:rPr>
          <w:rFonts w:ascii="Arial" w:eastAsia="Calibri" w:hAnsi="Arial" w:cs="Arial"/>
          <w:sz w:val="24"/>
          <w:szCs w:val="24"/>
        </w:rPr>
      </w:pPr>
    </w:p>
    <w:p w14:paraId="6E90A3E1" w14:textId="05BB9BB7" w:rsidR="003F7374" w:rsidRPr="00B568F3" w:rsidRDefault="00922A09" w:rsidP="00632461">
      <w:pPr>
        <w:pStyle w:val="ListParagraph"/>
        <w:numPr>
          <w:ilvl w:val="0"/>
          <w:numId w:val="6"/>
        </w:numPr>
        <w:spacing w:after="0" w:line="276" w:lineRule="auto"/>
        <w:ind w:left="360"/>
        <w:rPr>
          <w:rFonts w:ascii="Arial" w:eastAsia="Calibri" w:hAnsi="Arial" w:cs="Arial"/>
          <w:sz w:val="24"/>
          <w:szCs w:val="24"/>
        </w:rPr>
      </w:pPr>
      <w:r w:rsidRPr="00B568F3">
        <w:rPr>
          <w:rFonts w:ascii="Arial" w:eastAsia="Calibri" w:hAnsi="Arial" w:cs="Arial"/>
          <w:sz w:val="24"/>
          <w:szCs w:val="24"/>
        </w:rPr>
        <w:t xml:space="preserve">provided </w:t>
      </w:r>
      <w:r w:rsidR="069F4A6E" w:rsidRPr="00B568F3">
        <w:rPr>
          <w:rFonts w:ascii="Arial" w:eastAsia="Calibri" w:hAnsi="Arial" w:cs="Arial"/>
          <w:sz w:val="24"/>
          <w:szCs w:val="24"/>
        </w:rPr>
        <w:t>135,169 training places</w:t>
      </w:r>
      <w:r w:rsidRPr="00B568F3">
        <w:rPr>
          <w:rFonts w:ascii="Arial" w:eastAsia="Calibri" w:hAnsi="Arial" w:cs="Arial"/>
          <w:sz w:val="24"/>
          <w:szCs w:val="24"/>
        </w:rPr>
        <w:t>,</w:t>
      </w:r>
      <w:r w:rsidR="069F4A6E" w:rsidRPr="00B568F3" w:rsidDel="00922A09">
        <w:rPr>
          <w:rFonts w:ascii="Arial" w:eastAsia="Calibri" w:hAnsi="Arial" w:cs="Arial"/>
          <w:sz w:val="24"/>
          <w:szCs w:val="24"/>
        </w:rPr>
        <w:t xml:space="preserve"> </w:t>
      </w:r>
      <w:r w:rsidR="069F4A6E" w:rsidRPr="00B568F3">
        <w:rPr>
          <w:rFonts w:ascii="Arial" w:eastAsia="Calibri" w:hAnsi="Arial" w:cs="Arial"/>
          <w:sz w:val="24"/>
          <w:szCs w:val="24"/>
        </w:rPr>
        <w:t>with 82.8</w:t>
      </w:r>
      <w:r w:rsidR="5407A560" w:rsidRPr="00B568F3">
        <w:rPr>
          <w:rFonts w:ascii="Arial" w:eastAsia="Calibri" w:hAnsi="Arial" w:cs="Arial"/>
          <w:sz w:val="24"/>
          <w:szCs w:val="24"/>
        </w:rPr>
        <w:t xml:space="preserve"> per cent</w:t>
      </w:r>
      <w:r w:rsidR="069F4A6E" w:rsidRPr="00B568F3">
        <w:rPr>
          <w:rFonts w:ascii="Arial" w:eastAsia="Calibri" w:hAnsi="Arial" w:cs="Arial"/>
          <w:sz w:val="24"/>
          <w:szCs w:val="24"/>
        </w:rPr>
        <w:t xml:space="preserve"> attendance</w:t>
      </w:r>
    </w:p>
    <w:p w14:paraId="1F00A57F" w14:textId="77777777" w:rsidR="0055741B" w:rsidRPr="00B568F3" w:rsidRDefault="0055741B" w:rsidP="00B2131D">
      <w:pPr>
        <w:spacing w:after="0" w:line="276" w:lineRule="auto"/>
        <w:contextualSpacing/>
        <w:rPr>
          <w:rFonts w:ascii="Arial" w:eastAsia="Calibri" w:hAnsi="Arial" w:cs="Arial"/>
          <w:sz w:val="24"/>
          <w:szCs w:val="24"/>
        </w:rPr>
      </w:pPr>
    </w:p>
    <w:p w14:paraId="13AB9C4C" w14:textId="632D9044" w:rsidR="00686EED" w:rsidRPr="00B568F3" w:rsidRDefault="069F4A6E" w:rsidP="00632461">
      <w:pPr>
        <w:pStyle w:val="ListParagraph"/>
        <w:numPr>
          <w:ilvl w:val="0"/>
          <w:numId w:val="6"/>
        </w:numPr>
        <w:spacing w:after="0" w:line="276" w:lineRule="auto"/>
        <w:ind w:left="360"/>
        <w:rPr>
          <w:rFonts w:ascii="Arial" w:eastAsia="Calibri" w:hAnsi="Arial" w:cs="Arial"/>
          <w:sz w:val="24"/>
          <w:szCs w:val="24"/>
        </w:rPr>
      </w:pPr>
      <w:r w:rsidRPr="00B568F3">
        <w:rPr>
          <w:rFonts w:ascii="Arial" w:eastAsia="Calibri" w:hAnsi="Arial" w:cs="Arial"/>
          <w:sz w:val="24"/>
          <w:szCs w:val="24"/>
        </w:rPr>
        <w:t>45.5</w:t>
      </w:r>
      <w:r w:rsidR="5407A560" w:rsidRPr="00B568F3">
        <w:rPr>
          <w:rFonts w:ascii="Arial" w:eastAsia="Calibri" w:hAnsi="Arial" w:cs="Arial"/>
          <w:sz w:val="24"/>
          <w:szCs w:val="24"/>
        </w:rPr>
        <w:t xml:space="preserve"> per cent</w:t>
      </w:r>
      <w:r w:rsidRPr="00B568F3">
        <w:rPr>
          <w:rFonts w:ascii="Arial" w:eastAsia="Calibri" w:hAnsi="Arial" w:cs="Arial"/>
          <w:sz w:val="24"/>
          <w:szCs w:val="24"/>
        </w:rPr>
        <w:t xml:space="preserve"> </w:t>
      </w:r>
      <w:r w:rsidR="00846EA4" w:rsidRPr="00B568F3">
        <w:rPr>
          <w:rFonts w:ascii="Arial" w:eastAsia="Calibri" w:hAnsi="Arial" w:cs="Arial"/>
          <w:sz w:val="24"/>
          <w:szCs w:val="24"/>
        </w:rPr>
        <w:t xml:space="preserve">of local authorities </w:t>
      </w:r>
      <w:r w:rsidR="00B9057F" w:rsidRPr="00B568F3">
        <w:rPr>
          <w:rFonts w:ascii="Arial" w:eastAsia="Calibri" w:hAnsi="Arial" w:cs="Arial"/>
          <w:sz w:val="24"/>
          <w:szCs w:val="24"/>
        </w:rPr>
        <w:t xml:space="preserve">saw an increase </w:t>
      </w:r>
      <w:r w:rsidRPr="00B568F3">
        <w:rPr>
          <w:rFonts w:ascii="Arial" w:eastAsia="Calibri" w:hAnsi="Arial" w:cs="Arial"/>
          <w:sz w:val="24"/>
          <w:szCs w:val="24"/>
        </w:rPr>
        <w:t>in sector wide training attendance</w:t>
      </w:r>
    </w:p>
    <w:p w14:paraId="3997CCFA" w14:textId="77777777" w:rsidR="00686EED" w:rsidRPr="00B568F3" w:rsidRDefault="00686EED" w:rsidP="00F521F9">
      <w:pPr>
        <w:spacing w:after="0" w:line="276" w:lineRule="auto"/>
        <w:contextualSpacing/>
        <w:rPr>
          <w:rFonts w:ascii="Arial" w:eastAsia="Calibri" w:hAnsi="Arial" w:cs="Arial"/>
          <w:sz w:val="24"/>
          <w:szCs w:val="24"/>
        </w:rPr>
      </w:pPr>
    </w:p>
    <w:p w14:paraId="32B7ABDC" w14:textId="756463E3" w:rsidR="0055741B" w:rsidRPr="00B568F3" w:rsidRDefault="00922A09" w:rsidP="00632461">
      <w:pPr>
        <w:pStyle w:val="ListParagraph"/>
        <w:numPr>
          <w:ilvl w:val="0"/>
          <w:numId w:val="6"/>
        </w:numPr>
        <w:spacing w:after="0" w:line="276" w:lineRule="auto"/>
        <w:ind w:left="360"/>
        <w:rPr>
          <w:rFonts w:ascii="Arial" w:eastAsia="Calibri" w:hAnsi="Arial" w:cs="Arial"/>
          <w:sz w:val="24"/>
          <w:szCs w:val="24"/>
        </w:rPr>
      </w:pPr>
      <w:r w:rsidRPr="00B568F3">
        <w:rPr>
          <w:rFonts w:ascii="Arial" w:eastAsia="Calibri" w:hAnsi="Arial" w:cs="Arial"/>
          <w:sz w:val="24"/>
          <w:szCs w:val="24"/>
        </w:rPr>
        <w:t xml:space="preserve">helped increase </w:t>
      </w:r>
      <w:r w:rsidR="069F4A6E" w:rsidRPr="00B568F3">
        <w:rPr>
          <w:rFonts w:ascii="Arial" w:eastAsia="Calibri" w:hAnsi="Arial" w:cs="Arial"/>
          <w:sz w:val="24"/>
          <w:szCs w:val="24"/>
        </w:rPr>
        <w:t>training attendance</w:t>
      </w:r>
      <w:r w:rsidR="069F4A6E" w:rsidRPr="00B568F3" w:rsidDel="00922A09">
        <w:rPr>
          <w:rFonts w:ascii="Arial" w:eastAsia="Calibri" w:hAnsi="Arial" w:cs="Arial"/>
          <w:sz w:val="24"/>
          <w:szCs w:val="24"/>
        </w:rPr>
        <w:t xml:space="preserve"> </w:t>
      </w:r>
      <w:r w:rsidR="069F4A6E" w:rsidRPr="00B568F3">
        <w:rPr>
          <w:rFonts w:ascii="Arial" w:eastAsia="Calibri" w:hAnsi="Arial" w:cs="Arial"/>
          <w:sz w:val="24"/>
          <w:szCs w:val="24"/>
        </w:rPr>
        <w:t>from wider services</w:t>
      </w:r>
      <w:r w:rsidRPr="00B568F3">
        <w:rPr>
          <w:rFonts w:ascii="Arial" w:eastAsia="Calibri" w:hAnsi="Arial" w:cs="Arial"/>
          <w:sz w:val="24"/>
          <w:szCs w:val="24"/>
        </w:rPr>
        <w:t xml:space="preserve"> such as</w:t>
      </w:r>
      <w:r w:rsidR="069F4A6E" w:rsidRPr="00B568F3" w:rsidDel="00922A09">
        <w:rPr>
          <w:rFonts w:ascii="Arial" w:eastAsia="Calibri" w:hAnsi="Arial" w:cs="Arial"/>
          <w:sz w:val="24"/>
          <w:szCs w:val="24"/>
        </w:rPr>
        <w:t xml:space="preserve"> </w:t>
      </w:r>
      <w:r w:rsidR="069F4A6E" w:rsidRPr="00B568F3">
        <w:rPr>
          <w:rFonts w:ascii="Arial" w:eastAsia="Calibri" w:hAnsi="Arial" w:cs="Arial"/>
          <w:sz w:val="24"/>
          <w:szCs w:val="24"/>
        </w:rPr>
        <w:t xml:space="preserve">health, </w:t>
      </w:r>
      <w:r w:rsidRPr="00B568F3">
        <w:rPr>
          <w:rFonts w:ascii="Arial" w:eastAsia="Calibri" w:hAnsi="Arial" w:cs="Arial"/>
          <w:sz w:val="24"/>
          <w:szCs w:val="24"/>
        </w:rPr>
        <w:t xml:space="preserve">the </w:t>
      </w:r>
      <w:r w:rsidR="069F4A6E" w:rsidRPr="00B568F3">
        <w:rPr>
          <w:rFonts w:ascii="Arial" w:eastAsia="Calibri" w:hAnsi="Arial" w:cs="Arial"/>
          <w:sz w:val="24"/>
          <w:szCs w:val="24"/>
        </w:rPr>
        <w:t>police, education, unpaid carers and volunteers.</w:t>
      </w:r>
      <w:r w:rsidRPr="00B568F3">
        <w:rPr>
          <w:rFonts w:ascii="Arial" w:eastAsia="Calibri" w:hAnsi="Arial" w:cs="Arial"/>
          <w:sz w:val="24"/>
          <w:szCs w:val="24"/>
        </w:rPr>
        <w:t xml:space="preserve"> This was</w:t>
      </w:r>
      <w:r w:rsidR="069F4A6E" w:rsidRPr="00B568F3">
        <w:rPr>
          <w:rFonts w:ascii="Arial" w:eastAsia="Calibri" w:hAnsi="Arial" w:cs="Arial"/>
          <w:sz w:val="24"/>
          <w:szCs w:val="24"/>
        </w:rPr>
        <w:t xml:space="preserve"> </w:t>
      </w:r>
      <w:r w:rsidRPr="00B568F3">
        <w:rPr>
          <w:rFonts w:ascii="Arial" w:eastAsia="Calibri" w:hAnsi="Arial" w:cs="Arial"/>
          <w:sz w:val="24"/>
          <w:szCs w:val="24"/>
        </w:rPr>
        <w:t>a</w:t>
      </w:r>
      <w:r w:rsidR="069F4A6E" w:rsidRPr="00B568F3">
        <w:rPr>
          <w:rFonts w:ascii="Arial" w:eastAsia="Calibri" w:hAnsi="Arial" w:cs="Arial"/>
          <w:sz w:val="24"/>
          <w:szCs w:val="24"/>
        </w:rPr>
        <w:t>n increase of 28.2</w:t>
      </w:r>
      <w:r w:rsidR="5407A560" w:rsidRPr="00B568F3">
        <w:rPr>
          <w:rFonts w:ascii="Arial" w:eastAsia="Calibri" w:hAnsi="Arial" w:cs="Arial"/>
          <w:sz w:val="24"/>
          <w:szCs w:val="24"/>
        </w:rPr>
        <w:t xml:space="preserve"> per cent</w:t>
      </w:r>
      <w:r w:rsidR="069F4A6E" w:rsidRPr="00B568F3">
        <w:rPr>
          <w:rFonts w:ascii="Arial" w:eastAsia="Calibri" w:hAnsi="Arial" w:cs="Arial"/>
          <w:sz w:val="24"/>
          <w:szCs w:val="24"/>
        </w:rPr>
        <w:t xml:space="preserve"> on last year.</w:t>
      </w:r>
    </w:p>
    <w:p w14:paraId="1D908B76" w14:textId="77777777" w:rsidR="00167583" w:rsidRPr="000C06A7" w:rsidRDefault="00167583" w:rsidP="00B2131D">
      <w:pPr>
        <w:rPr>
          <w:rFonts w:ascii="Arial" w:hAnsi="Arial" w:cs="Arial"/>
        </w:rPr>
      </w:pPr>
    </w:p>
    <w:p w14:paraId="54C8C9D9" w14:textId="04C0B654" w:rsidR="00A21C3F" w:rsidRPr="000C06A7" w:rsidRDefault="001C2C94" w:rsidP="000C06A7">
      <w:pPr>
        <w:pStyle w:val="Heading3"/>
      </w:pPr>
      <w:bookmarkStart w:id="3" w:name="_Toc179481624"/>
      <w:r w:rsidRPr="000C06A7">
        <w:t>Future developments</w:t>
      </w:r>
      <w:bookmarkEnd w:id="3"/>
    </w:p>
    <w:p w14:paraId="59307B98" w14:textId="5588F3A5" w:rsidR="00CF5C9A" w:rsidRPr="000C06A7" w:rsidRDefault="00F124B5" w:rsidP="069F4A6E">
      <w:pPr>
        <w:spacing w:after="0" w:line="240" w:lineRule="auto"/>
        <w:rPr>
          <w:rFonts w:ascii="Arial" w:hAnsi="Arial" w:cs="Arial"/>
          <w:sz w:val="24"/>
          <w:szCs w:val="24"/>
          <w:lang w:eastAsia="en-GB"/>
        </w:rPr>
      </w:pPr>
      <w:r w:rsidRPr="000C06A7">
        <w:rPr>
          <w:rFonts w:ascii="Arial" w:hAnsi="Arial" w:cs="Arial"/>
          <w:sz w:val="24"/>
          <w:szCs w:val="24"/>
          <w:lang w:eastAsia="en-GB"/>
        </w:rPr>
        <w:t>We’ve identified</w:t>
      </w:r>
      <w:r w:rsidR="069F4A6E" w:rsidRPr="000C06A7">
        <w:rPr>
          <w:rFonts w:ascii="Arial" w:hAnsi="Arial" w:cs="Arial"/>
          <w:sz w:val="24"/>
          <w:szCs w:val="24"/>
          <w:lang w:eastAsia="en-GB"/>
        </w:rPr>
        <w:t xml:space="preserve"> </w:t>
      </w:r>
      <w:r w:rsidRPr="000C06A7">
        <w:rPr>
          <w:rFonts w:ascii="Arial" w:hAnsi="Arial" w:cs="Arial"/>
          <w:sz w:val="24"/>
          <w:szCs w:val="24"/>
          <w:lang w:eastAsia="en-GB"/>
        </w:rPr>
        <w:t>many</w:t>
      </w:r>
      <w:r w:rsidR="069F4A6E" w:rsidRPr="000C06A7">
        <w:rPr>
          <w:rFonts w:ascii="Arial" w:hAnsi="Arial" w:cs="Arial"/>
          <w:sz w:val="24"/>
          <w:szCs w:val="24"/>
          <w:lang w:eastAsia="en-GB"/>
        </w:rPr>
        <w:t xml:space="preserve"> future developments</w:t>
      </w:r>
      <w:r w:rsidRPr="000C06A7">
        <w:rPr>
          <w:rFonts w:ascii="Arial" w:hAnsi="Arial" w:cs="Arial"/>
          <w:sz w:val="24"/>
          <w:szCs w:val="24"/>
          <w:lang w:eastAsia="en-GB"/>
        </w:rPr>
        <w:t>, which</w:t>
      </w:r>
      <w:r w:rsidR="069F4A6E" w:rsidRPr="000C06A7">
        <w:rPr>
          <w:rFonts w:ascii="Arial" w:hAnsi="Arial" w:cs="Arial"/>
          <w:sz w:val="24"/>
          <w:szCs w:val="24"/>
          <w:lang w:eastAsia="en-GB"/>
        </w:rPr>
        <w:t xml:space="preserve"> are described in more detail in this report, including:</w:t>
      </w:r>
    </w:p>
    <w:p w14:paraId="23708469" w14:textId="77777777" w:rsidR="001C2C94" w:rsidRPr="000C06A7" w:rsidRDefault="001C2C94" w:rsidP="00A21C3F">
      <w:pPr>
        <w:spacing w:after="0" w:line="240" w:lineRule="auto"/>
        <w:rPr>
          <w:rFonts w:ascii="Arial" w:hAnsi="Arial" w:cs="Arial"/>
          <w:sz w:val="24"/>
          <w:szCs w:val="24"/>
          <w:lang w:eastAsia="en-GB"/>
        </w:rPr>
      </w:pPr>
    </w:p>
    <w:p w14:paraId="1332062E" w14:textId="01F7F5AF" w:rsidR="001C2C94" w:rsidRPr="00B568F3" w:rsidRDefault="069F4A6E" w:rsidP="00632461">
      <w:pPr>
        <w:numPr>
          <w:ilvl w:val="0"/>
          <w:numId w:val="6"/>
        </w:numPr>
        <w:spacing w:after="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building a fuller picture of social care workforce development across Wales </w:t>
      </w:r>
    </w:p>
    <w:p w14:paraId="51A20137" w14:textId="25EB7AA8" w:rsidR="001C2C94" w:rsidRPr="00B568F3" w:rsidRDefault="069F4A6E" w:rsidP="00632461">
      <w:pPr>
        <w:numPr>
          <w:ilvl w:val="0"/>
          <w:numId w:val="6"/>
        </w:numPr>
        <w:spacing w:after="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monitoring the risk of higher investment in social work </w:t>
      </w:r>
    </w:p>
    <w:p w14:paraId="431D9E2C" w14:textId="55CD514D" w:rsidR="001C2C94" w:rsidRPr="00B568F3" w:rsidRDefault="069F4A6E" w:rsidP="00632461">
      <w:pPr>
        <w:numPr>
          <w:ilvl w:val="0"/>
          <w:numId w:val="6"/>
        </w:numPr>
        <w:spacing w:after="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strengthening grant guidance</w:t>
      </w:r>
    </w:p>
    <w:p w14:paraId="4CB37EE5" w14:textId="574F8B7A" w:rsidR="001C2C94" w:rsidRPr="00B568F3" w:rsidRDefault="102682F3" w:rsidP="00632461">
      <w:pPr>
        <w:numPr>
          <w:ilvl w:val="0"/>
          <w:numId w:val="6"/>
        </w:numPr>
        <w:spacing w:after="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training take-up and attendance reflecting the sector profile</w:t>
      </w:r>
    </w:p>
    <w:p w14:paraId="4A7A796B" w14:textId="21A69D91" w:rsidR="001C2C94" w:rsidRPr="00B568F3" w:rsidRDefault="069F4A6E" w:rsidP="00632461">
      <w:pPr>
        <w:numPr>
          <w:ilvl w:val="0"/>
          <w:numId w:val="6"/>
        </w:numPr>
        <w:spacing w:after="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measuring impact.</w:t>
      </w:r>
    </w:p>
    <w:p w14:paraId="09D2E677" w14:textId="77777777" w:rsidR="00F31951" w:rsidRPr="00B568F3" w:rsidRDefault="00F31951" w:rsidP="00F521F9">
      <w:pPr>
        <w:spacing w:after="0" w:line="276" w:lineRule="auto"/>
        <w:ind w:left="567"/>
        <w:contextualSpacing/>
        <w:rPr>
          <w:rFonts w:ascii="Arial" w:eastAsia="Calibri" w:hAnsi="Arial" w:cs="Arial"/>
          <w:sz w:val="24"/>
          <w:szCs w:val="24"/>
        </w:rPr>
      </w:pPr>
    </w:p>
    <w:p w14:paraId="6BE27547" w14:textId="6D7D5D0F" w:rsidR="00B853BA" w:rsidRPr="000C06A7" w:rsidRDefault="0342F985" w:rsidP="000C06A7">
      <w:pPr>
        <w:pStyle w:val="Heading2"/>
      </w:pPr>
      <w:bookmarkStart w:id="4" w:name="_Toc179481625"/>
      <w:r w:rsidRPr="000C06A7">
        <w:t>Spend analysis</w:t>
      </w:r>
      <w:bookmarkEnd w:id="4"/>
    </w:p>
    <w:p w14:paraId="121FE7CE" w14:textId="7E2A2FBF" w:rsidR="001001AC" w:rsidRPr="00B568F3" w:rsidRDefault="000C06A7" w:rsidP="00B2131D">
      <w:pPr>
        <w:spacing w:after="200" w:line="276" w:lineRule="auto"/>
        <w:contextualSpacing/>
        <w:rPr>
          <w:rFonts w:ascii="Arial" w:eastAsia="Calibri" w:hAnsi="Arial" w:cs="Arial"/>
          <w:sz w:val="24"/>
          <w:szCs w:val="24"/>
        </w:rPr>
      </w:pPr>
      <w:r w:rsidRPr="00B568F3">
        <w:rPr>
          <w:rFonts w:ascii="Arial" w:eastAsia="Calibri" w:hAnsi="Arial" w:cs="Arial"/>
          <w:sz w:val="24"/>
          <w:szCs w:val="24"/>
        </w:rPr>
        <w:t>This section</w:t>
      </w:r>
      <w:r w:rsidR="069F4A6E" w:rsidRPr="00B568F3">
        <w:rPr>
          <w:rFonts w:ascii="Arial" w:eastAsia="Calibri" w:hAnsi="Arial" w:cs="Arial"/>
          <w:sz w:val="24"/>
          <w:szCs w:val="24"/>
        </w:rPr>
        <w:t xml:space="preserve"> gives an overview of the financial spend analysis of the core funding SCWWDP grant (70</w:t>
      </w:r>
      <w:r w:rsidR="65CDA894" w:rsidRPr="00B568F3">
        <w:rPr>
          <w:rFonts w:ascii="Arial" w:eastAsia="Calibri" w:hAnsi="Arial" w:cs="Arial"/>
          <w:sz w:val="24"/>
          <w:szCs w:val="24"/>
        </w:rPr>
        <w:t xml:space="preserve"> per cent</w:t>
      </w:r>
      <w:r w:rsidR="069F4A6E" w:rsidRPr="00B568F3">
        <w:rPr>
          <w:rFonts w:ascii="Arial" w:eastAsia="Calibri" w:hAnsi="Arial" w:cs="Arial"/>
          <w:sz w:val="24"/>
          <w:szCs w:val="24"/>
        </w:rPr>
        <w:t xml:space="preserve"> funding provided</w:t>
      </w:r>
      <w:r w:rsidR="001001AC" w:rsidRPr="00B568F3" w:rsidDel="069F4A6E">
        <w:rPr>
          <w:rFonts w:ascii="Arial" w:eastAsia="Calibri" w:hAnsi="Arial" w:cs="Arial"/>
          <w:sz w:val="24"/>
          <w:szCs w:val="24"/>
        </w:rPr>
        <w:t xml:space="preserve"> </w:t>
      </w:r>
      <w:r w:rsidR="069F4A6E" w:rsidRPr="00B568F3">
        <w:rPr>
          <w:rFonts w:ascii="Arial" w:eastAsia="Calibri" w:hAnsi="Arial" w:cs="Arial"/>
          <w:sz w:val="24"/>
          <w:szCs w:val="24"/>
        </w:rPr>
        <w:t xml:space="preserve">by </w:t>
      </w:r>
      <w:r w:rsidR="65CDA894" w:rsidRPr="00B568F3">
        <w:rPr>
          <w:rFonts w:ascii="Arial" w:eastAsia="Calibri" w:hAnsi="Arial" w:cs="Arial"/>
          <w:sz w:val="24"/>
          <w:szCs w:val="24"/>
        </w:rPr>
        <w:t>us</w:t>
      </w:r>
      <w:r w:rsidR="069F4A6E" w:rsidRPr="00B568F3">
        <w:rPr>
          <w:rFonts w:ascii="Arial" w:eastAsia="Calibri" w:hAnsi="Arial" w:cs="Arial"/>
          <w:sz w:val="24"/>
          <w:szCs w:val="24"/>
        </w:rPr>
        <w:t xml:space="preserve"> and 30 </w:t>
      </w:r>
      <w:r w:rsidR="65CDA894" w:rsidRPr="00B568F3">
        <w:rPr>
          <w:rFonts w:ascii="Arial" w:eastAsia="Calibri" w:hAnsi="Arial" w:cs="Arial"/>
          <w:sz w:val="24"/>
          <w:szCs w:val="24"/>
        </w:rPr>
        <w:t xml:space="preserve">per </w:t>
      </w:r>
      <w:r w:rsidR="06E24F19" w:rsidRPr="00B568F3">
        <w:rPr>
          <w:rFonts w:ascii="Arial" w:eastAsia="Calibri" w:hAnsi="Arial" w:cs="Arial"/>
          <w:sz w:val="24"/>
          <w:szCs w:val="24"/>
        </w:rPr>
        <w:t>cent</w:t>
      </w:r>
      <w:r w:rsidR="65CDA894" w:rsidRPr="00B568F3">
        <w:rPr>
          <w:rFonts w:ascii="Arial" w:eastAsia="Calibri" w:hAnsi="Arial" w:cs="Arial"/>
          <w:sz w:val="24"/>
          <w:szCs w:val="24"/>
        </w:rPr>
        <w:t xml:space="preserve"> </w:t>
      </w:r>
      <w:r w:rsidR="069F4A6E" w:rsidRPr="00B568F3">
        <w:rPr>
          <w:rFonts w:ascii="Arial" w:eastAsia="Calibri" w:hAnsi="Arial" w:cs="Arial"/>
          <w:sz w:val="24"/>
          <w:szCs w:val="24"/>
        </w:rPr>
        <w:t>match funding by local authorities) and the additional local authority funding (over and above their 30</w:t>
      </w:r>
      <w:r w:rsidR="6B2A2DA4" w:rsidRPr="00B568F3">
        <w:rPr>
          <w:rFonts w:ascii="Arial" w:eastAsia="Calibri" w:hAnsi="Arial" w:cs="Arial"/>
          <w:sz w:val="24"/>
          <w:szCs w:val="24"/>
        </w:rPr>
        <w:t xml:space="preserve"> per cent</w:t>
      </w:r>
      <w:r w:rsidR="069F4A6E" w:rsidRPr="00B568F3">
        <w:rPr>
          <w:rFonts w:ascii="Arial" w:eastAsia="Calibri" w:hAnsi="Arial" w:cs="Arial"/>
          <w:sz w:val="24"/>
          <w:szCs w:val="24"/>
        </w:rPr>
        <w:t xml:space="preserve"> match funding) against elements including staffing, health and safety</w:t>
      </w:r>
      <w:r w:rsidR="00D63DF5" w:rsidRPr="00B568F3">
        <w:rPr>
          <w:rFonts w:ascii="Arial" w:eastAsia="Calibri" w:hAnsi="Arial" w:cs="Arial"/>
          <w:sz w:val="24"/>
          <w:szCs w:val="24"/>
        </w:rPr>
        <w:t>,</w:t>
      </w:r>
      <w:r w:rsidR="069F4A6E" w:rsidRPr="00B568F3">
        <w:rPr>
          <w:rFonts w:ascii="Arial" w:eastAsia="Calibri" w:hAnsi="Arial" w:cs="Arial"/>
          <w:sz w:val="24"/>
          <w:szCs w:val="24"/>
        </w:rPr>
        <w:t xml:space="preserve"> and spend against the national priorities.</w:t>
      </w:r>
    </w:p>
    <w:p w14:paraId="7D1993D5" w14:textId="77777777" w:rsidR="00A755D1" w:rsidRPr="00B568F3" w:rsidRDefault="00A755D1" w:rsidP="007C0ED8">
      <w:pPr>
        <w:spacing w:after="200" w:line="276" w:lineRule="auto"/>
        <w:ind w:left="567"/>
        <w:contextualSpacing/>
        <w:rPr>
          <w:rFonts w:ascii="Arial" w:eastAsia="Calibri" w:hAnsi="Arial" w:cs="Arial"/>
          <w:sz w:val="24"/>
          <w:szCs w:val="24"/>
        </w:rPr>
      </w:pPr>
    </w:p>
    <w:p w14:paraId="426F124B" w14:textId="75482381" w:rsidR="009D2F36" w:rsidRPr="00B568F3" w:rsidRDefault="069F4A6E" w:rsidP="00B2131D">
      <w:pPr>
        <w:spacing w:after="200" w:line="276" w:lineRule="auto"/>
        <w:contextualSpacing/>
        <w:rPr>
          <w:rFonts w:ascii="Arial" w:eastAsia="Calibri" w:hAnsi="Arial" w:cs="Arial"/>
          <w:sz w:val="24"/>
          <w:szCs w:val="24"/>
        </w:rPr>
      </w:pPr>
      <w:r w:rsidRPr="00B568F3">
        <w:rPr>
          <w:rFonts w:ascii="Arial" w:eastAsia="Calibri" w:hAnsi="Arial" w:cs="Arial"/>
          <w:sz w:val="24"/>
          <w:szCs w:val="24"/>
        </w:rPr>
        <w:t>Table 1 shows the total amount of spend across Wales for 2023</w:t>
      </w:r>
      <w:r w:rsidR="7D36CDFF" w:rsidRPr="00B568F3">
        <w:rPr>
          <w:rFonts w:ascii="Arial" w:eastAsia="Calibri" w:hAnsi="Arial" w:cs="Arial"/>
          <w:sz w:val="24"/>
          <w:szCs w:val="24"/>
        </w:rPr>
        <w:t xml:space="preserve"> to </w:t>
      </w:r>
      <w:r w:rsidRPr="00B568F3">
        <w:rPr>
          <w:rFonts w:ascii="Arial" w:eastAsia="Calibri" w:hAnsi="Arial" w:cs="Arial"/>
          <w:sz w:val="24"/>
          <w:szCs w:val="24"/>
        </w:rPr>
        <w:t xml:space="preserve">2024 against </w:t>
      </w:r>
      <w:r w:rsidR="008E448D" w:rsidRPr="00B568F3">
        <w:rPr>
          <w:rFonts w:ascii="Arial" w:eastAsia="Calibri" w:hAnsi="Arial" w:cs="Arial"/>
          <w:sz w:val="24"/>
          <w:szCs w:val="24"/>
        </w:rPr>
        <w:t>each main</w:t>
      </w:r>
      <w:r w:rsidRPr="00B568F3">
        <w:rPr>
          <w:rFonts w:ascii="Arial" w:eastAsia="Calibri" w:hAnsi="Arial" w:cs="Arial"/>
          <w:sz w:val="24"/>
          <w:szCs w:val="24"/>
        </w:rPr>
        <w:t xml:space="preserve"> category of the SCWWDP grant circular, and </w:t>
      </w:r>
      <w:r w:rsidR="00D63DF5" w:rsidRPr="00B568F3">
        <w:rPr>
          <w:rFonts w:ascii="Arial" w:eastAsia="Calibri" w:hAnsi="Arial" w:cs="Arial"/>
          <w:sz w:val="24"/>
          <w:szCs w:val="24"/>
        </w:rPr>
        <w:t xml:space="preserve">the </w:t>
      </w:r>
      <w:r w:rsidRPr="00B568F3">
        <w:rPr>
          <w:rFonts w:ascii="Arial" w:eastAsia="Calibri" w:hAnsi="Arial" w:cs="Arial"/>
          <w:sz w:val="24"/>
          <w:szCs w:val="24"/>
        </w:rPr>
        <w:t xml:space="preserve">percentage change against </w:t>
      </w:r>
      <w:r w:rsidR="54C4A431" w:rsidRPr="00B568F3">
        <w:rPr>
          <w:rFonts w:ascii="Arial" w:eastAsia="Calibri" w:hAnsi="Arial" w:cs="Arial"/>
          <w:sz w:val="24"/>
          <w:szCs w:val="24"/>
        </w:rPr>
        <w:t xml:space="preserve">the </w:t>
      </w:r>
      <w:r w:rsidRPr="00B568F3">
        <w:rPr>
          <w:rFonts w:ascii="Arial" w:eastAsia="Calibri" w:hAnsi="Arial" w:cs="Arial"/>
          <w:sz w:val="24"/>
          <w:szCs w:val="24"/>
        </w:rPr>
        <w:t>2022</w:t>
      </w:r>
      <w:r w:rsidR="7D36CDFF" w:rsidRPr="00B568F3">
        <w:rPr>
          <w:rFonts w:ascii="Arial" w:eastAsia="Calibri" w:hAnsi="Arial" w:cs="Arial"/>
          <w:sz w:val="24"/>
          <w:szCs w:val="24"/>
        </w:rPr>
        <w:t xml:space="preserve"> to </w:t>
      </w:r>
      <w:r w:rsidRPr="00B568F3">
        <w:rPr>
          <w:rFonts w:ascii="Arial" w:eastAsia="Calibri" w:hAnsi="Arial" w:cs="Arial"/>
          <w:sz w:val="24"/>
          <w:szCs w:val="24"/>
        </w:rPr>
        <w:t xml:space="preserve">2023 spend. </w:t>
      </w:r>
    </w:p>
    <w:p w14:paraId="148AD845" w14:textId="5C8EC26B" w:rsidR="00B57DA5" w:rsidRPr="00B568F3" w:rsidRDefault="00B57DA5" w:rsidP="009D2F36">
      <w:pPr>
        <w:rPr>
          <w:rFonts w:ascii="Arial" w:hAnsi="Arial" w:cs="Arial"/>
        </w:rPr>
      </w:pPr>
    </w:p>
    <w:p w14:paraId="1E66F247" w14:textId="3A927AE5" w:rsidR="000C06A7" w:rsidRDefault="000C06A7">
      <w:pPr>
        <w:rPr>
          <w:rFonts w:ascii="Arial" w:hAnsi="Arial" w:cs="Arial"/>
        </w:rPr>
      </w:pPr>
      <w:r>
        <w:rPr>
          <w:rFonts w:ascii="Arial" w:hAnsi="Arial" w:cs="Arial"/>
        </w:rPr>
        <w:br w:type="page"/>
      </w:r>
    </w:p>
    <w:p w14:paraId="2081680E" w14:textId="77777777" w:rsidR="006C587D" w:rsidRPr="00B568F3" w:rsidRDefault="006C587D" w:rsidP="009D2F36">
      <w:pPr>
        <w:rPr>
          <w:rFonts w:ascii="Arial" w:hAnsi="Arial" w:cs="Arial"/>
        </w:rPr>
      </w:pPr>
    </w:p>
    <w:tbl>
      <w:tblPr>
        <w:tblStyle w:val="TableGrid"/>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293"/>
        <w:gridCol w:w="987"/>
        <w:gridCol w:w="1318"/>
        <w:gridCol w:w="1975"/>
      </w:tblGrid>
      <w:tr w:rsidR="00B57DA5" w:rsidRPr="00B568F3" w14:paraId="629D27A6" w14:textId="77777777" w:rsidTr="069F4A6E">
        <w:trPr>
          <w:trHeight w:val="300"/>
        </w:trPr>
        <w:tc>
          <w:tcPr>
            <w:tcW w:w="9129" w:type="dxa"/>
            <w:gridSpan w:val="5"/>
            <w:tcBorders>
              <w:bottom w:val="single" w:sz="4" w:space="0" w:color="auto"/>
            </w:tcBorders>
          </w:tcPr>
          <w:p w14:paraId="0740F900" w14:textId="624CFB14" w:rsidR="00B57DA5" w:rsidRPr="00B568F3" w:rsidRDefault="00B57DA5" w:rsidP="00B57DA5">
            <w:pPr>
              <w:rPr>
                <w:rFonts w:ascii="Arial" w:eastAsia="Times New Roman" w:hAnsi="Arial" w:cs="Arial"/>
                <w:b/>
                <w:bCs/>
                <w:color w:val="000000"/>
                <w:lang w:eastAsia="en-GB"/>
              </w:rPr>
            </w:pPr>
            <w:r w:rsidRPr="00B568F3">
              <w:rPr>
                <w:rFonts w:ascii="Arial" w:eastAsia="Times New Roman" w:hAnsi="Arial" w:cs="Arial"/>
                <w:b/>
                <w:color w:val="000000" w:themeColor="text1"/>
                <w:lang w:eastAsia="en-GB"/>
              </w:rPr>
              <w:t>Table 1: Summary of spend, 2023</w:t>
            </w:r>
            <w:r w:rsidR="7D36CDFF" w:rsidRPr="00B568F3">
              <w:rPr>
                <w:rFonts w:ascii="Arial" w:eastAsia="Times New Roman" w:hAnsi="Arial" w:cs="Arial"/>
                <w:b/>
                <w:bCs/>
                <w:color w:val="000000" w:themeColor="text1"/>
                <w:lang w:eastAsia="en-GB"/>
              </w:rPr>
              <w:t xml:space="preserve"> to </w:t>
            </w:r>
            <w:r w:rsidRPr="00B568F3">
              <w:rPr>
                <w:rFonts w:ascii="Arial" w:eastAsia="Times New Roman" w:hAnsi="Arial" w:cs="Arial"/>
                <w:b/>
                <w:color w:val="000000" w:themeColor="text1"/>
                <w:lang w:eastAsia="en-GB"/>
              </w:rPr>
              <w:t>2024</w:t>
            </w:r>
          </w:p>
        </w:tc>
      </w:tr>
      <w:tr w:rsidR="00DD0644" w:rsidRPr="00B568F3" w14:paraId="0191FF02" w14:textId="5B1C97A3" w:rsidTr="00F521F9">
        <w:trPr>
          <w:trHeight w:val="300"/>
        </w:trPr>
        <w:tc>
          <w:tcPr>
            <w:tcW w:w="2556" w:type="dxa"/>
            <w:tcBorders>
              <w:bottom w:val="single" w:sz="4" w:space="0" w:color="auto"/>
            </w:tcBorders>
          </w:tcPr>
          <w:p w14:paraId="7C72E319" w14:textId="77777777" w:rsidR="00DD0644" w:rsidRPr="00B568F3" w:rsidRDefault="00DD0644" w:rsidP="00284C83">
            <w:pPr>
              <w:rPr>
                <w:rFonts w:ascii="Arial" w:hAnsi="Arial" w:cs="Arial"/>
                <w:color w:val="000000"/>
              </w:rPr>
            </w:pPr>
          </w:p>
        </w:tc>
        <w:tc>
          <w:tcPr>
            <w:tcW w:w="2293" w:type="dxa"/>
            <w:tcBorders>
              <w:bottom w:val="single" w:sz="4" w:space="0" w:color="auto"/>
            </w:tcBorders>
            <w:noWrap/>
            <w:vAlign w:val="center"/>
          </w:tcPr>
          <w:p w14:paraId="5E7F3D2D" w14:textId="1FC39017" w:rsidR="00DD0644" w:rsidRPr="00B568F3" w:rsidRDefault="00DD0644" w:rsidP="00F31951">
            <w:pPr>
              <w:jc w:val="center"/>
              <w:rPr>
                <w:rFonts w:ascii="Arial" w:eastAsia="Times New Roman" w:hAnsi="Arial" w:cs="Arial"/>
                <w:b/>
                <w:bCs/>
                <w:color w:val="000000"/>
                <w:lang w:eastAsia="en-GB"/>
              </w:rPr>
            </w:pPr>
            <w:r w:rsidRPr="00B568F3">
              <w:rPr>
                <w:rFonts w:ascii="Arial" w:eastAsia="Times New Roman" w:hAnsi="Arial" w:cs="Arial"/>
                <w:b/>
                <w:bCs/>
                <w:color w:val="000000"/>
                <w:lang w:eastAsia="en-GB"/>
              </w:rPr>
              <w:t>SCWWDP</w:t>
            </w:r>
            <w:r w:rsidRPr="00B568F3" w:rsidDel="00865572">
              <w:rPr>
                <w:rFonts w:ascii="Arial" w:eastAsia="Times New Roman" w:hAnsi="Arial" w:cs="Arial"/>
                <w:b/>
                <w:bCs/>
                <w:color w:val="000000"/>
                <w:lang w:eastAsia="en-GB"/>
              </w:rPr>
              <w:t xml:space="preserve"> </w:t>
            </w:r>
            <w:r w:rsidRPr="00B568F3">
              <w:rPr>
                <w:rFonts w:ascii="Arial" w:eastAsia="Times New Roman" w:hAnsi="Arial" w:cs="Arial"/>
                <w:b/>
                <w:bCs/>
                <w:color w:val="000000"/>
                <w:lang w:eastAsia="en-GB"/>
              </w:rPr>
              <w:t>(70%+30%)</w:t>
            </w:r>
          </w:p>
        </w:tc>
        <w:tc>
          <w:tcPr>
            <w:tcW w:w="987" w:type="dxa"/>
            <w:tcBorders>
              <w:bottom w:val="single" w:sz="4" w:space="0" w:color="auto"/>
            </w:tcBorders>
            <w:vAlign w:val="center"/>
          </w:tcPr>
          <w:p w14:paraId="24003989" w14:textId="48733D77" w:rsidR="00DD0644" w:rsidRPr="00B568F3" w:rsidRDefault="00DD0644" w:rsidP="00F31951">
            <w:pPr>
              <w:jc w:val="center"/>
              <w:rPr>
                <w:rFonts w:ascii="Arial" w:eastAsia="Times New Roman" w:hAnsi="Arial" w:cs="Arial"/>
                <w:b/>
                <w:bCs/>
                <w:color w:val="000000"/>
                <w:lang w:eastAsia="en-GB"/>
              </w:rPr>
            </w:pPr>
            <w:r w:rsidRPr="00B568F3">
              <w:rPr>
                <w:rFonts w:ascii="Arial" w:eastAsia="Times New Roman" w:hAnsi="Arial" w:cs="Arial"/>
                <w:b/>
                <w:bCs/>
                <w:color w:val="000000"/>
                <w:lang w:eastAsia="en-GB"/>
              </w:rPr>
              <w:t>% change</w:t>
            </w:r>
          </w:p>
        </w:tc>
        <w:tc>
          <w:tcPr>
            <w:tcW w:w="1318" w:type="dxa"/>
            <w:tcBorders>
              <w:bottom w:val="single" w:sz="4" w:space="0" w:color="auto"/>
            </w:tcBorders>
            <w:noWrap/>
            <w:vAlign w:val="center"/>
          </w:tcPr>
          <w:p w14:paraId="525AD45E" w14:textId="3E492148" w:rsidR="00DD0644" w:rsidRPr="00B568F3" w:rsidRDefault="00DD0644" w:rsidP="00F31951">
            <w:pPr>
              <w:jc w:val="center"/>
              <w:rPr>
                <w:rFonts w:ascii="Arial" w:eastAsia="Times New Roman" w:hAnsi="Arial" w:cs="Arial"/>
                <w:b/>
                <w:bCs/>
                <w:color w:val="000000"/>
                <w:lang w:eastAsia="en-GB"/>
              </w:rPr>
            </w:pPr>
            <w:r w:rsidRPr="00B568F3">
              <w:rPr>
                <w:rFonts w:ascii="Arial" w:eastAsia="Times New Roman" w:hAnsi="Arial" w:cs="Arial"/>
                <w:b/>
                <w:bCs/>
                <w:color w:val="000000"/>
                <w:lang w:eastAsia="en-GB"/>
              </w:rPr>
              <w:t xml:space="preserve">Additional </w:t>
            </w:r>
            <w:r w:rsidR="00594067" w:rsidRPr="00B568F3">
              <w:rPr>
                <w:rFonts w:ascii="Arial" w:eastAsia="Times New Roman" w:hAnsi="Arial" w:cs="Arial"/>
                <w:b/>
                <w:bCs/>
                <w:color w:val="000000"/>
                <w:lang w:eastAsia="en-GB"/>
              </w:rPr>
              <w:t xml:space="preserve">local authority </w:t>
            </w:r>
            <w:r w:rsidRPr="00B568F3">
              <w:rPr>
                <w:rFonts w:ascii="Arial" w:eastAsia="Times New Roman" w:hAnsi="Arial" w:cs="Arial"/>
                <w:b/>
                <w:bCs/>
                <w:color w:val="000000"/>
                <w:lang w:eastAsia="en-GB"/>
              </w:rPr>
              <w:t>funding</w:t>
            </w:r>
          </w:p>
        </w:tc>
        <w:tc>
          <w:tcPr>
            <w:tcW w:w="1975" w:type="dxa"/>
            <w:tcBorders>
              <w:bottom w:val="single" w:sz="4" w:space="0" w:color="auto"/>
            </w:tcBorders>
            <w:vAlign w:val="center"/>
          </w:tcPr>
          <w:p w14:paraId="566E660D" w14:textId="67CC61F5" w:rsidR="00DD0644" w:rsidRPr="00B568F3" w:rsidRDefault="00DD0644" w:rsidP="00F31951">
            <w:pPr>
              <w:jc w:val="center"/>
              <w:rPr>
                <w:rFonts w:ascii="Arial" w:eastAsia="Times New Roman" w:hAnsi="Arial" w:cs="Arial"/>
                <w:b/>
                <w:bCs/>
                <w:color w:val="000000"/>
                <w:lang w:eastAsia="en-GB"/>
              </w:rPr>
            </w:pPr>
            <w:r w:rsidRPr="00B568F3">
              <w:rPr>
                <w:rFonts w:ascii="Arial" w:eastAsia="Times New Roman" w:hAnsi="Arial" w:cs="Arial"/>
                <w:b/>
                <w:bCs/>
                <w:color w:val="000000"/>
                <w:lang w:eastAsia="en-GB"/>
              </w:rPr>
              <w:t>% change</w:t>
            </w:r>
          </w:p>
        </w:tc>
      </w:tr>
      <w:tr w:rsidR="00DD0644" w:rsidRPr="00B568F3" w14:paraId="3B5C2374" w14:textId="1F60287E" w:rsidTr="069F4A6E">
        <w:trPr>
          <w:trHeight w:val="300"/>
        </w:trPr>
        <w:tc>
          <w:tcPr>
            <w:tcW w:w="2556" w:type="dxa"/>
            <w:tcBorders>
              <w:top w:val="single" w:sz="4" w:space="0" w:color="auto"/>
            </w:tcBorders>
          </w:tcPr>
          <w:p w14:paraId="33F9B8BE" w14:textId="45CF4BCC" w:rsidR="00DD0644" w:rsidRPr="00B568F3" w:rsidRDefault="00DD0644" w:rsidP="00284C83">
            <w:pPr>
              <w:rPr>
                <w:rFonts w:ascii="Arial" w:eastAsia="Times New Roman" w:hAnsi="Arial" w:cs="Arial"/>
                <w:color w:val="000000"/>
                <w:lang w:eastAsia="en-GB"/>
              </w:rPr>
            </w:pPr>
            <w:r w:rsidRPr="00B568F3">
              <w:rPr>
                <w:rFonts w:ascii="Arial" w:hAnsi="Arial" w:cs="Arial"/>
                <w:color w:val="000000"/>
              </w:rPr>
              <w:t>SCWWDP grant (70%)</w:t>
            </w:r>
          </w:p>
        </w:tc>
        <w:tc>
          <w:tcPr>
            <w:tcW w:w="2293" w:type="dxa"/>
            <w:tcBorders>
              <w:top w:val="single" w:sz="4" w:space="0" w:color="auto"/>
            </w:tcBorders>
            <w:noWrap/>
            <w:hideMark/>
          </w:tcPr>
          <w:p w14:paraId="4E8A6A40" w14:textId="229E74F6"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7,640,051</w:t>
            </w:r>
          </w:p>
        </w:tc>
        <w:tc>
          <w:tcPr>
            <w:tcW w:w="987" w:type="dxa"/>
            <w:tcBorders>
              <w:top w:val="single" w:sz="4" w:space="0" w:color="auto"/>
            </w:tcBorders>
          </w:tcPr>
          <w:p w14:paraId="6C5CBF54" w14:textId="3A9A00B3" w:rsidR="00DD0644" w:rsidRPr="00B568F3" w:rsidRDefault="006C14DB"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+6.9%</w:t>
            </w:r>
          </w:p>
        </w:tc>
        <w:tc>
          <w:tcPr>
            <w:tcW w:w="1318" w:type="dxa"/>
            <w:tcBorders>
              <w:top w:val="single" w:sz="4" w:space="0" w:color="auto"/>
            </w:tcBorders>
            <w:noWrap/>
            <w:hideMark/>
          </w:tcPr>
          <w:p w14:paraId="2F1B0A05" w14:textId="518B698A"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 </w:t>
            </w:r>
          </w:p>
        </w:tc>
        <w:tc>
          <w:tcPr>
            <w:tcW w:w="1975" w:type="dxa"/>
            <w:tcBorders>
              <w:top w:val="single" w:sz="4" w:space="0" w:color="auto"/>
            </w:tcBorders>
          </w:tcPr>
          <w:p w14:paraId="39F3E40B" w14:textId="77777777" w:rsidR="00DD0644" w:rsidRPr="00B568F3" w:rsidRDefault="00DD0644" w:rsidP="00284C83">
            <w:pPr>
              <w:jc w:val="center"/>
              <w:rPr>
                <w:rFonts w:ascii="Arial" w:eastAsia="Times New Roman" w:hAnsi="Arial" w:cs="Arial"/>
                <w:color w:val="000000"/>
                <w:lang w:eastAsia="en-GB"/>
              </w:rPr>
            </w:pPr>
          </w:p>
        </w:tc>
      </w:tr>
      <w:tr w:rsidR="00DD0644" w:rsidRPr="00B568F3" w14:paraId="6FC47463" w14:textId="6B44B5A1" w:rsidTr="069F4A6E">
        <w:trPr>
          <w:trHeight w:val="300"/>
        </w:trPr>
        <w:tc>
          <w:tcPr>
            <w:tcW w:w="2556" w:type="dxa"/>
          </w:tcPr>
          <w:p w14:paraId="716405DB" w14:textId="168E9A08" w:rsidR="00DD0644" w:rsidRPr="00B568F3" w:rsidRDefault="00DD0644" w:rsidP="00284C83">
            <w:pPr>
              <w:rPr>
                <w:rFonts w:ascii="Arial" w:hAnsi="Arial" w:cs="Arial"/>
                <w:color w:val="000000"/>
              </w:rPr>
            </w:pPr>
            <w:r w:rsidRPr="00B568F3">
              <w:rPr>
                <w:rFonts w:ascii="Arial" w:hAnsi="Arial" w:cs="Arial"/>
                <w:color w:val="000000"/>
              </w:rPr>
              <w:t xml:space="preserve">30% </w:t>
            </w:r>
            <w:r w:rsidR="00594067" w:rsidRPr="00B568F3">
              <w:rPr>
                <w:rFonts w:ascii="Arial" w:hAnsi="Arial" w:cs="Arial"/>
                <w:color w:val="000000"/>
              </w:rPr>
              <w:t xml:space="preserve">local authority </w:t>
            </w:r>
            <w:r w:rsidRPr="00B568F3">
              <w:rPr>
                <w:rFonts w:ascii="Arial" w:hAnsi="Arial" w:cs="Arial"/>
                <w:color w:val="000000"/>
              </w:rPr>
              <w:t>contribution</w:t>
            </w:r>
          </w:p>
          <w:p w14:paraId="269F9A3B" w14:textId="020B5490" w:rsidR="00594067" w:rsidRPr="00B568F3" w:rsidRDefault="00594067" w:rsidP="00284C83">
            <w:pPr>
              <w:rPr>
                <w:rFonts w:ascii="Arial" w:eastAsia="Times New Roman" w:hAnsi="Arial" w:cs="Arial"/>
                <w:color w:val="000000"/>
                <w:lang w:eastAsia="en-GB"/>
              </w:rPr>
            </w:pPr>
          </w:p>
        </w:tc>
        <w:tc>
          <w:tcPr>
            <w:tcW w:w="2293" w:type="dxa"/>
            <w:noWrap/>
            <w:hideMark/>
          </w:tcPr>
          <w:p w14:paraId="58C8F779" w14:textId="4D575062" w:rsidR="00DD0644" w:rsidRPr="00B568F3" w:rsidRDefault="0FFE64E8" w:rsidP="00284C83">
            <w:pPr>
              <w:jc w:val="center"/>
              <w:rPr>
                <w:rFonts w:ascii="Arial" w:eastAsia="Times New Roman" w:hAnsi="Arial" w:cs="Arial"/>
                <w:color w:val="000000"/>
                <w:lang w:eastAsia="en-GB"/>
              </w:rPr>
            </w:pPr>
            <w:r w:rsidRPr="00B568F3">
              <w:rPr>
                <w:rFonts w:ascii="Arial" w:eastAsia="Times New Roman" w:hAnsi="Arial" w:cs="Arial"/>
                <w:color w:val="000000" w:themeColor="text1"/>
                <w:lang w:eastAsia="en-GB"/>
              </w:rPr>
              <w:t>3,</w:t>
            </w:r>
            <w:r w:rsidR="2C45256E" w:rsidRPr="00B568F3">
              <w:rPr>
                <w:rFonts w:ascii="Arial" w:eastAsia="Times New Roman" w:hAnsi="Arial" w:cs="Arial"/>
                <w:color w:val="000000" w:themeColor="text1"/>
                <w:lang w:eastAsia="en-GB"/>
              </w:rPr>
              <w:t>274</w:t>
            </w:r>
            <w:r w:rsidRPr="00B568F3">
              <w:rPr>
                <w:rFonts w:ascii="Arial" w:eastAsia="Times New Roman" w:hAnsi="Arial" w:cs="Arial"/>
                <w:color w:val="000000" w:themeColor="text1"/>
                <w:lang w:eastAsia="en-GB"/>
              </w:rPr>
              <w:t>,</w:t>
            </w:r>
            <w:r w:rsidR="2C45256E" w:rsidRPr="00B568F3">
              <w:rPr>
                <w:rFonts w:ascii="Arial" w:eastAsia="Times New Roman" w:hAnsi="Arial" w:cs="Arial"/>
                <w:color w:val="000000" w:themeColor="text1"/>
                <w:lang w:eastAsia="en-GB"/>
              </w:rPr>
              <w:t>308</w:t>
            </w:r>
          </w:p>
        </w:tc>
        <w:tc>
          <w:tcPr>
            <w:tcW w:w="987" w:type="dxa"/>
          </w:tcPr>
          <w:p w14:paraId="1B6A3C48" w14:textId="3FD8BBD3" w:rsidR="00DD0644" w:rsidRPr="00B568F3" w:rsidRDefault="006C14DB"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w:t>
            </w:r>
            <w:r w:rsidR="00EA4FC0" w:rsidRPr="00B568F3">
              <w:rPr>
                <w:rFonts w:ascii="Arial" w:eastAsia="Times New Roman" w:hAnsi="Arial" w:cs="Arial"/>
                <w:color w:val="000000"/>
                <w:lang w:eastAsia="en-GB"/>
              </w:rPr>
              <w:t>6.9</w:t>
            </w:r>
            <w:r w:rsidRPr="00B568F3">
              <w:rPr>
                <w:rFonts w:ascii="Arial" w:eastAsia="Times New Roman" w:hAnsi="Arial" w:cs="Arial"/>
                <w:color w:val="000000"/>
                <w:lang w:eastAsia="en-GB"/>
              </w:rPr>
              <w:t>%</w:t>
            </w:r>
          </w:p>
        </w:tc>
        <w:tc>
          <w:tcPr>
            <w:tcW w:w="1318" w:type="dxa"/>
            <w:noWrap/>
            <w:hideMark/>
          </w:tcPr>
          <w:p w14:paraId="30CAD119" w14:textId="4065C603"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 </w:t>
            </w:r>
          </w:p>
        </w:tc>
        <w:tc>
          <w:tcPr>
            <w:tcW w:w="1975" w:type="dxa"/>
          </w:tcPr>
          <w:p w14:paraId="100956EA" w14:textId="77777777" w:rsidR="00DD0644" w:rsidRPr="00B568F3" w:rsidRDefault="00DD0644" w:rsidP="00284C83">
            <w:pPr>
              <w:jc w:val="center"/>
              <w:rPr>
                <w:rFonts w:ascii="Arial" w:eastAsia="Times New Roman" w:hAnsi="Arial" w:cs="Arial"/>
                <w:color w:val="000000"/>
                <w:lang w:eastAsia="en-GB"/>
              </w:rPr>
            </w:pPr>
          </w:p>
        </w:tc>
      </w:tr>
      <w:tr w:rsidR="00DD0644" w:rsidRPr="00B568F3" w14:paraId="7B66E9C2" w14:textId="31C2DC54" w:rsidTr="069F4A6E">
        <w:trPr>
          <w:trHeight w:val="300"/>
        </w:trPr>
        <w:tc>
          <w:tcPr>
            <w:tcW w:w="2556" w:type="dxa"/>
          </w:tcPr>
          <w:p w14:paraId="727C6D66" w14:textId="77B7D455" w:rsidR="00DD0644" w:rsidRPr="00B568F3" w:rsidRDefault="00DD0644" w:rsidP="00284C83">
            <w:pPr>
              <w:rPr>
                <w:rFonts w:ascii="Arial" w:hAnsi="Arial" w:cs="Arial"/>
                <w:color w:val="000000"/>
              </w:rPr>
            </w:pPr>
            <w:r w:rsidRPr="00B568F3">
              <w:rPr>
                <w:rFonts w:ascii="Arial" w:hAnsi="Arial" w:cs="Arial"/>
                <w:color w:val="000000"/>
              </w:rPr>
              <w:t xml:space="preserve">Additional </w:t>
            </w:r>
            <w:r w:rsidR="00594067" w:rsidRPr="00B568F3">
              <w:rPr>
                <w:rFonts w:ascii="Arial" w:hAnsi="Arial" w:cs="Arial"/>
                <w:color w:val="000000"/>
              </w:rPr>
              <w:t>local authority</w:t>
            </w:r>
            <w:r w:rsidRPr="00B568F3">
              <w:rPr>
                <w:rFonts w:ascii="Arial" w:hAnsi="Arial" w:cs="Arial"/>
                <w:color w:val="000000"/>
              </w:rPr>
              <w:t xml:space="preserve"> funding</w:t>
            </w:r>
          </w:p>
          <w:p w14:paraId="48A26DC1" w14:textId="3B58D9AF" w:rsidR="00594067" w:rsidRPr="00B568F3" w:rsidRDefault="00594067" w:rsidP="00284C83">
            <w:pPr>
              <w:rPr>
                <w:rFonts w:ascii="Arial" w:eastAsia="Times New Roman" w:hAnsi="Arial" w:cs="Arial"/>
                <w:color w:val="000000"/>
                <w:lang w:eastAsia="en-GB"/>
              </w:rPr>
            </w:pPr>
          </w:p>
        </w:tc>
        <w:tc>
          <w:tcPr>
            <w:tcW w:w="2293" w:type="dxa"/>
            <w:noWrap/>
            <w:hideMark/>
          </w:tcPr>
          <w:p w14:paraId="5EB1DEAB" w14:textId="6F69CB20"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 </w:t>
            </w:r>
          </w:p>
        </w:tc>
        <w:tc>
          <w:tcPr>
            <w:tcW w:w="987" w:type="dxa"/>
          </w:tcPr>
          <w:p w14:paraId="5BD351A5" w14:textId="77777777" w:rsidR="00DD0644" w:rsidRPr="00B568F3" w:rsidRDefault="00DD0644" w:rsidP="00284C83">
            <w:pPr>
              <w:jc w:val="center"/>
              <w:rPr>
                <w:rFonts w:ascii="Arial" w:eastAsia="Times New Roman" w:hAnsi="Arial" w:cs="Arial"/>
                <w:color w:val="000000"/>
                <w:lang w:eastAsia="en-GB"/>
              </w:rPr>
            </w:pPr>
          </w:p>
        </w:tc>
        <w:tc>
          <w:tcPr>
            <w:tcW w:w="1318" w:type="dxa"/>
            <w:noWrap/>
            <w:hideMark/>
          </w:tcPr>
          <w:p w14:paraId="68B824C1" w14:textId="52D1F5E6"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1,779,985 </w:t>
            </w:r>
          </w:p>
        </w:tc>
        <w:tc>
          <w:tcPr>
            <w:tcW w:w="1975" w:type="dxa"/>
          </w:tcPr>
          <w:p w14:paraId="65A7A290" w14:textId="77777777" w:rsidR="00DD0644" w:rsidRPr="00B568F3" w:rsidRDefault="00DD0644" w:rsidP="00284C83">
            <w:pPr>
              <w:jc w:val="center"/>
              <w:rPr>
                <w:rFonts w:ascii="Arial" w:eastAsia="Times New Roman" w:hAnsi="Arial" w:cs="Arial"/>
                <w:color w:val="000000"/>
                <w:lang w:eastAsia="en-GB"/>
              </w:rPr>
            </w:pPr>
          </w:p>
        </w:tc>
      </w:tr>
      <w:tr w:rsidR="00DD0644" w:rsidRPr="00B568F3" w14:paraId="657B1805" w14:textId="7BD0D045" w:rsidTr="069F4A6E">
        <w:trPr>
          <w:trHeight w:val="315"/>
        </w:trPr>
        <w:tc>
          <w:tcPr>
            <w:tcW w:w="2556" w:type="dxa"/>
          </w:tcPr>
          <w:p w14:paraId="6EE8D6E1" w14:textId="3FC42E36" w:rsidR="00DD0644" w:rsidRPr="00B568F3" w:rsidRDefault="069F4A6E" w:rsidP="00284C83">
            <w:pPr>
              <w:rPr>
                <w:rFonts w:ascii="Arial" w:eastAsia="Times New Roman" w:hAnsi="Arial" w:cs="Arial"/>
                <w:b/>
                <w:bCs/>
                <w:color w:val="000000"/>
                <w:lang w:eastAsia="en-GB"/>
              </w:rPr>
            </w:pPr>
            <w:r w:rsidRPr="00B568F3">
              <w:rPr>
                <w:rFonts w:ascii="Arial" w:hAnsi="Arial" w:cs="Arial"/>
                <w:b/>
                <w:bCs/>
                <w:color w:val="000000" w:themeColor="text1"/>
              </w:rPr>
              <w:t>Total (£)</w:t>
            </w:r>
          </w:p>
        </w:tc>
        <w:tc>
          <w:tcPr>
            <w:tcW w:w="2293" w:type="dxa"/>
            <w:noWrap/>
            <w:hideMark/>
          </w:tcPr>
          <w:p w14:paraId="3622BC07" w14:textId="178913AD" w:rsidR="00DD0644" w:rsidRPr="00B568F3" w:rsidRDefault="00DD0644" w:rsidP="00284C83">
            <w:pPr>
              <w:jc w:val="center"/>
              <w:rPr>
                <w:rFonts w:ascii="Arial" w:eastAsia="Times New Roman" w:hAnsi="Arial" w:cs="Arial"/>
                <w:b/>
                <w:bCs/>
                <w:color w:val="000000"/>
                <w:lang w:eastAsia="en-GB"/>
              </w:rPr>
            </w:pPr>
            <w:r w:rsidRPr="00B568F3">
              <w:rPr>
                <w:rFonts w:ascii="Arial" w:eastAsia="Times New Roman" w:hAnsi="Arial" w:cs="Arial"/>
                <w:b/>
                <w:bCs/>
                <w:color w:val="000000"/>
                <w:lang w:eastAsia="en-GB"/>
              </w:rPr>
              <w:t>10,</w:t>
            </w:r>
            <w:r w:rsidR="00650089" w:rsidRPr="00B568F3">
              <w:rPr>
                <w:rFonts w:ascii="Arial" w:eastAsia="Times New Roman" w:hAnsi="Arial" w:cs="Arial"/>
                <w:b/>
                <w:bCs/>
                <w:color w:val="000000"/>
                <w:lang w:eastAsia="en-GB"/>
              </w:rPr>
              <w:t>914</w:t>
            </w:r>
            <w:r w:rsidRPr="00B568F3">
              <w:rPr>
                <w:rFonts w:ascii="Arial" w:eastAsia="Times New Roman" w:hAnsi="Arial" w:cs="Arial"/>
                <w:b/>
                <w:bCs/>
                <w:color w:val="000000"/>
                <w:lang w:eastAsia="en-GB"/>
              </w:rPr>
              <w:t>,</w:t>
            </w:r>
            <w:r w:rsidR="00650089" w:rsidRPr="00B568F3">
              <w:rPr>
                <w:rFonts w:ascii="Arial" w:eastAsia="Times New Roman" w:hAnsi="Arial" w:cs="Arial"/>
                <w:b/>
                <w:bCs/>
                <w:color w:val="000000"/>
                <w:lang w:eastAsia="en-GB"/>
              </w:rPr>
              <w:t>359</w:t>
            </w:r>
          </w:p>
        </w:tc>
        <w:tc>
          <w:tcPr>
            <w:tcW w:w="987" w:type="dxa"/>
          </w:tcPr>
          <w:p w14:paraId="52D8CC77" w14:textId="05633C89" w:rsidR="00DD0644" w:rsidRPr="00B568F3" w:rsidRDefault="00674000" w:rsidP="00284C83">
            <w:pPr>
              <w:jc w:val="center"/>
              <w:rPr>
                <w:rFonts w:ascii="Arial" w:eastAsia="Times New Roman" w:hAnsi="Arial" w:cs="Arial"/>
                <w:b/>
                <w:bCs/>
                <w:color w:val="000000"/>
                <w:lang w:eastAsia="en-GB"/>
              </w:rPr>
            </w:pPr>
            <w:r w:rsidRPr="00B568F3">
              <w:rPr>
                <w:rFonts w:ascii="Arial" w:eastAsia="Times New Roman" w:hAnsi="Arial" w:cs="Arial"/>
                <w:b/>
                <w:bCs/>
                <w:color w:val="000000"/>
                <w:lang w:eastAsia="en-GB"/>
              </w:rPr>
              <w:t>+6.9%</w:t>
            </w:r>
          </w:p>
        </w:tc>
        <w:tc>
          <w:tcPr>
            <w:tcW w:w="1318" w:type="dxa"/>
            <w:noWrap/>
            <w:hideMark/>
          </w:tcPr>
          <w:p w14:paraId="6D941874" w14:textId="3DF09D8C" w:rsidR="00DD0644" w:rsidRPr="00B568F3" w:rsidRDefault="00DD0644" w:rsidP="00284C83">
            <w:pPr>
              <w:jc w:val="center"/>
              <w:rPr>
                <w:rFonts w:ascii="Arial" w:eastAsia="Times New Roman" w:hAnsi="Arial" w:cs="Arial"/>
                <w:b/>
                <w:bCs/>
                <w:color w:val="000000"/>
                <w:lang w:eastAsia="en-GB"/>
              </w:rPr>
            </w:pPr>
            <w:r w:rsidRPr="00B568F3">
              <w:rPr>
                <w:rFonts w:ascii="Arial" w:eastAsia="Times New Roman" w:hAnsi="Arial" w:cs="Arial"/>
                <w:b/>
                <w:bCs/>
                <w:color w:val="000000"/>
                <w:lang w:eastAsia="en-GB"/>
              </w:rPr>
              <w:t>1,779,985</w:t>
            </w:r>
          </w:p>
        </w:tc>
        <w:tc>
          <w:tcPr>
            <w:tcW w:w="1975" w:type="dxa"/>
          </w:tcPr>
          <w:p w14:paraId="15D76BD0" w14:textId="49C7B052" w:rsidR="00DD0644" w:rsidRPr="00B568F3" w:rsidRDefault="001378BA" w:rsidP="00284C83">
            <w:pPr>
              <w:jc w:val="center"/>
              <w:rPr>
                <w:rFonts w:ascii="Arial" w:eastAsia="Times New Roman" w:hAnsi="Arial" w:cs="Arial"/>
                <w:b/>
                <w:bCs/>
                <w:color w:val="000000"/>
                <w:lang w:eastAsia="en-GB"/>
              </w:rPr>
            </w:pPr>
            <w:r w:rsidRPr="00B568F3">
              <w:rPr>
                <w:rFonts w:ascii="Arial" w:eastAsia="Times New Roman" w:hAnsi="Arial" w:cs="Arial"/>
                <w:b/>
                <w:bCs/>
                <w:color w:val="000000"/>
                <w:lang w:eastAsia="en-GB"/>
              </w:rPr>
              <w:t>-21.3%</w:t>
            </w:r>
          </w:p>
        </w:tc>
      </w:tr>
      <w:tr w:rsidR="00DD0644" w:rsidRPr="00B568F3" w14:paraId="6E73C908" w14:textId="04270EAD" w:rsidTr="069F4A6E">
        <w:trPr>
          <w:trHeight w:val="81"/>
        </w:trPr>
        <w:tc>
          <w:tcPr>
            <w:tcW w:w="2556" w:type="dxa"/>
          </w:tcPr>
          <w:p w14:paraId="16020E5C" w14:textId="59E4C109" w:rsidR="00DD0644" w:rsidRPr="00B568F3" w:rsidRDefault="00DD0644" w:rsidP="00284C83">
            <w:pPr>
              <w:rPr>
                <w:rFonts w:ascii="Arial" w:eastAsia="Times New Roman" w:hAnsi="Arial" w:cs="Arial"/>
                <w:b/>
                <w:bCs/>
                <w:color w:val="000000"/>
                <w:sz w:val="4"/>
                <w:szCs w:val="4"/>
                <w:lang w:eastAsia="en-GB"/>
              </w:rPr>
            </w:pPr>
            <w:r w:rsidRPr="00B568F3">
              <w:rPr>
                <w:rFonts w:ascii="Arial" w:hAnsi="Arial" w:cs="Arial"/>
                <w:color w:val="000000"/>
                <w:sz w:val="4"/>
                <w:szCs w:val="4"/>
              </w:rPr>
              <w:t> </w:t>
            </w:r>
          </w:p>
        </w:tc>
        <w:tc>
          <w:tcPr>
            <w:tcW w:w="2293" w:type="dxa"/>
            <w:noWrap/>
            <w:hideMark/>
          </w:tcPr>
          <w:p w14:paraId="3E5557A6" w14:textId="10BBF711" w:rsidR="00DD0644" w:rsidRPr="00B568F3" w:rsidRDefault="00DD0644" w:rsidP="00284C83">
            <w:pPr>
              <w:jc w:val="center"/>
              <w:rPr>
                <w:rFonts w:ascii="Arial" w:eastAsia="Times New Roman" w:hAnsi="Arial" w:cs="Arial"/>
                <w:b/>
                <w:bCs/>
                <w:color w:val="000000"/>
                <w:sz w:val="4"/>
                <w:szCs w:val="4"/>
                <w:lang w:eastAsia="en-GB"/>
              </w:rPr>
            </w:pPr>
            <w:r w:rsidRPr="00B568F3">
              <w:rPr>
                <w:rFonts w:ascii="Arial" w:eastAsia="Times New Roman" w:hAnsi="Arial" w:cs="Arial"/>
                <w:b/>
                <w:bCs/>
                <w:color w:val="000000"/>
                <w:sz w:val="4"/>
                <w:szCs w:val="4"/>
                <w:lang w:eastAsia="en-GB"/>
              </w:rPr>
              <w:t> </w:t>
            </w:r>
          </w:p>
        </w:tc>
        <w:tc>
          <w:tcPr>
            <w:tcW w:w="987" w:type="dxa"/>
          </w:tcPr>
          <w:p w14:paraId="67F2D3F7" w14:textId="77777777" w:rsidR="00DD0644" w:rsidRPr="00B568F3" w:rsidRDefault="00DD0644" w:rsidP="00284C83">
            <w:pPr>
              <w:jc w:val="center"/>
              <w:rPr>
                <w:rFonts w:ascii="Arial" w:eastAsia="Times New Roman" w:hAnsi="Arial" w:cs="Arial"/>
                <w:color w:val="000000"/>
                <w:sz w:val="4"/>
                <w:szCs w:val="4"/>
                <w:lang w:eastAsia="en-GB"/>
              </w:rPr>
            </w:pPr>
          </w:p>
        </w:tc>
        <w:tc>
          <w:tcPr>
            <w:tcW w:w="1318" w:type="dxa"/>
            <w:noWrap/>
            <w:hideMark/>
          </w:tcPr>
          <w:p w14:paraId="6B10615B" w14:textId="09965977" w:rsidR="00DD0644" w:rsidRPr="00B568F3" w:rsidRDefault="00DD0644" w:rsidP="00284C83">
            <w:pPr>
              <w:jc w:val="center"/>
              <w:rPr>
                <w:rFonts w:ascii="Arial" w:eastAsia="Times New Roman" w:hAnsi="Arial" w:cs="Arial"/>
                <w:color w:val="000000"/>
                <w:sz w:val="4"/>
                <w:szCs w:val="4"/>
                <w:lang w:eastAsia="en-GB"/>
              </w:rPr>
            </w:pPr>
            <w:r w:rsidRPr="00B568F3">
              <w:rPr>
                <w:rFonts w:ascii="Arial" w:eastAsia="Times New Roman" w:hAnsi="Arial" w:cs="Arial"/>
                <w:color w:val="000000"/>
                <w:sz w:val="4"/>
                <w:szCs w:val="4"/>
                <w:lang w:eastAsia="en-GB"/>
              </w:rPr>
              <w:t> </w:t>
            </w:r>
          </w:p>
        </w:tc>
        <w:tc>
          <w:tcPr>
            <w:tcW w:w="1975" w:type="dxa"/>
          </w:tcPr>
          <w:p w14:paraId="53B2319D" w14:textId="77777777" w:rsidR="00DD0644" w:rsidRPr="00B568F3" w:rsidRDefault="00DD0644" w:rsidP="00284C83">
            <w:pPr>
              <w:jc w:val="center"/>
              <w:rPr>
                <w:rFonts w:ascii="Arial" w:eastAsia="Times New Roman" w:hAnsi="Arial" w:cs="Arial"/>
                <w:color w:val="000000"/>
                <w:sz w:val="4"/>
                <w:szCs w:val="4"/>
                <w:lang w:eastAsia="en-GB"/>
              </w:rPr>
            </w:pPr>
          </w:p>
        </w:tc>
      </w:tr>
      <w:tr w:rsidR="00DD0644" w:rsidRPr="00B568F3" w14:paraId="70BE1FE2" w14:textId="041D9D7E" w:rsidTr="069F4A6E">
        <w:trPr>
          <w:trHeight w:val="315"/>
        </w:trPr>
        <w:tc>
          <w:tcPr>
            <w:tcW w:w="2556" w:type="dxa"/>
          </w:tcPr>
          <w:p w14:paraId="03686416" w14:textId="37CE6743" w:rsidR="00DD0644" w:rsidRPr="00B568F3" w:rsidRDefault="00DD0644" w:rsidP="00284C83">
            <w:pPr>
              <w:rPr>
                <w:rFonts w:ascii="Arial" w:eastAsia="Times New Roman" w:hAnsi="Arial" w:cs="Arial"/>
                <w:b/>
                <w:bCs/>
                <w:color w:val="000000"/>
                <w:lang w:eastAsia="en-GB"/>
              </w:rPr>
            </w:pPr>
            <w:r w:rsidRPr="00B568F3">
              <w:rPr>
                <w:rFonts w:ascii="Arial" w:hAnsi="Arial" w:cs="Arial"/>
                <w:b/>
                <w:bCs/>
                <w:color w:val="000000"/>
              </w:rPr>
              <w:t>Staffing</w:t>
            </w:r>
          </w:p>
        </w:tc>
        <w:tc>
          <w:tcPr>
            <w:tcW w:w="2293" w:type="dxa"/>
            <w:noWrap/>
            <w:hideMark/>
          </w:tcPr>
          <w:p w14:paraId="6AF4242D" w14:textId="1F14FE31" w:rsidR="00DD0644" w:rsidRPr="00B568F3" w:rsidRDefault="00DD0644" w:rsidP="00284C83">
            <w:pPr>
              <w:jc w:val="center"/>
              <w:rPr>
                <w:rFonts w:ascii="Arial" w:eastAsia="Times New Roman" w:hAnsi="Arial" w:cs="Arial"/>
                <w:b/>
                <w:bCs/>
                <w:color w:val="000000"/>
                <w:lang w:eastAsia="en-GB"/>
              </w:rPr>
            </w:pPr>
            <w:r w:rsidRPr="00B568F3">
              <w:rPr>
                <w:rFonts w:ascii="Arial" w:eastAsia="Times New Roman" w:hAnsi="Arial" w:cs="Arial"/>
                <w:b/>
                <w:bCs/>
                <w:color w:val="000000"/>
                <w:lang w:eastAsia="en-GB"/>
              </w:rPr>
              <w:t> </w:t>
            </w:r>
          </w:p>
        </w:tc>
        <w:tc>
          <w:tcPr>
            <w:tcW w:w="987" w:type="dxa"/>
          </w:tcPr>
          <w:p w14:paraId="6041C47F" w14:textId="77777777" w:rsidR="00DD0644" w:rsidRPr="00B568F3" w:rsidRDefault="00DD0644" w:rsidP="00284C83">
            <w:pPr>
              <w:jc w:val="center"/>
              <w:rPr>
                <w:rFonts w:ascii="Arial" w:eastAsia="Times New Roman" w:hAnsi="Arial" w:cs="Arial"/>
                <w:color w:val="000000"/>
                <w:lang w:eastAsia="en-GB"/>
              </w:rPr>
            </w:pPr>
          </w:p>
        </w:tc>
        <w:tc>
          <w:tcPr>
            <w:tcW w:w="1318" w:type="dxa"/>
            <w:noWrap/>
            <w:hideMark/>
          </w:tcPr>
          <w:p w14:paraId="331CBE52" w14:textId="268F3DC7"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 </w:t>
            </w:r>
          </w:p>
        </w:tc>
        <w:tc>
          <w:tcPr>
            <w:tcW w:w="1975" w:type="dxa"/>
          </w:tcPr>
          <w:p w14:paraId="426D9859" w14:textId="77777777" w:rsidR="00DD0644" w:rsidRPr="00B568F3" w:rsidRDefault="00DD0644" w:rsidP="00284C83">
            <w:pPr>
              <w:jc w:val="center"/>
              <w:rPr>
                <w:rFonts w:ascii="Arial" w:eastAsia="Times New Roman" w:hAnsi="Arial" w:cs="Arial"/>
                <w:color w:val="000000"/>
                <w:lang w:eastAsia="en-GB"/>
              </w:rPr>
            </w:pPr>
          </w:p>
        </w:tc>
      </w:tr>
      <w:tr w:rsidR="00DD0644" w:rsidRPr="00B568F3" w14:paraId="495C1963" w14:textId="2F3D9E77" w:rsidTr="069F4A6E">
        <w:trPr>
          <w:trHeight w:val="300"/>
        </w:trPr>
        <w:tc>
          <w:tcPr>
            <w:tcW w:w="2556" w:type="dxa"/>
          </w:tcPr>
          <w:p w14:paraId="28349DE2" w14:textId="2C1EC3C4" w:rsidR="00DD0644" w:rsidRPr="00B568F3" w:rsidRDefault="00DD0644" w:rsidP="6C1588F2">
            <w:pPr>
              <w:rPr>
                <w:rFonts w:ascii="Arial" w:eastAsia="Times New Roman" w:hAnsi="Arial" w:cs="Arial"/>
                <w:color w:val="000000" w:themeColor="text1"/>
                <w:lang w:eastAsia="en-GB"/>
              </w:rPr>
            </w:pPr>
            <w:r w:rsidRPr="00B568F3">
              <w:rPr>
                <w:rFonts w:ascii="Arial" w:hAnsi="Arial" w:cs="Arial"/>
                <w:color w:val="000000" w:themeColor="text1"/>
              </w:rPr>
              <w:t>Delivery</w:t>
            </w:r>
          </w:p>
          <w:p w14:paraId="55456448" w14:textId="5E0CC36E" w:rsidR="00DD0644" w:rsidRPr="00B568F3" w:rsidRDefault="00DD0644" w:rsidP="00284C83">
            <w:pPr>
              <w:rPr>
                <w:rFonts w:ascii="Arial" w:eastAsia="Times New Roman" w:hAnsi="Arial" w:cs="Arial"/>
                <w:color w:val="000000"/>
                <w:lang w:eastAsia="en-GB"/>
              </w:rPr>
            </w:pPr>
          </w:p>
        </w:tc>
        <w:tc>
          <w:tcPr>
            <w:tcW w:w="2293" w:type="dxa"/>
            <w:noWrap/>
            <w:hideMark/>
          </w:tcPr>
          <w:p w14:paraId="48DA27F9" w14:textId="740DECE1"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5,193,842</w:t>
            </w:r>
          </w:p>
        </w:tc>
        <w:tc>
          <w:tcPr>
            <w:tcW w:w="987" w:type="dxa"/>
          </w:tcPr>
          <w:p w14:paraId="5899398A" w14:textId="2F085878" w:rsidR="00DD0644" w:rsidRPr="00B568F3" w:rsidRDefault="001378BA"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+9.2%</w:t>
            </w:r>
          </w:p>
        </w:tc>
        <w:tc>
          <w:tcPr>
            <w:tcW w:w="1318" w:type="dxa"/>
            <w:noWrap/>
            <w:hideMark/>
          </w:tcPr>
          <w:p w14:paraId="743C537F" w14:textId="0CD16841"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206,305</w:t>
            </w:r>
          </w:p>
        </w:tc>
        <w:tc>
          <w:tcPr>
            <w:tcW w:w="1975" w:type="dxa"/>
          </w:tcPr>
          <w:p w14:paraId="44E45D4E" w14:textId="29C2AA16" w:rsidR="00DD0644" w:rsidRPr="00B568F3" w:rsidRDefault="001378BA"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-60.1%</w:t>
            </w:r>
          </w:p>
        </w:tc>
      </w:tr>
      <w:tr w:rsidR="00DD0644" w:rsidRPr="00B568F3" w14:paraId="78E028D1" w14:textId="7ACAFC40" w:rsidTr="069F4A6E">
        <w:trPr>
          <w:trHeight w:val="300"/>
        </w:trPr>
        <w:tc>
          <w:tcPr>
            <w:tcW w:w="2556" w:type="dxa"/>
          </w:tcPr>
          <w:p w14:paraId="5B96B9BC" w14:textId="6259C041" w:rsidR="00DD0644" w:rsidRPr="00B568F3" w:rsidRDefault="069F4A6E" w:rsidP="00284C83">
            <w:pPr>
              <w:rPr>
                <w:rFonts w:ascii="Arial" w:eastAsia="Times New Roman" w:hAnsi="Arial" w:cs="Arial"/>
                <w:color w:val="000000"/>
                <w:lang w:eastAsia="en-GB"/>
              </w:rPr>
            </w:pPr>
            <w:r w:rsidRPr="00B568F3">
              <w:rPr>
                <w:rFonts w:ascii="Arial" w:hAnsi="Arial" w:cs="Arial"/>
                <w:color w:val="000000" w:themeColor="text1"/>
              </w:rPr>
              <w:t>Management and admin</w:t>
            </w:r>
          </w:p>
        </w:tc>
        <w:tc>
          <w:tcPr>
            <w:tcW w:w="2293" w:type="dxa"/>
            <w:noWrap/>
            <w:hideMark/>
          </w:tcPr>
          <w:p w14:paraId="6D46B451" w14:textId="49FF20B6"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2,348,926</w:t>
            </w:r>
          </w:p>
        </w:tc>
        <w:tc>
          <w:tcPr>
            <w:tcW w:w="987" w:type="dxa"/>
          </w:tcPr>
          <w:p w14:paraId="198937B1" w14:textId="5637567B" w:rsidR="00DD0644" w:rsidRPr="00B568F3" w:rsidRDefault="001378BA"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+0.3%</w:t>
            </w:r>
          </w:p>
        </w:tc>
        <w:tc>
          <w:tcPr>
            <w:tcW w:w="1318" w:type="dxa"/>
            <w:noWrap/>
            <w:hideMark/>
          </w:tcPr>
          <w:p w14:paraId="4C8080F6" w14:textId="7B843243"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395,773</w:t>
            </w:r>
          </w:p>
        </w:tc>
        <w:tc>
          <w:tcPr>
            <w:tcW w:w="1975" w:type="dxa"/>
          </w:tcPr>
          <w:p w14:paraId="314B9966" w14:textId="5A40B688" w:rsidR="00DD0644" w:rsidRPr="00B568F3" w:rsidRDefault="001378BA"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-6.4%</w:t>
            </w:r>
          </w:p>
        </w:tc>
      </w:tr>
      <w:tr w:rsidR="00DD0644" w:rsidRPr="00B568F3" w14:paraId="4ECE0D81" w14:textId="7699E4DF" w:rsidTr="069F4A6E">
        <w:trPr>
          <w:trHeight w:val="155"/>
        </w:trPr>
        <w:tc>
          <w:tcPr>
            <w:tcW w:w="2556" w:type="dxa"/>
          </w:tcPr>
          <w:p w14:paraId="3ADEB44A" w14:textId="63A2EE93" w:rsidR="00DD0644" w:rsidRPr="00B568F3" w:rsidRDefault="00DD0644" w:rsidP="00284C83">
            <w:pPr>
              <w:rPr>
                <w:rFonts w:ascii="Arial" w:eastAsia="Times New Roman" w:hAnsi="Arial" w:cs="Arial"/>
                <w:color w:val="000000"/>
                <w:sz w:val="4"/>
                <w:szCs w:val="4"/>
                <w:lang w:eastAsia="en-GB"/>
              </w:rPr>
            </w:pPr>
            <w:r w:rsidRPr="00B568F3">
              <w:rPr>
                <w:rFonts w:ascii="Arial" w:hAnsi="Arial" w:cs="Arial"/>
                <w:color w:val="000000"/>
                <w:sz w:val="4"/>
                <w:szCs w:val="4"/>
              </w:rPr>
              <w:t> </w:t>
            </w:r>
          </w:p>
        </w:tc>
        <w:tc>
          <w:tcPr>
            <w:tcW w:w="2293" w:type="dxa"/>
            <w:noWrap/>
            <w:hideMark/>
          </w:tcPr>
          <w:p w14:paraId="62A300E6" w14:textId="43F576E3" w:rsidR="00DD0644" w:rsidRPr="00B568F3" w:rsidRDefault="00DD0644" w:rsidP="00284C83">
            <w:pPr>
              <w:jc w:val="center"/>
              <w:rPr>
                <w:rFonts w:ascii="Arial" w:eastAsia="Times New Roman" w:hAnsi="Arial" w:cs="Arial"/>
                <w:color w:val="000000"/>
                <w:sz w:val="4"/>
                <w:szCs w:val="4"/>
                <w:lang w:eastAsia="en-GB"/>
              </w:rPr>
            </w:pPr>
            <w:r w:rsidRPr="00B568F3">
              <w:rPr>
                <w:rFonts w:ascii="Arial" w:eastAsia="Times New Roman" w:hAnsi="Arial" w:cs="Arial"/>
                <w:color w:val="000000"/>
                <w:sz w:val="4"/>
                <w:szCs w:val="4"/>
                <w:lang w:eastAsia="en-GB"/>
              </w:rPr>
              <w:t> </w:t>
            </w:r>
          </w:p>
        </w:tc>
        <w:tc>
          <w:tcPr>
            <w:tcW w:w="987" w:type="dxa"/>
          </w:tcPr>
          <w:p w14:paraId="254A7847" w14:textId="77777777" w:rsidR="00DD0644" w:rsidRPr="00B568F3" w:rsidRDefault="00DD0644" w:rsidP="00284C83">
            <w:pPr>
              <w:jc w:val="center"/>
              <w:rPr>
                <w:rFonts w:ascii="Arial" w:eastAsia="Times New Roman" w:hAnsi="Arial" w:cs="Arial"/>
                <w:color w:val="000000"/>
                <w:sz w:val="4"/>
                <w:szCs w:val="4"/>
                <w:lang w:eastAsia="en-GB"/>
              </w:rPr>
            </w:pPr>
          </w:p>
        </w:tc>
        <w:tc>
          <w:tcPr>
            <w:tcW w:w="1318" w:type="dxa"/>
            <w:noWrap/>
            <w:hideMark/>
          </w:tcPr>
          <w:p w14:paraId="22666F71" w14:textId="1D8F80BC" w:rsidR="00DD0644" w:rsidRPr="00B568F3" w:rsidRDefault="00DD0644" w:rsidP="00284C83">
            <w:pPr>
              <w:jc w:val="center"/>
              <w:rPr>
                <w:rFonts w:ascii="Arial" w:eastAsia="Times New Roman" w:hAnsi="Arial" w:cs="Arial"/>
                <w:color w:val="000000"/>
                <w:sz w:val="4"/>
                <w:szCs w:val="4"/>
                <w:lang w:eastAsia="en-GB"/>
              </w:rPr>
            </w:pPr>
            <w:r w:rsidRPr="00B568F3">
              <w:rPr>
                <w:rFonts w:ascii="Arial" w:eastAsia="Times New Roman" w:hAnsi="Arial" w:cs="Arial"/>
                <w:color w:val="000000"/>
                <w:sz w:val="4"/>
                <w:szCs w:val="4"/>
                <w:lang w:eastAsia="en-GB"/>
              </w:rPr>
              <w:t> </w:t>
            </w:r>
          </w:p>
        </w:tc>
        <w:tc>
          <w:tcPr>
            <w:tcW w:w="1975" w:type="dxa"/>
          </w:tcPr>
          <w:p w14:paraId="53C19621" w14:textId="77777777" w:rsidR="00DD0644" w:rsidRPr="00B568F3" w:rsidRDefault="00DD0644" w:rsidP="00284C83">
            <w:pPr>
              <w:jc w:val="center"/>
              <w:rPr>
                <w:rFonts w:ascii="Arial" w:eastAsia="Times New Roman" w:hAnsi="Arial" w:cs="Arial"/>
                <w:color w:val="000000"/>
                <w:sz w:val="4"/>
                <w:szCs w:val="4"/>
                <w:lang w:eastAsia="en-GB"/>
              </w:rPr>
            </w:pPr>
          </w:p>
        </w:tc>
      </w:tr>
      <w:tr w:rsidR="00DD0644" w:rsidRPr="00B568F3" w14:paraId="19ADC020" w14:textId="2A614AC7" w:rsidTr="069F4A6E">
        <w:trPr>
          <w:trHeight w:val="315"/>
        </w:trPr>
        <w:tc>
          <w:tcPr>
            <w:tcW w:w="2556" w:type="dxa"/>
          </w:tcPr>
          <w:p w14:paraId="097567F9" w14:textId="283175BA" w:rsidR="00DD0644" w:rsidRPr="00B568F3" w:rsidRDefault="069F4A6E" w:rsidP="00284C83">
            <w:pPr>
              <w:rPr>
                <w:rFonts w:ascii="Arial" w:eastAsia="Times New Roman" w:hAnsi="Arial" w:cs="Arial"/>
                <w:b/>
                <w:bCs/>
                <w:color w:val="000000"/>
                <w:lang w:eastAsia="en-GB"/>
              </w:rPr>
            </w:pPr>
            <w:r w:rsidRPr="00B568F3">
              <w:rPr>
                <w:rFonts w:ascii="Arial" w:hAnsi="Arial" w:cs="Arial"/>
                <w:b/>
                <w:bCs/>
                <w:color w:val="000000" w:themeColor="text1"/>
              </w:rPr>
              <w:t>Health and safety</w:t>
            </w:r>
          </w:p>
        </w:tc>
        <w:tc>
          <w:tcPr>
            <w:tcW w:w="2293" w:type="dxa"/>
            <w:noWrap/>
            <w:hideMark/>
          </w:tcPr>
          <w:p w14:paraId="51E8E454" w14:textId="7B08536D"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228,451</w:t>
            </w:r>
          </w:p>
        </w:tc>
        <w:tc>
          <w:tcPr>
            <w:tcW w:w="987" w:type="dxa"/>
          </w:tcPr>
          <w:p w14:paraId="61C84302" w14:textId="3F10DCBF" w:rsidR="00DD0644" w:rsidRPr="00B568F3" w:rsidRDefault="008E40D0"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-8.7%</w:t>
            </w:r>
          </w:p>
        </w:tc>
        <w:tc>
          <w:tcPr>
            <w:tcW w:w="1318" w:type="dxa"/>
            <w:noWrap/>
            <w:hideMark/>
          </w:tcPr>
          <w:p w14:paraId="6E8C5BE1" w14:textId="1A203CC6"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386,153</w:t>
            </w:r>
          </w:p>
        </w:tc>
        <w:tc>
          <w:tcPr>
            <w:tcW w:w="1975" w:type="dxa"/>
          </w:tcPr>
          <w:p w14:paraId="778F4097" w14:textId="1627E950" w:rsidR="00DD0644" w:rsidRPr="00B568F3" w:rsidRDefault="008E40D0" w:rsidP="00284C83">
            <w:pPr>
              <w:jc w:val="center"/>
              <w:rPr>
                <w:rFonts w:ascii="Arial" w:eastAsia="Times New Roman" w:hAnsi="Arial" w:cs="Arial"/>
                <w:color w:val="000000"/>
                <w:lang w:eastAsia="en-GB"/>
              </w:rPr>
            </w:pPr>
            <w:r w:rsidRPr="00B568F3">
              <w:rPr>
                <w:rFonts w:ascii="Arial" w:eastAsia="Times New Roman" w:hAnsi="Arial" w:cs="Arial"/>
                <w:color w:val="000000" w:themeColor="text1"/>
                <w:lang w:eastAsia="en-GB"/>
              </w:rPr>
              <w:t>+12.4%</w:t>
            </w:r>
          </w:p>
        </w:tc>
      </w:tr>
      <w:tr w:rsidR="00DD0644" w:rsidRPr="00B568F3" w14:paraId="3280E3DB" w14:textId="33B46441" w:rsidTr="069F4A6E">
        <w:trPr>
          <w:trHeight w:val="119"/>
        </w:trPr>
        <w:tc>
          <w:tcPr>
            <w:tcW w:w="2556" w:type="dxa"/>
          </w:tcPr>
          <w:p w14:paraId="27381CAF" w14:textId="3EA78AB5" w:rsidR="00DD0644" w:rsidRPr="00B568F3" w:rsidRDefault="00DD0644" w:rsidP="00284C83">
            <w:pPr>
              <w:rPr>
                <w:rFonts w:ascii="Arial" w:eastAsia="Times New Roman" w:hAnsi="Arial" w:cs="Arial"/>
                <w:color w:val="000000"/>
                <w:sz w:val="4"/>
                <w:szCs w:val="4"/>
                <w:lang w:eastAsia="en-GB"/>
              </w:rPr>
            </w:pPr>
            <w:r w:rsidRPr="00B568F3">
              <w:rPr>
                <w:rFonts w:ascii="Arial" w:hAnsi="Arial" w:cs="Arial"/>
                <w:color w:val="000000"/>
                <w:sz w:val="4"/>
                <w:szCs w:val="4"/>
              </w:rPr>
              <w:t> </w:t>
            </w:r>
          </w:p>
        </w:tc>
        <w:tc>
          <w:tcPr>
            <w:tcW w:w="2293" w:type="dxa"/>
            <w:noWrap/>
            <w:hideMark/>
          </w:tcPr>
          <w:p w14:paraId="39B048FE" w14:textId="21572521" w:rsidR="00DD0644" w:rsidRPr="00B568F3" w:rsidRDefault="00DD0644" w:rsidP="00284C83">
            <w:pPr>
              <w:jc w:val="center"/>
              <w:rPr>
                <w:rFonts w:ascii="Arial" w:eastAsia="Times New Roman" w:hAnsi="Arial" w:cs="Arial"/>
                <w:color w:val="000000"/>
                <w:sz w:val="4"/>
                <w:szCs w:val="4"/>
                <w:lang w:eastAsia="en-GB"/>
              </w:rPr>
            </w:pPr>
            <w:r w:rsidRPr="00B568F3">
              <w:rPr>
                <w:rFonts w:ascii="Arial" w:eastAsia="Times New Roman" w:hAnsi="Arial" w:cs="Arial"/>
                <w:color w:val="000000"/>
                <w:sz w:val="4"/>
                <w:szCs w:val="4"/>
                <w:lang w:eastAsia="en-GB"/>
              </w:rPr>
              <w:t> </w:t>
            </w:r>
          </w:p>
        </w:tc>
        <w:tc>
          <w:tcPr>
            <w:tcW w:w="987" w:type="dxa"/>
          </w:tcPr>
          <w:p w14:paraId="071F97EB" w14:textId="77777777" w:rsidR="00DD0644" w:rsidRPr="00B568F3" w:rsidRDefault="00DD0644" w:rsidP="00284C83">
            <w:pPr>
              <w:jc w:val="center"/>
              <w:rPr>
                <w:rFonts w:ascii="Arial" w:eastAsia="Times New Roman" w:hAnsi="Arial" w:cs="Arial"/>
                <w:color w:val="000000"/>
                <w:sz w:val="4"/>
                <w:szCs w:val="4"/>
                <w:lang w:eastAsia="en-GB"/>
              </w:rPr>
            </w:pPr>
          </w:p>
        </w:tc>
        <w:tc>
          <w:tcPr>
            <w:tcW w:w="1318" w:type="dxa"/>
            <w:noWrap/>
            <w:hideMark/>
          </w:tcPr>
          <w:p w14:paraId="3AED090C" w14:textId="569E0480" w:rsidR="00DD0644" w:rsidRPr="00B568F3" w:rsidRDefault="00DD0644" w:rsidP="00284C83">
            <w:pPr>
              <w:jc w:val="center"/>
              <w:rPr>
                <w:rFonts w:ascii="Arial" w:eastAsia="Times New Roman" w:hAnsi="Arial" w:cs="Arial"/>
                <w:color w:val="000000"/>
                <w:sz w:val="4"/>
                <w:szCs w:val="4"/>
                <w:lang w:eastAsia="en-GB"/>
              </w:rPr>
            </w:pPr>
            <w:r w:rsidRPr="00B568F3">
              <w:rPr>
                <w:rFonts w:ascii="Arial" w:eastAsia="Times New Roman" w:hAnsi="Arial" w:cs="Arial"/>
                <w:color w:val="000000"/>
                <w:sz w:val="4"/>
                <w:szCs w:val="4"/>
                <w:lang w:eastAsia="en-GB"/>
              </w:rPr>
              <w:t> </w:t>
            </w:r>
          </w:p>
        </w:tc>
        <w:tc>
          <w:tcPr>
            <w:tcW w:w="1975" w:type="dxa"/>
          </w:tcPr>
          <w:p w14:paraId="0652511F" w14:textId="77777777" w:rsidR="00DD0644" w:rsidRPr="00B568F3" w:rsidRDefault="00DD0644" w:rsidP="00284C83">
            <w:pPr>
              <w:jc w:val="center"/>
              <w:rPr>
                <w:rFonts w:ascii="Arial" w:eastAsia="Times New Roman" w:hAnsi="Arial" w:cs="Arial"/>
                <w:color w:val="000000"/>
                <w:sz w:val="4"/>
                <w:szCs w:val="4"/>
                <w:lang w:eastAsia="en-GB"/>
              </w:rPr>
            </w:pPr>
          </w:p>
        </w:tc>
      </w:tr>
      <w:tr w:rsidR="00DD0644" w:rsidRPr="00B568F3" w14:paraId="0643F7BB" w14:textId="413AD7B4" w:rsidTr="069F4A6E">
        <w:trPr>
          <w:trHeight w:val="315"/>
        </w:trPr>
        <w:tc>
          <w:tcPr>
            <w:tcW w:w="2556" w:type="dxa"/>
          </w:tcPr>
          <w:p w14:paraId="7D8B350F" w14:textId="0C7E1A91" w:rsidR="00DD0644" w:rsidRPr="00B568F3" w:rsidRDefault="069F4A6E" w:rsidP="6C1588F2">
            <w:pPr>
              <w:rPr>
                <w:rFonts w:ascii="Arial" w:eastAsia="Times New Roman" w:hAnsi="Arial" w:cs="Arial"/>
                <w:color w:val="000000" w:themeColor="text1"/>
                <w:lang w:eastAsia="en-GB"/>
              </w:rPr>
            </w:pPr>
            <w:r w:rsidRPr="00B568F3">
              <w:rPr>
                <w:rFonts w:ascii="Arial" w:hAnsi="Arial" w:cs="Arial"/>
                <w:b/>
                <w:bCs/>
                <w:color w:val="000000" w:themeColor="text1"/>
              </w:rPr>
              <w:t>National priorities</w:t>
            </w:r>
          </w:p>
          <w:p w14:paraId="0EAE5A7B" w14:textId="5EB18D1F" w:rsidR="00DD0644" w:rsidRPr="00B568F3" w:rsidRDefault="00DD0644" w:rsidP="00284C83">
            <w:pPr>
              <w:rPr>
                <w:rFonts w:ascii="Arial" w:hAnsi="Arial" w:cs="Arial"/>
                <w:b/>
                <w:color w:val="000000"/>
                <w:lang w:eastAsia="en-GB"/>
              </w:rPr>
            </w:pPr>
          </w:p>
        </w:tc>
        <w:tc>
          <w:tcPr>
            <w:tcW w:w="2293" w:type="dxa"/>
            <w:noWrap/>
            <w:hideMark/>
          </w:tcPr>
          <w:p w14:paraId="15B221E0" w14:textId="15A5A4C2"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 </w:t>
            </w:r>
          </w:p>
        </w:tc>
        <w:tc>
          <w:tcPr>
            <w:tcW w:w="987" w:type="dxa"/>
          </w:tcPr>
          <w:p w14:paraId="01A56A85" w14:textId="77777777" w:rsidR="00DD0644" w:rsidRPr="00B568F3" w:rsidRDefault="00DD0644" w:rsidP="00284C83">
            <w:pPr>
              <w:jc w:val="center"/>
              <w:rPr>
                <w:rFonts w:ascii="Arial" w:eastAsia="Times New Roman" w:hAnsi="Arial" w:cs="Arial"/>
                <w:color w:val="000000"/>
                <w:lang w:eastAsia="en-GB"/>
              </w:rPr>
            </w:pPr>
          </w:p>
        </w:tc>
        <w:tc>
          <w:tcPr>
            <w:tcW w:w="1318" w:type="dxa"/>
            <w:noWrap/>
            <w:hideMark/>
          </w:tcPr>
          <w:p w14:paraId="6DCA55A1" w14:textId="6056EBEA"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 </w:t>
            </w:r>
          </w:p>
        </w:tc>
        <w:tc>
          <w:tcPr>
            <w:tcW w:w="1975" w:type="dxa"/>
          </w:tcPr>
          <w:p w14:paraId="0FD34455" w14:textId="77777777" w:rsidR="00DD0644" w:rsidRPr="00B568F3" w:rsidRDefault="00DD0644" w:rsidP="00284C83">
            <w:pPr>
              <w:jc w:val="center"/>
              <w:rPr>
                <w:rFonts w:ascii="Arial" w:eastAsia="Times New Roman" w:hAnsi="Arial" w:cs="Arial"/>
                <w:color w:val="000000"/>
                <w:lang w:eastAsia="en-GB"/>
              </w:rPr>
            </w:pPr>
          </w:p>
        </w:tc>
      </w:tr>
      <w:tr w:rsidR="00DD0644" w:rsidRPr="00B568F3" w14:paraId="6D9DB505" w14:textId="77CE5F53" w:rsidTr="069F4A6E">
        <w:trPr>
          <w:trHeight w:val="300"/>
        </w:trPr>
        <w:tc>
          <w:tcPr>
            <w:tcW w:w="2556" w:type="dxa"/>
            <w:vAlign w:val="center"/>
          </w:tcPr>
          <w:p w14:paraId="720D29EA" w14:textId="240F1AAF" w:rsidR="00DD0644" w:rsidRPr="00B568F3" w:rsidRDefault="069F4A6E" w:rsidP="069F4A6E">
            <w:pPr>
              <w:rPr>
                <w:rFonts w:ascii="Arial" w:eastAsia="Times New Roman" w:hAnsi="Arial" w:cs="Arial"/>
                <w:color w:val="000000" w:themeColor="text1"/>
                <w:lang w:eastAsia="en-GB"/>
              </w:rPr>
            </w:pPr>
            <w:r w:rsidRPr="00B568F3">
              <w:rPr>
                <w:rFonts w:ascii="Arial" w:hAnsi="Arial" w:cs="Arial"/>
                <w:color w:val="000000" w:themeColor="text1"/>
              </w:rPr>
              <w:t xml:space="preserve">Build a digitally ready workforce </w:t>
            </w:r>
          </w:p>
          <w:p w14:paraId="09C2CE90" w14:textId="0156ADA3" w:rsidR="00DD0644" w:rsidRPr="00B568F3" w:rsidRDefault="00DD0644" w:rsidP="069F4A6E">
            <w:pPr>
              <w:rPr>
                <w:rFonts w:ascii="Arial" w:hAnsi="Arial" w:cs="Arial"/>
                <w:color w:val="000000"/>
                <w:lang w:eastAsia="en-GB"/>
              </w:rPr>
            </w:pPr>
          </w:p>
        </w:tc>
        <w:tc>
          <w:tcPr>
            <w:tcW w:w="2293" w:type="dxa"/>
            <w:noWrap/>
            <w:hideMark/>
          </w:tcPr>
          <w:p w14:paraId="78836652" w14:textId="010DCECA"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198,534</w:t>
            </w:r>
          </w:p>
        </w:tc>
        <w:tc>
          <w:tcPr>
            <w:tcW w:w="987" w:type="dxa"/>
          </w:tcPr>
          <w:p w14:paraId="444280F4" w14:textId="30045530" w:rsidR="00DD0644" w:rsidRPr="00B568F3" w:rsidRDefault="008E40D0"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-5.3%</w:t>
            </w:r>
          </w:p>
        </w:tc>
        <w:tc>
          <w:tcPr>
            <w:tcW w:w="1318" w:type="dxa"/>
            <w:noWrap/>
            <w:hideMark/>
          </w:tcPr>
          <w:p w14:paraId="63F94A21" w14:textId="27ECD8B6"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17,464</w:t>
            </w:r>
          </w:p>
        </w:tc>
        <w:tc>
          <w:tcPr>
            <w:tcW w:w="1975" w:type="dxa"/>
          </w:tcPr>
          <w:p w14:paraId="5ABEDE72" w14:textId="41116BB9" w:rsidR="00DD0644" w:rsidRPr="00B568F3" w:rsidRDefault="008E40D0"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+12.7%</w:t>
            </w:r>
          </w:p>
        </w:tc>
      </w:tr>
      <w:tr w:rsidR="00DD0644" w:rsidRPr="00B568F3" w14:paraId="1C6F13F3" w14:textId="26F35AC6" w:rsidTr="069F4A6E">
        <w:trPr>
          <w:trHeight w:val="300"/>
        </w:trPr>
        <w:tc>
          <w:tcPr>
            <w:tcW w:w="2556" w:type="dxa"/>
            <w:vAlign w:val="center"/>
          </w:tcPr>
          <w:p w14:paraId="6CF15366" w14:textId="0A68868B" w:rsidR="00DD0644" w:rsidRPr="00B568F3" w:rsidRDefault="069F4A6E" w:rsidP="069F4A6E">
            <w:pPr>
              <w:rPr>
                <w:rFonts w:ascii="Arial" w:eastAsia="Times New Roman" w:hAnsi="Arial" w:cs="Arial"/>
                <w:color w:val="000000" w:themeColor="text1"/>
                <w:lang w:eastAsia="en-GB"/>
              </w:rPr>
            </w:pPr>
            <w:r w:rsidRPr="00B568F3">
              <w:rPr>
                <w:rFonts w:ascii="Arial" w:hAnsi="Arial" w:cs="Arial"/>
                <w:color w:val="000000" w:themeColor="text1"/>
              </w:rPr>
              <w:t>Excellent education and learning</w:t>
            </w:r>
          </w:p>
          <w:p w14:paraId="67CED502" w14:textId="23A1982F" w:rsidR="00DD0644" w:rsidRPr="00B568F3" w:rsidRDefault="069F4A6E" w:rsidP="00284C83">
            <w:pPr>
              <w:rPr>
                <w:rFonts w:ascii="Arial" w:eastAsia="Times New Roman" w:hAnsi="Arial" w:cs="Arial"/>
                <w:color w:val="000000"/>
                <w:lang w:eastAsia="en-GB"/>
              </w:rPr>
            </w:pPr>
            <w:r w:rsidRPr="00B568F3">
              <w:rPr>
                <w:rFonts w:ascii="Arial" w:hAnsi="Arial" w:cs="Arial"/>
                <w:color w:val="000000" w:themeColor="text1"/>
              </w:rPr>
              <w:t xml:space="preserve"> </w:t>
            </w:r>
          </w:p>
        </w:tc>
        <w:tc>
          <w:tcPr>
            <w:tcW w:w="2293" w:type="dxa"/>
            <w:noWrap/>
            <w:hideMark/>
          </w:tcPr>
          <w:p w14:paraId="56366345" w14:textId="7C73213B"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1,397,797</w:t>
            </w:r>
          </w:p>
        </w:tc>
        <w:tc>
          <w:tcPr>
            <w:tcW w:w="987" w:type="dxa"/>
          </w:tcPr>
          <w:p w14:paraId="2413AA71" w14:textId="413248ED" w:rsidR="00DD0644" w:rsidRPr="00B568F3" w:rsidRDefault="008E40D0"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+17.8%</w:t>
            </w:r>
          </w:p>
        </w:tc>
        <w:tc>
          <w:tcPr>
            <w:tcW w:w="1318" w:type="dxa"/>
            <w:noWrap/>
            <w:hideMark/>
          </w:tcPr>
          <w:p w14:paraId="7F8B41FA" w14:textId="789C6D22"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266,321</w:t>
            </w:r>
          </w:p>
        </w:tc>
        <w:tc>
          <w:tcPr>
            <w:tcW w:w="1975" w:type="dxa"/>
          </w:tcPr>
          <w:p w14:paraId="5AF820F2" w14:textId="25320E01" w:rsidR="00DD0644" w:rsidRPr="00B568F3" w:rsidRDefault="008E40D0"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-28.4%</w:t>
            </w:r>
          </w:p>
        </w:tc>
      </w:tr>
      <w:tr w:rsidR="00DD0644" w:rsidRPr="00B568F3" w14:paraId="4E2FD372" w14:textId="23F94DE3" w:rsidTr="069F4A6E">
        <w:trPr>
          <w:trHeight w:val="300"/>
        </w:trPr>
        <w:tc>
          <w:tcPr>
            <w:tcW w:w="2556" w:type="dxa"/>
            <w:vAlign w:val="center"/>
          </w:tcPr>
          <w:p w14:paraId="45D0F3A4" w14:textId="26485544" w:rsidR="00DD0644" w:rsidRPr="00B568F3" w:rsidRDefault="069F4A6E" w:rsidP="069F4A6E">
            <w:pPr>
              <w:rPr>
                <w:rFonts w:ascii="Arial" w:eastAsia="Times New Roman" w:hAnsi="Arial" w:cs="Arial"/>
                <w:color w:val="000000" w:themeColor="text1"/>
                <w:lang w:eastAsia="en-GB"/>
              </w:rPr>
            </w:pPr>
            <w:r w:rsidRPr="00B568F3">
              <w:rPr>
                <w:rFonts w:ascii="Arial" w:hAnsi="Arial" w:cs="Arial"/>
                <w:color w:val="000000" w:themeColor="text1"/>
              </w:rPr>
              <w:t>Provision of qualifying and post qualifying social work training</w:t>
            </w:r>
          </w:p>
          <w:p w14:paraId="66C1B19D" w14:textId="424BDCB2" w:rsidR="00DD0644" w:rsidRPr="00B568F3" w:rsidRDefault="069F4A6E" w:rsidP="00284C83">
            <w:pPr>
              <w:rPr>
                <w:rFonts w:ascii="Arial" w:eastAsia="Times New Roman" w:hAnsi="Arial" w:cs="Arial"/>
                <w:color w:val="000000"/>
                <w:lang w:eastAsia="en-GB"/>
              </w:rPr>
            </w:pPr>
            <w:r w:rsidRPr="00B568F3">
              <w:rPr>
                <w:rFonts w:ascii="Arial" w:hAnsi="Arial" w:cs="Arial"/>
                <w:color w:val="000000" w:themeColor="text1"/>
              </w:rPr>
              <w:t xml:space="preserve"> </w:t>
            </w:r>
          </w:p>
        </w:tc>
        <w:tc>
          <w:tcPr>
            <w:tcW w:w="2293" w:type="dxa"/>
            <w:noWrap/>
            <w:hideMark/>
          </w:tcPr>
          <w:p w14:paraId="6C5D1C21" w14:textId="6A2D4BCC"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1,146,467</w:t>
            </w:r>
          </w:p>
        </w:tc>
        <w:tc>
          <w:tcPr>
            <w:tcW w:w="987" w:type="dxa"/>
          </w:tcPr>
          <w:p w14:paraId="4BB8F806" w14:textId="1EE98BD0" w:rsidR="00DD0644" w:rsidRPr="00B568F3" w:rsidRDefault="008E40D0"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+21.0%</w:t>
            </w:r>
          </w:p>
        </w:tc>
        <w:tc>
          <w:tcPr>
            <w:tcW w:w="1318" w:type="dxa"/>
            <w:noWrap/>
            <w:hideMark/>
          </w:tcPr>
          <w:p w14:paraId="4B0D096F" w14:textId="60B6466F"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229,677</w:t>
            </w:r>
          </w:p>
        </w:tc>
        <w:tc>
          <w:tcPr>
            <w:tcW w:w="1975" w:type="dxa"/>
          </w:tcPr>
          <w:p w14:paraId="5EAE364E" w14:textId="7237DA44" w:rsidR="00DD0644" w:rsidRPr="00B568F3" w:rsidRDefault="008E40D0" w:rsidP="00284C83">
            <w:pPr>
              <w:jc w:val="center"/>
              <w:rPr>
                <w:rFonts w:ascii="Arial" w:eastAsia="Times New Roman" w:hAnsi="Arial" w:cs="Arial"/>
                <w:color w:val="000000"/>
                <w:lang w:eastAsia="en-GB"/>
              </w:rPr>
            </w:pPr>
            <w:r w:rsidRPr="00B568F3">
              <w:rPr>
                <w:rFonts w:ascii="Arial" w:eastAsia="Times New Roman" w:hAnsi="Arial" w:cs="Arial"/>
                <w:color w:val="000000" w:themeColor="text1"/>
                <w:lang w:eastAsia="en-GB"/>
              </w:rPr>
              <w:t>+71.9%</w:t>
            </w:r>
          </w:p>
        </w:tc>
      </w:tr>
      <w:tr w:rsidR="00DD0644" w:rsidRPr="00B568F3" w14:paraId="7E5F42E4" w14:textId="02889E73" w:rsidTr="069F4A6E">
        <w:trPr>
          <w:trHeight w:val="300"/>
        </w:trPr>
        <w:tc>
          <w:tcPr>
            <w:tcW w:w="2556" w:type="dxa"/>
            <w:vAlign w:val="center"/>
          </w:tcPr>
          <w:p w14:paraId="79B01CBC" w14:textId="3E844B01" w:rsidR="00DD0644" w:rsidRPr="00B568F3" w:rsidRDefault="069F4A6E" w:rsidP="069F4A6E">
            <w:pPr>
              <w:rPr>
                <w:rFonts w:ascii="Arial" w:eastAsia="Times New Roman" w:hAnsi="Arial" w:cs="Arial"/>
                <w:color w:val="000000" w:themeColor="text1"/>
                <w:lang w:eastAsia="en-GB"/>
              </w:rPr>
            </w:pPr>
            <w:r w:rsidRPr="00B568F3">
              <w:rPr>
                <w:rFonts w:ascii="Arial" w:hAnsi="Arial" w:cs="Arial"/>
                <w:color w:val="000000" w:themeColor="text1"/>
              </w:rPr>
              <w:t>Leadership and succession</w:t>
            </w:r>
          </w:p>
          <w:p w14:paraId="5E0383EC" w14:textId="477AC734" w:rsidR="00DD0644" w:rsidRPr="00B568F3" w:rsidRDefault="069F4A6E" w:rsidP="00284C83">
            <w:pPr>
              <w:rPr>
                <w:rFonts w:ascii="Arial" w:eastAsia="Times New Roman" w:hAnsi="Arial" w:cs="Arial"/>
                <w:color w:val="000000"/>
                <w:lang w:eastAsia="en-GB"/>
              </w:rPr>
            </w:pPr>
            <w:r w:rsidRPr="00B568F3">
              <w:rPr>
                <w:rFonts w:ascii="Arial" w:hAnsi="Arial" w:cs="Arial"/>
                <w:color w:val="000000" w:themeColor="text1"/>
              </w:rPr>
              <w:t xml:space="preserve"> </w:t>
            </w:r>
          </w:p>
        </w:tc>
        <w:tc>
          <w:tcPr>
            <w:tcW w:w="2293" w:type="dxa"/>
            <w:noWrap/>
            <w:hideMark/>
          </w:tcPr>
          <w:p w14:paraId="1BCF9A60" w14:textId="15544C65"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194,489</w:t>
            </w:r>
          </w:p>
        </w:tc>
        <w:tc>
          <w:tcPr>
            <w:tcW w:w="987" w:type="dxa"/>
          </w:tcPr>
          <w:p w14:paraId="6CFE0440" w14:textId="01E9A2C5" w:rsidR="00DD0644" w:rsidRPr="00B568F3" w:rsidRDefault="008E40D0"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-2.8%</w:t>
            </w:r>
          </w:p>
        </w:tc>
        <w:tc>
          <w:tcPr>
            <w:tcW w:w="1318" w:type="dxa"/>
            <w:noWrap/>
            <w:hideMark/>
          </w:tcPr>
          <w:p w14:paraId="0662262D" w14:textId="227E93EF"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14,974</w:t>
            </w:r>
          </w:p>
        </w:tc>
        <w:tc>
          <w:tcPr>
            <w:tcW w:w="1975" w:type="dxa"/>
          </w:tcPr>
          <w:p w14:paraId="62AB9F8A" w14:textId="65549F3B" w:rsidR="00DD0644" w:rsidRPr="00B568F3" w:rsidRDefault="008E40D0"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-68.0%</w:t>
            </w:r>
          </w:p>
        </w:tc>
      </w:tr>
      <w:tr w:rsidR="00DD0644" w:rsidRPr="00B568F3" w14:paraId="3E0B0AE8" w14:textId="1B95E2F2" w:rsidTr="069F4A6E">
        <w:trPr>
          <w:trHeight w:val="300"/>
        </w:trPr>
        <w:tc>
          <w:tcPr>
            <w:tcW w:w="2556" w:type="dxa"/>
            <w:vAlign w:val="bottom"/>
          </w:tcPr>
          <w:p w14:paraId="06D26149" w14:textId="759F273C" w:rsidR="00DD0644" w:rsidRPr="00B568F3" w:rsidRDefault="069F4A6E" w:rsidP="069F4A6E">
            <w:pPr>
              <w:rPr>
                <w:rFonts w:ascii="Arial" w:eastAsia="Times New Roman" w:hAnsi="Arial" w:cs="Arial"/>
                <w:color w:val="000000" w:themeColor="text1"/>
                <w:lang w:eastAsia="en-GB"/>
              </w:rPr>
            </w:pPr>
            <w:r w:rsidRPr="00B568F3">
              <w:rPr>
                <w:rFonts w:ascii="Arial" w:eastAsia="Times New Roman" w:hAnsi="Arial" w:cs="Arial"/>
                <w:color w:val="000000" w:themeColor="text1"/>
                <w:lang w:eastAsia="en-GB"/>
              </w:rPr>
              <w:t>Workforce shape and supply</w:t>
            </w:r>
          </w:p>
          <w:p w14:paraId="49DB3341" w14:textId="6EB34D07" w:rsidR="00DD0644" w:rsidRPr="00B568F3" w:rsidRDefault="00DD0644" w:rsidP="00284C83">
            <w:pPr>
              <w:rPr>
                <w:rFonts w:ascii="Arial" w:eastAsia="Times New Roman" w:hAnsi="Arial" w:cs="Arial"/>
                <w:color w:val="000000"/>
                <w:lang w:eastAsia="en-GB"/>
              </w:rPr>
            </w:pPr>
          </w:p>
        </w:tc>
        <w:tc>
          <w:tcPr>
            <w:tcW w:w="2293" w:type="dxa"/>
            <w:noWrap/>
            <w:hideMark/>
          </w:tcPr>
          <w:p w14:paraId="27962E06" w14:textId="08874E80"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119,191</w:t>
            </w:r>
          </w:p>
        </w:tc>
        <w:tc>
          <w:tcPr>
            <w:tcW w:w="987" w:type="dxa"/>
          </w:tcPr>
          <w:p w14:paraId="1AEBF354" w14:textId="101060A3" w:rsidR="00DD0644" w:rsidRPr="00B568F3" w:rsidRDefault="008E40D0"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-25.4%</w:t>
            </w:r>
          </w:p>
        </w:tc>
        <w:tc>
          <w:tcPr>
            <w:tcW w:w="1318" w:type="dxa"/>
            <w:noWrap/>
            <w:hideMark/>
          </w:tcPr>
          <w:p w14:paraId="47706622" w14:textId="2DB52F7F"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19,294</w:t>
            </w:r>
          </w:p>
        </w:tc>
        <w:tc>
          <w:tcPr>
            <w:tcW w:w="1975" w:type="dxa"/>
          </w:tcPr>
          <w:p w14:paraId="4FF8DADE" w14:textId="38B40D82" w:rsidR="00DD0644" w:rsidRPr="00B568F3" w:rsidRDefault="008E40D0" w:rsidP="00284C83">
            <w:pPr>
              <w:jc w:val="center"/>
              <w:rPr>
                <w:rFonts w:ascii="Arial" w:eastAsia="Times New Roman" w:hAnsi="Arial" w:cs="Arial"/>
                <w:color w:val="000000"/>
                <w:lang w:eastAsia="en-GB"/>
              </w:rPr>
            </w:pPr>
            <w:r w:rsidRPr="00B568F3">
              <w:rPr>
                <w:rFonts w:ascii="Arial" w:eastAsia="Times New Roman" w:hAnsi="Arial" w:cs="Arial"/>
                <w:color w:val="000000" w:themeColor="text1"/>
                <w:lang w:eastAsia="en-GB"/>
              </w:rPr>
              <w:t>-30.4%</w:t>
            </w:r>
          </w:p>
        </w:tc>
      </w:tr>
      <w:tr w:rsidR="00DD0644" w:rsidRPr="00B568F3" w14:paraId="708E518D" w14:textId="7073052B" w:rsidTr="069F4A6E">
        <w:trPr>
          <w:trHeight w:val="300"/>
        </w:trPr>
        <w:tc>
          <w:tcPr>
            <w:tcW w:w="2556" w:type="dxa"/>
          </w:tcPr>
          <w:p w14:paraId="56A143A2" w14:textId="5CCDF6C7" w:rsidR="00DD0644" w:rsidRPr="00B568F3" w:rsidRDefault="069F4A6E" w:rsidP="069F4A6E">
            <w:pPr>
              <w:rPr>
                <w:rFonts w:ascii="Arial" w:eastAsia="Times New Roman" w:hAnsi="Arial" w:cs="Arial"/>
                <w:color w:val="000000" w:themeColor="text1"/>
                <w:lang w:eastAsia="en-GB"/>
              </w:rPr>
            </w:pPr>
            <w:r w:rsidRPr="00B568F3">
              <w:rPr>
                <w:rFonts w:ascii="Arial" w:hAnsi="Arial" w:cs="Arial"/>
                <w:color w:val="000000" w:themeColor="text1"/>
              </w:rPr>
              <w:t>Other priorities</w:t>
            </w:r>
          </w:p>
          <w:p w14:paraId="6A83574B" w14:textId="2CACA7C1" w:rsidR="00DD0644" w:rsidRPr="00B568F3" w:rsidRDefault="00DD0644" w:rsidP="069F4A6E">
            <w:pPr>
              <w:rPr>
                <w:rFonts w:ascii="Arial" w:hAnsi="Arial" w:cs="Arial"/>
                <w:color w:val="000000"/>
                <w:lang w:eastAsia="en-GB"/>
              </w:rPr>
            </w:pPr>
          </w:p>
        </w:tc>
        <w:tc>
          <w:tcPr>
            <w:tcW w:w="2293" w:type="dxa"/>
            <w:noWrap/>
            <w:hideMark/>
          </w:tcPr>
          <w:p w14:paraId="48AE36FB" w14:textId="1676E6DD"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170,770</w:t>
            </w:r>
          </w:p>
        </w:tc>
        <w:tc>
          <w:tcPr>
            <w:tcW w:w="987" w:type="dxa"/>
          </w:tcPr>
          <w:p w14:paraId="04F562AF" w14:textId="161803AA" w:rsidR="00DD0644" w:rsidRPr="00B568F3" w:rsidRDefault="008E40D0"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-21.6%</w:t>
            </w:r>
          </w:p>
        </w:tc>
        <w:tc>
          <w:tcPr>
            <w:tcW w:w="1318" w:type="dxa"/>
            <w:noWrap/>
            <w:hideMark/>
          </w:tcPr>
          <w:p w14:paraId="5E8006B6" w14:textId="0DAB7007" w:rsidR="00DD0644" w:rsidRPr="00B568F3" w:rsidRDefault="00DD0644"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243,997</w:t>
            </w:r>
          </w:p>
        </w:tc>
        <w:tc>
          <w:tcPr>
            <w:tcW w:w="1975" w:type="dxa"/>
          </w:tcPr>
          <w:p w14:paraId="035C84C2" w14:textId="22C9983D" w:rsidR="00DD0644" w:rsidRPr="00B568F3" w:rsidRDefault="00FD52B2"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-36.4%</w:t>
            </w:r>
          </w:p>
        </w:tc>
      </w:tr>
      <w:tr w:rsidR="00FF31FA" w:rsidRPr="00B568F3" w14:paraId="7CE6B99F" w14:textId="77777777" w:rsidTr="069F4A6E">
        <w:trPr>
          <w:trHeight w:val="300"/>
        </w:trPr>
        <w:tc>
          <w:tcPr>
            <w:tcW w:w="2556" w:type="dxa"/>
            <w:tcBorders>
              <w:top w:val="single" w:sz="4" w:space="0" w:color="auto"/>
            </w:tcBorders>
          </w:tcPr>
          <w:p w14:paraId="48900816" w14:textId="7944950A" w:rsidR="069F4A6E" w:rsidRPr="00B568F3" w:rsidRDefault="069F4A6E" w:rsidP="069F4A6E">
            <w:pPr>
              <w:rPr>
                <w:rFonts w:ascii="Arial" w:hAnsi="Arial" w:cs="Arial"/>
                <w:color w:val="000000" w:themeColor="text1"/>
              </w:rPr>
            </w:pPr>
          </w:p>
          <w:p w14:paraId="0C3E6E6A" w14:textId="3E4D6894" w:rsidR="00FF31FA" w:rsidRPr="00B568F3" w:rsidRDefault="069F4A6E" w:rsidP="069F4A6E">
            <w:pPr>
              <w:rPr>
                <w:rFonts w:ascii="Arial" w:hAnsi="Arial" w:cs="Arial"/>
                <w:color w:val="000000" w:themeColor="text1"/>
              </w:rPr>
            </w:pPr>
            <w:r w:rsidRPr="00B568F3">
              <w:rPr>
                <w:rFonts w:ascii="Arial" w:hAnsi="Arial" w:cs="Arial"/>
                <w:color w:val="000000" w:themeColor="text1"/>
              </w:rPr>
              <w:t>Additional contribution by one region to cover overspend</w:t>
            </w:r>
          </w:p>
          <w:p w14:paraId="460957C9" w14:textId="78498BCD" w:rsidR="00FF31FA" w:rsidRPr="00B568F3" w:rsidRDefault="00FF31FA" w:rsidP="00284C83">
            <w:pPr>
              <w:rPr>
                <w:rFonts w:ascii="Arial" w:hAnsi="Arial" w:cs="Arial"/>
                <w:color w:val="000000"/>
              </w:rPr>
            </w:pPr>
          </w:p>
        </w:tc>
        <w:tc>
          <w:tcPr>
            <w:tcW w:w="2293" w:type="dxa"/>
            <w:tcBorders>
              <w:top w:val="single" w:sz="4" w:space="0" w:color="auto"/>
            </w:tcBorders>
            <w:noWrap/>
          </w:tcPr>
          <w:p w14:paraId="0DBC3204" w14:textId="53F1F93E" w:rsidR="069F4A6E" w:rsidRPr="00B568F3" w:rsidRDefault="069F4A6E" w:rsidP="069F4A6E">
            <w:pPr>
              <w:jc w:val="center"/>
              <w:rPr>
                <w:rFonts w:ascii="Arial" w:eastAsia="Times New Roman" w:hAnsi="Arial" w:cs="Arial"/>
                <w:color w:val="000000" w:themeColor="text1"/>
                <w:lang w:eastAsia="en-GB"/>
              </w:rPr>
            </w:pPr>
          </w:p>
          <w:p w14:paraId="6F7986BE" w14:textId="009E1B43" w:rsidR="00FF31FA" w:rsidRPr="00B568F3" w:rsidRDefault="00C5671C"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-80,607</w:t>
            </w:r>
          </w:p>
        </w:tc>
        <w:tc>
          <w:tcPr>
            <w:tcW w:w="987" w:type="dxa"/>
            <w:tcBorders>
              <w:top w:val="single" w:sz="4" w:space="0" w:color="auto"/>
            </w:tcBorders>
          </w:tcPr>
          <w:p w14:paraId="2433273A" w14:textId="77777777" w:rsidR="00FF31FA" w:rsidRPr="00B568F3" w:rsidRDefault="00FF31FA" w:rsidP="00284C83">
            <w:pPr>
              <w:jc w:val="center"/>
              <w:rPr>
                <w:rFonts w:ascii="Arial" w:eastAsia="Times New Roman" w:hAnsi="Arial" w:cs="Arial"/>
                <w:color w:val="000000"/>
                <w:lang w:eastAsia="en-GB"/>
              </w:rPr>
            </w:pPr>
          </w:p>
        </w:tc>
        <w:tc>
          <w:tcPr>
            <w:tcW w:w="1318" w:type="dxa"/>
            <w:tcBorders>
              <w:top w:val="single" w:sz="4" w:space="0" w:color="auto"/>
            </w:tcBorders>
            <w:noWrap/>
          </w:tcPr>
          <w:p w14:paraId="5974ADD1" w14:textId="77777777" w:rsidR="00FF31FA" w:rsidRPr="00B568F3" w:rsidRDefault="00FF31FA" w:rsidP="00284C83">
            <w:pPr>
              <w:jc w:val="center"/>
              <w:rPr>
                <w:rFonts w:ascii="Arial" w:eastAsia="Times New Roman" w:hAnsi="Arial" w:cs="Arial"/>
                <w:color w:val="000000"/>
                <w:lang w:eastAsia="en-GB"/>
              </w:rPr>
            </w:pPr>
          </w:p>
        </w:tc>
        <w:tc>
          <w:tcPr>
            <w:tcW w:w="1975" w:type="dxa"/>
            <w:tcBorders>
              <w:top w:val="single" w:sz="4" w:space="0" w:color="auto"/>
            </w:tcBorders>
          </w:tcPr>
          <w:p w14:paraId="6C3D0B48" w14:textId="77777777" w:rsidR="00FF31FA" w:rsidRPr="00B568F3" w:rsidRDefault="00FF31FA" w:rsidP="00284C83">
            <w:pPr>
              <w:jc w:val="center"/>
              <w:rPr>
                <w:rFonts w:ascii="Arial" w:eastAsia="Times New Roman" w:hAnsi="Arial" w:cs="Arial"/>
                <w:color w:val="000000"/>
                <w:lang w:eastAsia="en-GB"/>
              </w:rPr>
            </w:pPr>
          </w:p>
        </w:tc>
      </w:tr>
      <w:tr w:rsidR="00FF31FA" w:rsidRPr="00B568F3" w14:paraId="12CC4850" w14:textId="77777777" w:rsidTr="069F4A6E">
        <w:trPr>
          <w:trHeight w:val="300"/>
        </w:trPr>
        <w:tc>
          <w:tcPr>
            <w:tcW w:w="2556" w:type="dxa"/>
          </w:tcPr>
          <w:p w14:paraId="0DC6A367" w14:textId="1A95582D" w:rsidR="00FF31FA" w:rsidRPr="00B568F3" w:rsidRDefault="00DF0A29" w:rsidP="00284C83">
            <w:pPr>
              <w:rPr>
                <w:rFonts w:ascii="Arial" w:hAnsi="Arial" w:cs="Arial"/>
                <w:color w:val="000000"/>
              </w:rPr>
            </w:pPr>
            <w:r w:rsidRPr="00B568F3">
              <w:rPr>
                <w:rFonts w:ascii="Arial" w:hAnsi="Arial" w:cs="Arial"/>
                <w:color w:val="000000"/>
              </w:rPr>
              <w:t>Corrections to be checked with regions</w:t>
            </w:r>
          </w:p>
        </w:tc>
        <w:tc>
          <w:tcPr>
            <w:tcW w:w="2293" w:type="dxa"/>
            <w:noWrap/>
          </w:tcPr>
          <w:p w14:paraId="18776AAE" w14:textId="4085FB0E" w:rsidR="00FF31FA" w:rsidRPr="00B568F3" w:rsidRDefault="00834240"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-3</w:t>
            </w:r>
            <w:r w:rsidR="00FC755F" w:rsidRPr="00B568F3">
              <w:rPr>
                <w:rFonts w:ascii="Arial" w:eastAsia="Times New Roman" w:hAnsi="Arial" w:cs="Arial"/>
                <w:color w:val="000000"/>
                <w:lang w:eastAsia="en-GB"/>
              </w:rPr>
              <w:t>,</w:t>
            </w:r>
            <w:r w:rsidRPr="00B568F3">
              <w:rPr>
                <w:rFonts w:ascii="Arial" w:eastAsia="Times New Roman" w:hAnsi="Arial" w:cs="Arial"/>
                <w:color w:val="000000"/>
                <w:lang w:eastAsia="en-GB"/>
              </w:rPr>
              <w:t>501</w:t>
            </w:r>
          </w:p>
        </w:tc>
        <w:tc>
          <w:tcPr>
            <w:tcW w:w="987" w:type="dxa"/>
          </w:tcPr>
          <w:p w14:paraId="38445AE5" w14:textId="77777777" w:rsidR="00FF31FA" w:rsidRPr="00B568F3" w:rsidRDefault="00FF31FA" w:rsidP="00284C83">
            <w:pPr>
              <w:jc w:val="center"/>
              <w:rPr>
                <w:rFonts w:ascii="Arial" w:eastAsia="Times New Roman" w:hAnsi="Arial" w:cs="Arial"/>
                <w:color w:val="000000"/>
                <w:lang w:eastAsia="en-GB"/>
              </w:rPr>
            </w:pPr>
          </w:p>
        </w:tc>
        <w:tc>
          <w:tcPr>
            <w:tcW w:w="1318" w:type="dxa"/>
            <w:noWrap/>
          </w:tcPr>
          <w:p w14:paraId="315FDA2F" w14:textId="52059CF7" w:rsidR="00FF31FA" w:rsidRPr="00B568F3" w:rsidRDefault="00CC0622" w:rsidP="00284C83">
            <w:pPr>
              <w:jc w:val="center"/>
              <w:rPr>
                <w:rFonts w:ascii="Arial" w:eastAsia="Times New Roman" w:hAnsi="Arial" w:cs="Arial"/>
                <w:color w:val="000000"/>
                <w:lang w:eastAsia="en-GB"/>
              </w:rPr>
            </w:pPr>
            <w:r w:rsidRPr="00B568F3">
              <w:rPr>
                <w:rFonts w:ascii="Arial" w:eastAsia="Times New Roman" w:hAnsi="Arial" w:cs="Arial"/>
                <w:color w:val="000000"/>
                <w:lang w:eastAsia="en-GB"/>
              </w:rPr>
              <w:t>27</w:t>
            </w:r>
          </w:p>
        </w:tc>
        <w:tc>
          <w:tcPr>
            <w:tcW w:w="1975" w:type="dxa"/>
          </w:tcPr>
          <w:p w14:paraId="4542127E" w14:textId="77777777" w:rsidR="00FF31FA" w:rsidRPr="00B568F3" w:rsidRDefault="00FF31FA" w:rsidP="00284C83">
            <w:pPr>
              <w:jc w:val="center"/>
              <w:rPr>
                <w:rFonts w:ascii="Arial" w:eastAsia="Times New Roman" w:hAnsi="Arial" w:cs="Arial"/>
                <w:color w:val="000000"/>
                <w:lang w:eastAsia="en-GB"/>
              </w:rPr>
            </w:pPr>
          </w:p>
        </w:tc>
      </w:tr>
      <w:tr w:rsidR="00252DE5" w:rsidRPr="00B568F3" w14:paraId="15C47079" w14:textId="77777777" w:rsidTr="069F4A6E">
        <w:trPr>
          <w:trHeight w:val="300"/>
        </w:trPr>
        <w:tc>
          <w:tcPr>
            <w:tcW w:w="2556" w:type="dxa"/>
          </w:tcPr>
          <w:p w14:paraId="34EF43EE" w14:textId="77777777" w:rsidR="00252DE5" w:rsidRPr="00B568F3" w:rsidRDefault="00252DE5" w:rsidP="00284C83">
            <w:pPr>
              <w:rPr>
                <w:rFonts w:ascii="Arial" w:hAnsi="Arial" w:cs="Arial"/>
                <w:color w:val="000000"/>
              </w:rPr>
            </w:pPr>
          </w:p>
        </w:tc>
        <w:tc>
          <w:tcPr>
            <w:tcW w:w="2293" w:type="dxa"/>
            <w:noWrap/>
          </w:tcPr>
          <w:p w14:paraId="5A0DE437" w14:textId="77777777" w:rsidR="00252DE5" w:rsidRPr="00B568F3" w:rsidRDefault="00252DE5" w:rsidP="00284C83">
            <w:pPr>
              <w:jc w:val="center"/>
              <w:rPr>
                <w:rFonts w:ascii="Arial" w:eastAsia="Times New Roman" w:hAnsi="Arial" w:cs="Arial"/>
                <w:color w:val="000000"/>
                <w:lang w:eastAsia="en-GB"/>
              </w:rPr>
            </w:pPr>
          </w:p>
        </w:tc>
        <w:tc>
          <w:tcPr>
            <w:tcW w:w="987" w:type="dxa"/>
          </w:tcPr>
          <w:p w14:paraId="61F8FB41" w14:textId="77777777" w:rsidR="00252DE5" w:rsidRPr="00B568F3" w:rsidRDefault="00252DE5" w:rsidP="00284C83">
            <w:pPr>
              <w:jc w:val="center"/>
              <w:rPr>
                <w:rFonts w:ascii="Arial" w:eastAsia="Times New Roman" w:hAnsi="Arial" w:cs="Arial"/>
                <w:color w:val="000000"/>
                <w:lang w:eastAsia="en-GB"/>
              </w:rPr>
            </w:pPr>
          </w:p>
        </w:tc>
        <w:tc>
          <w:tcPr>
            <w:tcW w:w="1318" w:type="dxa"/>
            <w:noWrap/>
          </w:tcPr>
          <w:p w14:paraId="27CBCE52" w14:textId="77777777" w:rsidR="00252DE5" w:rsidRPr="00B568F3" w:rsidRDefault="00252DE5" w:rsidP="00284C83">
            <w:pPr>
              <w:jc w:val="center"/>
              <w:rPr>
                <w:rFonts w:ascii="Arial" w:eastAsia="Times New Roman" w:hAnsi="Arial" w:cs="Arial"/>
                <w:color w:val="000000"/>
                <w:lang w:eastAsia="en-GB"/>
              </w:rPr>
            </w:pPr>
          </w:p>
        </w:tc>
        <w:tc>
          <w:tcPr>
            <w:tcW w:w="1975" w:type="dxa"/>
          </w:tcPr>
          <w:p w14:paraId="50B6F43C" w14:textId="77777777" w:rsidR="00252DE5" w:rsidRPr="00B568F3" w:rsidRDefault="00252DE5" w:rsidP="00284C83">
            <w:pPr>
              <w:jc w:val="center"/>
              <w:rPr>
                <w:rFonts w:ascii="Arial" w:eastAsia="Times New Roman" w:hAnsi="Arial" w:cs="Arial"/>
                <w:color w:val="000000"/>
                <w:lang w:eastAsia="en-GB"/>
              </w:rPr>
            </w:pPr>
          </w:p>
        </w:tc>
      </w:tr>
      <w:tr w:rsidR="00834240" w:rsidRPr="00B568F3" w14:paraId="4EDD7C5F" w14:textId="77777777" w:rsidTr="069F4A6E">
        <w:trPr>
          <w:trHeight w:val="300"/>
        </w:trPr>
        <w:tc>
          <w:tcPr>
            <w:tcW w:w="2556" w:type="dxa"/>
            <w:tcBorders>
              <w:bottom w:val="single" w:sz="4" w:space="0" w:color="auto"/>
            </w:tcBorders>
          </w:tcPr>
          <w:p w14:paraId="76352AC5" w14:textId="7F9AF5D3" w:rsidR="00834240" w:rsidRPr="00B568F3" w:rsidRDefault="069F4A6E" w:rsidP="00284C83">
            <w:pPr>
              <w:rPr>
                <w:rFonts w:ascii="Arial" w:hAnsi="Arial" w:cs="Arial"/>
                <w:b/>
                <w:color w:val="000000"/>
              </w:rPr>
            </w:pPr>
            <w:r w:rsidRPr="00B568F3">
              <w:rPr>
                <w:rFonts w:ascii="Arial" w:hAnsi="Arial" w:cs="Arial"/>
                <w:b/>
                <w:color w:val="000000" w:themeColor="text1"/>
              </w:rPr>
              <w:t>Total (£)</w:t>
            </w:r>
          </w:p>
        </w:tc>
        <w:tc>
          <w:tcPr>
            <w:tcW w:w="2293" w:type="dxa"/>
            <w:tcBorders>
              <w:bottom w:val="single" w:sz="4" w:space="0" w:color="auto"/>
            </w:tcBorders>
            <w:noWrap/>
          </w:tcPr>
          <w:p w14:paraId="70B6BA5B" w14:textId="78881BA4" w:rsidR="00834240" w:rsidRPr="00B568F3" w:rsidRDefault="00FC755F" w:rsidP="00284C83">
            <w:pPr>
              <w:jc w:val="center"/>
              <w:rPr>
                <w:rFonts w:ascii="Arial" w:eastAsia="Times New Roman" w:hAnsi="Arial" w:cs="Arial"/>
                <w:color w:val="000000"/>
                <w:lang w:eastAsia="en-GB"/>
              </w:rPr>
            </w:pPr>
            <w:r w:rsidRPr="00B568F3">
              <w:rPr>
                <w:rFonts w:ascii="Arial" w:eastAsia="Times New Roman" w:hAnsi="Arial" w:cs="Arial"/>
                <w:b/>
                <w:bCs/>
                <w:color w:val="000000"/>
                <w:lang w:eastAsia="en-GB"/>
              </w:rPr>
              <w:t>10,914,359</w:t>
            </w:r>
          </w:p>
        </w:tc>
        <w:tc>
          <w:tcPr>
            <w:tcW w:w="987" w:type="dxa"/>
            <w:tcBorders>
              <w:bottom w:val="single" w:sz="4" w:space="0" w:color="auto"/>
            </w:tcBorders>
          </w:tcPr>
          <w:p w14:paraId="2D181964" w14:textId="77777777" w:rsidR="00834240" w:rsidRPr="00B568F3" w:rsidRDefault="00834240" w:rsidP="00284C83">
            <w:pPr>
              <w:jc w:val="center"/>
              <w:rPr>
                <w:rFonts w:ascii="Arial" w:eastAsia="Times New Roman" w:hAnsi="Arial" w:cs="Arial"/>
                <w:color w:val="000000"/>
                <w:lang w:eastAsia="en-GB"/>
              </w:rPr>
            </w:pPr>
          </w:p>
        </w:tc>
        <w:tc>
          <w:tcPr>
            <w:tcW w:w="1318" w:type="dxa"/>
            <w:tcBorders>
              <w:bottom w:val="single" w:sz="4" w:space="0" w:color="auto"/>
            </w:tcBorders>
            <w:noWrap/>
          </w:tcPr>
          <w:p w14:paraId="1092CD33" w14:textId="56B0FE3B" w:rsidR="00834240" w:rsidRPr="00B568F3" w:rsidRDefault="00765A31" w:rsidP="00284C83">
            <w:pPr>
              <w:jc w:val="center"/>
              <w:rPr>
                <w:rFonts w:ascii="Arial" w:eastAsia="Times New Roman" w:hAnsi="Arial" w:cs="Arial"/>
                <w:color w:val="000000"/>
                <w:lang w:eastAsia="en-GB"/>
              </w:rPr>
            </w:pPr>
            <w:r w:rsidRPr="00B568F3">
              <w:rPr>
                <w:rFonts w:ascii="Arial" w:eastAsia="Times New Roman" w:hAnsi="Arial" w:cs="Arial"/>
                <w:b/>
                <w:bCs/>
                <w:color w:val="000000"/>
                <w:lang w:eastAsia="en-GB"/>
              </w:rPr>
              <w:t>1,779,985</w:t>
            </w:r>
          </w:p>
        </w:tc>
        <w:tc>
          <w:tcPr>
            <w:tcW w:w="1975" w:type="dxa"/>
            <w:tcBorders>
              <w:bottom w:val="single" w:sz="4" w:space="0" w:color="auto"/>
            </w:tcBorders>
          </w:tcPr>
          <w:p w14:paraId="6AD6D605" w14:textId="77777777" w:rsidR="00834240" w:rsidRPr="00B568F3" w:rsidRDefault="00834240" w:rsidP="00284C83">
            <w:pPr>
              <w:jc w:val="center"/>
              <w:rPr>
                <w:rFonts w:ascii="Arial" w:eastAsia="Times New Roman" w:hAnsi="Arial" w:cs="Arial"/>
                <w:color w:val="000000"/>
                <w:lang w:eastAsia="en-GB"/>
              </w:rPr>
            </w:pPr>
          </w:p>
        </w:tc>
      </w:tr>
    </w:tbl>
    <w:p w14:paraId="74E2794E" w14:textId="77777777" w:rsidR="00E96100" w:rsidRDefault="00E96100" w:rsidP="00D561EA">
      <w:bookmarkStart w:id="5" w:name="_Toc179481626"/>
    </w:p>
    <w:p w14:paraId="3F0BD08C" w14:textId="1839276D" w:rsidR="00AE7CE6" w:rsidRPr="000C06A7" w:rsidRDefault="0342F985" w:rsidP="000C06A7">
      <w:pPr>
        <w:pStyle w:val="Heading3"/>
      </w:pPr>
      <w:r w:rsidRPr="000C06A7">
        <w:t xml:space="preserve">Total spend and </w:t>
      </w:r>
      <w:r w:rsidR="001A6427" w:rsidRPr="000C06A7">
        <w:rPr>
          <w:bCs/>
        </w:rPr>
        <w:t>local authority</w:t>
      </w:r>
      <w:r w:rsidRPr="000C06A7">
        <w:t xml:space="preserve"> additional funding</w:t>
      </w:r>
      <w:bookmarkEnd w:id="5"/>
    </w:p>
    <w:p w14:paraId="52809490" w14:textId="77777777" w:rsidR="00283F31" w:rsidRPr="000C06A7" w:rsidRDefault="00283F31" w:rsidP="00387389">
      <w:pPr>
        <w:spacing w:after="0"/>
        <w:ind w:left="66"/>
        <w:rPr>
          <w:rFonts w:ascii="Arial" w:hAnsi="Arial" w:cs="Arial"/>
          <w:lang w:eastAsia="en-GB"/>
        </w:rPr>
      </w:pPr>
    </w:p>
    <w:p w14:paraId="30CF8AB4" w14:textId="44B31E92" w:rsidR="00B83436" w:rsidRPr="00B568F3" w:rsidRDefault="145DE0D8"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Total spend on SCWWDP in 2023 to 2024 was £12,694,344 compared to £12,475,258 in 2022 to 2023 (an increase of £219,086 or up1.8 per cent compared to a 4.6 per cent increase the year before, as shown in Figure 1). </w:t>
      </w:r>
    </w:p>
    <w:p w14:paraId="4B134F14" w14:textId="77777777" w:rsidR="00A26D79" w:rsidRPr="00B568F3" w:rsidRDefault="00A26D79" w:rsidP="00387389">
      <w:pPr>
        <w:spacing w:after="200" w:line="276" w:lineRule="auto"/>
        <w:ind w:left="567"/>
        <w:contextualSpacing/>
        <w:rPr>
          <w:rFonts w:ascii="Arial" w:eastAsia="Calibri" w:hAnsi="Arial" w:cs="Arial"/>
          <w:sz w:val="24"/>
          <w:szCs w:val="24"/>
        </w:rPr>
      </w:pPr>
    </w:p>
    <w:p w14:paraId="4C79C540" w14:textId="057BCA6A" w:rsidR="00755536" w:rsidRPr="00B568F3" w:rsidRDefault="069F4A6E" w:rsidP="00755536">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Total spend includes the SCWWDP funding from </w:t>
      </w:r>
      <w:r w:rsidR="3A6CFF64" w:rsidRPr="00B568F3">
        <w:rPr>
          <w:rFonts w:ascii="Arial" w:eastAsia="Calibri" w:hAnsi="Arial" w:cs="Arial"/>
          <w:sz w:val="24"/>
          <w:szCs w:val="24"/>
        </w:rPr>
        <w:t>us</w:t>
      </w:r>
      <w:r w:rsidRPr="00B568F3">
        <w:rPr>
          <w:rFonts w:ascii="Arial" w:eastAsia="Calibri" w:hAnsi="Arial" w:cs="Arial"/>
          <w:sz w:val="24"/>
          <w:szCs w:val="24"/>
        </w:rPr>
        <w:t>, the 30</w:t>
      </w:r>
      <w:r w:rsidR="3A6CFF64" w:rsidRPr="00B568F3">
        <w:rPr>
          <w:rFonts w:ascii="Arial" w:eastAsia="Calibri" w:hAnsi="Arial" w:cs="Arial"/>
          <w:sz w:val="24"/>
          <w:szCs w:val="24"/>
        </w:rPr>
        <w:t xml:space="preserve"> per cent</w:t>
      </w:r>
      <w:r w:rsidRPr="00B568F3">
        <w:rPr>
          <w:rFonts w:ascii="Arial" w:eastAsia="Calibri" w:hAnsi="Arial" w:cs="Arial"/>
          <w:sz w:val="24"/>
          <w:szCs w:val="24"/>
        </w:rPr>
        <w:t xml:space="preserve"> match funding contributed by each local authority </w:t>
      </w:r>
      <w:r w:rsidR="009B4331" w:rsidRPr="00B568F3">
        <w:rPr>
          <w:rFonts w:ascii="Arial" w:eastAsia="Calibri" w:hAnsi="Arial" w:cs="Arial"/>
          <w:sz w:val="24"/>
          <w:szCs w:val="24"/>
        </w:rPr>
        <w:t>and, if</w:t>
      </w:r>
      <w:r w:rsidR="00EF1ACB" w:rsidRPr="00B568F3">
        <w:rPr>
          <w:rFonts w:ascii="Arial" w:eastAsia="Calibri" w:hAnsi="Arial" w:cs="Arial"/>
          <w:sz w:val="24"/>
          <w:szCs w:val="24"/>
        </w:rPr>
        <w:t xml:space="preserve"> the information has been provided</w:t>
      </w:r>
      <w:r w:rsidR="009B4331" w:rsidRPr="00B568F3">
        <w:rPr>
          <w:rFonts w:ascii="Arial" w:eastAsia="Calibri" w:hAnsi="Arial" w:cs="Arial"/>
          <w:sz w:val="24"/>
          <w:szCs w:val="24"/>
        </w:rPr>
        <w:t>,</w:t>
      </w:r>
      <w:r w:rsidRPr="00B568F3">
        <w:rPr>
          <w:rFonts w:ascii="Arial" w:eastAsia="Calibri" w:hAnsi="Arial" w:cs="Arial"/>
          <w:sz w:val="24"/>
          <w:szCs w:val="24"/>
        </w:rPr>
        <w:t xml:space="preserve"> the additional </w:t>
      </w:r>
      <w:r w:rsidR="007248E2" w:rsidRPr="00B568F3">
        <w:rPr>
          <w:rFonts w:ascii="Arial" w:eastAsia="Calibri" w:hAnsi="Arial" w:cs="Arial"/>
          <w:sz w:val="24"/>
          <w:szCs w:val="24"/>
        </w:rPr>
        <w:t>local authority</w:t>
      </w:r>
      <w:r w:rsidRPr="00B568F3">
        <w:rPr>
          <w:rFonts w:ascii="Arial" w:eastAsia="Calibri" w:hAnsi="Arial" w:cs="Arial"/>
          <w:sz w:val="24"/>
          <w:szCs w:val="24"/>
        </w:rPr>
        <w:t xml:space="preserve"> funding (over and above their 30</w:t>
      </w:r>
      <w:r w:rsidR="3A6CFF64" w:rsidRPr="00B568F3">
        <w:rPr>
          <w:rFonts w:ascii="Arial" w:eastAsia="Calibri" w:hAnsi="Arial" w:cs="Arial"/>
          <w:sz w:val="24"/>
          <w:szCs w:val="24"/>
        </w:rPr>
        <w:t xml:space="preserve"> per cent</w:t>
      </w:r>
      <w:r w:rsidRPr="00B568F3">
        <w:rPr>
          <w:rFonts w:ascii="Arial" w:eastAsia="Calibri" w:hAnsi="Arial" w:cs="Arial"/>
          <w:sz w:val="24"/>
          <w:szCs w:val="24"/>
        </w:rPr>
        <w:t xml:space="preserve"> match funding) </w:t>
      </w:r>
      <w:r w:rsidR="00B8155C" w:rsidRPr="00B568F3">
        <w:rPr>
          <w:rFonts w:ascii="Arial" w:eastAsia="Calibri" w:hAnsi="Arial" w:cs="Arial"/>
          <w:sz w:val="24"/>
          <w:szCs w:val="24"/>
        </w:rPr>
        <w:t xml:space="preserve"> </w:t>
      </w:r>
    </w:p>
    <w:p w14:paraId="61947064" w14:textId="77777777" w:rsidR="00BA2BB3" w:rsidRPr="00B568F3" w:rsidRDefault="00BA2BB3" w:rsidP="00755536">
      <w:pPr>
        <w:spacing w:after="200" w:line="276" w:lineRule="auto"/>
        <w:ind w:left="567"/>
        <w:contextualSpacing/>
        <w:rPr>
          <w:rFonts w:ascii="Arial" w:eastAsia="Calibri" w:hAnsi="Arial" w:cs="Arial"/>
          <w:sz w:val="24"/>
          <w:szCs w:val="24"/>
        </w:rPr>
      </w:pPr>
    </w:p>
    <w:p w14:paraId="474229C0" w14:textId="080D2206" w:rsidR="00A461FC" w:rsidRPr="00B568F3" w:rsidRDefault="069F4A6E"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This</w:t>
      </w:r>
      <w:r w:rsidR="00A461FC" w:rsidRPr="00B568F3" w:rsidDel="069F4A6E">
        <w:rPr>
          <w:rFonts w:ascii="Arial" w:eastAsia="Calibri" w:hAnsi="Arial" w:cs="Arial"/>
          <w:sz w:val="24"/>
          <w:szCs w:val="24"/>
        </w:rPr>
        <w:t xml:space="preserve"> </w:t>
      </w:r>
      <w:r w:rsidRPr="00B568F3">
        <w:rPr>
          <w:rFonts w:ascii="Arial" w:eastAsia="Calibri" w:hAnsi="Arial" w:cs="Arial"/>
          <w:sz w:val="24"/>
          <w:szCs w:val="24"/>
        </w:rPr>
        <w:t>increase of 1.8</w:t>
      </w:r>
      <w:r w:rsidR="47CEEB12" w:rsidRPr="00B568F3">
        <w:rPr>
          <w:rFonts w:ascii="Arial" w:eastAsia="Calibri" w:hAnsi="Arial" w:cs="Arial"/>
          <w:sz w:val="24"/>
          <w:szCs w:val="24"/>
        </w:rPr>
        <w:t xml:space="preserve"> per cent</w:t>
      </w:r>
      <w:r w:rsidRPr="00B568F3">
        <w:rPr>
          <w:rFonts w:ascii="Arial" w:eastAsia="Calibri" w:hAnsi="Arial" w:cs="Arial"/>
          <w:sz w:val="24"/>
          <w:szCs w:val="24"/>
        </w:rPr>
        <w:t xml:space="preserve"> of total spend is a result of the increased SCWWDP funding of 6.9</w:t>
      </w:r>
      <w:r w:rsidR="47CEEB12" w:rsidRPr="00B568F3">
        <w:rPr>
          <w:rFonts w:ascii="Arial" w:eastAsia="Calibri" w:hAnsi="Arial" w:cs="Arial"/>
          <w:sz w:val="24"/>
          <w:szCs w:val="24"/>
        </w:rPr>
        <w:t xml:space="preserve"> </w:t>
      </w:r>
      <w:r w:rsidR="5DDDF151" w:rsidRPr="00B568F3">
        <w:rPr>
          <w:rFonts w:ascii="Arial" w:eastAsia="Calibri" w:hAnsi="Arial" w:cs="Arial"/>
          <w:sz w:val="24"/>
          <w:szCs w:val="24"/>
        </w:rPr>
        <w:t>per cent</w:t>
      </w:r>
      <w:r w:rsidRPr="00B568F3">
        <w:rPr>
          <w:rFonts w:ascii="Arial" w:eastAsia="Calibri" w:hAnsi="Arial" w:cs="Arial"/>
          <w:sz w:val="24"/>
          <w:szCs w:val="24"/>
        </w:rPr>
        <w:t xml:space="preserve"> (+£701,002) </w:t>
      </w:r>
      <w:r w:rsidR="5DDDF151" w:rsidRPr="00B568F3">
        <w:rPr>
          <w:rFonts w:ascii="Arial" w:eastAsia="Calibri" w:hAnsi="Arial" w:cs="Arial"/>
          <w:sz w:val="24"/>
          <w:szCs w:val="24"/>
        </w:rPr>
        <w:t xml:space="preserve">and </w:t>
      </w:r>
      <w:r w:rsidRPr="00B568F3">
        <w:rPr>
          <w:rFonts w:ascii="Arial" w:eastAsia="Calibri" w:hAnsi="Arial" w:cs="Arial"/>
          <w:sz w:val="24"/>
          <w:szCs w:val="24"/>
        </w:rPr>
        <w:t xml:space="preserve">counteracted by a decrease in additional </w:t>
      </w:r>
      <w:r w:rsidR="007248E2" w:rsidRPr="00B568F3">
        <w:rPr>
          <w:rFonts w:ascii="Arial" w:eastAsia="Calibri" w:hAnsi="Arial" w:cs="Arial"/>
          <w:sz w:val="24"/>
          <w:szCs w:val="24"/>
        </w:rPr>
        <w:t>local authority</w:t>
      </w:r>
      <w:r w:rsidRPr="00B568F3">
        <w:rPr>
          <w:rFonts w:ascii="Arial" w:eastAsia="Calibri" w:hAnsi="Arial" w:cs="Arial"/>
          <w:sz w:val="24"/>
          <w:szCs w:val="24"/>
        </w:rPr>
        <w:t xml:space="preserve"> funding of 21.3</w:t>
      </w:r>
      <w:r w:rsidR="5E6EB734" w:rsidRPr="00B568F3">
        <w:rPr>
          <w:rFonts w:ascii="Arial" w:eastAsia="Calibri" w:hAnsi="Arial" w:cs="Arial"/>
          <w:sz w:val="24"/>
          <w:szCs w:val="24"/>
        </w:rPr>
        <w:t xml:space="preserve"> per cent</w:t>
      </w:r>
      <w:r w:rsidRPr="00B568F3">
        <w:rPr>
          <w:rFonts w:ascii="Arial" w:eastAsia="Calibri" w:hAnsi="Arial" w:cs="Arial"/>
          <w:sz w:val="24"/>
          <w:szCs w:val="24"/>
        </w:rPr>
        <w:t xml:space="preserve"> (-£481,916). </w:t>
      </w:r>
    </w:p>
    <w:p w14:paraId="32A19B63" w14:textId="77777777" w:rsidR="00BA2BB3" w:rsidRPr="00B568F3" w:rsidRDefault="00BA2BB3" w:rsidP="009D1124">
      <w:pPr>
        <w:pStyle w:val="ListParagraph"/>
        <w:ind w:left="786"/>
        <w:rPr>
          <w:rFonts w:ascii="Arial" w:eastAsia="Calibri"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40EDC" w:rsidRPr="00B568F3" w14:paraId="12627EA9" w14:textId="77777777" w:rsidTr="069F4A6E">
        <w:tc>
          <w:tcPr>
            <w:tcW w:w="9026" w:type="dxa"/>
          </w:tcPr>
          <w:p w14:paraId="38A06F70" w14:textId="21C1340B" w:rsidR="00C40EDC" w:rsidRPr="00B568F3" w:rsidRDefault="069F4A6E" w:rsidP="00FC716F">
            <w:pPr>
              <w:contextualSpacing/>
              <w:rPr>
                <w:rFonts w:ascii="Arial" w:eastAsia="Calibri" w:hAnsi="Arial" w:cs="Arial"/>
                <w:b/>
                <w:bCs/>
                <w:sz w:val="24"/>
                <w:szCs w:val="24"/>
              </w:rPr>
            </w:pPr>
            <w:r w:rsidRPr="00B568F3">
              <w:rPr>
                <w:rFonts w:ascii="Arial" w:eastAsia="Calibri" w:hAnsi="Arial" w:cs="Arial"/>
                <w:b/>
                <w:bCs/>
                <w:sz w:val="24"/>
                <w:szCs w:val="24"/>
              </w:rPr>
              <w:t>Figure 1: Total spend, the three</w:t>
            </w:r>
            <w:r w:rsidR="000D3094" w:rsidRPr="00B568F3">
              <w:rPr>
                <w:rFonts w:ascii="Arial" w:eastAsia="Calibri" w:hAnsi="Arial" w:cs="Arial"/>
                <w:b/>
                <w:bCs/>
                <w:sz w:val="24"/>
                <w:szCs w:val="24"/>
              </w:rPr>
              <w:t>-</w:t>
            </w:r>
            <w:r w:rsidRPr="00B568F3">
              <w:rPr>
                <w:rFonts w:ascii="Arial" w:eastAsia="Calibri" w:hAnsi="Arial" w:cs="Arial"/>
                <w:b/>
                <w:bCs/>
                <w:sz w:val="24"/>
                <w:szCs w:val="24"/>
              </w:rPr>
              <w:t xml:space="preserve">year trend </w:t>
            </w:r>
          </w:p>
          <w:p w14:paraId="7DDFEBB5" w14:textId="77777777" w:rsidR="00C40EDC" w:rsidRPr="00B568F3" w:rsidRDefault="00C40EDC" w:rsidP="00FC716F">
            <w:pPr>
              <w:spacing w:before="120" w:after="120"/>
              <w:contextualSpacing/>
              <w:rPr>
                <w:rFonts w:ascii="Arial" w:eastAsia="Calibri" w:hAnsi="Arial" w:cs="Arial"/>
                <w:b/>
                <w:bCs/>
                <w:color w:val="FF0000"/>
                <w:sz w:val="24"/>
                <w:szCs w:val="24"/>
              </w:rPr>
            </w:pPr>
          </w:p>
        </w:tc>
      </w:tr>
      <w:tr w:rsidR="00C40EDC" w:rsidRPr="00B568F3" w14:paraId="4599548C" w14:textId="77777777" w:rsidTr="069F4A6E">
        <w:tc>
          <w:tcPr>
            <w:tcW w:w="9026" w:type="dxa"/>
          </w:tcPr>
          <w:p w14:paraId="67A1CF44" w14:textId="220FE527" w:rsidR="00C40EDC" w:rsidRPr="00B568F3" w:rsidRDefault="003A3803" w:rsidP="00FC716F">
            <w:pPr>
              <w:contextualSpacing/>
              <w:rPr>
                <w:rFonts w:ascii="Arial" w:eastAsia="Calibri" w:hAnsi="Arial" w:cs="Arial"/>
                <w:color w:val="FF0000"/>
                <w:sz w:val="24"/>
                <w:szCs w:val="24"/>
              </w:rPr>
            </w:pPr>
            <w:r w:rsidRPr="00B568F3">
              <w:rPr>
                <w:rFonts w:ascii="Arial" w:eastAsia="Calibri" w:hAnsi="Arial" w:cs="Arial"/>
                <w:noProof/>
                <w:color w:val="FF0000"/>
                <w:sz w:val="24"/>
                <w:szCs w:val="24"/>
              </w:rPr>
              <w:drawing>
                <wp:inline distT="0" distB="0" distL="0" distR="0" wp14:anchorId="37E00C95" wp14:editId="5C2779E2">
                  <wp:extent cx="5731510" cy="3750945"/>
                  <wp:effectExtent l="0" t="0" r="2540" b="1905"/>
                  <wp:docPr id="198047408" name="Picture 1" descr="Figure 1: total spend, the three-year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7408" name="Picture 1" descr="Figure 1: total spend, the three-year trend.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750945"/>
                          </a:xfrm>
                          <a:prstGeom prst="rect">
                            <a:avLst/>
                          </a:prstGeom>
                        </pic:spPr>
                      </pic:pic>
                    </a:graphicData>
                  </a:graphic>
                </wp:inline>
              </w:drawing>
            </w:r>
          </w:p>
        </w:tc>
      </w:tr>
    </w:tbl>
    <w:p w14:paraId="397F3BE4" w14:textId="77777777" w:rsidR="00C40EDC" w:rsidRPr="00B568F3" w:rsidRDefault="00C40EDC" w:rsidP="009D1124">
      <w:pPr>
        <w:spacing w:after="0" w:line="240" w:lineRule="auto"/>
        <w:ind w:left="66"/>
        <w:rPr>
          <w:rFonts w:ascii="Arial" w:eastAsia="Calibri" w:hAnsi="Arial" w:cs="Arial"/>
          <w:sz w:val="24"/>
          <w:szCs w:val="24"/>
        </w:rPr>
      </w:pPr>
    </w:p>
    <w:p w14:paraId="49F26867" w14:textId="4BE3B92D" w:rsidR="5EF60A1F" w:rsidRPr="00B568F3" w:rsidRDefault="5EF60A1F" w:rsidP="009D1124">
      <w:pPr>
        <w:spacing w:after="0" w:line="240" w:lineRule="auto"/>
        <w:ind w:left="66"/>
        <w:rPr>
          <w:rFonts w:ascii="Arial" w:eastAsia="Calibri" w:hAnsi="Arial" w:cs="Arial"/>
          <w:sz w:val="24"/>
          <w:szCs w:val="24"/>
        </w:rPr>
      </w:pPr>
    </w:p>
    <w:p w14:paraId="1801FDCA" w14:textId="77777777" w:rsidR="00D8548B" w:rsidRPr="00B568F3" w:rsidRDefault="00D8548B" w:rsidP="009D1124">
      <w:pPr>
        <w:spacing w:after="0" w:line="240" w:lineRule="auto"/>
        <w:ind w:left="66"/>
        <w:rPr>
          <w:rFonts w:ascii="Arial" w:eastAsia="Calibri" w:hAnsi="Arial" w:cs="Arial"/>
          <w:sz w:val="24"/>
          <w:szCs w:val="24"/>
        </w:rPr>
      </w:pPr>
    </w:p>
    <w:p w14:paraId="30794070" w14:textId="77777777" w:rsidR="00D8548B" w:rsidRPr="00B568F3" w:rsidRDefault="00D8548B" w:rsidP="009D1124">
      <w:pPr>
        <w:spacing w:after="0" w:line="240" w:lineRule="auto"/>
        <w:ind w:left="66"/>
        <w:rPr>
          <w:rFonts w:ascii="Arial" w:eastAsia="Calibri" w:hAnsi="Arial" w:cs="Arial"/>
          <w:sz w:val="24"/>
          <w:szCs w:val="24"/>
        </w:rPr>
      </w:pPr>
    </w:p>
    <w:p w14:paraId="2FDFBC1E" w14:textId="77777777" w:rsidR="00D8548B" w:rsidRPr="00B568F3" w:rsidRDefault="00D8548B" w:rsidP="009D1124">
      <w:pPr>
        <w:spacing w:after="0" w:line="240" w:lineRule="auto"/>
        <w:ind w:left="66"/>
        <w:rPr>
          <w:rFonts w:ascii="Arial" w:eastAsia="Calibri" w:hAnsi="Arial" w:cs="Arial"/>
          <w:sz w:val="24"/>
          <w:szCs w:val="24"/>
        </w:rPr>
      </w:pPr>
    </w:p>
    <w:p w14:paraId="4BC5F68E" w14:textId="77777777" w:rsidR="00F521F9" w:rsidRPr="00B568F3" w:rsidRDefault="00F521F9" w:rsidP="009D1124">
      <w:pPr>
        <w:spacing w:after="0" w:line="240" w:lineRule="auto"/>
        <w:ind w:left="66"/>
        <w:rPr>
          <w:rFonts w:ascii="Arial" w:eastAsia="Calibri" w:hAnsi="Arial" w:cs="Arial"/>
          <w:sz w:val="24"/>
          <w:szCs w:val="24"/>
        </w:rPr>
      </w:pPr>
    </w:p>
    <w:p w14:paraId="1DE8330E" w14:textId="77777777" w:rsidR="00F521F9" w:rsidRPr="00B568F3" w:rsidRDefault="00F521F9" w:rsidP="009D1124">
      <w:pPr>
        <w:spacing w:after="0" w:line="240" w:lineRule="auto"/>
        <w:ind w:left="66"/>
        <w:rPr>
          <w:rFonts w:ascii="Arial" w:eastAsia="Calibri" w:hAnsi="Arial" w:cs="Arial"/>
          <w:sz w:val="24"/>
          <w:szCs w:val="24"/>
        </w:rPr>
      </w:pPr>
    </w:p>
    <w:p w14:paraId="48E9BF84" w14:textId="2399AC6F" w:rsidR="006C587D" w:rsidRPr="00B568F3" w:rsidRDefault="006C587D" w:rsidP="006759E6">
      <w:pPr>
        <w:spacing w:after="200" w:line="276" w:lineRule="auto"/>
        <w:ind w:left="567"/>
        <w:contextualSpacing/>
        <w:rPr>
          <w:rFonts w:ascii="Arial" w:eastAsia="Calibri" w:hAnsi="Arial" w:cs="Arial"/>
          <w:sz w:val="24"/>
          <w:szCs w:val="24"/>
        </w:rPr>
      </w:pPr>
    </w:p>
    <w:tbl>
      <w:tblPr>
        <w:tblStyle w:val="TableGrid"/>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BA2BB3" w:rsidRPr="00B568F3" w14:paraId="2F03D3E8" w14:textId="77777777" w:rsidTr="145DE0D8">
        <w:tc>
          <w:tcPr>
            <w:tcW w:w="9240" w:type="dxa"/>
          </w:tcPr>
          <w:p w14:paraId="18799C84" w14:textId="44221991" w:rsidR="00BA2BB3" w:rsidRPr="00B568F3" w:rsidRDefault="145DE0D8" w:rsidP="00FC716F">
            <w:pPr>
              <w:contextualSpacing/>
              <w:rPr>
                <w:rFonts w:ascii="Arial" w:eastAsia="Calibri" w:hAnsi="Arial" w:cs="Arial"/>
                <w:b/>
                <w:bCs/>
                <w:sz w:val="24"/>
                <w:szCs w:val="24"/>
              </w:rPr>
            </w:pPr>
            <w:r w:rsidRPr="00B568F3">
              <w:rPr>
                <w:rFonts w:ascii="Arial" w:eastAsia="Calibri" w:hAnsi="Arial" w:cs="Arial"/>
                <w:b/>
                <w:bCs/>
                <w:sz w:val="24"/>
                <w:szCs w:val="24"/>
              </w:rPr>
              <w:t xml:space="preserve">Figure 2: Proportion of funding 2023 to 2024 </w:t>
            </w:r>
          </w:p>
          <w:p w14:paraId="6D1B8862" w14:textId="2378FD78" w:rsidR="069F4A6E" w:rsidRPr="00B568F3" w:rsidRDefault="069F4A6E" w:rsidP="069F4A6E">
            <w:pPr>
              <w:contextualSpacing/>
              <w:rPr>
                <w:rFonts w:ascii="Arial" w:eastAsia="Calibri" w:hAnsi="Arial" w:cs="Arial"/>
                <w:sz w:val="24"/>
                <w:szCs w:val="24"/>
              </w:rPr>
            </w:pPr>
          </w:p>
          <w:p w14:paraId="4481DAD9" w14:textId="4028653F" w:rsidR="069F4A6E" w:rsidRPr="00B568F3" w:rsidRDefault="145DE0D8" w:rsidP="069F4A6E">
            <w:pPr>
              <w:contextualSpacing/>
              <w:rPr>
                <w:rFonts w:ascii="Arial" w:eastAsia="Calibri" w:hAnsi="Arial" w:cs="Arial"/>
                <w:sz w:val="24"/>
                <w:szCs w:val="24"/>
              </w:rPr>
            </w:pPr>
            <w:r w:rsidRPr="00B568F3">
              <w:rPr>
                <w:rFonts w:ascii="Arial" w:eastAsia="Calibri" w:hAnsi="Arial" w:cs="Arial"/>
                <w:sz w:val="24"/>
                <w:szCs w:val="24"/>
              </w:rPr>
              <w:t>Figure 2 shows the split between SCWWDP grant funding, 30 per cent match funding from local authorities and the further additional funding provided by local authorities over and above the required match funding in 2023 to 2024.</w:t>
            </w:r>
          </w:p>
          <w:p w14:paraId="1C86FC0A" w14:textId="425DB87A" w:rsidR="069F4A6E" w:rsidRPr="00B568F3" w:rsidRDefault="069F4A6E" w:rsidP="069F4A6E">
            <w:pPr>
              <w:contextualSpacing/>
              <w:rPr>
                <w:rFonts w:ascii="Arial" w:eastAsia="Calibri" w:hAnsi="Arial" w:cs="Arial"/>
                <w:b/>
                <w:bCs/>
                <w:sz w:val="24"/>
                <w:szCs w:val="24"/>
              </w:rPr>
            </w:pPr>
          </w:p>
          <w:p w14:paraId="0C763CB6" w14:textId="77777777" w:rsidR="00BA2BB3" w:rsidRPr="00B568F3" w:rsidRDefault="00BA2BB3" w:rsidP="00FC716F">
            <w:pPr>
              <w:spacing w:before="120" w:after="120"/>
              <w:contextualSpacing/>
              <w:rPr>
                <w:rFonts w:ascii="Arial" w:eastAsia="Calibri" w:hAnsi="Arial" w:cs="Arial"/>
                <w:b/>
                <w:bCs/>
                <w:color w:val="FF0000"/>
                <w:sz w:val="24"/>
                <w:szCs w:val="24"/>
              </w:rPr>
            </w:pPr>
          </w:p>
        </w:tc>
      </w:tr>
      <w:tr w:rsidR="00BA2BB3" w:rsidRPr="00B568F3" w14:paraId="339CEA56" w14:textId="77777777" w:rsidTr="145DE0D8">
        <w:tc>
          <w:tcPr>
            <w:tcW w:w="9240" w:type="dxa"/>
          </w:tcPr>
          <w:p w14:paraId="40E53131" w14:textId="6CA3D6FA" w:rsidR="00BA2BB3" w:rsidRPr="00B568F3" w:rsidRDefault="008F436A" w:rsidP="00FC716F">
            <w:pPr>
              <w:contextualSpacing/>
              <w:jc w:val="center"/>
              <w:rPr>
                <w:rFonts w:ascii="Arial" w:eastAsia="Calibri" w:hAnsi="Arial" w:cs="Arial"/>
                <w:color w:val="FF0000"/>
                <w:sz w:val="24"/>
                <w:szCs w:val="24"/>
              </w:rPr>
            </w:pPr>
            <w:r w:rsidRPr="00B568F3">
              <w:rPr>
                <w:rFonts w:ascii="Arial" w:eastAsia="Calibri" w:hAnsi="Arial" w:cs="Arial"/>
                <w:noProof/>
                <w:color w:val="FF0000"/>
                <w:sz w:val="24"/>
                <w:szCs w:val="24"/>
              </w:rPr>
              <w:drawing>
                <wp:inline distT="0" distB="0" distL="0" distR="0" wp14:anchorId="765025D1" wp14:editId="1EF31E9A">
                  <wp:extent cx="5731510" cy="3740785"/>
                  <wp:effectExtent l="0" t="0" r="2540" b="0"/>
                  <wp:docPr id="110438459" name="Picture 2" descr="Figure 2: Pie chart showing the proportion of funding between 2023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8459" name="Picture 2" descr="Figure 2: Pie chart showing the proportion of funding between 2023 to 20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740785"/>
                          </a:xfrm>
                          <a:prstGeom prst="rect">
                            <a:avLst/>
                          </a:prstGeom>
                        </pic:spPr>
                      </pic:pic>
                    </a:graphicData>
                  </a:graphic>
                </wp:inline>
              </w:drawing>
            </w:r>
          </w:p>
        </w:tc>
      </w:tr>
    </w:tbl>
    <w:p w14:paraId="1EBED1DB" w14:textId="7686F3B0" w:rsidR="00CD3F52" w:rsidRPr="00B568F3" w:rsidRDefault="069F4A6E"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The SCWWDP grant funding provided by </w:t>
      </w:r>
      <w:r w:rsidR="6AAD4C77" w:rsidRPr="00B568F3">
        <w:rPr>
          <w:rFonts w:ascii="Arial" w:eastAsia="Calibri" w:hAnsi="Arial" w:cs="Arial"/>
          <w:sz w:val="24"/>
          <w:szCs w:val="24"/>
          <w:lang w:eastAsia="en-GB"/>
        </w:rPr>
        <w:t xml:space="preserve">us </w:t>
      </w:r>
      <w:r w:rsidRPr="00B568F3">
        <w:rPr>
          <w:rFonts w:ascii="Arial" w:eastAsia="Calibri" w:hAnsi="Arial" w:cs="Arial"/>
          <w:sz w:val="24"/>
          <w:szCs w:val="24"/>
          <w:lang w:eastAsia="en-GB"/>
        </w:rPr>
        <w:t>increased by 6.9</w:t>
      </w:r>
      <w:r w:rsidR="6AAD4C77" w:rsidRPr="00B568F3">
        <w:rPr>
          <w:rFonts w:ascii="Arial" w:eastAsia="Calibri" w:hAnsi="Arial" w:cs="Arial"/>
          <w:sz w:val="24"/>
          <w:szCs w:val="24"/>
          <w:lang w:eastAsia="en-GB"/>
        </w:rPr>
        <w:t xml:space="preserve"> per cent</w:t>
      </w:r>
      <w:r w:rsidRPr="00B568F3">
        <w:rPr>
          <w:rFonts w:ascii="Arial" w:eastAsia="Calibri" w:hAnsi="Arial" w:cs="Arial"/>
          <w:sz w:val="24"/>
          <w:szCs w:val="24"/>
          <w:lang w:eastAsia="en-GB"/>
        </w:rPr>
        <w:t xml:space="preserve"> (£490,701), from £7,149,350 in 2022</w:t>
      </w:r>
      <w:r w:rsidR="6AAD4C77" w:rsidRPr="00B568F3">
        <w:rPr>
          <w:rFonts w:ascii="Arial" w:eastAsia="Calibri" w:hAnsi="Arial" w:cs="Arial"/>
          <w:sz w:val="24"/>
          <w:szCs w:val="24"/>
          <w:lang w:eastAsia="en-GB"/>
        </w:rPr>
        <w:t xml:space="preserve"> to </w:t>
      </w:r>
      <w:r w:rsidRPr="00B568F3">
        <w:rPr>
          <w:rFonts w:ascii="Arial" w:eastAsia="Calibri" w:hAnsi="Arial" w:cs="Arial"/>
          <w:sz w:val="24"/>
          <w:szCs w:val="24"/>
          <w:lang w:eastAsia="en-GB"/>
        </w:rPr>
        <w:t>2023, to £7,640,051 in 2023</w:t>
      </w:r>
      <w:r w:rsidR="6AAD4C77" w:rsidRPr="00B568F3">
        <w:rPr>
          <w:rFonts w:ascii="Arial" w:eastAsia="Calibri" w:hAnsi="Arial" w:cs="Arial"/>
          <w:sz w:val="24"/>
          <w:szCs w:val="24"/>
          <w:lang w:eastAsia="en-GB"/>
        </w:rPr>
        <w:t xml:space="preserve"> to </w:t>
      </w:r>
      <w:r w:rsidRPr="00B568F3">
        <w:rPr>
          <w:rFonts w:ascii="Arial" w:eastAsia="Calibri" w:hAnsi="Arial" w:cs="Arial"/>
          <w:sz w:val="24"/>
          <w:szCs w:val="24"/>
          <w:lang w:eastAsia="en-GB"/>
        </w:rPr>
        <w:t>2024. This is the first increase in three years.</w:t>
      </w:r>
    </w:p>
    <w:p w14:paraId="016B8B37" w14:textId="77777777" w:rsidR="00CD3F52" w:rsidRPr="00B568F3" w:rsidRDefault="00CD3F52" w:rsidP="009D1124">
      <w:pPr>
        <w:spacing w:after="200" w:line="276" w:lineRule="auto"/>
        <w:ind w:left="567"/>
        <w:contextualSpacing/>
        <w:rPr>
          <w:rFonts w:ascii="Arial" w:eastAsia="Calibri" w:hAnsi="Arial" w:cs="Arial"/>
          <w:sz w:val="24"/>
          <w:szCs w:val="24"/>
        </w:rPr>
      </w:pPr>
    </w:p>
    <w:p w14:paraId="6B51E328" w14:textId="58BCC378" w:rsidR="0080203D" w:rsidRPr="00B568F3" w:rsidRDefault="069F4A6E"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The additional funding by</w:t>
      </w:r>
      <w:r w:rsidR="004C7A06" w:rsidRPr="00B568F3">
        <w:rPr>
          <w:rFonts w:ascii="Arial" w:eastAsia="Calibri" w:hAnsi="Arial" w:cs="Arial"/>
          <w:sz w:val="24"/>
          <w:szCs w:val="24"/>
        </w:rPr>
        <w:t xml:space="preserve"> local authorities</w:t>
      </w:r>
      <w:r w:rsidRPr="00B568F3">
        <w:rPr>
          <w:rFonts w:ascii="Arial" w:eastAsia="Calibri" w:hAnsi="Arial" w:cs="Arial"/>
          <w:sz w:val="24"/>
          <w:szCs w:val="24"/>
        </w:rPr>
        <w:t>, over and above their expected 30</w:t>
      </w:r>
      <w:r w:rsidR="200BB14D" w:rsidRPr="00B568F3">
        <w:rPr>
          <w:rFonts w:ascii="Arial" w:eastAsia="Calibri" w:hAnsi="Arial" w:cs="Arial"/>
          <w:sz w:val="24"/>
          <w:szCs w:val="24"/>
        </w:rPr>
        <w:t xml:space="preserve"> per cent</w:t>
      </w:r>
      <w:r w:rsidRPr="00B568F3">
        <w:rPr>
          <w:rFonts w:ascii="Arial" w:eastAsia="Calibri" w:hAnsi="Arial" w:cs="Arial"/>
          <w:sz w:val="24"/>
          <w:szCs w:val="24"/>
        </w:rPr>
        <w:t xml:space="preserve"> match funding, was £1,779,985 in 2023</w:t>
      </w:r>
      <w:r w:rsidR="200BB14D" w:rsidRPr="00B568F3">
        <w:rPr>
          <w:rFonts w:ascii="Arial" w:eastAsia="Calibri" w:hAnsi="Arial" w:cs="Arial"/>
          <w:sz w:val="24"/>
          <w:szCs w:val="24"/>
        </w:rPr>
        <w:t xml:space="preserve"> to </w:t>
      </w:r>
      <w:r w:rsidRPr="00B568F3">
        <w:rPr>
          <w:rFonts w:ascii="Arial" w:eastAsia="Calibri" w:hAnsi="Arial" w:cs="Arial"/>
          <w:sz w:val="24"/>
          <w:szCs w:val="24"/>
        </w:rPr>
        <w:t>2024 (a decrease of £481,916 or 21.3</w:t>
      </w:r>
      <w:r w:rsidR="200BB14D" w:rsidRPr="00B568F3">
        <w:rPr>
          <w:rFonts w:ascii="Arial" w:eastAsia="Calibri" w:hAnsi="Arial" w:cs="Arial"/>
          <w:sz w:val="24"/>
          <w:szCs w:val="24"/>
        </w:rPr>
        <w:t xml:space="preserve"> per cent</w:t>
      </w:r>
      <w:r w:rsidRPr="00B568F3">
        <w:rPr>
          <w:rFonts w:ascii="Arial" w:eastAsia="Calibri" w:hAnsi="Arial" w:cs="Arial"/>
          <w:sz w:val="24"/>
          <w:szCs w:val="24"/>
        </w:rPr>
        <w:t xml:space="preserve"> compared to a 32.4</w:t>
      </w:r>
      <w:r w:rsidR="200BB14D" w:rsidRPr="00B568F3">
        <w:rPr>
          <w:rFonts w:ascii="Arial" w:eastAsia="Calibri" w:hAnsi="Arial" w:cs="Arial"/>
          <w:sz w:val="24"/>
          <w:szCs w:val="24"/>
        </w:rPr>
        <w:t xml:space="preserve"> per cent</w:t>
      </w:r>
      <w:r w:rsidRPr="00B568F3">
        <w:rPr>
          <w:rFonts w:ascii="Arial" w:eastAsia="Calibri" w:hAnsi="Arial" w:cs="Arial"/>
          <w:sz w:val="24"/>
          <w:szCs w:val="24"/>
        </w:rPr>
        <w:t xml:space="preserve"> increase the year before). This is the first decrease in three years.</w:t>
      </w:r>
    </w:p>
    <w:p w14:paraId="2993C9CA" w14:textId="77777777" w:rsidR="00BA2BB3" w:rsidRPr="00B568F3" w:rsidRDefault="00BA2BB3" w:rsidP="009D1124">
      <w:pPr>
        <w:spacing w:after="0" w:line="240" w:lineRule="auto"/>
        <w:ind w:left="66"/>
        <w:rPr>
          <w:rFonts w:ascii="Arial" w:eastAsia="Calibri" w:hAnsi="Arial" w:cs="Arial"/>
          <w:sz w:val="24"/>
          <w:szCs w:val="24"/>
        </w:rPr>
      </w:pPr>
    </w:p>
    <w:p w14:paraId="1B24C062" w14:textId="77777777" w:rsidR="00825A54" w:rsidRPr="00B568F3" w:rsidRDefault="00825A54" w:rsidP="009D1124">
      <w:pPr>
        <w:spacing w:after="0" w:line="240" w:lineRule="auto"/>
        <w:ind w:left="66"/>
        <w:rPr>
          <w:rFonts w:ascii="Arial" w:eastAsia="Calibri" w:hAnsi="Arial" w:cs="Arial"/>
          <w:sz w:val="24"/>
          <w:szCs w:val="24"/>
        </w:rPr>
      </w:pPr>
    </w:p>
    <w:p w14:paraId="2A465500" w14:textId="03889B90" w:rsidR="0080203D" w:rsidRPr="00B568F3" w:rsidRDefault="533ADF33" w:rsidP="009D1124">
      <w:pPr>
        <w:spacing w:after="0" w:line="240" w:lineRule="auto"/>
        <w:ind w:left="66"/>
        <w:contextualSpacing/>
        <w:rPr>
          <w:rFonts w:ascii="Arial" w:eastAsia="Calibri" w:hAnsi="Arial" w:cs="Arial"/>
          <w:b/>
          <w:bCs/>
          <w:sz w:val="24"/>
          <w:szCs w:val="24"/>
          <w:lang w:eastAsia="en-GB"/>
        </w:rPr>
      </w:pPr>
      <w:r w:rsidRPr="00B568F3">
        <w:rPr>
          <w:rFonts w:ascii="Arial" w:eastAsia="Calibri" w:hAnsi="Arial" w:cs="Arial"/>
          <w:b/>
          <w:bCs/>
          <w:sz w:val="24"/>
          <w:szCs w:val="24"/>
          <w:lang w:eastAsia="en-GB"/>
        </w:rPr>
        <w:t xml:space="preserve">Table 2: </w:t>
      </w:r>
      <w:r w:rsidR="004C7A06" w:rsidRPr="00B568F3">
        <w:rPr>
          <w:rFonts w:ascii="Arial" w:eastAsia="Calibri" w:hAnsi="Arial" w:cs="Arial"/>
          <w:b/>
          <w:bCs/>
          <w:sz w:val="24"/>
          <w:szCs w:val="24"/>
          <w:lang w:eastAsia="en-GB"/>
        </w:rPr>
        <w:t>Local authority</w:t>
      </w:r>
      <w:r w:rsidRPr="00B568F3">
        <w:rPr>
          <w:rFonts w:ascii="Arial" w:eastAsia="Calibri" w:hAnsi="Arial" w:cs="Arial"/>
          <w:b/>
          <w:bCs/>
          <w:sz w:val="24"/>
          <w:szCs w:val="24"/>
          <w:lang w:eastAsia="en-GB"/>
        </w:rPr>
        <w:t xml:space="preserve"> additional funding, the </w:t>
      </w:r>
      <w:r w:rsidRPr="00B568F3">
        <w:rPr>
          <w:rFonts w:ascii="Arial" w:eastAsia="Calibri" w:hAnsi="Arial" w:cs="Arial"/>
          <w:b/>
          <w:bCs/>
          <w:sz w:val="24"/>
          <w:szCs w:val="24"/>
        </w:rPr>
        <w:t>three</w:t>
      </w:r>
      <w:r w:rsidR="002256FE" w:rsidRPr="00B568F3">
        <w:rPr>
          <w:rFonts w:ascii="Arial" w:eastAsia="Calibri" w:hAnsi="Arial" w:cs="Arial"/>
          <w:b/>
          <w:bCs/>
          <w:sz w:val="24"/>
          <w:szCs w:val="24"/>
        </w:rPr>
        <w:t>-year</w:t>
      </w:r>
      <w:r w:rsidRPr="00B568F3">
        <w:rPr>
          <w:rFonts w:ascii="Arial" w:eastAsia="Calibri" w:hAnsi="Arial" w:cs="Arial"/>
          <w:b/>
          <w:bCs/>
          <w:sz w:val="24"/>
          <w:szCs w:val="24"/>
        </w:rPr>
        <w:t xml:space="preserve"> trend</w:t>
      </w:r>
    </w:p>
    <w:p w14:paraId="67379E84" w14:textId="77777777" w:rsidR="0080203D" w:rsidRPr="00B568F3" w:rsidRDefault="0080203D" w:rsidP="009D1124">
      <w:pPr>
        <w:spacing w:after="0" w:line="240" w:lineRule="auto"/>
        <w:ind w:left="66"/>
        <w:contextualSpacing/>
        <w:rPr>
          <w:rFonts w:ascii="Arial" w:eastAsia="Calibri" w:hAnsi="Arial" w:cs="Arial"/>
          <w:color w:val="FF0000"/>
          <w:sz w:val="24"/>
          <w:szCs w:val="24"/>
          <w:lang w:eastAsia="en-GB"/>
        </w:rPr>
      </w:pPr>
    </w:p>
    <w:tbl>
      <w:tblPr>
        <w:tblStyle w:val="TableGrid"/>
        <w:tblW w:w="0" w:type="auto"/>
        <w:jc w:val="center"/>
        <w:tblLook w:val="04A0" w:firstRow="1" w:lastRow="0" w:firstColumn="1" w:lastColumn="0" w:noHBand="0" w:noVBand="1"/>
      </w:tblPr>
      <w:tblGrid>
        <w:gridCol w:w="1977"/>
        <w:gridCol w:w="2438"/>
        <w:gridCol w:w="1470"/>
        <w:gridCol w:w="1701"/>
      </w:tblGrid>
      <w:tr w:rsidR="00C80EED" w:rsidRPr="00B568F3" w14:paraId="074D076B" w14:textId="77777777" w:rsidTr="00F521F9">
        <w:trPr>
          <w:jc w:val="center"/>
        </w:trPr>
        <w:tc>
          <w:tcPr>
            <w:tcW w:w="1977" w:type="dxa"/>
            <w:vAlign w:val="center"/>
          </w:tcPr>
          <w:p w14:paraId="5BC90CA9" w14:textId="2AC4828F" w:rsidR="0080203D" w:rsidRPr="00B568F3" w:rsidRDefault="069F4A6E"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Financial year</w:t>
            </w:r>
          </w:p>
        </w:tc>
        <w:tc>
          <w:tcPr>
            <w:tcW w:w="2438" w:type="dxa"/>
            <w:vAlign w:val="center"/>
          </w:tcPr>
          <w:p w14:paraId="4AF7A003" w14:textId="07D366CD" w:rsidR="0080203D" w:rsidRPr="00B568F3" w:rsidRDefault="069F4A6E"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L</w:t>
            </w:r>
            <w:r w:rsidR="004C7A06" w:rsidRPr="00B568F3">
              <w:rPr>
                <w:rFonts w:ascii="Arial" w:eastAsia="Calibri" w:hAnsi="Arial" w:cs="Arial"/>
                <w:b/>
                <w:bCs/>
                <w:sz w:val="24"/>
                <w:szCs w:val="24"/>
                <w:lang w:eastAsia="en-GB"/>
              </w:rPr>
              <w:t>ocal autho</w:t>
            </w:r>
            <w:r w:rsidR="008D350E" w:rsidRPr="00B568F3">
              <w:rPr>
                <w:rFonts w:ascii="Arial" w:eastAsia="Calibri" w:hAnsi="Arial" w:cs="Arial"/>
                <w:b/>
                <w:bCs/>
                <w:sz w:val="24"/>
                <w:szCs w:val="24"/>
                <w:lang w:eastAsia="en-GB"/>
              </w:rPr>
              <w:t>rity</w:t>
            </w:r>
            <w:r w:rsidRPr="00B568F3">
              <w:rPr>
                <w:rFonts w:ascii="Arial" w:eastAsia="Calibri" w:hAnsi="Arial" w:cs="Arial"/>
                <w:b/>
                <w:bCs/>
                <w:sz w:val="24"/>
                <w:szCs w:val="24"/>
                <w:lang w:eastAsia="en-GB"/>
              </w:rPr>
              <w:t xml:space="preserve"> additional funding</w:t>
            </w:r>
          </w:p>
        </w:tc>
        <w:tc>
          <w:tcPr>
            <w:tcW w:w="1470" w:type="dxa"/>
            <w:vAlign w:val="center"/>
          </w:tcPr>
          <w:p w14:paraId="18C26D28" w14:textId="77777777" w:rsidR="0080203D" w:rsidRPr="00B568F3" w:rsidRDefault="0080203D"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 change</w:t>
            </w:r>
          </w:p>
        </w:tc>
        <w:tc>
          <w:tcPr>
            <w:tcW w:w="1701" w:type="dxa"/>
            <w:vAlign w:val="center"/>
          </w:tcPr>
          <w:p w14:paraId="75E257BE" w14:textId="77777777" w:rsidR="0080203D" w:rsidRPr="00B568F3" w:rsidRDefault="0080203D"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 change</w:t>
            </w:r>
          </w:p>
        </w:tc>
      </w:tr>
      <w:tr w:rsidR="00C80EED" w:rsidRPr="00B568F3" w14:paraId="57AF95B3" w14:textId="77777777" w:rsidTr="00F521F9">
        <w:trPr>
          <w:jc w:val="center"/>
        </w:trPr>
        <w:tc>
          <w:tcPr>
            <w:tcW w:w="1977" w:type="dxa"/>
            <w:vAlign w:val="center"/>
          </w:tcPr>
          <w:p w14:paraId="31223CDC" w14:textId="541B89FB" w:rsidR="0080203D" w:rsidRPr="00B568F3" w:rsidRDefault="145DE0D8"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2023 to 2024</w:t>
            </w:r>
          </w:p>
        </w:tc>
        <w:tc>
          <w:tcPr>
            <w:tcW w:w="2438" w:type="dxa"/>
            <w:vAlign w:val="center"/>
          </w:tcPr>
          <w:p w14:paraId="0985851D" w14:textId="77777777" w:rsidR="0080203D" w:rsidRPr="00B568F3" w:rsidRDefault="0080203D"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£1,779,985</w:t>
            </w:r>
          </w:p>
        </w:tc>
        <w:tc>
          <w:tcPr>
            <w:tcW w:w="1470" w:type="dxa"/>
            <w:vAlign w:val="center"/>
          </w:tcPr>
          <w:p w14:paraId="62505E0F" w14:textId="4A3871F0" w:rsidR="0080203D" w:rsidRPr="00B568F3" w:rsidRDefault="0080203D"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-21</w:t>
            </w:r>
            <w:r w:rsidR="00F159F3" w:rsidRPr="00B568F3">
              <w:rPr>
                <w:rFonts w:ascii="Arial" w:eastAsia="Calibri" w:hAnsi="Arial" w:cs="Arial"/>
                <w:sz w:val="24"/>
                <w:szCs w:val="24"/>
                <w:lang w:eastAsia="en-GB"/>
              </w:rPr>
              <w:t>.3</w:t>
            </w:r>
            <w:r w:rsidRPr="00B568F3">
              <w:rPr>
                <w:rFonts w:ascii="Arial" w:eastAsia="Calibri" w:hAnsi="Arial" w:cs="Arial"/>
                <w:sz w:val="24"/>
                <w:szCs w:val="24"/>
                <w:lang w:eastAsia="en-GB"/>
              </w:rPr>
              <w:t>%</w:t>
            </w:r>
          </w:p>
        </w:tc>
        <w:tc>
          <w:tcPr>
            <w:tcW w:w="1701" w:type="dxa"/>
            <w:vAlign w:val="center"/>
          </w:tcPr>
          <w:p w14:paraId="40354BF4" w14:textId="383E1B35" w:rsidR="0080203D" w:rsidRPr="00B568F3" w:rsidRDefault="069F4A6E" w:rsidP="00C80EED">
            <w:pPr>
              <w:spacing w:before="120" w:after="120"/>
              <w:jc w:val="center"/>
              <w:rPr>
                <w:rFonts w:ascii="Arial" w:eastAsia="Calibri" w:hAnsi="Arial" w:cs="Arial"/>
                <w:sz w:val="24"/>
                <w:szCs w:val="24"/>
                <w:lang w:eastAsia="en-GB"/>
              </w:rPr>
            </w:pPr>
            <w:r w:rsidRPr="00B568F3">
              <w:rPr>
                <w:rFonts w:ascii="Arial" w:eastAsia="Calibri" w:hAnsi="Arial" w:cs="Arial"/>
                <w:sz w:val="24"/>
                <w:szCs w:val="24"/>
                <w:lang w:eastAsia="en-GB"/>
              </w:rPr>
              <w:t>-£481,916</w:t>
            </w:r>
          </w:p>
        </w:tc>
      </w:tr>
      <w:tr w:rsidR="00C80EED" w:rsidRPr="00B568F3" w14:paraId="4E973E36" w14:textId="77777777" w:rsidTr="00F521F9">
        <w:trPr>
          <w:jc w:val="center"/>
        </w:trPr>
        <w:tc>
          <w:tcPr>
            <w:tcW w:w="1977" w:type="dxa"/>
            <w:vAlign w:val="center"/>
          </w:tcPr>
          <w:p w14:paraId="060EC780" w14:textId="3F895546" w:rsidR="0080203D" w:rsidRPr="00B568F3" w:rsidRDefault="145DE0D8"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2022 to 2023</w:t>
            </w:r>
          </w:p>
        </w:tc>
        <w:tc>
          <w:tcPr>
            <w:tcW w:w="2438" w:type="dxa"/>
          </w:tcPr>
          <w:p w14:paraId="00083A51" w14:textId="77777777" w:rsidR="0080203D" w:rsidRPr="00B568F3" w:rsidRDefault="0080203D"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£2,261,901</w:t>
            </w:r>
          </w:p>
        </w:tc>
        <w:tc>
          <w:tcPr>
            <w:tcW w:w="1470" w:type="dxa"/>
          </w:tcPr>
          <w:p w14:paraId="56B1ED79" w14:textId="797C9C02" w:rsidR="0080203D" w:rsidRPr="00B568F3" w:rsidRDefault="0080203D"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+32</w:t>
            </w:r>
            <w:r w:rsidR="00F159F3" w:rsidRPr="00B568F3">
              <w:rPr>
                <w:rFonts w:ascii="Arial" w:eastAsia="Calibri" w:hAnsi="Arial" w:cs="Arial"/>
                <w:sz w:val="24"/>
                <w:szCs w:val="24"/>
                <w:lang w:eastAsia="en-GB"/>
              </w:rPr>
              <w:t>.4</w:t>
            </w:r>
            <w:r w:rsidRPr="00B568F3">
              <w:rPr>
                <w:rFonts w:ascii="Arial" w:eastAsia="Calibri" w:hAnsi="Arial" w:cs="Arial"/>
                <w:sz w:val="24"/>
                <w:szCs w:val="24"/>
                <w:lang w:eastAsia="en-GB"/>
              </w:rPr>
              <w:t>%</w:t>
            </w:r>
          </w:p>
        </w:tc>
        <w:tc>
          <w:tcPr>
            <w:tcW w:w="1701" w:type="dxa"/>
            <w:shd w:val="clear" w:color="auto" w:fill="auto"/>
          </w:tcPr>
          <w:p w14:paraId="02F00FB5" w14:textId="77777777" w:rsidR="0080203D" w:rsidRPr="00B568F3" w:rsidRDefault="0080203D"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+£553,194</w:t>
            </w:r>
          </w:p>
        </w:tc>
      </w:tr>
      <w:tr w:rsidR="00C80EED" w:rsidRPr="00B568F3" w14:paraId="1FDB84E3" w14:textId="77777777" w:rsidTr="00F521F9">
        <w:trPr>
          <w:jc w:val="center"/>
        </w:trPr>
        <w:tc>
          <w:tcPr>
            <w:tcW w:w="1977" w:type="dxa"/>
            <w:vAlign w:val="center"/>
          </w:tcPr>
          <w:p w14:paraId="1B3A84F3" w14:textId="12993846" w:rsidR="0080203D" w:rsidRPr="00B568F3" w:rsidRDefault="145DE0D8"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2021 to 2022</w:t>
            </w:r>
          </w:p>
        </w:tc>
        <w:tc>
          <w:tcPr>
            <w:tcW w:w="2438" w:type="dxa"/>
          </w:tcPr>
          <w:p w14:paraId="2F0B14E7" w14:textId="77777777" w:rsidR="0080203D" w:rsidRPr="00B568F3" w:rsidRDefault="0080203D"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£1,708,707</w:t>
            </w:r>
          </w:p>
        </w:tc>
        <w:tc>
          <w:tcPr>
            <w:tcW w:w="1470" w:type="dxa"/>
            <w:shd w:val="clear" w:color="auto" w:fill="auto"/>
          </w:tcPr>
          <w:p w14:paraId="572DA55A" w14:textId="3322A13C" w:rsidR="0080203D" w:rsidRPr="00B568F3" w:rsidRDefault="00917EA7"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+3.8%</w:t>
            </w:r>
          </w:p>
        </w:tc>
        <w:tc>
          <w:tcPr>
            <w:tcW w:w="1701" w:type="dxa"/>
            <w:shd w:val="clear" w:color="auto" w:fill="auto"/>
          </w:tcPr>
          <w:p w14:paraId="0D2D59D2" w14:textId="3961ABC8" w:rsidR="0080203D" w:rsidRPr="00B568F3" w:rsidRDefault="069F4A6E" w:rsidP="00C80EED">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+£63,298</w:t>
            </w:r>
          </w:p>
        </w:tc>
      </w:tr>
    </w:tbl>
    <w:p w14:paraId="484C1820" w14:textId="77777777" w:rsidR="0080203D" w:rsidRPr="00B568F3" w:rsidRDefault="0080203D" w:rsidP="009D1124">
      <w:pPr>
        <w:spacing w:after="0" w:line="240" w:lineRule="auto"/>
        <w:ind w:left="66"/>
        <w:rPr>
          <w:rFonts w:ascii="Arial" w:eastAsia="Calibri" w:hAnsi="Arial" w:cs="Arial"/>
          <w:sz w:val="24"/>
          <w:szCs w:val="24"/>
        </w:rPr>
      </w:pPr>
    </w:p>
    <w:p w14:paraId="2B674DFD" w14:textId="77777777" w:rsidR="006C7FE4" w:rsidRPr="00B568F3" w:rsidRDefault="006C7FE4" w:rsidP="009D1124">
      <w:pPr>
        <w:spacing w:after="0" w:line="240" w:lineRule="auto"/>
        <w:ind w:left="66"/>
        <w:rPr>
          <w:rFonts w:ascii="Arial" w:eastAsia="Calibri" w:hAnsi="Arial" w:cs="Arial"/>
          <w:sz w:val="24"/>
          <w:szCs w:val="24"/>
        </w:rPr>
      </w:pPr>
    </w:p>
    <w:p w14:paraId="7E3B0EC0" w14:textId="3172754D" w:rsidR="00475BCF" w:rsidRPr="00B568F3" w:rsidRDefault="145DE0D8"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The</w:t>
      </w:r>
      <w:r w:rsidR="533ADF33" w:rsidRPr="00B568F3" w:rsidDel="145DE0D8">
        <w:rPr>
          <w:rFonts w:ascii="Arial" w:eastAsia="Calibri" w:hAnsi="Arial" w:cs="Arial"/>
          <w:sz w:val="24"/>
          <w:szCs w:val="24"/>
        </w:rPr>
        <w:t xml:space="preserve"> </w:t>
      </w:r>
      <w:r w:rsidRPr="00B568F3">
        <w:rPr>
          <w:rFonts w:ascii="Arial" w:eastAsia="Calibri" w:hAnsi="Arial" w:cs="Arial"/>
          <w:sz w:val="24"/>
          <w:szCs w:val="24"/>
        </w:rPr>
        <w:t>local authorities not declaring any additional investment over their 30 per cent match funding increased from six to 10 in 2023 to 2024. These 10</w:t>
      </w:r>
      <w:r w:rsidR="002256FE" w:rsidRPr="00B568F3">
        <w:rPr>
          <w:rFonts w:ascii="Arial" w:eastAsia="Calibri" w:hAnsi="Arial" w:cs="Arial"/>
          <w:sz w:val="24"/>
          <w:szCs w:val="24"/>
        </w:rPr>
        <w:t xml:space="preserve"> </w:t>
      </w:r>
      <w:r w:rsidRPr="00B568F3">
        <w:rPr>
          <w:rFonts w:ascii="Arial" w:eastAsia="Calibri" w:hAnsi="Arial" w:cs="Arial"/>
          <w:sz w:val="24"/>
          <w:szCs w:val="24"/>
        </w:rPr>
        <w:t xml:space="preserve">authorities were spread across six separate regions, compared to three in 2022 to 2023. Two regions didn’t declare any additional funding at all in 2023 to 2024, compared to only one region in 2022 to 2023. </w:t>
      </w:r>
    </w:p>
    <w:p w14:paraId="79A4B359" w14:textId="77777777" w:rsidR="00D002E0" w:rsidRPr="00B568F3" w:rsidRDefault="00D002E0" w:rsidP="00B2131D">
      <w:pPr>
        <w:spacing w:after="200" w:line="276" w:lineRule="auto"/>
        <w:ind w:left="567"/>
        <w:contextualSpacing/>
        <w:rPr>
          <w:rFonts w:ascii="Arial" w:eastAsia="Calibri" w:hAnsi="Arial" w:cs="Arial"/>
          <w:sz w:val="24"/>
          <w:szCs w:val="24"/>
        </w:rPr>
      </w:pPr>
    </w:p>
    <w:p w14:paraId="792C5521" w14:textId="1E82569A" w:rsidR="00827883" w:rsidRPr="00B568F3" w:rsidRDefault="533ADF33"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L</w:t>
      </w:r>
      <w:r w:rsidR="00A42ECE" w:rsidRPr="00B568F3">
        <w:rPr>
          <w:rFonts w:ascii="Arial" w:eastAsia="Calibri" w:hAnsi="Arial" w:cs="Arial"/>
          <w:sz w:val="24"/>
          <w:szCs w:val="24"/>
        </w:rPr>
        <w:t>ocal authority</w:t>
      </w:r>
      <w:r w:rsidRPr="00B568F3">
        <w:rPr>
          <w:rFonts w:ascii="Arial" w:eastAsia="Calibri" w:hAnsi="Arial" w:cs="Arial"/>
          <w:sz w:val="24"/>
          <w:szCs w:val="24"/>
        </w:rPr>
        <w:t xml:space="preserve"> additional funding isn’t required information in the SCWWDP grant reporting. Local authorities have </w:t>
      </w:r>
      <w:r w:rsidR="0035233B" w:rsidRPr="00B568F3">
        <w:rPr>
          <w:rFonts w:ascii="Arial" w:eastAsia="Calibri" w:hAnsi="Arial" w:cs="Arial"/>
          <w:sz w:val="24"/>
          <w:szCs w:val="24"/>
        </w:rPr>
        <w:t>told</w:t>
      </w:r>
      <w:r w:rsidRPr="00B568F3" w:rsidDel="0035233B">
        <w:rPr>
          <w:rFonts w:ascii="Arial" w:eastAsia="Calibri" w:hAnsi="Arial" w:cs="Arial"/>
          <w:sz w:val="24"/>
          <w:szCs w:val="24"/>
        </w:rPr>
        <w:t xml:space="preserve"> </w:t>
      </w:r>
      <w:r w:rsidRPr="00B568F3">
        <w:rPr>
          <w:rFonts w:ascii="Arial" w:eastAsia="Calibri" w:hAnsi="Arial" w:cs="Arial"/>
          <w:sz w:val="24"/>
          <w:szCs w:val="24"/>
        </w:rPr>
        <w:t>us that they’re contributing over and above the expected 30 per cent match funding required</w:t>
      </w:r>
      <w:r w:rsidR="00BE063D" w:rsidRPr="00B568F3">
        <w:rPr>
          <w:rFonts w:ascii="Arial" w:eastAsia="Calibri" w:hAnsi="Arial" w:cs="Arial"/>
          <w:sz w:val="24"/>
          <w:szCs w:val="24"/>
        </w:rPr>
        <w:t>,</w:t>
      </w:r>
      <w:r w:rsidRPr="00B568F3">
        <w:rPr>
          <w:rFonts w:ascii="Arial" w:eastAsia="Calibri" w:hAnsi="Arial" w:cs="Arial"/>
          <w:sz w:val="24"/>
          <w:szCs w:val="24"/>
        </w:rPr>
        <w:t xml:space="preserve"> but this information isn’t always reported or declared for the following reasons:</w:t>
      </w:r>
    </w:p>
    <w:p w14:paraId="34CAD3DE" w14:textId="77777777" w:rsidR="00827883" w:rsidRPr="00B568F3" w:rsidRDefault="00827883" w:rsidP="001501DD">
      <w:pPr>
        <w:pStyle w:val="ListParagraph"/>
        <w:ind w:left="786"/>
        <w:rPr>
          <w:rFonts w:ascii="Arial" w:eastAsia="Calibri" w:hAnsi="Arial" w:cs="Arial"/>
          <w:sz w:val="24"/>
          <w:szCs w:val="24"/>
        </w:rPr>
      </w:pPr>
    </w:p>
    <w:p w14:paraId="1B161844" w14:textId="094106C6" w:rsidR="0076554D" w:rsidRPr="00B568F3" w:rsidRDefault="145DE0D8" w:rsidP="00632461">
      <w:pPr>
        <w:pStyle w:val="ListParagraph"/>
        <w:numPr>
          <w:ilvl w:val="1"/>
          <w:numId w:val="7"/>
        </w:numPr>
        <w:spacing w:after="0" w:line="240" w:lineRule="auto"/>
        <w:ind w:left="1506"/>
        <w:rPr>
          <w:rFonts w:ascii="Arial" w:eastAsia="Calibri" w:hAnsi="Arial" w:cs="Arial"/>
          <w:sz w:val="24"/>
          <w:szCs w:val="24"/>
        </w:rPr>
      </w:pPr>
      <w:r w:rsidRPr="00B568F3">
        <w:rPr>
          <w:rFonts w:ascii="Arial" w:eastAsia="Calibri" w:hAnsi="Arial" w:cs="Arial"/>
          <w:sz w:val="24"/>
          <w:szCs w:val="24"/>
        </w:rPr>
        <w:t>some local authorities choose not to share this information</w:t>
      </w:r>
    </w:p>
    <w:p w14:paraId="5E956201" w14:textId="77777777" w:rsidR="003B2BB0" w:rsidRPr="00B568F3" w:rsidRDefault="003B2BB0" w:rsidP="001501DD">
      <w:pPr>
        <w:pStyle w:val="ListParagraph"/>
        <w:spacing w:after="0" w:line="240" w:lineRule="auto"/>
        <w:ind w:left="1506"/>
        <w:rPr>
          <w:rFonts w:ascii="Arial" w:eastAsia="Calibri" w:hAnsi="Arial" w:cs="Arial"/>
          <w:sz w:val="24"/>
          <w:szCs w:val="24"/>
        </w:rPr>
      </w:pPr>
    </w:p>
    <w:p w14:paraId="12AEFDEC" w14:textId="7ADEFC58" w:rsidR="003117E5" w:rsidRPr="00B568F3" w:rsidRDefault="145DE0D8" w:rsidP="00632461">
      <w:pPr>
        <w:pStyle w:val="ListParagraph"/>
        <w:numPr>
          <w:ilvl w:val="1"/>
          <w:numId w:val="7"/>
        </w:numPr>
        <w:spacing w:after="0" w:line="240" w:lineRule="auto"/>
        <w:ind w:left="1506"/>
        <w:rPr>
          <w:rFonts w:ascii="Arial" w:eastAsia="Calibri" w:hAnsi="Arial" w:cs="Arial"/>
          <w:sz w:val="24"/>
          <w:szCs w:val="24"/>
        </w:rPr>
      </w:pPr>
      <w:r w:rsidRPr="00B568F3">
        <w:rPr>
          <w:rFonts w:ascii="Arial" w:eastAsia="Calibri" w:hAnsi="Arial" w:cs="Arial"/>
          <w:sz w:val="24"/>
          <w:szCs w:val="24"/>
        </w:rPr>
        <w:t xml:space="preserve">services will fund additional needs from their own budgets or provide learning and development events themselves </w:t>
      </w:r>
      <w:r w:rsidR="008E448D" w:rsidRPr="00B568F3">
        <w:rPr>
          <w:rFonts w:ascii="Arial" w:eastAsia="Calibri" w:hAnsi="Arial" w:cs="Arial"/>
          <w:sz w:val="24"/>
          <w:szCs w:val="24"/>
        </w:rPr>
        <w:t>without including</w:t>
      </w:r>
      <w:r w:rsidRPr="00B568F3">
        <w:rPr>
          <w:rFonts w:ascii="Arial" w:eastAsia="Calibri" w:hAnsi="Arial" w:cs="Arial"/>
          <w:sz w:val="24"/>
          <w:szCs w:val="24"/>
        </w:rPr>
        <w:t xml:space="preserve"> the workforce development teams</w:t>
      </w:r>
    </w:p>
    <w:p w14:paraId="17EE0A36" w14:textId="77777777" w:rsidR="00886290" w:rsidRPr="00B568F3" w:rsidRDefault="00886290" w:rsidP="001501DD">
      <w:pPr>
        <w:pStyle w:val="ListParagraph"/>
        <w:spacing w:after="0" w:line="240" w:lineRule="auto"/>
        <w:ind w:left="1506"/>
        <w:rPr>
          <w:rFonts w:ascii="Arial" w:eastAsia="Calibri" w:hAnsi="Arial" w:cs="Arial"/>
          <w:sz w:val="24"/>
          <w:szCs w:val="24"/>
        </w:rPr>
      </w:pPr>
    </w:p>
    <w:p w14:paraId="4C80A0E8" w14:textId="4F2FF086" w:rsidR="00A44646" w:rsidRPr="00B568F3" w:rsidRDefault="000A4DD9" w:rsidP="00632461">
      <w:pPr>
        <w:pStyle w:val="ListParagraph"/>
        <w:numPr>
          <w:ilvl w:val="1"/>
          <w:numId w:val="7"/>
        </w:numPr>
        <w:spacing w:after="0" w:line="240" w:lineRule="auto"/>
        <w:ind w:left="1506"/>
        <w:rPr>
          <w:rFonts w:ascii="Arial" w:eastAsia="Calibri" w:hAnsi="Arial" w:cs="Arial"/>
          <w:sz w:val="24"/>
          <w:szCs w:val="24"/>
        </w:rPr>
      </w:pPr>
      <w:r w:rsidRPr="00B568F3">
        <w:rPr>
          <w:rFonts w:ascii="Arial" w:eastAsia="Calibri" w:hAnsi="Arial" w:cs="Arial"/>
          <w:sz w:val="24"/>
          <w:szCs w:val="24"/>
        </w:rPr>
        <w:t>t</w:t>
      </w:r>
      <w:r w:rsidR="00404F58" w:rsidRPr="00B568F3">
        <w:rPr>
          <w:rFonts w:ascii="Arial" w:eastAsia="Calibri" w:hAnsi="Arial" w:cs="Arial"/>
          <w:sz w:val="24"/>
          <w:szCs w:val="24"/>
        </w:rPr>
        <w:t>here</w:t>
      </w:r>
      <w:r w:rsidR="009C062C" w:rsidRPr="00B568F3">
        <w:rPr>
          <w:rFonts w:ascii="Arial" w:eastAsia="Calibri" w:hAnsi="Arial" w:cs="Arial"/>
          <w:sz w:val="24"/>
          <w:szCs w:val="24"/>
        </w:rPr>
        <w:t>’s</w:t>
      </w:r>
      <w:r w:rsidR="00A7542B" w:rsidRPr="00B568F3">
        <w:rPr>
          <w:rFonts w:ascii="Arial" w:eastAsia="Calibri" w:hAnsi="Arial" w:cs="Arial"/>
          <w:sz w:val="24"/>
          <w:szCs w:val="24"/>
        </w:rPr>
        <w:t xml:space="preserve"> an element of variation </w:t>
      </w:r>
      <w:r w:rsidR="4DCC15B9" w:rsidRPr="00B568F3">
        <w:rPr>
          <w:rFonts w:ascii="Arial" w:eastAsia="Calibri" w:hAnsi="Arial" w:cs="Arial"/>
          <w:sz w:val="24"/>
          <w:szCs w:val="24"/>
        </w:rPr>
        <w:t xml:space="preserve">in financial coding </w:t>
      </w:r>
      <w:r w:rsidR="00FA521A" w:rsidRPr="00B568F3">
        <w:rPr>
          <w:rFonts w:ascii="Arial" w:eastAsia="Calibri" w:hAnsi="Arial" w:cs="Arial"/>
          <w:sz w:val="24"/>
          <w:szCs w:val="24"/>
        </w:rPr>
        <w:t>between local authorities and regions</w:t>
      </w:r>
      <w:r w:rsidR="4DCC15B9" w:rsidRPr="00B568F3">
        <w:rPr>
          <w:rFonts w:ascii="Arial" w:eastAsia="Calibri" w:hAnsi="Arial" w:cs="Arial"/>
          <w:sz w:val="24"/>
          <w:szCs w:val="24"/>
        </w:rPr>
        <w:t>.</w:t>
      </w:r>
    </w:p>
    <w:p w14:paraId="378BF470" w14:textId="77777777" w:rsidR="00886290" w:rsidRPr="00B568F3" w:rsidRDefault="00886290" w:rsidP="001501DD">
      <w:pPr>
        <w:pStyle w:val="ListParagraph"/>
        <w:ind w:left="786"/>
        <w:rPr>
          <w:rFonts w:ascii="Arial" w:eastAsia="Calibri" w:hAnsi="Arial" w:cs="Arial"/>
          <w:sz w:val="24"/>
          <w:szCs w:val="24"/>
        </w:rPr>
      </w:pPr>
    </w:p>
    <w:p w14:paraId="769DB85A" w14:textId="7304DF3E" w:rsidR="001D6A52" w:rsidRPr="00B568F3" w:rsidRDefault="145DE0D8" w:rsidP="00632461">
      <w:pPr>
        <w:pStyle w:val="ListParagraph"/>
        <w:numPr>
          <w:ilvl w:val="1"/>
          <w:numId w:val="7"/>
        </w:numPr>
        <w:spacing w:after="0" w:line="240" w:lineRule="auto"/>
        <w:ind w:left="1506"/>
        <w:rPr>
          <w:rFonts w:ascii="Arial" w:eastAsia="Calibri" w:hAnsi="Arial" w:cs="Arial"/>
          <w:sz w:val="24"/>
          <w:szCs w:val="24"/>
        </w:rPr>
      </w:pPr>
      <w:r w:rsidRPr="00B568F3">
        <w:rPr>
          <w:rFonts w:ascii="Arial" w:eastAsia="Calibri" w:hAnsi="Arial" w:cs="Arial"/>
          <w:sz w:val="24"/>
          <w:szCs w:val="24"/>
        </w:rPr>
        <w:t xml:space="preserve">staff time and capacity is used to support workforce development but if the role is fully funded by the local </w:t>
      </w:r>
      <w:r w:rsidR="000064A5" w:rsidRPr="00B568F3">
        <w:rPr>
          <w:rFonts w:ascii="Arial" w:eastAsia="Calibri" w:hAnsi="Arial" w:cs="Arial"/>
          <w:sz w:val="24"/>
          <w:szCs w:val="24"/>
        </w:rPr>
        <w:t>authority,</w:t>
      </w:r>
      <w:r w:rsidRPr="00B568F3">
        <w:rPr>
          <w:rFonts w:ascii="Arial" w:eastAsia="Calibri" w:hAnsi="Arial" w:cs="Arial"/>
          <w:sz w:val="24"/>
          <w:szCs w:val="24"/>
        </w:rPr>
        <w:t xml:space="preserve"> then this information isn’t reported. If the role is SCWWDP </w:t>
      </w:r>
      <w:r w:rsidR="000064A5" w:rsidRPr="00B568F3">
        <w:rPr>
          <w:rFonts w:ascii="Arial" w:eastAsia="Calibri" w:hAnsi="Arial" w:cs="Arial"/>
          <w:sz w:val="24"/>
          <w:szCs w:val="24"/>
        </w:rPr>
        <w:t>funded,</w:t>
      </w:r>
      <w:r w:rsidRPr="00B568F3">
        <w:rPr>
          <w:rFonts w:ascii="Arial" w:eastAsia="Calibri" w:hAnsi="Arial" w:cs="Arial"/>
          <w:sz w:val="24"/>
          <w:szCs w:val="24"/>
        </w:rPr>
        <w:t xml:space="preserve"> it’s reported as part of the staffing costs</w:t>
      </w:r>
      <w:r w:rsidR="00085B62" w:rsidRPr="00B568F3" w:rsidDel="145DE0D8">
        <w:rPr>
          <w:rFonts w:ascii="Arial" w:eastAsia="Calibri" w:hAnsi="Arial" w:cs="Arial"/>
          <w:sz w:val="24"/>
          <w:szCs w:val="24"/>
        </w:rPr>
        <w:t>.</w:t>
      </w:r>
    </w:p>
    <w:p w14:paraId="79427D40" w14:textId="77777777" w:rsidR="00886290" w:rsidRPr="00B568F3" w:rsidRDefault="00886290" w:rsidP="001501DD">
      <w:pPr>
        <w:pStyle w:val="ListParagraph"/>
        <w:ind w:left="786"/>
        <w:rPr>
          <w:rFonts w:ascii="Arial" w:eastAsia="Calibri" w:hAnsi="Arial" w:cs="Arial"/>
          <w:sz w:val="24"/>
          <w:szCs w:val="24"/>
        </w:rPr>
      </w:pPr>
    </w:p>
    <w:p w14:paraId="14923950" w14:textId="1CF55525" w:rsidR="006D266C" w:rsidRPr="00B568F3" w:rsidRDefault="145DE0D8" w:rsidP="00632461">
      <w:pPr>
        <w:pStyle w:val="ListParagraph"/>
        <w:numPr>
          <w:ilvl w:val="1"/>
          <w:numId w:val="7"/>
        </w:numPr>
        <w:spacing w:after="0" w:line="240" w:lineRule="auto"/>
        <w:ind w:left="1506"/>
        <w:rPr>
          <w:rFonts w:ascii="Arial" w:eastAsia="Calibri" w:hAnsi="Arial" w:cs="Arial"/>
          <w:sz w:val="24"/>
          <w:szCs w:val="24"/>
        </w:rPr>
      </w:pPr>
      <w:r w:rsidRPr="00B568F3">
        <w:rPr>
          <w:rFonts w:ascii="Arial" w:eastAsia="Calibri" w:hAnsi="Arial" w:cs="Arial"/>
          <w:sz w:val="24"/>
          <w:szCs w:val="24"/>
        </w:rPr>
        <w:t xml:space="preserve">because of financial pressure there’s a need to do things differently and use different ways which might not </w:t>
      </w:r>
      <w:r w:rsidR="000064A5" w:rsidRPr="00B568F3">
        <w:rPr>
          <w:rFonts w:ascii="Arial" w:eastAsia="Calibri" w:hAnsi="Arial" w:cs="Arial"/>
          <w:sz w:val="24"/>
          <w:szCs w:val="24"/>
        </w:rPr>
        <w:t>be reported</w:t>
      </w:r>
      <w:r w:rsidRPr="00B568F3">
        <w:rPr>
          <w:rFonts w:ascii="Arial" w:eastAsia="Calibri" w:hAnsi="Arial" w:cs="Arial"/>
          <w:sz w:val="24"/>
          <w:szCs w:val="24"/>
        </w:rPr>
        <w:t xml:space="preserve">, or are difficult to count for reporting purposes, </w:t>
      </w:r>
      <w:r w:rsidR="002C5219" w:rsidRPr="00B568F3">
        <w:rPr>
          <w:rFonts w:ascii="Arial" w:eastAsia="Calibri" w:hAnsi="Arial" w:cs="Arial"/>
          <w:sz w:val="24"/>
          <w:szCs w:val="24"/>
        </w:rPr>
        <w:t>such as</w:t>
      </w:r>
      <w:r w:rsidRPr="00B568F3">
        <w:rPr>
          <w:rFonts w:ascii="Arial" w:eastAsia="Calibri" w:hAnsi="Arial" w:cs="Arial"/>
          <w:sz w:val="24"/>
          <w:szCs w:val="24"/>
        </w:rPr>
        <w:t>:</w:t>
      </w:r>
    </w:p>
    <w:p w14:paraId="12AE7953" w14:textId="66959FB5" w:rsidR="006D266C" w:rsidRPr="00B568F3" w:rsidRDefault="00372DD8" w:rsidP="00632461">
      <w:pPr>
        <w:pStyle w:val="ListParagraph"/>
        <w:numPr>
          <w:ilvl w:val="2"/>
          <w:numId w:val="20"/>
        </w:numPr>
        <w:spacing w:after="0" w:line="240" w:lineRule="auto"/>
        <w:rPr>
          <w:rFonts w:ascii="Arial" w:eastAsia="Calibri" w:hAnsi="Arial" w:cs="Arial"/>
          <w:sz w:val="24"/>
          <w:szCs w:val="24"/>
        </w:rPr>
      </w:pPr>
      <w:r w:rsidRPr="00B568F3">
        <w:rPr>
          <w:rFonts w:ascii="Arial" w:eastAsia="Calibri" w:hAnsi="Arial" w:cs="Arial"/>
          <w:sz w:val="24"/>
          <w:szCs w:val="24"/>
        </w:rPr>
        <w:t xml:space="preserve">statutory services </w:t>
      </w:r>
      <w:r w:rsidR="00833528" w:rsidRPr="00B568F3">
        <w:rPr>
          <w:rFonts w:ascii="Arial" w:eastAsia="Calibri" w:hAnsi="Arial" w:cs="Arial"/>
          <w:sz w:val="24"/>
          <w:szCs w:val="24"/>
        </w:rPr>
        <w:t xml:space="preserve">arranging and funding their own workforce development through </w:t>
      </w:r>
      <w:r w:rsidR="00B1791A" w:rsidRPr="00B568F3">
        <w:rPr>
          <w:rFonts w:ascii="Arial" w:eastAsia="Calibri" w:hAnsi="Arial" w:cs="Arial"/>
          <w:sz w:val="24"/>
          <w:szCs w:val="24"/>
        </w:rPr>
        <w:t>supporting reflective groups</w:t>
      </w:r>
    </w:p>
    <w:p w14:paraId="6F4E6A86" w14:textId="72E67412" w:rsidR="006D266C" w:rsidRPr="00B568F3" w:rsidRDefault="001A46DA" w:rsidP="00632461">
      <w:pPr>
        <w:pStyle w:val="ListParagraph"/>
        <w:numPr>
          <w:ilvl w:val="2"/>
          <w:numId w:val="20"/>
        </w:numPr>
        <w:spacing w:after="0" w:line="240" w:lineRule="auto"/>
        <w:rPr>
          <w:rFonts w:ascii="Arial" w:eastAsia="Calibri" w:hAnsi="Arial" w:cs="Arial"/>
          <w:sz w:val="24"/>
          <w:szCs w:val="24"/>
        </w:rPr>
      </w:pPr>
      <w:r w:rsidRPr="00B568F3">
        <w:rPr>
          <w:rFonts w:ascii="Arial" w:eastAsia="Calibri" w:hAnsi="Arial" w:cs="Arial"/>
          <w:sz w:val="24"/>
          <w:szCs w:val="24"/>
        </w:rPr>
        <w:t>us</w:t>
      </w:r>
      <w:r w:rsidR="008D20ED" w:rsidRPr="00B568F3">
        <w:rPr>
          <w:rFonts w:ascii="Arial" w:eastAsia="Calibri" w:hAnsi="Arial" w:cs="Arial"/>
          <w:sz w:val="24"/>
          <w:szCs w:val="24"/>
        </w:rPr>
        <w:t xml:space="preserve">ing </w:t>
      </w:r>
      <w:r w:rsidRPr="00B568F3">
        <w:rPr>
          <w:rFonts w:ascii="Arial" w:eastAsia="Calibri" w:hAnsi="Arial" w:cs="Arial"/>
          <w:sz w:val="24"/>
          <w:szCs w:val="24"/>
        </w:rPr>
        <w:t xml:space="preserve">experts in </w:t>
      </w:r>
      <w:r w:rsidR="001629F2" w:rsidRPr="00B568F3">
        <w:rPr>
          <w:rFonts w:ascii="Arial" w:eastAsia="Calibri" w:hAnsi="Arial" w:cs="Arial"/>
          <w:sz w:val="24"/>
          <w:szCs w:val="24"/>
        </w:rPr>
        <w:t xml:space="preserve">service </w:t>
      </w:r>
      <w:r w:rsidRPr="00B568F3">
        <w:rPr>
          <w:rFonts w:ascii="Arial" w:eastAsia="Calibri" w:hAnsi="Arial" w:cs="Arial"/>
          <w:sz w:val="24"/>
          <w:szCs w:val="24"/>
        </w:rPr>
        <w:t>teams</w:t>
      </w:r>
      <w:r w:rsidR="008D20ED" w:rsidRPr="00B568F3">
        <w:rPr>
          <w:rFonts w:ascii="Arial" w:eastAsia="Calibri" w:hAnsi="Arial" w:cs="Arial"/>
          <w:sz w:val="24"/>
          <w:szCs w:val="24"/>
        </w:rPr>
        <w:t xml:space="preserve"> to support and develop </w:t>
      </w:r>
      <w:r w:rsidR="008F4602" w:rsidRPr="00B568F3">
        <w:rPr>
          <w:rFonts w:ascii="Arial" w:eastAsia="Calibri" w:hAnsi="Arial" w:cs="Arial"/>
          <w:sz w:val="24"/>
          <w:szCs w:val="24"/>
        </w:rPr>
        <w:t>others</w:t>
      </w:r>
    </w:p>
    <w:p w14:paraId="0718BD8C" w14:textId="0DFFC630" w:rsidR="006D266C" w:rsidRPr="00B568F3" w:rsidRDefault="009909CD" w:rsidP="00632461">
      <w:pPr>
        <w:pStyle w:val="ListParagraph"/>
        <w:numPr>
          <w:ilvl w:val="2"/>
          <w:numId w:val="20"/>
        </w:numPr>
        <w:spacing w:after="0" w:line="240" w:lineRule="auto"/>
        <w:rPr>
          <w:rFonts w:ascii="Arial" w:eastAsia="Calibri" w:hAnsi="Arial" w:cs="Arial"/>
          <w:sz w:val="24"/>
          <w:szCs w:val="24"/>
        </w:rPr>
      </w:pPr>
      <w:r w:rsidRPr="00B568F3">
        <w:rPr>
          <w:rFonts w:ascii="Arial" w:eastAsia="Calibri" w:hAnsi="Arial" w:cs="Arial"/>
          <w:sz w:val="24"/>
          <w:szCs w:val="24"/>
        </w:rPr>
        <w:t>in-</w:t>
      </w:r>
      <w:r w:rsidR="001629F2" w:rsidRPr="00B568F3">
        <w:rPr>
          <w:rFonts w:ascii="Arial" w:eastAsia="Calibri" w:hAnsi="Arial" w:cs="Arial"/>
          <w:sz w:val="24"/>
          <w:szCs w:val="24"/>
        </w:rPr>
        <w:t>service</w:t>
      </w:r>
      <w:r w:rsidRPr="00B568F3">
        <w:rPr>
          <w:rFonts w:ascii="Arial" w:eastAsia="Calibri" w:hAnsi="Arial" w:cs="Arial"/>
          <w:sz w:val="24"/>
          <w:szCs w:val="24"/>
        </w:rPr>
        <w:t xml:space="preserve"> learning events</w:t>
      </w:r>
      <w:r w:rsidR="001629F2" w:rsidRPr="00B568F3">
        <w:rPr>
          <w:rFonts w:ascii="Arial" w:eastAsia="Calibri" w:hAnsi="Arial" w:cs="Arial"/>
          <w:sz w:val="24"/>
          <w:szCs w:val="24"/>
        </w:rPr>
        <w:t xml:space="preserve"> and </w:t>
      </w:r>
      <w:r w:rsidRPr="00B568F3">
        <w:rPr>
          <w:rFonts w:ascii="Arial" w:eastAsia="Calibri" w:hAnsi="Arial" w:cs="Arial"/>
          <w:sz w:val="24"/>
          <w:szCs w:val="24"/>
        </w:rPr>
        <w:t>workshops</w:t>
      </w:r>
      <w:r w:rsidR="008F4602" w:rsidRPr="00B568F3">
        <w:rPr>
          <w:rFonts w:ascii="Arial" w:eastAsia="Calibri" w:hAnsi="Arial" w:cs="Arial"/>
          <w:sz w:val="24"/>
          <w:szCs w:val="24"/>
        </w:rPr>
        <w:t xml:space="preserve">. </w:t>
      </w:r>
    </w:p>
    <w:p w14:paraId="7EA184AD" w14:textId="77777777" w:rsidR="00E04302" w:rsidRPr="00B568F3" w:rsidRDefault="00E04302" w:rsidP="00B2131D">
      <w:pPr>
        <w:pStyle w:val="ListParagraph"/>
        <w:spacing w:after="0" w:line="240" w:lineRule="auto"/>
        <w:ind w:left="2160"/>
        <w:rPr>
          <w:rFonts w:ascii="Arial" w:eastAsia="Calibri" w:hAnsi="Arial" w:cs="Arial"/>
          <w:sz w:val="24"/>
          <w:szCs w:val="24"/>
        </w:rPr>
      </w:pPr>
    </w:p>
    <w:p w14:paraId="33007C07" w14:textId="57BFD1AE" w:rsidR="006A4A06" w:rsidRPr="00B568F3" w:rsidRDefault="00C60F89" w:rsidP="00B2131D">
      <w:pPr>
        <w:pStyle w:val="ListParagraph"/>
        <w:spacing w:after="0" w:line="240" w:lineRule="auto"/>
        <w:ind w:left="1506"/>
        <w:rPr>
          <w:rFonts w:ascii="Arial" w:eastAsia="Calibri" w:hAnsi="Arial" w:cs="Arial"/>
          <w:sz w:val="24"/>
          <w:szCs w:val="24"/>
        </w:rPr>
      </w:pPr>
      <w:r w:rsidRPr="00B568F3">
        <w:rPr>
          <w:rFonts w:ascii="Arial" w:eastAsia="Calibri" w:hAnsi="Arial" w:cs="Arial"/>
          <w:sz w:val="24"/>
          <w:szCs w:val="24"/>
        </w:rPr>
        <w:t xml:space="preserve">This </w:t>
      </w:r>
      <w:r w:rsidR="3FB8B451" w:rsidRPr="00B568F3">
        <w:rPr>
          <w:rFonts w:ascii="Arial" w:eastAsia="Calibri" w:hAnsi="Arial" w:cs="Arial"/>
          <w:sz w:val="24"/>
          <w:szCs w:val="24"/>
        </w:rPr>
        <w:t>is reducing reliance on commissioned training by using internal expertise</w:t>
      </w:r>
      <w:r w:rsidR="3D1C687F" w:rsidRPr="00B568F3">
        <w:rPr>
          <w:rFonts w:ascii="Arial" w:eastAsia="Calibri" w:hAnsi="Arial" w:cs="Arial"/>
          <w:sz w:val="24"/>
          <w:szCs w:val="24"/>
        </w:rPr>
        <w:t xml:space="preserve"> to support broader approaches to learning. </w:t>
      </w:r>
      <w:r w:rsidR="00915798" w:rsidRPr="00B568F3">
        <w:rPr>
          <w:rFonts w:ascii="Arial" w:eastAsia="Calibri" w:hAnsi="Arial" w:cs="Arial"/>
          <w:sz w:val="24"/>
          <w:szCs w:val="24"/>
        </w:rPr>
        <w:t>We’ll</w:t>
      </w:r>
      <w:r w:rsidR="3D1C687F" w:rsidRPr="00B568F3">
        <w:rPr>
          <w:rFonts w:ascii="Arial" w:eastAsia="Calibri" w:hAnsi="Arial" w:cs="Arial"/>
          <w:sz w:val="24"/>
          <w:szCs w:val="24"/>
        </w:rPr>
        <w:t xml:space="preserve"> need to </w:t>
      </w:r>
      <w:r w:rsidR="00915798" w:rsidRPr="00B568F3">
        <w:rPr>
          <w:rFonts w:ascii="Arial" w:eastAsia="Calibri" w:hAnsi="Arial" w:cs="Arial"/>
          <w:sz w:val="24"/>
          <w:szCs w:val="24"/>
        </w:rPr>
        <w:t>change</w:t>
      </w:r>
      <w:r w:rsidR="3D1C687F" w:rsidRPr="00B568F3">
        <w:rPr>
          <w:rFonts w:ascii="Arial" w:eastAsia="Calibri" w:hAnsi="Arial" w:cs="Arial"/>
          <w:sz w:val="24"/>
          <w:szCs w:val="24"/>
        </w:rPr>
        <w:t xml:space="preserve"> how we capture training and learning opportunities,</w:t>
      </w:r>
      <w:r w:rsidR="00696B46" w:rsidRPr="00B568F3">
        <w:rPr>
          <w:rFonts w:ascii="Arial" w:eastAsia="Calibri" w:hAnsi="Arial" w:cs="Arial"/>
          <w:sz w:val="24"/>
          <w:szCs w:val="24"/>
        </w:rPr>
        <w:t xml:space="preserve"> </w:t>
      </w:r>
      <w:r w:rsidR="3D1C687F" w:rsidRPr="00B568F3">
        <w:rPr>
          <w:rFonts w:ascii="Arial" w:eastAsia="Calibri" w:hAnsi="Arial" w:cs="Arial"/>
          <w:sz w:val="24"/>
          <w:szCs w:val="24"/>
        </w:rPr>
        <w:t xml:space="preserve">as well as areas </w:t>
      </w:r>
      <w:r w:rsidR="009509B4" w:rsidRPr="00B568F3">
        <w:rPr>
          <w:rFonts w:ascii="Arial" w:eastAsia="Calibri" w:hAnsi="Arial" w:cs="Arial"/>
          <w:sz w:val="24"/>
          <w:szCs w:val="24"/>
        </w:rPr>
        <w:t>where we’re not meeting needs.</w:t>
      </w:r>
      <w:r w:rsidRPr="00B568F3">
        <w:rPr>
          <w:rFonts w:ascii="Arial" w:eastAsia="Calibri" w:hAnsi="Arial" w:cs="Arial"/>
          <w:sz w:val="24"/>
          <w:szCs w:val="24"/>
        </w:rPr>
        <w:t xml:space="preserve"> </w:t>
      </w:r>
    </w:p>
    <w:p w14:paraId="135DC335" w14:textId="77777777" w:rsidR="00BA2BB3" w:rsidRPr="00B568F3" w:rsidRDefault="00BA2BB3" w:rsidP="001501DD">
      <w:pPr>
        <w:pStyle w:val="ListParagraph"/>
        <w:spacing w:after="0" w:line="240" w:lineRule="auto"/>
        <w:ind w:left="786"/>
        <w:rPr>
          <w:rFonts w:ascii="Arial" w:eastAsia="Calibri" w:hAnsi="Arial" w:cs="Arial"/>
          <w:sz w:val="24"/>
          <w:szCs w:val="24"/>
        </w:rPr>
      </w:pPr>
    </w:p>
    <w:p w14:paraId="64017043" w14:textId="1726B549" w:rsidR="008B6002" w:rsidRPr="00B568F3" w:rsidRDefault="00C35DCD"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Without this additional </w:t>
      </w:r>
      <w:r w:rsidR="004851EF" w:rsidRPr="00B568F3">
        <w:rPr>
          <w:rFonts w:ascii="Arial" w:eastAsia="Calibri" w:hAnsi="Arial" w:cs="Arial"/>
          <w:sz w:val="24"/>
          <w:szCs w:val="24"/>
        </w:rPr>
        <w:t>local authority</w:t>
      </w:r>
      <w:r w:rsidRPr="00B568F3">
        <w:rPr>
          <w:rFonts w:ascii="Arial" w:eastAsia="Calibri" w:hAnsi="Arial" w:cs="Arial"/>
          <w:sz w:val="24"/>
          <w:szCs w:val="24"/>
        </w:rPr>
        <w:t xml:space="preserve"> funding </w:t>
      </w:r>
      <w:r w:rsidR="00844034" w:rsidRPr="00B568F3">
        <w:rPr>
          <w:rFonts w:ascii="Arial" w:eastAsia="Calibri" w:hAnsi="Arial" w:cs="Arial"/>
          <w:sz w:val="24"/>
          <w:szCs w:val="24"/>
        </w:rPr>
        <w:t>information</w:t>
      </w:r>
      <w:r w:rsidR="000309C6" w:rsidRPr="00B568F3">
        <w:rPr>
          <w:rFonts w:ascii="Arial" w:eastAsia="Calibri" w:hAnsi="Arial" w:cs="Arial"/>
          <w:sz w:val="24"/>
          <w:szCs w:val="24"/>
        </w:rPr>
        <w:t>,</w:t>
      </w:r>
      <w:r w:rsidR="00844034" w:rsidRPr="00B568F3">
        <w:rPr>
          <w:rFonts w:ascii="Arial" w:eastAsia="Calibri" w:hAnsi="Arial" w:cs="Arial"/>
          <w:sz w:val="24"/>
          <w:szCs w:val="24"/>
        </w:rPr>
        <w:t xml:space="preserve"> w</w:t>
      </w:r>
      <w:r w:rsidR="00771E44" w:rsidRPr="00B568F3">
        <w:rPr>
          <w:rFonts w:ascii="Arial" w:eastAsia="Calibri" w:hAnsi="Arial" w:cs="Arial"/>
          <w:sz w:val="24"/>
          <w:szCs w:val="24"/>
        </w:rPr>
        <w:t>e’re not</w:t>
      </w:r>
      <w:r w:rsidR="00844034" w:rsidRPr="00B568F3">
        <w:rPr>
          <w:rFonts w:ascii="Arial" w:eastAsia="Calibri" w:hAnsi="Arial" w:cs="Arial"/>
          <w:sz w:val="24"/>
          <w:szCs w:val="24"/>
        </w:rPr>
        <w:t xml:space="preserve"> able to </w:t>
      </w:r>
      <w:r w:rsidR="004E4191" w:rsidRPr="00B568F3">
        <w:rPr>
          <w:rFonts w:ascii="Arial" w:eastAsia="Calibri" w:hAnsi="Arial" w:cs="Arial"/>
          <w:sz w:val="24"/>
          <w:szCs w:val="24"/>
        </w:rPr>
        <w:t xml:space="preserve">report </w:t>
      </w:r>
      <w:r w:rsidR="002E0318" w:rsidRPr="00B568F3">
        <w:rPr>
          <w:rFonts w:ascii="Arial" w:eastAsia="Calibri" w:hAnsi="Arial" w:cs="Arial"/>
          <w:sz w:val="24"/>
          <w:szCs w:val="24"/>
        </w:rPr>
        <w:t>all</w:t>
      </w:r>
      <w:r w:rsidR="00C939D4" w:rsidRPr="00B568F3">
        <w:rPr>
          <w:rFonts w:ascii="Arial" w:eastAsia="Calibri" w:hAnsi="Arial" w:cs="Arial"/>
          <w:sz w:val="24"/>
          <w:szCs w:val="24"/>
        </w:rPr>
        <w:t xml:space="preserve"> </w:t>
      </w:r>
      <w:r w:rsidR="001547FE" w:rsidRPr="00B568F3">
        <w:rPr>
          <w:rFonts w:ascii="Arial" w:eastAsia="Calibri" w:hAnsi="Arial" w:cs="Arial"/>
          <w:sz w:val="24"/>
          <w:szCs w:val="24"/>
        </w:rPr>
        <w:t>outp</w:t>
      </w:r>
      <w:r w:rsidR="000F6AE0" w:rsidRPr="00B568F3">
        <w:rPr>
          <w:rFonts w:ascii="Arial" w:eastAsia="Calibri" w:hAnsi="Arial" w:cs="Arial"/>
          <w:sz w:val="24"/>
          <w:szCs w:val="24"/>
        </w:rPr>
        <w:t>uts</w:t>
      </w:r>
      <w:r w:rsidR="00A7647A" w:rsidRPr="00B568F3">
        <w:rPr>
          <w:rFonts w:ascii="Arial" w:eastAsia="Calibri" w:hAnsi="Arial" w:cs="Arial"/>
          <w:sz w:val="24"/>
          <w:szCs w:val="24"/>
        </w:rPr>
        <w:t>, outcomes and trends</w:t>
      </w:r>
      <w:r w:rsidR="00844034" w:rsidRPr="00B568F3" w:rsidDel="00A7647A">
        <w:rPr>
          <w:rFonts w:ascii="Arial" w:eastAsia="Calibri" w:hAnsi="Arial" w:cs="Arial"/>
          <w:sz w:val="24"/>
          <w:szCs w:val="24"/>
        </w:rPr>
        <w:t xml:space="preserve"> </w:t>
      </w:r>
      <w:r w:rsidR="00844034" w:rsidRPr="00B568F3">
        <w:rPr>
          <w:rFonts w:ascii="Arial" w:eastAsia="Calibri" w:hAnsi="Arial" w:cs="Arial"/>
          <w:sz w:val="24"/>
          <w:szCs w:val="24"/>
        </w:rPr>
        <w:t xml:space="preserve">to the workforce development for the social care sector in Wales. </w:t>
      </w:r>
      <w:r w:rsidR="00740421" w:rsidRPr="00B568F3">
        <w:rPr>
          <w:rFonts w:ascii="Arial" w:eastAsia="Calibri" w:hAnsi="Arial" w:cs="Arial"/>
          <w:sz w:val="24"/>
          <w:szCs w:val="24"/>
        </w:rPr>
        <w:t>Also, t</w:t>
      </w:r>
      <w:r w:rsidR="00844034" w:rsidRPr="00B568F3">
        <w:rPr>
          <w:rFonts w:ascii="Arial" w:eastAsia="Calibri" w:hAnsi="Arial" w:cs="Arial"/>
          <w:sz w:val="24"/>
          <w:szCs w:val="24"/>
        </w:rPr>
        <w:t xml:space="preserve">his reporting </w:t>
      </w:r>
      <w:r w:rsidR="000664DB" w:rsidRPr="00B568F3">
        <w:rPr>
          <w:rFonts w:ascii="Arial" w:eastAsia="Calibri" w:hAnsi="Arial" w:cs="Arial"/>
          <w:sz w:val="24"/>
          <w:szCs w:val="24"/>
        </w:rPr>
        <w:t>won’t</w:t>
      </w:r>
      <w:r w:rsidR="00844034" w:rsidRPr="00B568F3">
        <w:rPr>
          <w:rFonts w:ascii="Arial" w:eastAsia="Calibri" w:hAnsi="Arial" w:cs="Arial"/>
          <w:sz w:val="24"/>
          <w:szCs w:val="24"/>
        </w:rPr>
        <w:t xml:space="preserve"> capture the workforce investment made by private and third sector providers. </w:t>
      </w:r>
      <w:r w:rsidR="00BC61B3" w:rsidRPr="00B568F3">
        <w:rPr>
          <w:rFonts w:ascii="Arial" w:eastAsia="Calibri" w:hAnsi="Arial" w:cs="Arial"/>
          <w:sz w:val="24"/>
          <w:szCs w:val="24"/>
        </w:rPr>
        <w:t>We’ll</w:t>
      </w:r>
      <w:r w:rsidR="003D4DB4" w:rsidRPr="00B568F3">
        <w:rPr>
          <w:rFonts w:ascii="Arial" w:eastAsia="Calibri" w:hAnsi="Arial" w:cs="Arial"/>
          <w:sz w:val="24"/>
          <w:szCs w:val="24"/>
        </w:rPr>
        <w:t xml:space="preserve"> explore </w:t>
      </w:r>
      <w:r w:rsidR="007A1ACE" w:rsidRPr="00B568F3">
        <w:rPr>
          <w:rFonts w:ascii="Arial" w:eastAsia="Calibri" w:hAnsi="Arial" w:cs="Arial"/>
          <w:sz w:val="24"/>
          <w:szCs w:val="24"/>
        </w:rPr>
        <w:t xml:space="preserve">the possibilities of building a </w:t>
      </w:r>
      <w:r w:rsidR="00DA2871" w:rsidRPr="00B568F3">
        <w:rPr>
          <w:rFonts w:ascii="Arial" w:eastAsia="Calibri" w:hAnsi="Arial" w:cs="Arial"/>
          <w:sz w:val="24"/>
          <w:szCs w:val="24"/>
        </w:rPr>
        <w:t>fuller</w:t>
      </w:r>
      <w:r w:rsidR="007A1ACE" w:rsidRPr="00B568F3">
        <w:rPr>
          <w:rFonts w:ascii="Arial" w:eastAsia="Calibri" w:hAnsi="Arial" w:cs="Arial"/>
          <w:sz w:val="24"/>
          <w:szCs w:val="24"/>
        </w:rPr>
        <w:t xml:space="preserve"> picture </w:t>
      </w:r>
      <w:r w:rsidR="003D4DB4" w:rsidRPr="00B568F3">
        <w:rPr>
          <w:rFonts w:ascii="Arial" w:eastAsia="Calibri" w:hAnsi="Arial" w:cs="Arial"/>
          <w:sz w:val="24"/>
          <w:szCs w:val="24"/>
        </w:rPr>
        <w:t>with local authorities, regions and Welsh Government</w:t>
      </w:r>
      <w:r w:rsidR="008B6002" w:rsidRPr="00B568F3">
        <w:rPr>
          <w:rFonts w:ascii="Arial" w:eastAsia="Calibri" w:hAnsi="Arial" w:cs="Arial"/>
          <w:sz w:val="24"/>
          <w:szCs w:val="24"/>
        </w:rPr>
        <w:t xml:space="preserve">. </w:t>
      </w:r>
    </w:p>
    <w:p w14:paraId="4ADD9431" w14:textId="77777777" w:rsidR="008038EC" w:rsidRPr="00B568F3" w:rsidRDefault="008038EC" w:rsidP="001501DD">
      <w:pPr>
        <w:pStyle w:val="ListParagraph"/>
        <w:spacing w:after="0" w:line="240" w:lineRule="auto"/>
        <w:ind w:left="786"/>
        <w:rPr>
          <w:rFonts w:ascii="Arial" w:eastAsia="Calibri" w:hAnsi="Arial" w:cs="Arial"/>
          <w:sz w:val="24"/>
          <w:szCs w:val="24"/>
        </w:rPr>
      </w:pPr>
    </w:p>
    <w:p w14:paraId="2F5CA7A8" w14:textId="77777777" w:rsidR="006759E6" w:rsidRPr="00B568F3" w:rsidRDefault="006759E6" w:rsidP="001501DD">
      <w:pPr>
        <w:pStyle w:val="ListParagraph"/>
        <w:spacing w:after="0" w:line="240" w:lineRule="auto"/>
        <w:ind w:left="786"/>
        <w:rPr>
          <w:rFonts w:ascii="Arial" w:eastAsia="Calibri"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96FB7" w:rsidRPr="00B568F3" w14:paraId="462A0931" w14:textId="77777777" w:rsidTr="145DE0D8">
        <w:tc>
          <w:tcPr>
            <w:tcW w:w="9026" w:type="dxa"/>
          </w:tcPr>
          <w:p w14:paraId="4F49F90D" w14:textId="61308FD5" w:rsidR="00D96FB7" w:rsidRPr="00B568F3" w:rsidRDefault="0065048A" w:rsidP="00FC716F">
            <w:pPr>
              <w:contextualSpacing/>
              <w:rPr>
                <w:rFonts w:ascii="Arial" w:eastAsia="Calibri" w:hAnsi="Arial" w:cs="Arial"/>
                <w:b/>
                <w:bCs/>
                <w:sz w:val="24"/>
                <w:szCs w:val="24"/>
              </w:rPr>
            </w:pPr>
            <w:r w:rsidRPr="00B568F3">
              <w:rPr>
                <w:rFonts w:ascii="Arial" w:eastAsia="Calibri" w:hAnsi="Arial" w:cs="Arial"/>
                <w:b/>
                <w:bCs/>
                <w:sz w:val="24"/>
                <w:szCs w:val="24"/>
              </w:rPr>
              <w:t>F</w:t>
            </w:r>
            <w:r w:rsidR="00D96FB7" w:rsidRPr="00B568F3">
              <w:rPr>
                <w:rFonts w:ascii="Arial" w:eastAsia="Calibri" w:hAnsi="Arial" w:cs="Arial"/>
                <w:b/>
                <w:bCs/>
                <w:sz w:val="24"/>
                <w:szCs w:val="24"/>
              </w:rPr>
              <w:t xml:space="preserve">igure 3: </w:t>
            </w:r>
            <w:r w:rsidR="00A22B2B" w:rsidRPr="00B568F3">
              <w:rPr>
                <w:rFonts w:ascii="Arial" w:eastAsia="Calibri" w:hAnsi="Arial" w:cs="Arial"/>
                <w:b/>
                <w:bCs/>
                <w:sz w:val="24"/>
                <w:szCs w:val="24"/>
              </w:rPr>
              <w:t xml:space="preserve">Percentage </w:t>
            </w:r>
            <w:r w:rsidR="00D96FB7" w:rsidRPr="00B568F3">
              <w:rPr>
                <w:rFonts w:ascii="Arial" w:eastAsia="Calibri" w:hAnsi="Arial" w:cs="Arial"/>
                <w:b/>
                <w:bCs/>
                <w:sz w:val="24"/>
                <w:szCs w:val="24"/>
              </w:rPr>
              <w:t>spend split</w:t>
            </w:r>
            <w:r w:rsidR="00A22B2B" w:rsidRPr="00B568F3">
              <w:rPr>
                <w:rFonts w:ascii="Arial" w:eastAsia="Calibri" w:hAnsi="Arial" w:cs="Arial"/>
                <w:b/>
                <w:bCs/>
                <w:sz w:val="24"/>
                <w:szCs w:val="24"/>
              </w:rPr>
              <w:t xml:space="preserve"> by reporting headings</w:t>
            </w:r>
            <w:r w:rsidR="00D96FB7" w:rsidRPr="00B568F3">
              <w:rPr>
                <w:rFonts w:ascii="Arial" w:eastAsia="Calibri" w:hAnsi="Arial" w:cs="Arial"/>
                <w:b/>
                <w:bCs/>
                <w:sz w:val="24"/>
                <w:szCs w:val="24"/>
              </w:rPr>
              <w:t>, 2023</w:t>
            </w:r>
            <w:r w:rsidR="002F44C8" w:rsidRPr="00B568F3">
              <w:rPr>
                <w:rFonts w:ascii="Arial" w:eastAsia="Calibri" w:hAnsi="Arial" w:cs="Arial"/>
                <w:b/>
                <w:bCs/>
                <w:sz w:val="24"/>
                <w:szCs w:val="24"/>
              </w:rPr>
              <w:t xml:space="preserve"> to</w:t>
            </w:r>
            <w:r w:rsidR="00083492" w:rsidRPr="00B568F3">
              <w:rPr>
                <w:rFonts w:ascii="Arial" w:eastAsia="Calibri" w:hAnsi="Arial" w:cs="Arial"/>
                <w:b/>
                <w:bCs/>
                <w:sz w:val="24"/>
                <w:szCs w:val="24"/>
              </w:rPr>
              <w:t xml:space="preserve"> </w:t>
            </w:r>
            <w:r w:rsidR="00D96FB7" w:rsidRPr="00B568F3">
              <w:rPr>
                <w:rFonts w:ascii="Arial" w:eastAsia="Calibri" w:hAnsi="Arial" w:cs="Arial"/>
                <w:b/>
                <w:bCs/>
                <w:sz w:val="24"/>
                <w:szCs w:val="24"/>
              </w:rPr>
              <w:t xml:space="preserve">2024 </w:t>
            </w:r>
          </w:p>
          <w:p w14:paraId="6C7062A7" w14:textId="77777777" w:rsidR="009509B4" w:rsidRPr="00B568F3" w:rsidRDefault="009509B4" w:rsidP="00FC716F">
            <w:pPr>
              <w:contextualSpacing/>
              <w:rPr>
                <w:rFonts w:ascii="Arial" w:eastAsia="Calibri" w:hAnsi="Arial" w:cs="Arial"/>
                <w:b/>
                <w:bCs/>
                <w:sz w:val="24"/>
                <w:szCs w:val="24"/>
              </w:rPr>
            </w:pPr>
          </w:p>
          <w:p w14:paraId="31BF43CF" w14:textId="0AD03D98" w:rsidR="009509B4" w:rsidRPr="00B568F3" w:rsidRDefault="145DE0D8" w:rsidP="00B2131D">
            <w:pPr>
              <w:spacing w:after="200" w:line="276" w:lineRule="auto"/>
              <w:ind w:left="142"/>
              <w:contextualSpacing/>
              <w:rPr>
                <w:rFonts w:ascii="Arial" w:eastAsia="Calibri" w:hAnsi="Arial" w:cs="Arial"/>
                <w:sz w:val="24"/>
                <w:szCs w:val="24"/>
              </w:rPr>
            </w:pPr>
            <w:r w:rsidRPr="00B568F3">
              <w:rPr>
                <w:rFonts w:ascii="Arial" w:eastAsia="Calibri" w:hAnsi="Arial" w:cs="Arial"/>
                <w:sz w:val="24"/>
                <w:szCs w:val="24"/>
              </w:rPr>
              <w:t xml:space="preserve">Figure 3 shows the percentage split of spend across </w:t>
            </w:r>
            <w:r w:rsidR="000064A5" w:rsidRPr="00B568F3">
              <w:rPr>
                <w:rFonts w:ascii="Arial" w:eastAsia="Calibri" w:hAnsi="Arial" w:cs="Arial"/>
                <w:sz w:val="24"/>
                <w:szCs w:val="24"/>
              </w:rPr>
              <w:t>the headings</w:t>
            </w:r>
            <w:r w:rsidRPr="00B568F3">
              <w:rPr>
                <w:rFonts w:ascii="Arial" w:eastAsia="Calibri" w:hAnsi="Arial" w:cs="Arial"/>
                <w:sz w:val="24"/>
                <w:szCs w:val="24"/>
              </w:rPr>
              <w:t xml:space="preserve"> that local authorities need </w:t>
            </w:r>
            <w:r w:rsidR="009509B4" w:rsidRPr="00B568F3" w:rsidDel="145DE0D8">
              <w:rPr>
                <w:rFonts w:ascii="Arial" w:eastAsia="Calibri" w:hAnsi="Arial" w:cs="Arial"/>
                <w:sz w:val="24"/>
                <w:szCs w:val="24"/>
              </w:rPr>
              <w:t>to</w:t>
            </w:r>
            <w:r w:rsidRPr="00B568F3">
              <w:rPr>
                <w:rFonts w:ascii="Arial" w:eastAsia="Calibri" w:hAnsi="Arial" w:cs="Arial"/>
                <w:sz w:val="24"/>
                <w:szCs w:val="24"/>
              </w:rPr>
              <w:t xml:space="preserve"> report on. The SCWWDP figures includes the 30 per cent match funding, while the ‘overall’ figure includes the additional local authority funding above the 30 per cent match funding.</w:t>
            </w:r>
          </w:p>
          <w:p w14:paraId="1973605E" w14:textId="77777777" w:rsidR="009509B4" w:rsidRPr="00B568F3" w:rsidRDefault="009509B4" w:rsidP="00FC716F">
            <w:pPr>
              <w:contextualSpacing/>
              <w:rPr>
                <w:rFonts w:ascii="Arial" w:eastAsia="Calibri" w:hAnsi="Arial" w:cs="Arial"/>
                <w:b/>
                <w:bCs/>
                <w:sz w:val="24"/>
                <w:szCs w:val="24"/>
              </w:rPr>
            </w:pPr>
          </w:p>
          <w:p w14:paraId="63E43DF7" w14:textId="77777777" w:rsidR="00D96FB7" w:rsidRPr="00B568F3" w:rsidRDefault="00D96FB7" w:rsidP="00FC716F">
            <w:pPr>
              <w:spacing w:before="120" w:after="120"/>
              <w:contextualSpacing/>
              <w:rPr>
                <w:rFonts w:ascii="Arial" w:eastAsia="Calibri" w:hAnsi="Arial" w:cs="Arial"/>
                <w:b/>
                <w:bCs/>
                <w:color w:val="FF0000"/>
                <w:sz w:val="24"/>
                <w:szCs w:val="24"/>
              </w:rPr>
            </w:pPr>
          </w:p>
        </w:tc>
      </w:tr>
      <w:tr w:rsidR="00D96FB7" w:rsidRPr="00B568F3" w14:paraId="483BF9AE" w14:textId="77777777" w:rsidTr="145DE0D8">
        <w:tc>
          <w:tcPr>
            <w:tcW w:w="9026" w:type="dxa"/>
          </w:tcPr>
          <w:p w14:paraId="55AF7C2F" w14:textId="3746C4B8" w:rsidR="00D96FB7" w:rsidRPr="00B568F3" w:rsidRDefault="00A22B2B" w:rsidP="00FC716F">
            <w:pPr>
              <w:contextualSpacing/>
              <w:jc w:val="center"/>
              <w:rPr>
                <w:rFonts w:ascii="Arial" w:eastAsia="Calibri" w:hAnsi="Arial" w:cs="Arial"/>
                <w:color w:val="FF0000"/>
                <w:sz w:val="24"/>
                <w:szCs w:val="24"/>
              </w:rPr>
            </w:pPr>
            <w:r w:rsidRPr="00B568F3">
              <w:rPr>
                <w:rFonts w:ascii="Arial" w:eastAsia="Calibri" w:hAnsi="Arial" w:cs="Arial"/>
                <w:noProof/>
                <w:color w:val="FF0000"/>
                <w:sz w:val="24"/>
                <w:szCs w:val="24"/>
              </w:rPr>
              <w:drawing>
                <wp:inline distT="0" distB="0" distL="0" distR="0" wp14:anchorId="30F5A135" wp14:editId="3667FD26">
                  <wp:extent cx="5731200" cy="3744566"/>
                  <wp:effectExtent l="0" t="0" r="3175" b="8890"/>
                  <wp:docPr id="379876766" name="Picture 4" descr="Figure 3: Bar chart showing the percentage spend split by reporting headings, 2023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76766" name="Picture 4" descr="Figure 3: Bar chart showing the percentage spend split by reporting headings, 2023 to 20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200" cy="3744566"/>
                          </a:xfrm>
                          <a:prstGeom prst="rect">
                            <a:avLst/>
                          </a:prstGeom>
                        </pic:spPr>
                      </pic:pic>
                    </a:graphicData>
                  </a:graphic>
                </wp:inline>
              </w:drawing>
            </w:r>
          </w:p>
        </w:tc>
      </w:tr>
    </w:tbl>
    <w:p w14:paraId="0FA47D6E" w14:textId="77777777" w:rsidR="00886290" w:rsidRPr="000C06A7" w:rsidRDefault="00886290" w:rsidP="001501DD">
      <w:pPr>
        <w:ind w:left="66"/>
        <w:rPr>
          <w:rFonts w:ascii="Arial" w:hAnsi="Arial" w:cs="Arial"/>
        </w:rPr>
      </w:pPr>
    </w:p>
    <w:p w14:paraId="7FD27558" w14:textId="48701A0F" w:rsidR="002D1B1F" w:rsidRPr="000C06A7" w:rsidRDefault="002D1B1F" w:rsidP="000C06A7">
      <w:pPr>
        <w:pStyle w:val="Heading3"/>
      </w:pPr>
      <w:bookmarkStart w:id="6" w:name="_Toc179481627"/>
      <w:r w:rsidRPr="000C06A7">
        <w:t>Staffing</w:t>
      </w:r>
      <w:bookmarkEnd w:id="6"/>
    </w:p>
    <w:p w14:paraId="3C7CB008" w14:textId="77777777" w:rsidR="00AD6482" w:rsidRPr="000C06A7" w:rsidRDefault="00AD6482" w:rsidP="001501DD">
      <w:pPr>
        <w:spacing w:after="0"/>
        <w:ind w:left="66"/>
        <w:rPr>
          <w:rFonts w:ascii="Arial" w:hAnsi="Arial" w:cs="Arial"/>
        </w:rPr>
      </w:pPr>
    </w:p>
    <w:p w14:paraId="08000DEB" w14:textId="02D80D75" w:rsidR="00EE33C9" w:rsidRPr="00B568F3" w:rsidRDefault="145DE0D8"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In 2023 to 2024</w:t>
      </w:r>
      <w:r w:rsidR="005B0A8D" w:rsidRPr="00B568F3">
        <w:rPr>
          <w:rFonts w:ascii="Arial" w:eastAsia="Calibri" w:hAnsi="Arial" w:cs="Arial"/>
          <w:sz w:val="24"/>
          <w:szCs w:val="24"/>
        </w:rPr>
        <w:t>,</w:t>
      </w:r>
      <w:r w:rsidRPr="00B568F3">
        <w:rPr>
          <w:rFonts w:ascii="Arial" w:eastAsia="Calibri" w:hAnsi="Arial" w:cs="Arial"/>
          <w:sz w:val="24"/>
          <w:szCs w:val="24"/>
        </w:rPr>
        <w:t xml:space="preserve"> 69.1 per cent of SCWWDP spend was on staffing (this includes delivery, </w:t>
      </w:r>
      <w:r w:rsidR="005A60F9" w:rsidRPr="00B568F3">
        <w:rPr>
          <w:rFonts w:ascii="Arial" w:eastAsia="Calibri" w:hAnsi="Arial" w:cs="Arial"/>
          <w:sz w:val="24"/>
          <w:szCs w:val="24"/>
        </w:rPr>
        <w:t>management,</w:t>
      </w:r>
      <w:r w:rsidRPr="00B568F3">
        <w:rPr>
          <w:rFonts w:ascii="Arial" w:eastAsia="Calibri" w:hAnsi="Arial" w:cs="Arial"/>
          <w:sz w:val="24"/>
          <w:szCs w:val="24"/>
        </w:rPr>
        <w:t xml:space="preserve"> and admin staff) compared to 33.8 per cent of additional local authority funding. Staffing costs make up 64.2 per cent of the overall spend in 2023 to 2024.</w:t>
      </w:r>
    </w:p>
    <w:p w14:paraId="280C468D" w14:textId="77777777" w:rsidR="008D6804" w:rsidRPr="00B568F3" w:rsidRDefault="008D6804" w:rsidP="001501DD">
      <w:pPr>
        <w:spacing w:after="200" w:line="276" w:lineRule="auto"/>
        <w:ind w:left="567"/>
        <w:contextualSpacing/>
        <w:rPr>
          <w:rFonts w:ascii="Arial" w:eastAsia="Calibri" w:hAnsi="Arial" w:cs="Arial"/>
          <w:sz w:val="24"/>
          <w:szCs w:val="24"/>
        </w:rPr>
      </w:pPr>
    </w:p>
    <w:p w14:paraId="5316C5D4" w14:textId="4AEF5D87" w:rsidR="00390081" w:rsidRPr="00B568F3" w:rsidRDefault="145DE0D8"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Figure 4, Figure </w:t>
      </w:r>
      <w:bookmarkStart w:id="7" w:name="_Int_rNjxPd8m"/>
      <w:r w:rsidRPr="00B568F3">
        <w:rPr>
          <w:rFonts w:ascii="Arial" w:eastAsia="Calibri" w:hAnsi="Arial" w:cs="Arial"/>
          <w:sz w:val="24"/>
          <w:szCs w:val="24"/>
          <w:lang w:eastAsia="en-GB"/>
        </w:rPr>
        <w:t>5</w:t>
      </w:r>
      <w:bookmarkEnd w:id="7"/>
      <w:r w:rsidRPr="00B568F3">
        <w:rPr>
          <w:rFonts w:ascii="Arial" w:eastAsia="Calibri" w:hAnsi="Arial" w:cs="Arial"/>
          <w:sz w:val="24"/>
          <w:szCs w:val="24"/>
          <w:lang w:eastAsia="en-GB"/>
        </w:rPr>
        <w:t xml:space="preserve"> and Table 3 show the split of spend against staffing</w:t>
      </w:r>
      <w:r w:rsidR="003676BF" w:rsidRPr="00B568F3" w:rsidDel="145DE0D8">
        <w:rPr>
          <w:rFonts w:ascii="Arial" w:eastAsia="Calibri" w:hAnsi="Arial" w:cs="Arial"/>
          <w:sz w:val="24"/>
          <w:szCs w:val="24"/>
          <w:lang w:eastAsia="en-GB"/>
        </w:rPr>
        <w:t xml:space="preserve"> </w:t>
      </w:r>
      <w:r w:rsidRPr="00B568F3">
        <w:rPr>
          <w:rFonts w:ascii="Arial" w:eastAsia="Calibri" w:hAnsi="Arial" w:cs="Arial"/>
          <w:sz w:val="24"/>
          <w:szCs w:val="24"/>
          <w:lang w:eastAsia="en-GB"/>
        </w:rPr>
        <w:t>in terms of spend, and percentage of the overall grant.</w:t>
      </w:r>
    </w:p>
    <w:p w14:paraId="524696F7" w14:textId="77777777" w:rsidR="008D6804" w:rsidRPr="00B568F3" w:rsidRDefault="008D6804" w:rsidP="001501DD">
      <w:pPr>
        <w:spacing w:after="200" w:line="276" w:lineRule="auto"/>
        <w:ind w:left="567"/>
        <w:contextualSpacing/>
        <w:rPr>
          <w:rFonts w:ascii="Arial" w:eastAsia="Calibri" w:hAnsi="Arial" w:cs="Arial"/>
          <w:sz w:val="24"/>
          <w:szCs w:val="24"/>
          <w:lang w:eastAsia="en-GB"/>
        </w:rPr>
      </w:pPr>
    </w:p>
    <w:p w14:paraId="2F4C64AA" w14:textId="6655EED5" w:rsidR="00F72241" w:rsidRPr="00B568F3" w:rsidRDefault="145DE0D8"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Table 3 shows that the cost to the local authorities administering the SCWWDP grant increased slightly by 0.3 per cent in 2023 to 2024 compared to a 1.9 per cent decrease the previous year. </w:t>
      </w:r>
    </w:p>
    <w:p w14:paraId="20BE96D1" w14:textId="77777777" w:rsidR="00F72241" w:rsidRPr="00B568F3" w:rsidRDefault="00F72241" w:rsidP="001501DD">
      <w:pPr>
        <w:spacing w:after="200" w:line="276" w:lineRule="auto"/>
        <w:ind w:left="567"/>
        <w:contextualSpacing/>
        <w:rPr>
          <w:rFonts w:ascii="Arial" w:eastAsia="Calibri" w:hAnsi="Arial" w:cs="Arial"/>
          <w:sz w:val="24"/>
          <w:szCs w:val="24"/>
          <w:lang w:eastAsia="en-GB"/>
        </w:rPr>
      </w:pPr>
    </w:p>
    <w:p w14:paraId="7DDC9005" w14:textId="0CAF8469" w:rsidR="002D35D3" w:rsidRPr="00B568F3" w:rsidRDefault="005133BF"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Delivery staff costs </w:t>
      </w:r>
      <w:r w:rsidR="00711F13" w:rsidRPr="00B568F3">
        <w:rPr>
          <w:rFonts w:ascii="Arial" w:eastAsia="Calibri" w:hAnsi="Arial" w:cs="Arial"/>
          <w:sz w:val="24"/>
          <w:szCs w:val="24"/>
          <w:lang w:eastAsia="en-GB"/>
        </w:rPr>
        <w:t xml:space="preserve">for </w:t>
      </w:r>
      <w:r w:rsidR="005166C9" w:rsidRPr="00B568F3">
        <w:rPr>
          <w:rFonts w:ascii="Arial" w:eastAsia="Calibri" w:hAnsi="Arial" w:cs="Arial"/>
          <w:sz w:val="24"/>
          <w:szCs w:val="24"/>
          <w:lang w:eastAsia="en-GB"/>
        </w:rPr>
        <w:t xml:space="preserve">the </w:t>
      </w:r>
      <w:r w:rsidR="00711F13" w:rsidRPr="00B568F3">
        <w:rPr>
          <w:rFonts w:ascii="Arial" w:eastAsia="Calibri" w:hAnsi="Arial" w:cs="Arial"/>
          <w:sz w:val="24"/>
          <w:szCs w:val="24"/>
          <w:lang w:eastAsia="en-GB"/>
        </w:rPr>
        <w:t>SCW</w:t>
      </w:r>
      <w:r w:rsidR="2A00F1D0" w:rsidRPr="00B568F3">
        <w:rPr>
          <w:rFonts w:ascii="Arial" w:eastAsia="Calibri" w:hAnsi="Arial" w:cs="Arial"/>
          <w:sz w:val="24"/>
          <w:szCs w:val="24"/>
          <w:lang w:eastAsia="en-GB"/>
        </w:rPr>
        <w:t>W</w:t>
      </w:r>
      <w:r w:rsidR="00711F13" w:rsidRPr="00B568F3">
        <w:rPr>
          <w:rFonts w:ascii="Arial" w:eastAsia="Calibri" w:hAnsi="Arial" w:cs="Arial"/>
          <w:sz w:val="24"/>
          <w:szCs w:val="24"/>
          <w:lang w:eastAsia="en-GB"/>
        </w:rPr>
        <w:t xml:space="preserve">DP </w:t>
      </w:r>
      <w:r w:rsidR="005166C9" w:rsidRPr="00B568F3">
        <w:rPr>
          <w:rFonts w:ascii="Arial" w:eastAsia="Calibri" w:hAnsi="Arial" w:cs="Arial"/>
          <w:sz w:val="24"/>
          <w:szCs w:val="24"/>
          <w:lang w:eastAsia="en-GB"/>
        </w:rPr>
        <w:t xml:space="preserve">grant </w:t>
      </w:r>
      <w:r w:rsidRPr="00B568F3">
        <w:rPr>
          <w:rFonts w:ascii="Arial" w:eastAsia="Calibri" w:hAnsi="Arial" w:cs="Arial"/>
          <w:sz w:val="24"/>
          <w:szCs w:val="24"/>
          <w:lang w:eastAsia="en-GB"/>
        </w:rPr>
        <w:t>have continue</w:t>
      </w:r>
      <w:r w:rsidR="00711F13" w:rsidRPr="00B568F3">
        <w:rPr>
          <w:rFonts w:ascii="Arial" w:eastAsia="Calibri" w:hAnsi="Arial" w:cs="Arial"/>
          <w:sz w:val="24"/>
          <w:szCs w:val="24"/>
          <w:lang w:eastAsia="en-GB"/>
        </w:rPr>
        <w:t>d</w:t>
      </w:r>
      <w:r w:rsidRPr="00B568F3">
        <w:rPr>
          <w:rFonts w:ascii="Arial" w:eastAsia="Calibri" w:hAnsi="Arial" w:cs="Arial"/>
          <w:sz w:val="24"/>
          <w:szCs w:val="24"/>
          <w:lang w:eastAsia="en-GB"/>
        </w:rPr>
        <w:t xml:space="preserve"> to increase</w:t>
      </w:r>
      <w:r w:rsidR="00711F13" w:rsidRPr="00B568F3">
        <w:rPr>
          <w:rFonts w:ascii="Arial" w:eastAsia="Calibri" w:hAnsi="Arial" w:cs="Arial"/>
          <w:sz w:val="24"/>
          <w:szCs w:val="24"/>
          <w:lang w:eastAsia="en-GB"/>
        </w:rPr>
        <w:t>, with a 9.2</w:t>
      </w:r>
      <w:r w:rsidR="00344978" w:rsidRPr="00B568F3">
        <w:rPr>
          <w:rFonts w:ascii="Arial" w:eastAsia="Calibri" w:hAnsi="Arial" w:cs="Arial"/>
          <w:sz w:val="24"/>
          <w:szCs w:val="24"/>
          <w:lang w:eastAsia="en-GB"/>
        </w:rPr>
        <w:t xml:space="preserve"> per cent</w:t>
      </w:r>
      <w:r w:rsidR="00711F13" w:rsidRPr="00B568F3">
        <w:rPr>
          <w:rFonts w:ascii="Arial" w:eastAsia="Calibri" w:hAnsi="Arial" w:cs="Arial"/>
          <w:sz w:val="24"/>
          <w:szCs w:val="24"/>
          <w:lang w:eastAsia="en-GB"/>
        </w:rPr>
        <w:t xml:space="preserve"> increase in 2023</w:t>
      </w:r>
      <w:r w:rsidR="00344978" w:rsidRPr="00B568F3">
        <w:rPr>
          <w:rFonts w:ascii="Arial" w:eastAsia="Calibri" w:hAnsi="Arial" w:cs="Arial"/>
          <w:sz w:val="24"/>
          <w:szCs w:val="24"/>
          <w:lang w:eastAsia="en-GB"/>
        </w:rPr>
        <w:t xml:space="preserve"> to </w:t>
      </w:r>
      <w:r w:rsidR="00711F13" w:rsidRPr="00B568F3">
        <w:rPr>
          <w:rFonts w:ascii="Arial" w:eastAsia="Calibri" w:hAnsi="Arial" w:cs="Arial"/>
          <w:sz w:val="24"/>
          <w:szCs w:val="24"/>
          <w:lang w:eastAsia="en-GB"/>
        </w:rPr>
        <w:t xml:space="preserve">2024 compared to </w:t>
      </w:r>
      <w:r w:rsidR="00FE2825" w:rsidRPr="00B568F3">
        <w:rPr>
          <w:rFonts w:ascii="Arial" w:eastAsia="Calibri" w:hAnsi="Arial" w:cs="Arial"/>
          <w:sz w:val="24"/>
          <w:szCs w:val="24"/>
          <w:lang w:eastAsia="en-GB"/>
        </w:rPr>
        <w:t xml:space="preserve">a </w:t>
      </w:r>
      <w:r w:rsidR="00711F13" w:rsidRPr="00B568F3">
        <w:rPr>
          <w:rFonts w:ascii="Arial" w:eastAsia="Calibri" w:hAnsi="Arial" w:cs="Arial"/>
          <w:sz w:val="24"/>
          <w:szCs w:val="24"/>
          <w:lang w:eastAsia="en-GB"/>
        </w:rPr>
        <w:t>3.9</w:t>
      </w:r>
      <w:r w:rsidR="00344978" w:rsidRPr="00B568F3">
        <w:rPr>
          <w:rFonts w:ascii="Arial" w:eastAsia="Calibri" w:hAnsi="Arial" w:cs="Arial"/>
          <w:sz w:val="24"/>
          <w:szCs w:val="24"/>
          <w:lang w:eastAsia="en-GB"/>
        </w:rPr>
        <w:t xml:space="preserve"> per cent</w:t>
      </w:r>
      <w:r w:rsidR="005A1333" w:rsidRPr="00B568F3">
        <w:rPr>
          <w:rFonts w:ascii="Arial" w:eastAsia="Calibri" w:hAnsi="Arial" w:cs="Arial"/>
          <w:sz w:val="24"/>
          <w:szCs w:val="24"/>
          <w:lang w:eastAsia="en-GB"/>
        </w:rPr>
        <w:t xml:space="preserve"> increase the previous year.</w:t>
      </w:r>
    </w:p>
    <w:p w14:paraId="7DB3BE42" w14:textId="77777777" w:rsidR="007F2498" w:rsidRPr="00B568F3" w:rsidRDefault="007F2498" w:rsidP="00343C94">
      <w:pPr>
        <w:spacing w:after="200" w:line="276" w:lineRule="auto"/>
        <w:ind w:left="567"/>
        <w:contextualSpacing/>
        <w:rPr>
          <w:rFonts w:ascii="Arial" w:eastAsia="Calibri" w:hAnsi="Arial" w:cs="Arial"/>
          <w:sz w:val="24"/>
          <w:szCs w:val="24"/>
          <w:lang w:eastAsia="en-GB"/>
        </w:rPr>
      </w:pPr>
    </w:p>
    <w:p w14:paraId="2CB2C131" w14:textId="4477718F" w:rsidR="005D2CC7" w:rsidRPr="00B568F3" w:rsidRDefault="00C87747"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Delivery staff are</w:t>
      </w:r>
      <w:r w:rsidR="005D2CC7" w:rsidRPr="00B568F3">
        <w:rPr>
          <w:rFonts w:ascii="Arial" w:eastAsia="Calibri" w:hAnsi="Arial" w:cs="Arial"/>
          <w:sz w:val="24"/>
          <w:szCs w:val="24"/>
          <w:lang w:eastAsia="en-GB"/>
        </w:rPr>
        <w:t>:</w:t>
      </w:r>
      <w:r w:rsidRPr="00B568F3" w:rsidDel="007F498F">
        <w:rPr>
          <w:rFonts w:ascii="Arial" w:eastAsia="Calibri" w:hAnsi="Arial" w:cs="Arial"/>
          <w:sz w:val="24"/>
          <w:szCs w:val="24"/>
          <w:lang w:eastAsia="en-GB"/>
        </w:rPr>
        <w:t xml:space="preserve"> </w:t>
      </w:r>
    </w:p>
    <w:p w14:paraId="5F1F3B49" w14:textId="49E81760" w:rsidR="00417896" w:rsidRPr="00B568F3" w:rsidRDefault="00C87747" w:rsidP="00632461">
      <w:pPr>
        <w:pStyle w:val="ListParagraph"/>
        <w:numPr>
          <w:ilvl w:val="0"/>
          <w:numId w:val="28"/>
        </w:numPr>
        <w:spacing w:after="200" w:line="276" w:lineRule="auto"/>
        <w:rPr>
          <w:rFonts w:ascii="Arial" w:eastAsia="Calibri" w:hAnsi="Arial" w:cs="Arial"/>
          <w:sz w:val="24"/>
          <w:szCs w:val="24"/>
          <w:lang w:eastAsia="en-GB"/>
        </w:rPr>
      </w:pPr>
      <w:r w:rsidRPr="00B568F3">
        <w:rPr>
          <w:rFonts w:ascii="Arial" w:eastAsia="Calibri" w:hAnsi="Arial" w:cs="Arial"/>
          <w:sz w:val="24"/>
          <w:szCs w:val="24"/>
          <w:lang w:eastAsia="en-GB"/>
        </w:rPr>
        <w:t xml:space="preserve">staff </w:t>
      </w:r>
      <w:r w:rsidR="001407EF" w:rsidRPr="00B568F3">
        <w:rPr>
          <w:rFonts w:ascii="Arial" w:eastAsia="Calibri" w:hAnsi="Arial" w:cs="Arial"/>
          <w:sz w:val="24"/>
          <w:szCs w:val="24"/>
          <w:lang w:eastAsia="en-GB"/>
        </w:rPr>
        <w:t>employed to provide learning and development</w:t>
      </w:r>
    </w:p>
    <w:p w14:paraId="39B55CBE" w14:textId="1F5D0E26" w:rsidR="007F2498" w:rsidRPr="00B568F3" w:rsidRDefault="00F310D7" w:rsidP="00632461">
      <w:pPr>
        <w:pStyle w:val="ListParagraph"/>
        <w:numPr>
          <w:ilvl w:val="0"/>
          <w:numId w:val="28"/>
        </w:numPr>
        <w:spacing w:after="200" w:line="276" w:lineRule="auto"/>
        <w:rPr>
          <w:rFonts w:ascii="Arial" w:eastAsia="Calibri" w:hAnsi="Arial" w:cs="Arial"/>
          <w:sz w:val="24"/>
          <w:szCs w:val="24"/>
          <w:lang w:eastAsia="en-GB"/>
        </w:rPr>
      </w:pPr>
      <w:r w:rsidRPr="00B568F3">
        <w:rPr>
          <w:rFonts w:ascii="Arial" w:eastAsia="Calibri" w:hAnsi="Arial" w:cs="Arial"/>
          <w:sz w:val="24"/>
          <w:szCs w:val="24"/>
          <w:lang w:eastAsia="en-GB"/>
        </w:rPr>
        <w:t>staff</w:t>
      </w:r>
      <w:r w:rsidR="00C6529E" w:rsidRPr="00B568F3">
        <w:rPr>
          <w:rFonts w:ascii="Arial" w:eastAsia="Calibri" w:hAnsi="Arial" w:cs="Arial"/>
          <w:sz w:val="24"/>
          <w:szCs w:val="24"/>
          <w:lang w:eastAsia="en-GB"/>
        </w:rPr>
        <w:t xml:space="preserve"> </w:t>
      </w:r>
      <w:r w:rsidR="00BB2263" w:rsidRPr="00B568F3">
        <w:rPr>
          <w:rFonts w:ascii="Arial" w:eastAsia="Calibri" w:hAnsi="Arial" w:cs="Arial"/>
          <w:sz w:val="24"/>
          <w:szCs w:val="24"/>
          <w:lang w:eastAsia="en-GB"/>
        </w:rPr>
        <w:t>who</w:t>
      </w:r>
      <w:r w:rsidR="00C6529E" w:rsidRPr="00B568F3">
        <w:rPr>
          <w:rFonts w:ascii="Arial" w:eastAsia="Calibri" w:hAnsi="Arial" w:cs="Arial"/>
          <w:sz w:val="24"/>
          <w:szCs w:val="24"/>
          <w:lang w:eastAsia="en-GB"/>
        </w:rPr>
        <w:t xml:space="preserve"> provide</w:t>
      </w:r>
      <w:r w:rsidR="001407EF" w:rsidRPr="00B568F3" w:rsidDel="00417896">
        <w:rPr>
          <w:rFonts w:ascii="Arial" w:eastAsia="Calibri" w:hAnsi="Arial" w:cs="Arial"/>
          <w:sz w:val="24"/>
          <w:szCs w:val="24"/>
          <w:lang w:eastAsia="en-GB"/>
        </w:rPr>
        <w:t xml:space="preserve"> </w:t>
      </w:r>
      <w:r w:rsidR="001407EF" w:rsidRPr="00B568F3">
        <w:rPr>
          <w:rFonts w:ascii="Arial" w:eastAsia="Calibri" w:hAnsi="Arial" w:cs="Arial"/>
          <w:sz w:val="24"/>
          <w:szCs w:val="24"/>
          <w:lang w:eastAsia="en-GB"/>
        </w:rPr>
        <w:t>work-based and practice-based assessment</w:t>
      </w:r>
      <w:r w:rsidR="00886985" w:rsidRPr="00B568F3">
        <w:rPr>
          <w:rFonts w:ascii="Arial" w:eastAsia="Calibri" w:hAnsi="Arial" w:cs="Arial"/>
          <w:sz w:val="24"/>
          <w:szCs w:val="24"/>
          <w:lang w:eastAsia="en-GB"/>
        </w:rPr>
        <w:t>s</w:t>
      </w:r>
      <w:r w:rsidR="001407EF" w:rsidRPr="00B568F3">
        <w:rPr>
          <w:rFonts w:ascii="Arial" w:eastAsia="Calibri" w:hAnsi="Arial" w:cs="Arial"/>
          <w:sz w:val="24"/>
          <w:szCs w:val="24"/>
          <w:lang w:eastAsia="en-GB"/>
        </w:rPr>
        <w:t>, including accredited qualification assessment</w:t>
      </w:r>
      <w:r w:rsidR="00BB2263" w:rsidRPr="00B568F3">
        <w:rPr>
          <w:rFonts w:ascii="Arial" w:eastAsia="Calibri" w:hAnsi="Arial" w:cs="Arial"/>
          <w:sz w:val="24"/>
          <w:szCs w:val="24"/>
          <w:lang w:eastAsia="en-GB"/>
        </w:rPr>
        <w:t>. They</w:t>
      </w:r>
      <w:r w:rsidR="00231F96" w:rsidRPr="00B568F3">
        <w:rPr>
          <w:rFonts w:ascii="Arial" w:eastAsia="Calibri" w:hAnsi="Arial" w:cs="Arial"/>
          <w:sz w:val="24"/>
          <w:szCs w:val="24"/>
          <w:lang w:eastAsia="en-GB"/>
        </w:rPr>
        <w:t xml:space="preserve"> should be delivering training for </w:t>
      </w:r>
      <w:r w:rsidR="0042599A" w:rsidRPr="00B568F3">
        <w:rPr>
          <w:rFonts w:ascii="Arial" w:eastAsia="Calibri" w:hAnsi="Arial" w:cs="Arial"/>
          <w:sz w:val="24"/>
          <w:szCs w:val="24"/>
          <w:lang w:eastAsia="en-GB"/>
        </w:rPr>
        <w:t>the statutory and non-statutory workforce</w:t>
      </w:r>
      <w:r w:rsidR="009D66F1" w:rsidRPr="00B568F3">
        <w:rPr>
          <w:rFonts w:ascii="Arial" w:eastAsia="Calibri" w:hAnsi="Arial" w:cs="Arial"/>
          <w:sz w:val="24"/>
          <w:szCs w:val="24"/>
          <w:lang w:eastAsia="en-GB"/>
        </w:rPr>
        <w:t xml:space="preserve"> </w:t>
      </w:r>
      <w:r w:rsidR="00903705" w:rsidRPr="00B568F3">
        <w:rPr>
          <w:rFonts w:ascii="Arial" w:eastAsia="Calibri" w:hAnsi="Arial" w:cs="Arial"/>
          <w:sz w:val="24"/>
          <w:szCs w:val="24"/>
          <w:lang w:eastAsia="en-GB"/>
        </w:rPr>
        <w:t>at the local level</w:t>
      </w:r>
      <w:r w:rsidR="00C87747" w:rsidRPr="00B568F3">
        <w:rPr>
          <w:rFonts w:ascii="Arial" w:eastAsia="Calibri" w:hAnsi="Arial" w:cs="Arial"/>
          <w:sz w:val="24"/>
          <w:szCs w:val="24"/>
          <w:lang w:eastAsia="en-GB"/>
        </w:rPr>
        <w:t>.</w:t>
      </w:r>
      <w:r w:rsidR="007E3AC7" w:rsidRPr="00B568F3">
        <w:rPr>
          <w:rFonts w:ascii="Arial" w:eastAsia="Calibri" w:hAnsi="Arial" w:cs="Arial"/>
          <w:sz w:val="24"/>
          <w:szCs w:val="24"/>
          <w:lang w:eastAsia="en-GB"/>
        </w:rPr>
        <w:t xml:space="preserve"> </w:t>
      </w:r>
      <w:r w:rsidR="001D1F33" w:rsidRPr="00B568F3">
        <w:rPr>
          <w:rFonts w:ascii="Arial" w:eastAsia="Calibri" w:hAnsi="Arial" w:cs="Arial"/>
          <w:sz w:val="24"/>
          <w:szCs w:val="24"/>
          <w:lang w:eastAsia="en-GB"/>
        </w:rPr>
        <w:t>The</w:t>
      </w:r>
      <w:r w:rsidR="00B2274B" w:rsidRPr="00B568F3">
        <w:rPr>
          <w:rFonts w:ascii="Arial" w:eastAsia="Calibri" w:hAnsi="Arial" w:cs="Arial"/>
          <w:sz w:val="24"/>
          <w:szCs w:val="24"/>
          <w:lang w:eastAsia="en-GB"/>
        </w:rPr>
        <w:t>y</w:t>
      </w:r>
      <w:r w:rsidR="001D1F33" w:rsidRPr="00B568F3">
        <w:rPr>
          <w:rFonts w:ascii="Arial" w:eastAsia="Calibri" w:hAnsi="Arial" w:cs="Arial"/>
          <w:sz w:val="24"/>
          <w:szCs w:val="24"/>
          <w:lang w:eastAsia="en-GB"/>
        </w:rPr>
        <w:t xml:space="preserve"> could also be delivering </w:t>
      </w:r>
      <w:r w:rsidR="00915F87" w:rsidRPr="00B568F3">
        <w:rPr>
          <w:rFonts w:ascii="Arial" w:eastAsia="Calibri" w:hAnsi="Arial" w:cs="Arial"/>
          <w:sz w:val="24"/>
          <w:szCs w:val="24"/>
          <w:lang w:eastAsia="en-GB"/>
        </w:rPr>
        <w:t xml:space="preserve">workforce development activities </w:t>
      </w:r>
      <w:r w:rsidR="00C53A34" w:rsidRPr="00B568F3">
        <w:rPr>
          <w:rFonts w:ascii="Arial" w:eastAsia="Calibri" w:hAnsi="Arial" w:cs="Arial"/>
          <w:sz w:val="24"/>
          <w:szCs w:val="24"/>
          <w:lang w:eastAsia="en-GB"/>
        </w:rPr>
        <w:t>that align with the national priorities.</w:t>
      </w:r>
    </w:p>
    <w:p w14:paraId="214FCCB3" w14:textId="3588F5CE" w:rsidR="00C83861" w:rsidRPr="00B568F3" w:rsidRDefault="00E03F2D"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T</w:t>
      </w:r>
      <w:r w:rsidR="00A11AC2" w:rsidRPr="00B568F3">
        <w:rPr>
          <w:rFonts w:ascii="Arial" w:eastAsia="Calibri" w:hAnsi="Arial" w:cs="Arial"/>
          <w:sz w:val="24"/>
          <w:szCs w:val="24"/>
          <w:lang w:eastAsia="en-GB"/>
        </w:rPr>
        <w:t xml:space="preserve">he grant circular </w:t>
      </w:r>
      <w:r w:rsidRPr="00B568F3">
        <w:rPr>
          <w:rFonts w:ascii="Arial" w:eastAsia="Calibri" w:hAnsi="Arial" w:cs="Arial"/>
          <w:sz w:val="24"/>
          <w:szCs w:val="24"/>
          <w:lang w:eastAsia="en-GB"/>
        </w:rPr>
        <w:t>s</w:t>
      </w:r>
      <w:r w:rsidR="00074845" w:rsidRPr="00B568F3">
        <w:rPr>
          <w:rFonts w:ascii="Arial" w:eastAsia="Calibri" w:hAnsi="Arial" w:cs="Arial"/>
          <w:sz w:val="24"/>
          <w:szCs w:val="24"/>
          <w:lang w:eastAsia="en-GB"/>
        </w:rPr>
        <w:t>ays</w:t>
      </w:r>
      <w:r w:rsidRPr="00B568F3">
        <w:rPr>
          <w:rFonts w:ascii="Arial" w:eastAsia="Calibri" w:hAnsi="Arial" w:cs="Arial"/>
          <w:sz w:val="24"/>
          <w:szCs w:val="24"/>
          <w:lang w:eastAsia="en-GB"/>
        </w:rPr>
        <w:t xml:space="preserve"> </w:t>
      </w:r>
      <w:r w:rsidR="00A11AC2" w:rsidRPr="00B568F3">
        <w:rPr>
          <w:rFonts w:ascii="Arial" w:eastAsia="Calibri" w:hAnsi="Arial" w:cs="Arial"/>
          <w:sz w:val="24"/>
          <w:szCs w:val="24"/>
          <w:lang w:eastAsia="en-GB"/>
        </w:rPr>
        <w:t xml:space="preserve">that </w:t>
      </w:r>
      <w:r w:rsidR="00375959" w:rsidRPr="00B568F3">
        <w:rPr>
          <w:rFonts w:ascii="Arial" w:eastAsia="Calibri" w:hAnsi="Arial" w:cs="Arial"/>
          <w:sz w:val="24"/>
          <w:szCs w:val="24"/>
          <w:lang w:eastAsia="en-GB"/>
        </w:rPr>
        <w:t xml:space="preserve">the largest proportion of the grant must be </w:t>
      </w:r>
      <w:r w:rsidR="00074845" w:rsidRPr="00B568F3">
        <w:rPr>
          <w:rFonts w:ascii="Arial" w:eastAsia="Calibri" w:hAnsi="Arial" w:cs="Arial"/>
          <w:sz w:val="24"/>
          <w:szCs w:val="24"/>
          <w:lang w:eastAsia="en-GB"/>
        </w:rPr>
        <w:t>used</w:t>
      </w:r>
      <w:r w:rsidR="00375959" w:rsidRPr="00B568F3">
        <w:rPr>
          <w:rFonts w:ascii="Arial" w:eastAsia="Calibri" w:hAnsi="Arial" w:cs="Arial"/>
          <w:sz w:val="24"/>
          <w:szCs w:val="24"/>
          <w:lang w:eastAsia="en-GB"/>
        </w:rPr>
        <w:t xml:space="preserve"> for learning</w:t>
      </w:r>
      <w:r w:rsidR="00074845" w:rsidRPr="00B568F3">
        <w:rPr>
          <w:rFonts w:ascii="Arial" w:eastAsia="Calibri" w:hAnsi="Arial" w:cs="Arial"/>
          <w:sz w:val="24"/>
          <w:szCs w:val="24"/>
          <w:lang w:eastAsia="en-GB"/>
        </w:rPr>
        <w:t>,</w:t>
      </w:r>
      <w:r w:rsidR="00375959" w:rsidRPr="00B568F3" w:rsidDel="00074845">
        <w:rPr>
          <w:rFonts w:ascii="Arial" w:eastAsia="Calibri" w:hAnsi="Arial" w:cs="Arial"/>
          <w:sz w:val="24"/>
          <w:szCs w:val="24"/>
          <w:lang w:eastAsia="en-GB"/>
        </w:rPr>
        <w:t xml:space="preserve"> </w:t>
      </w:r>
      <w:r w:rsidR="005A60F9" w:rsidRPr="00B568F3">
        <w:rPr>
          <w:rFonts w:ascii="Arial" w:eastAsia="Calibri" w:hAnsi="Arial" w:cs="Arial"/>
          <w:sz w:val="24"/>
          <w:szCs w:val="24"/>
          <w:lang w:eastAsia="en-GB"/>
        </w:rPr>
        <w:t>development,</w:t>
      </w:r>
      <w:r w:rsidR="00375959" w:rsidRPr="00B568F3">
        <w:rPr>
          <w:rFonts w:ascii="Arial" w:eastAsia="Calibri" w:hAnsi="Arial" w:cs="Arial"/>
          <w:sz w:val="24"/>
          <w:szCs w:val="24"/>
          <w:lang w:eastAsia="en-GB"/>
        </w:rPr>
        <w:t xml:space="preserve"> and qualifications (including costs of staff to deliver training)</w:t>
      </w:r>
      <w:r w:rsidR="00A11AC2" w:rsidRPr="00B568F3">
        <w:rPr>
          <w:rFonts w:ascii="Arial" w:eastAsia="Calibri" w:hAnsi="Arial" w:cs="Arial"/>
          <w:sz w:val="24"/>
          <w:szCs w:val="24"/>
          <w:lang w:eastAsia="en-GB"/>
        </w:rPr>
        <w:t xml:space="preserve">. </w:t>
      </w:r>
    </w:p>
    <w:p w14:paraId="118DFBCB" w14:textId="77777777" w:rsidR="002D35D3" w:rsidRPr="00B568F3" w:rsidRDefault="002D35D3" w:rsidP="00343C94">
      <w:pPr>
        <w:spacing w:after="200" w:line="276" w:lineRule="auto"/>
        <w:ind w:left="567"/>
        <w:contextualSpacing/>
        <w:rPr>
          <w:rFonts w:ascii="Arial" w:eastAsia="Calibri" w:hAnsi="Arial" w:cs="Arial"/>
          <w:sz w:val="24"/>
          <w:szCs w:val="24"/>
          <w:lang w:eastAsia="en-GB"/>
        </w:rPr>
      </w:pPr>
    </w:p>
    <w:p w14:paraId="19F1FA83" w14:textId="054654DB" w:rsidR="000F51A5" w:rsidRPr="00B568F3" w:rsidRDefault="005E7FAF"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L</w:t>
      </w:r>
      <w:r w:rsidR="002B6FA1" w:rsidRPr="00B568F3">
        <w:rPr>
          <w:rFonts w:ascii="Arial" w:eastAsia="Calibri" w:hAnsi="Arial" w:cs="Arial"/>
          <w:sz w:val="24"/>
          <w:szCs w:val="24"/>
          <w:lang w:eastAsia="en-GB"/>
        </w:rPr>
        <w:t>ocal authority</w:t>
      </w:r>
      <w:r w:rsidRPr="00B568F3">
        <w:rPr>
          <w:rFonts w:ascii="Arial" w:eastAsia="Calibri" w:hAnsi="Arial" w:cs="Arial"/>
          <w:sz w:val="24"/>
          <w:szCs w:val="24"/>
          <w:lang w:eastAsia="en-GB"/>
        </w:rPr>
        <w:t xml:space="preserve"> additional funding </w:t>
      </w:r>
      <w:r w:rsidR="003676BF" w:rsidRPr="00B568F3">
        <w:rPr>
          <w:rFonts w:ascii="Arial" w:eastAsia="Calibri" w:hAnsi="Arial" w:cs="Arial"/>
          <w:sz w:val="24"/>
          <w:szCs w:val="24"/>
          <w:lang w:eastAsia="en-GB"/>
        </w:rPr>
        <w:t>over and above the 30</w:t>
      </w:r>
      <w:r w:rsidR="00885084" w:rsidRPr="00B568F3">
        <w:rPr>
          <w:rFonts w:ascii="Arial" w:eastAsia="Calibri" w:hAnsi="Arial" w:cs="Arial"/>
          <w:sz w:val="24"/>
          <w:szCs w:val="24"/>
          <w:lang w:eastAsia="en-GB"/>
        </w:rPr>
        <w:t xml:space="preserve"> per cent</w:t>
      </w:r>
      <w:r w:rsidR="003676BF" w:rsidRPr="00B568F3" w:rsidDel="000F5E73">
        <w:rPr>
          <w:rFonts w:ascii="Arial" w:eastAsia="Calibri" w:hAnsi="Arial" w:cs="Arial"/>
          <w:sz w:val="24"/>
          <w:szCs w:val="24"/>
          <w:lang w:eastAsia="en-GB"/>
        </w:rPr>
        <w:t xml:space="preserve"> </w:t>
      </w:r>
      <w:r w:rsidR="003676BF" w:rsidRPr="00B568F3">
        <w:rPr>
          <w:rFonts w:ascii="Arial" w:eastAsia="Calibri" w:hAnsi="Arial" w:cs="Arial"/>
          <w:sz w:val="24"/>
          <w:szCs w:val="24"/>
          <w:lang w:eastAsia="en-GB"/>
        </w:rPr>
        <w:t xml:space="preserve">match funding shows </w:t>
      </w:r>
      <w:r w:rsidR="00244CF6" w:rsidRPr="00B568F3">
        <w:rPr>
          <w:rFonts w:ascii="Arial" w:eastAsia="Calibri" w:hAnsi="Arial" w:cs="Arial"/>
          <w:sz w:val="24"/>
          <w:szCs w:val="24"/>
          <w:lang w:eastAsia="en-GB"/>
        </w:rPr>
        <w:t>a 6.4</w:t>
      </w:r>
      <w:r w:rsidR="000F5E73" w:rsidRPr="00B568F3">
        <w:rPr>
          <w:rFonts w:ascii="Arial" w:eastAsia="Calibri" w:hAnsi="Arial" w:cs="Arial"/>
          <w:sz w:val="24"/>
          <w:szCs w:val="24"/>
          <w:lang w:eastAsia="en-GB"/>
        </w:rPr>
        <w:t xml:space="preserve"> per cent</w:t>
      </w:r>
      <w:r w:rsidR="009827F1" w:rsidRPr="00B568F3">
        <w:rPr>
          <w:rFonts w:ascii="Arial" w:eastAsia="Calibri" w:hAnsi="Arial" w:cs="Arial"/>
          <w:sz w:val="24"/>
          <w:szCs w:val="24"/>
          <w:lang w:eastAsia="en-GB"/>
        </w:rPr>
        <w:t xml:space="preserve"> decrease in management and administration </w:t>
      </w:r>
      <w:r w:rsidR="00DD0061" w:rsidRPr="00B568F3">
        <w:rPr>
          <w:rFonts w:ascii="Arial" w:eastAsia="Calibri" w:hAnsi="Arial" w:cs="Arial"/>
          <w:sz w:val="24"/>
          <w:szCs w:val="24"/>
          <w:lang w:eastAsia="en-GB"/>
        </w:rPr>
        <w:t xml:space="preserve">costs </w:t>
      </w:r>
      <w:r w:rsidR="009827F1" w:rsidRPr="00B568F3">
        <w:rPr>
          <w:rFonts w:ascii="Arial" w:eastAsia="Calibri" w:hAnsi="Arial" w:cs="Arial"/>
          <w:sz w:val="24"/>
          <w:szCs w:val="24"/>
          <w:lang w:eastAsia="en-GB"/>
        </w:rPr>
        <w:t xml:space="preserve">and a </w:t>
      </w:r>
      <w:r w:rsidR="00275DBB" w:rsidRPr="00B568F3">
        <w:rPr>
          <w:rFonts w:ascii="Arial" w:eastAsia="Calibri" w:hAnsi="Arial" w:cs="Arial"/>
          <w:sz w:val="24"/>
          <w:szCs w:val="24"/>
          <w:lang w:eastAsia="en-GB"/>
        </w:rPr>
        <w:t>60.1</w:t>
      </w:r>
      <w:r w:rsidR="00885084" w:rsidRPr="00B568F3">
        <w:rPr>
          <w:rFonts w:ascii="Arial" w:eastAsia="Calibri" w:hAnsi="Arial" w:cs="Arial"/>
          <w:sz w:val="24"/>
          <w:szCs w:val="24"/>
          <w:lang w:eastAsia="en-GB"/>
        </w:rPr>
        <w:t xml:space="preserve"> per cent</w:t>
      </w:r>
      <w:r w:rsidR="00275DBB" w:rsidRPr="00B568F3">
        <w:rPr>
          <w:rFonts w:ascii="Arial" w:eastAsia="Calibri" w:hAnsi="Arial" w:cs="Arial"/>
          <w:sz w:val="24"/>
          <w:szCs w:val="24"/>
          <w:lang w:eastAsia="en-GB"/>
        </w:rPr>
        <w:t xml:space="preserve"> decrease in delivery staff costs</w:t>
      </w:r>
      <w:r w:rsidR="3E338CD7" w:rsidRPr="00B568F3">
        <w:rPr>
          <w:rFonts w:ascii="Arial" w:eastAsia="Calibri" w:hAnsi="Arial" w:cs="Arial"/>
          <w:sz w:val="24"/>
          <w:szCs w:val="24"/>
          <w:lang w:eastAsia="en-GB"/>
        </w:rPr>
        <w:t xml:space="preserve">. </w:t>
      </w:r>
      <w:r w:rsidR="00D320E2" w:rsidRPr="00B568F3">
        <w:rPr>
          <w:rFonts w:ascii="Arial" w:eastAsia="Calibri" w:hAnsi="Arial" w:cs="Arial"/>
          <w:sz w:val="24"/>
          <w:szCs w:val="24"/>
          <w:lang w:eastAsia="en-GB"/>
        </w:rPr>
        <w:t>As noted</w:t>
      </w:r>
      <w:r w:rsidR="002B73D8" w:rsidRPr="00B568F3">
        <w:rPr>
          <w:rFonts w:ascii="Arial" w:eastAsia="Calibri" w:hAnsi="Arial" w:cs="Arial"/>
          <w:sz w:val="24"/>
          <w:szCs w:val="24"/>
          <w:lang w:eastAsia="en-GB"/>
        </w:rPr>
        <w:t xml:space="preserve"> above,</w:t>
      </w:r>
      <w:r w:rsidR="00D320E2" w:rsidRPr="00B568F3">
        <w:rPr>
          <w:rFonts w:ascii="Arial" w:eastAsia="Calibri" w:hAnsi="Arial" w:cs="Arial"/>
          <w:sz w:val="24"/>
          <w:szCs w:val="24"/>
          <w:lang w:eastAsia="en-GB"/>
        </w:rPr>
        <w:t xml:space="preserve"> the additional </w:t>
      </w:r>
      <w:r w:rsidR="000F5E73" w:rsidRPr="00B568F3">
        <w:rPr>
          <w:rFonts w:ascii="Arial" w:eastAsia="Calibri" w:hAnsi="Arial" w:cs="Arial"/>
          <w:sz w:val="24"/>
          <w:szCs w:val="24"/>
          <w:lang w:eastAsia="en-GB"/>
        </w:rPr>
        <w:t>local authority</w:t>
      </w:r>
      <w:r w:rsidR="00D320E2" w:rsidRPr="00B568F3">
        <w:rPr>
          <w:rFonts w:ascii="Arial" w:eastAsia="Calibri" w:hAnsi="Arial" w:cs="Arial"/>
          <w:sz w:val="24"/>
          <w:szCs w:val="24"/>
          <w:lang w:eastAsia="en-GB"/>
        </w:rPr>
        <w:t xml:space="preserve"> </w:t>
      </w:r>
      <w:r w:rsidR="006F3FC9" w:rsidRPr="00B568F3">
        <w:rPr>
          <w:rFonts w:ascii="Arial" w:eastAsia="Calibri" w:hAnsi="Arial" w:cs="Arial"/>
          <w:sz w:val="24"/>
          <w:szCs w:val="24"/>
          <w:lang w:eastAsia="en-GB"/>
        </w:rPr>
        <w:t>funding</w:t>
      </w:r>
      <w:r w:rsidR="00D320E2" w:rsidRPr="00B568F3">
        <w:rPr>
          <w:rFonts w:ascii="Arial" w:eastAsia="Calibri" w:hAnsi="Arial" w:cs="Arial"/>
          <w:sz w:val="24"/>
          <w:szCs w:val="24"/>
          <w:lang w:eastAsia="en-GB"/>
        </w:rPr>
        <w:t xml:space="preserve"> data is</w:t>
      </w:r>
      <w:r w:rsidR="000F5E73" w:rsidRPr="00B568F3">
        <w:rPr>
          <w:rFonts w:ascii="Arial" w:eastAsia="Calibri" w:hAnsi="Arial" w:cs="Arial"/>
          <w:sz w:val="24"/>
          <w:szCs w:val="24"/>
          <w:lang w:eastAsia="en-GB"/>
        </w:rPr>
        <w:t>n’t</w:t>
      </w:r>
      <w:r w:rsidR="00D320E2" w:rsidRPr="00B568F3" w:rsidDel="000F5E73">
        <w:rPr>
          <w:rFonts w:ascii="Arial" w:eastAsia="Calibri" w:hAnsi="Arial" w:cs="Arial"/>
          <w:sz w:val="24"/>
          <w:szCs w:val="24"/>
          <w:lang w:eastAsia="en-GB"/>
        </w:rPr>
        <w:t xml:space="preserve"> </w:t>
      </w:r>
      <w:r w:rsidR="002B73D8" w:rsidRPr="00B568F3">
        <w:rPr>
          <w:rFonts w:ascii="Arial" w:eastAsia="Calibri" w:hAnsi="Arial" w:cs="Arial"/>
          <w:sz w:val="24"/>
          <w:szCs w:val="24"/>
          <w:lang w:eastAsia="en-GB"/>
        </w:rPr>
        <w:t>always provided</w:t>
      </w:r>
      <w:r w:rsidR="000245BA" w:rsidRPr="00B568F3">
        <w:rPr>
          <w:rFonts w:ascii="Arial" w:eastAsia="Calibri" w:hAnsi="Arial" w:cs="Arial"/>
          <w:sz w:val="24"/>
          <w:szCs w:val="24"/>
          <w:lang w:eastAsia="en-GB"/>
        </w:rPr>
        <w:t xml:space="preserve">, </w:t>
      </w:r>
      <w:r w:rsidR="00D320E2" w:rsidRPr="00B568F3">
        <w:rPr>
          <w:rFonts w:ascii="Arial" w:eastAsia="Calibri" w:hAnsi="Arial" w:cs="Arial"/>
          <w:sz w:val="24"/>
          <w:szCs w:val="24"/>
          <w:lang w:eastAsia="en-GB"/>
        </w:rPr>
        <w:t>and</w:t>
      </w:r>
      <w:r w:rsidR="0000525B" w:rsidRPr="00B568F3">
        <w:rPr>
          <w:rFonts w:ascii="Arial" w:eastAsia="Calibri" w:hAnsi="Arial" w:cs="Arial"/>
          <w:sz w:val="24"/>
          <w:szCs w:val="24"/>
          <w:lang w:eastAsia="en-GB"/>
        </w:rPr>
        <w:t xml:space="preserve"> the trend here </w:t>
      </w:r>
      <w:r w:rsidR="004845FC" w:rsidRPr="00B568F3">
        <w:rPr>
          <w:rFonts w:ascii="Arial" w:eastAsia="Calibri" w:hAnsi="Arial" w:cs="Arial"/>
          <w:sz w:val="24"/>
          <w:szCs w:val="24"/>
          <w:lang w:eastAsia="en-GB"/>
        </w:rPr>
        <w:t>isn</w:t>
      </w:r>
      <w:r w:rsidR="00046BAC" w:rsidRPr="00B568F3">
        <w:rPr>
          <w:rFonts w:ascii="Arial" w:eastAsia="Calibri" w:hAnsi="Arial" w:cs="Arial"/>
          <w:sz w:val="24"/>
          <w:szCs w:val="24"/>
          <w:lang w:eastAsia="en-GB"/>
        </w:rPr>
        <w:t>’</w:t>
      </w:r>
      <w:r w:rsidR="004845FC" w:rsidRPr="00B568F3">
        <w:rPr>
          <w:rFonts w:ascii="Arial" w:eastAsia="Calibri" w:hAnsi="Arial" w:cs="Arial"/>
          <w:sz w:val="24"/>
          <w:szCs w:val="24"/>
          <w:lang w:eastAsia="en-GB"/>
        </w:rPr>
        <w:t xml:space="preserve">t </w:t>
      </w:r>
      <w:r w:rsidR="0000525B" w:rsidRPr="00B568F3">
        <w:rPr>
          <w:rFonts w:ascii="Arial" w:eastAsia="Calibri" w:hAnsi="Arial" w:cs="Arial"/>
          <w:sz w:val="24"/>
          <w:szCs w:val="24"/>
          <w:lang w:eastAsia="en-GB"/>
        </w:rPr>
        <w:t>a true reflection of</w:t>
      </w:r>
      <w:r w:rsidR="000F5E73" w:rsidRPr="00B568F3">
        <w:rPr>
          <w:rFonts w:ascii="Arial" w:eastAsia="Calibri" w:hAnsi="Arial" w:cs="Arial"/>
          <w:sz w:val="24"/>
          <w:szCs w:val="24"/>
          <w:lang w:eastAsia="en-GB"/>
        </w:rPr>
        <w:t xml:space="preserve"> the</w:t>
      </w:r>
      <w:r w:rsidR="0000525B" w:rsidRPr="00B568F3">
        <w:rPr>
          <w:rFonts w:ascii="Arial" w:eastAsia="Calibri" w:hAnsi="Arial" w:cs="Arial"/>
          <w:sz w:val="24"/>
          <w:szCs w:val="24"/>
          <w:lang w:eastAsia="en-GB"/>
        </w:rPr>
        <w:t xml:space="preserve"> </w:t>
      </w:r>
      <w:r w:rsidR="009238BB" w:rsidRPr="00B568F3">
        <w:rPr>
          <w:rFonts w:ascii="Arial" w:eastAsia="Calibri" w:hAnsi="Arial" w:cs="Arial"/>
          <w:sz w:val="24"/>
          <w:szCs w:val="24"/>
          <w:lang w:eastAsia="en-GB"/>
        </w:rPr>
        <w:t>total spend</w:t>
      </w:r>
      <w:r w:rsidR="00E23232" w:rsidRPr="00B568F3">
        <w:rPr>
          <w:rFonts w:ascii="Arial" w:eastAsia="Calibri" w:hAnsi="Arial" w:cs="Arial"/>
          <w:sz w:val="24"/>
          <w:szCs w:val="24"/>
          <w:lang w:eastAsia="en-GB"/>
        </w:rPr>
        <w:t>.</w:t>
      </w:r>
      <w:r w:rsidR="0000525B" w:rsidRPr="00B568F3">
        <w:rPr>
          <w:rFonts w:ascii="Arial" w:eastAsia="Calibri" w:hAnsi="Arial" w:cs="Arial"/>
          <w:sz w:val="24"/>
          <w:szCs w:val="24"/>
          <w:lang w:eastAsia="en-GB"/>
        </w:rPr>
        <w:t xml:space="preserve"> </w:t>
      </w:r>
      <w:r w:rsidR="000F51A5" w:rsidRPr="00B568F3">
        <w:rPr>
          <w:rFonts w:ascii="Arial" w:eastAsia="Calibri" w:hAnsi="Arial" w:cs="Arial"/>
          <w:sz w:val="24"/>
          <w:szCs w:val="24"/>
          <w:lang w:eastAsia="en-GB"/>
        </w:rPr>
        <w:t xml:space="preserve">For example, there are some roles within </w:t>
      </w:r>
      <w:r w:rsidR="00DA25BC" w:rsidRPr="00B568F3">
        <w:rPr>
          <w:rFonts w:ascii="Arial" w:eastAsia="Calibri" w:hAnsi="Arial" w:cs="Arial"/>
          <w:sz w:val="24"/>
          <w:szCs w:val="24"/>
          <w:lang w:eastAsia="en-GB"/>
        </w:rPr>
        <w:t>l</w:t>
      </w:r>
      <w:r w:rsidR="00C41274" w:rsidRPr="00B568F3">
        <w:rPr>
          <w:rFonts w:ascii="Arial" w:eastAsia="Calibri" w:hAnsi="Arial" w:cs="Arial"/>
          <w:sz w:val="24"/>
          <w:szCs w:val="24"/>
          <w:lang w:eastAsia="en-GB"/>
        </w:rPr>
        <w:t xml:space="preserve">ocal </w:t>
      </w:r>
      <w:r w:rsidR="00DA25BC" w:rsidRPr="00B568F3">
        <w:rPr>
          <w:rFonts w:ascii="Arial" w:eastAsia="Calibri" w:hAnsi="Arial" w:cs="Arial"/>
          <w:sz w:val="24"/>
          <w:szCs w:val="24"/>
          <w:lang w:eastAsia="en-GB"/>
        </w:rPr>
        <w:t>a</w:t>
      </w:r>
      <w:r w:rsidR="00C41274" w:rsidRPr="00B568F3">
        <w:rPr>
          <w:rFonts w:ascii="Arial" w:eastAsia="Calibri" w:hAnsi="Arial" w:cs="Arial"/>
          <w:sz w:val="24"/>
          <w:szCs w:val="24"/>
          <w:lang w:eastAsia="en-GB"/>
        </w:rPr>
        <w:t xml:space="preserve">uthorities </w:t>
      </w:r>
      <w:r w:rsidR="00DA25BC" w:rsidRPr="00B568F3">
        <w:rPr>
          <w:rFonts w:ascii="Arial" w:eastAsia="Calibri" w:hAnsi="Arial" w:cs="Arial"/>
          <w:sz w:val="24"/>
          <w:szCs w:val="24"/>
          <w:lang w:eastAsia="en-GB"/>
        </w:rPr>
        <w:t>that support the social care workforce</w:t>
      </w:r>
      <w:r w:rsidR="009238BB" w:rsidRPr="00B568F3">
        <w:rPr>
          <w:rFonts w:ascii="Arial" w:eastAsia="Calibri" w:hAnsi="Arial" w:cs="Arial"/>
          <w:sz w:val="24"/>
          <w:szCs w:val="24"/>
          <w:lang w:eastAsia="en-GB"/>
        </w:rPr>
        <w:t>, but they w</w:t>
      </w:r>
      <w:r w:rsidR="00046BAC" w:rsidRPr="00B568F3">
        <w:rPr>
          <w:rFonts w:ascii="Arial" w:eastAsia="Calibri" w:hAnsi="Arial" w:cs="Arial"/>
          <w:sz w:val="24"/>
          <w:szCs w:val="24"/>
          <w:lang w:eastAsia="en-GB"/>
        </w:rPr>
        <w:t>on’t</w:t>
      </w:r>
      <w:r w:rsidR="00F90BCD" w:rsidRPr="00B568F3">
        <w:rPr>
          <w:rFonts w:ascii="Arial" w:eastAsia="Calibri" w:hAnsi="Arial" w:cs="Arial"/>
          <w:sz w:val="24"/>
          <w:szCs w:val="24"/>
          <w:lang w:eastAsia="en-GB"/>
        </w:rPr>
        <w:t xml:space="preserve"> be </w:t>
      </w:r>
      <w:r w:rsidR="009238BB" w:rsidRPr="00B568F3">
        <w:rPr>
          <w:rFonts w:ascii="Arial" w:eastAsia="Calibri" w:hAnsi="Arial" w:cs="Arial"/>
          <w:sz w:val="24"/>
          <w:szCs w:val="24"/>
          <w:lang w:eastAsia="en-GB"/>
        </w:rPr>
        <w:t>reported as they</w:t>
      </w:r>
      <w:r w:rsidR="000F5E73" w:rsidRPr="00B568F3">
        <w:rPr>
          <w:rFonts w:ascii="Arial" w:eastAsia="Calibri" w:hAnsi="Arial" w:cs="Arial"/>
          <w:sz w:val="24"/>
          <w:szCs w:val="24"/>
          <w:lang w:eastAsia="en-GB"/>
        </w:rPr>
        <w:t>’</w:t>
      </w:r>
      <w:r w:rsidR="009238BB" w:rsidRPr="00B568F3">
        <w:rPr>
          <w:rFonts w:ascii="Arial" w:eastAsia="Calibri" w:hAnsi="Arial" w:cs="Arial"/>
          <w:sz w:val="24"/>
          <w:szCs w:val="24"/>
          <w:lang w:eastAsia="en-GB"/>
        </w:rPr>
        <w:t xml:space="preserve">re </w:t>
      </w:r>
      <w:r w:rsidR="000F51A5" w:rsidRPr="00B568F3">
        <w:rPr>
          <w:rFonts w:ascii="Arial" w:eastAsia="Calibri" w:hAnsi="Arial" w:cs="Arial"/>
          <w:sz w:val="24"/>
          <w:szCs w:val="24"/>
          <w:lang w:eastAsia="en-GB"/>
        </w:rPr>
        <w:t>fully funded</w:t>
      </w:r>
      <w:r w:rsidR="000F5E73" w:rsidRPr="00B568F3">
        <w:rPr>
          <w:rFonts w:ascii="Arial" w:eastAsia="Calibri" w:hAnsi="Arial" w:cs="Arial"/>
          <w:sz w:val="24"/>
          <w:szCs w:val="24"/>
          <w:lang w:eastAsia="en-GB"/>
        </w:rPr>
        <w:t xml:space="preserve"> by the local authority</w:t>
      </w:r>
      <w:r w:rsidR="000F51A5" w:rsidRPr="00B568F3">
        <w:rPr>
          <w:rFonts w:ascii="Arial" w:eastAsia="Calibri" w:hAnsi="Arial" w:cs="Arial"/>
          <w:sz w:val="24"/>
          <w:szCs w:val="24"/>
          <w:lang w:eastAsia="en-GB"/>
        </w:rPr>
        <w:t xml:space="preserve">. </w:t>
      </w:r>
    </w:p>
    <w:p w14:paraId="3922CCED" w14:textId="735ADD4D" w:rsidR="00731443" w:rsidRPr="00B568F3" w:rsidRDefault="00731443" w:rsidP="00343C94">
      <w:pPr>
        <w:pStyle w:val="ListParagraph"/>
        <w:ind w:left="786"/>
        <w:rPr>
          <w:rFonts w:ascii="Arial" w:hAnsi="Arial" w:cs="Arial"/>
          <w:sz w:val="24"/>
          <w:szCs w:val="24"/>
        </w:rPr>
      </w:pPr>
    </w:p>
    <w:p w14:paraId="6C114FB4" w14:textId="77777777" w:rsidR="007D25E7" w:rsidRPr="00B568F3" w:rsidRDefault="007D25E7" w:rsidP="00343C94">
      <w:pPr>
        <w:pStyle w:val="ListParagraph"/>
        <w:ind w:left="786"/>
        <w:rPr>
          <w:rFonts w:ascii="Arial" w:hAnsi="Arial" w:cs="Arial"/>
          <w:sz w:val="24"/>
          <w:szCs w:val="24"/>
        </w:rPr>
      </w:pPr>
    </w:p>
    <w:p w14:paraId="6E8F0565" w14:textId="77777777" w:rsidR="007D25E7" w:rsidRPr="00B568F3" w:rsidRDefault="007D25E7" w:rsidP="00343C94">
      <w:pPr>
        <w:pStyle w:val="ListParagraph"/>
        <w:ind w:left="786"/>
        <w:rPr>
          <w:rFonts w:ascii="Arial" w:hAnsi="Arial" w:cs="Arial"/>
          <w:sz w:val="24"/>
          <w:szCs w:val="24"/>
        </w:rPr>
      </w:pPr>
    </w:p>
    <w:p w14:paraId="1DB6A468" w14:textId="77777777" w:rsidR="007D25E7" w:rsidRPr="00B568F3" w:rsidRDefault="007D25E7" w:rsidP="00343C94">
      <w:pPr>
        <w:pStyle w:val="ListParagraph"/>
        <w:ind w:left="786"/>
        <w:rPr>
          <w:rFonts w:ascii="Arial" w:hAnsi="Arial" w:cs="Arial"/>
          <w:sz w:val="24"/>
          <w:szCs w:val="24"/>
        </w:rPr>
      </w:pPr>
    </w:p>
    <w:p w14:paraId="3BD2982F" w14:textId="77777777" w:rsidR="007D25E7" w:rsidRPr="00B568F3" w:rsidRDefault="007D25E7" w:rsidP="00343C94">
      <w:pPr>
        <w:pStyle w:val="ListParagraph"/>
        <w:ind w:left="786"/>
        <w:rPr>
          <w:rFonts w:ascii="Arial" w:hAnsi="Arial" w:cs="Arial"/>
          <w:sz w:val="24"/>
          <w:szCs w:val="24"/>
        </w:rPr>
      </w:pPr>
    </w:p>
    <w:p w14:paraId="2186F5E1" w14:textId="77777777" w:rsidR="007D25E7" w:rsidRPr="00B568F3" w:rsidRDefault="007D25E7" w:rsidP="00343C94">
      <w:pPr>
        <w:pStyle w:val="ListParagraph"/>
        <w:ind w:left="786"/>
        <w:rPr>
          <w:rFonts w:ascii="Arial" w:hAnsi="Arial" w:cs="Arial"/>
          <w:sz w:val="24"/>
          <w:szCs w:val="24"/>
        </w:rPr>
      </w:pPr>
    </w:p>
    <w:p w14:paraId="514B1F6A" w14:textId="77777777" w:rsidR="007D25E7" w:rsidRPr="00B568F3" w:rsidRDefault="007D25E7" w:rsidP="00343C94">
      <w:pPr>
        <w:pStyle w:val="ListParagraph"/>
        <w:ind w:left="786"/>
        <w:rPr>
          <w:rFonts w:ascii="Arial" w:hAnsi="Arial" w:cs="Arial"/>
          <w:sz w:val="24"/>
          <w:szCs w:val="24"/>
        </w:rPr>
      </w:pPr>
    </w:p>
    <w:p w14:paraId="4130DDAC" w14:textId="77777777" w:rsidR="007D25E7" w:rsidRPr="00B568F3" w:rsidRDefault="007D25E7" w:rsidP="00343C94">
      <w:pPr>
        <w:pStyle w:val="ListParagraph"/>
        <w:ind w:left="786"/>
        <w:rPr>
          <w:rFonts w:ascii="Arial" w:hAnsi="Arial" w:cs="Arial"/>
          <w:sz w:val="24"/>
          <w:szCs w:val="24"/>
        </w:rPr>
      </w:pPr>
    </w:p>
    <w:p w14:paraId="0B945CDB" w14:textId="77777777" w:rsidR="007D25E7" w:rsidRPr="00B568F3" w:rsidRDefault="007D25E7" w:rsidP="00343C94">
      <w:pPr>
        <w:pStyle w:val="ListParagraph"/>
        <w:ind w:left="786"/>
        <w:rPr>
          <w:rFonts w:ascii="Arial" w:hAnsi="Arial" w:cs="Arial"/>
          <w:sz w:val="24"/>
          <w:szCs w:val="24"/>
        </w:rPr>
      </w:pPr>
    </w:p>
    <w:p w14:paraId="54EB8C8A" w14:textId="77777777" w:rsidR="007D25E7" w:rsidRPr="00B568F3" w:rsidRDefault="007D25E7" w:rsidP="00343C94">
      <w:pPr>
        <w:pStyle w:val="ListParagraph"/>
        <w:ind w:left="786"/>
        <w:rPr>
          <w:rFonts w:ascii="Arial" w:hAnsi="Arial" w:cs="Arial"/>
          <w:sz w:val="24"/>
          <w:szCs w:val="24"/>
        </w:rPr>
      </w:pPr>
    </w:p>
    <w:p w14:paraId="46BA7A9B" w14:textId="77777777" w:rsidR="007D25E7" w:rsidRPr="00B568F3" w:rsidRDefault="007D25E7" w:rsidP="00343C94">
      <w:pPr>
        <w:pStyle w:val="ListParagraph"/>
        <w:ind w:left="786"/>
        <w:rPr>
          <w:rFonts w:ascii="Arial" w:hAnsi="Arial" w:cs="Arial"/>
          <w:sz w:val="24"/>
          <w:szCs w:val="24"/>
        </w:rPr>
      </w:pPr>
    </w:p>
    <w:p w14:paraId="0902F103" w14:textId="77777777" w:rsidR="007D25E7" w:rsidRPr="00B568F3" w:rsidRDefault="007D25E7" w:rsidP="00343C94">
      <w:pPr>
        <w:pStyle w:val="ListParagraph"/>
        <w:ind w:left="786"/>
        <w:rPr>
          <w:rFonts w:ascii="Arial" w:hAnsi="Arial" w:cs="Arial"/>
          <w:sz w:val="24"/>
          <w:szCs w:val="24"/>
        </w:rPr>
      </w:pPr>
    </w:p>
    <w:p w14:paraId="579CC3F0" w14:textId="77777777" w:rsidR="007D25E7" w:rsidRPr="00B568F3" w:rsidRDefault="007D25E7" w:rsidP="00343C94">
      <w:pPr>
        <w:pStyle w:val="ListParagraph"/>
        <w:ind w:left="786"/>
        <w:rPr>
          <w:rFonts w:ascii="Arial" w:hAnsi="Arial" w:cs="Arial"/>
          <w:sz w:val="24"/>
          <w:szCs w:val="24"/>
        </w:rPr>
      </w:pPr>
    </w:p>
    <w:p w14:paraId="1ACFC187" w14:textId="77777777" w:rsidR="007D25E7" w:rsidRPr="00B568F3" w:rsidRDefault="007D25E7" w:rsidP="00343C94">
      <w:pPr>
        <w:pStyle w:val="ListParagraph"/>
        <w:ind w:left="786"/>
        <w:rPr>
          <w:rFonts w:ascii="Arial" w:hAnsi="Arial" w:cs="Arial"/>
          <w:sz w:val="24"/>
          <w:szCs w:val="24"/>
        </w:rPr>
      </w:pPr>
    </w:p>
    <w:p w14:paraId="52BF6E1A" w14:textId="77777777" w:rsidR="007D25E7" w:rsidRPr="00B568F3" w:rsidRDefault="007D25E7" w:rsidP="00343C94">
      <w:pPr>
        <w:pStyle w:val="ListParagraph"/>
        <w:ind w:left="786"/>
        <w:rPr>
          <w:rFonts w:ascii="Arial" w:hAnsi="Arial" w:cs="Arial"/>
          <w:sz w:val="24"/>
          <w:szCs w:val="24"/>
        </w:rPr>
      </w:pPr>
    </w:p>
    <w:p w14:paraId="5BEA088F" w14:textId="77777777" w:rsidR="00170E30" w:rsidRPr="00B568F3" w:rsidRDefault="00170E30" w:rsidP="00343C94">
      <w:pPr>
        <w:pStyle w:val="ListParagraph"/>
        <w:ind w:left="786"/>
        <w:rPr>
          <w:rFonts w:ascii="Arial" w:hAnsi="Arial" w:cs="Arial"/>
          <w:sz w:val="24"/>
          <w:szCs w:val="24"/>
        </w:rPr>
      </w:pPr>
    </w:p>
    <w:p w14:paraId="3AFC9C0F" w14:textId="77777777" w:rsidR="007D25E7" w:rsidRPr="00B568F3" w:rsidRDefault="007D25E7" w:rsidP="00343C94">
      <w:pPr>
        <w:pStyle w:val="ListParagraph"/>
        <w:ind w:left="786"/>
        <w:rPr>
          <w:rFonts w:ascii="Arial" w:hAnsi="Arial" w:cs="Arial"/>
          <w:sz w:val="24"/>
          <w:szCs w:val="24"/>
        </w:rPr>
      </w:pPr>
    </w:p>
    <w:p w14:paraId="731E6CF0" w14:textId="77777777" w:rsidR="007D25E7" w:rsidRPr="00B568F3" w:rsidRDefault="007D25E7" w:rsidP="00343C94">
      <w:pPr>
        <w:pStyle w:val="ListParagraph"/>
        <w:ind w:left="786"/>
        <w:rPr>
          <w:rFonts w:ascii="Arial" w:hAnsi="Arial" w:cs="Arial"/>
          <w:sz w:val="24"/>
          <w:szCs w:val="24"/>
        </w:rPr>
      </w:pPr>
    </w:p>
    <w:p w14:paraId="3FBF932E" w14:textId="77777777" w:rsidR="007D25E7" w:rsidRPr="00B568F3" w:rsidRDefault="007D25E7" w:rsidP="00343C94">
      <w:pPr>
        <w:pStyle w:val="ListParagraph"/>
        <w:ind w:left="786"/>
        <w:rPr>
          <w:rFonts w:ascii="Arial" w:hAnsi="Arial" w:cs="Arial"/>
          <w:sz w:val="24"/>
          <w:szCs w:val="24"/>
        </w:rPr>
      </w:pPr>
    </w:p>
    <w:p w14:paraId="44D428FC" w14:textId="77777777" w:rsidR="007D25E7" w:rsidRPr="00B568F3" w:rsidRDefault="007D25E7" w:rsidP="00343C94">
      <w:pPr>
        <w:pStyle w:val="ListParagraph"/>
        <w:ind w:left="786"/>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34EE2" w:rsidRPr="00B568F3" w14:paraId="7F144B82" w14:textId="77777777" w:rsidTr="00343C94">
        <w:tc>
          <w:tcPr>
            <w:tcW w:w="9026" w:type="dxa"/>
          </w:tcPr>
          <w:p w14:paraId="6717E536" w14:textId="76320390" w:rsidR="00334EE2" w:rsidRPr="00B568F3" w:rsidRDefault="00334EE2" w:rsidP="00FC716F">
            <w:pPr>
              <w:contextualSpacing/>
              <w:rPr>
                <w:rFonts w:ascii="Arial" w:eastAsia="Calibri" w:hAnsi="Arial" w:cs="Arial"/>
                <w:b/>
                <w:bCs/>
                <w:sz w:val="24"/>
                <w:szCs w:val="24"/>
              </w:rPr>
            </w:pPr>
            <w:r w:rsidRPr="00B568F3">
              <w:rPr>
                <w:rFonts w:ascii="Arial" w:eastAsia="Calibri" w:hAnsi="Arial" w:cs="Arial"/>
                <w:b/>
                <w:bCs/>
                <w:sz w:val="24"/>
                <w:szCs w:val="24"/>
              </w:rPr>
              <w:t xml:space="preserve">Figure </w:t>
            </w:r>
            <w:r w:rsidR="007951E2" w:rsidRPr="00B568F3">
              <w:rPr>
                <w:rFonts w:ascii="Arial" w:eastAsia="Calibri" w:hAnsi="Arial" w:cs="Arial"/>
                <w:b/>
                <w:bCs/>
                <w:sz w:val="24"/>
                <w:szCs w:val="24"/>
              </w:rPr>
              <w:t>4</w:t>
            </w:r>
            <w:r w:rsidRPr="00B568F3">
              <w:rPr>
                <w:rFonts w:ascii="Arial" w:eastAsia="Calibri" w:hAnsi="Arial" w:cs="Arial"/>
                <w:b/>
                <w:bCs/>
                <w:sz w:val="24"/>
                <w:szCs w:val="24"/>
              </w:rPr>
              <w:t xml:space="preserve">: </w:t>
            </w:r>
            <w:r w:rsidR="00847037" w:rsidRPr="00B568F3">
              <w:rPr>
                <w:rFonts w:ascii="Arial" w:eastAsia="Calibri" w:hAnsi="Arial" w:cs="Arial"/>
                <w:b/>
                <w:bCs/>
                <w:sz w:val="24"/>
                <w:szCs w:val="24"/>
              </w:rPr>
              <w:t>Spend on staffing, 2</w:t>
            </w:r>
            <w:r w:rsidRPr="00B568F3">
              <w:rPr>
                <w:rFonts w:ascii="Arial" w:eastAsia="Calibri" w:hAnsi="Arial" w:cs="Arial"/>
                <w:b/>
                <w:bCs/>
                <w:sz w:val="24"/>
                <w:szCs w:val="24"/>
              </w:rPr>
              <w:t>023</w:t>
            </w:r>
            <w:r w:rsidR="00885084" w:rsidRPr="00B568F3">
              <w:rPr>
                <w:rFonts w:ascii="Arial" w:eastAsia="Calibri" w:hAnsi="Arial" w:cs="Arial"/>
                <w:b/>
                <w:bCs/>
                <w:sz w:val="24"/>
                <w:szCs w:val="24"/>
              </w:rPr>
              <w:t xml:space="preserve"> to </w:t>
            </w:r>
            <w:r w:rsidRPr="00B568F3">
              <w:rPr>
                <w:rFonts w:ascii="Arial" w:eastAsia="Calibri" w:hAnsi="Arial" w:cs="Arial"/>
                <w:b/>
                <w:bCs/>
                <w:sz w:val="24"/>
                <w:szCs w:val="24"/>
              </w:rPr>
              <w:t xml:space="preserve">2024 </w:t>
            </w:r>
          </w:p>
          <w:p w14:paraId="1AC1277B" w14:textId="77777777" w:rsidR="00334EE2" w:rsidRPr="00B568F3" w:rsidRDefault="00334EE2" w:rsidP="00FC716F">
            <w:pPr>
              <w:spacing w:before="120" w:after="120"/>
              <w:contextualSpacing/>
              <w:rPr>
                <w:rFonts w:ascii="Arial" w:eastAsia="Calibri" w:hAnsi="Arial" w:cs="Arial"/>
                <w:b/>
                <w:bCs/>
                <w:color w:val="FF0000"/>
                <w:sz w:val="24"/>
                <w:szCs w:val="24"/>
              </w:rPr>
            </w:pPr>
          </w:p>
        </w:tc>
      </w:tr>
      <w:tr w:rsidR="00334EE2" w:rsidRPr="00B568F3" w14:paraId="7E464D78" w14:textId="77777777" w:rsidTr="00343C94">
        <w:tc>
          <w:tcPr>
            <w:tcW w:w="9026" w:type="dxa"/>
          </w:tcPr>
          <w:p w14:paraId="48A1B269" w14:textId="2D68C361" w:rsidR="00334EE2" w:rsidRPr="00B568F3" w:rsidRDefault="00814694" w:rsidP="00FC716F">
            <w:pPr>
              <w:contextualSpacing/>
              <w:jc w:val="center"/>
              <w:rPr>
                <w:rFonts w:ascii="Arial" w:eastAsia="Calibri" w:hAnsi="Arial" w:cs="Arial"/>
                <w:color w:val="FF0000"/>
                <w:sz w:val="24"/>
                <w:szCs w:val="24"/>
              </w:rPr>
            </w:pPr>
            <w:r w:rsidRPr="00B568F3">
              <w:rPr>
                <w:rFonts w:ascii="Arial" w:eastAsia="Calibri" w:hAnsi="Arial" w:cs="Arial"/>
                <w:noProof/>
                <w:color w:val="FF0000"/>
                <w:sz w:val="24"/>
                <w:szCs w:val="24"/>
              </w:rPr>
              <w:drawing>
                <wp:inline distT="0" distB="0" distL="0" distR="0" wp14:anchorId="4DFDC505" wp14:editId="0C79140C">
                  <wp:extent cx="5731510" cy="3740785"/>
                  <wp:effectExtent l="0" t="0" r="2540" b="0"/>
                  <wp:docPr id="1060196081" name="Picture 1" descr="Figure 4: Bar chart showing spend on staffing, 2023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96081" name="Picture 1" descr="Figure 4: Bar chart showing spend on staffing, 2023 to 202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740785"/>
                          </a:xfrm>
                          <a:prstGeom prst="rect">
                            <a:avLst/>
                          </a:prstGeom>
                        </pic:spPr>
                      </pic:pic>
                    </a:graphicData>
                  </a:graphic>
                </wp:inline>
              </w:drawing>
            </w:r>
          </w:p>
        </w:tc>
      </w:tr>
    </w:tbl>
    <w:p w14:paraId="5DB39504" w14:textId="703B1FC6" w:rsidR="5EF60A1F" w:rsidRPr="000C06A7" w:rsidRDefault="5EF60A1F" w:rsidP="001501DD">
      <w:pPr>
        <w:ind w:left="66"/>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951E2" w:rsidRPr="00B568F3" w14:paraId="75F453F8" w14:textId="77777777" w:rsidTr="001501DD">
        <w:tc>
          <w:tcPr>
            <w:tcW w:w="9026" w:type="dxa"/>
          </w:tcPr>
          <w:p w14:paraId="6CF01A82" w14:textId="77BF9961" w:rsidR="007951E2" w:rsidRPr="00B568F3" w:rsidRDefault="007951E2" w:rsidP="00FC716F">
            <w:pPr>
              <w:contextualSpacing/>
              <w:rPr>
                <w:rFonts w:ascii="Arial" w:eastAsia="Calibri" w:hAnsi="Arial" w:cs="Arial"/>
                <w:b/>
                <w:bCs/>
                <w:sz w:val="24"/>
                <w:szCs w:val="24"/>
              </w:rPr>
            </w:pPr>
            <w:r w:rsidRPr="00B568F3">
              <w:rPr>
                <w:rFonts w:ascii="Arial" w:eastAsia="Calibri" w:hAnsi="Arial" w:cs="Arial"/>
                <w:b/>
                <w:bCs/>
                <w:sz w:val="24"/>
                <w:szCs w:val="24"/>
              </w:rPr>
              <w:t xml:space="preserve">Figure </w:t>
            </w:r>
            <w:r w:rsidR="00784FE5" w:rsidRPr="00B568F3">
              <w:rPr>
                <w:rFonts w:ascii="Arial" w:eastAsia="Calibri" w:hAnsi="Arial" w:cs="Arial"/>
                <w:b/>
                <w:bCs/>
                <w:sz w:val="24"/>
                <w:szCs w:val="24"/>
              </w:rPr>
              <w:t>5</w:t>
            </w:r>
            <w:r w:rsidRPr="00B568F3">
              <w:rPr>
                <w:rFonts w:ascii="Arial" w:eastAsia="Calibri" w:hAnsi="Arial" w:cs="Arial"/>
                <w:b/>
                <w:bCs/>
                <w:sz w:val="24"/>
                <w:szCs w:val="24"/>
              </w:rPr>
              <w:t xml:space="preserve">: </w:t>
            </w:r>
            <w:r w:rsidR="00B3389A" w:rsidRPr="00B568F3">
              <w:rPr>
                <w:rFonts w:ascii="Arial" w:eastAsia="Calibri" w:hAnsi="Arial" w:cs="Arial"/>
                <w:b/>
                <w:bCs/>
                <w:sz w:val="24"/>
                <w:szCs w:val="24"/>
              </w:rPr>
              <w:t>Percentage s</w:t>
            </w:r>
            <w:r w:rsidRPr="00B568F3">
              <w:rPr>
                <w:rFonts w:ascii="Arial" w:eastAsia="Calibri" w:hAnsi="Arial" w:cs="Arial"/>
                <w:b/>
                <w:bCs/>
                <w:sz w:val="24"/>
                <w:szCs w:val="24"/>
              </w:rPr>
              <w:t>pend on staffing, 2023</w:t>
            </w:r>
            <w:r w:rsidR="00B62C77" w:rsidRPr="00B568F3">
              <w:rPr>
                <w:rFonts w:ascii="Arial" w:eastAsia="Calibri" w:hAnsi="Arial" w:cs="Arial"/>
                <w:b/>
                <w:bCs/>
                <w:sz w:val="24"/>
                <w:szCs w:val="24"/>
              </w:rPr>
              <w:t xml:space="preserve"> to </w:t>
            </w:r>
            <w:r w:rsidRPr="00B568F3">
              <w:rPr>
                <w:rFonts w:ascii="Arial" w:eastAsia="Calibri" w:hAnsi="Arial" w:cs="Arial"/>
                <w:b/>
                <w:bCs/>
                <w:sz w:val="24"/>
                <w:szCs w:val="24"/>
              </w:rPr>
              <w:t xml:space="preserve">2024 </w:t>
            </w:r>
          </w:p>
          <w:p w14:paraId="5235D334" w14:textId="77777777" w:rsidR="007951E2" w:rsidRPr="00B568F3" w:rsidRDefault="007951E2" w:rsidP="00FC716F">
            <w:pPr>
              <w:spacing w:before="120" w:after="120"/>
              <w:contextualSpacing/>
              <w:rPr>
                <w:rFonts w:ascii="Arial" w:eastAsia="Calibri" w:hAnsi="Arial" w:cs="Arial"/>
                <w:b/>
                <w:bCs/>
                <w:color w:val="FF0000"/>
                <w:sz w:val="24"/>
                <w:szCs w:val="24"/>
              </w:rPr>
            </w:pPr>
          </w:p>
        </w:tc>
      </w:tr>
      <w:tr w:rsidR="007951E2" w:rsidRPr="00B568F3" w14:paraId="585391AB" w14:textId="77777777" w:rsidTr="001501DD">
        <w:tc>
          <w:tcPr>
            <w:tcW w:w="9026" w:type="dxa"/>
          </w:tcPr>
          <w:p w14:paraId="39464861" w14:textId="67342955" w:rsidR="007951E2" w:rsidRPr="00B568F3" w:rsidRDefault="00B3389A" w:rsidP="00FC716F">
            <w:pPr>
              <w:contextualSpacing/>
              <w:jc w:val="center"/>
              <w:rPr>
                <w:rFonts w:ascii="Arial" w:eastAsia="Calibri" w:hAnsi="Arial" w:cs="Arial"/>
                <w:color w:val="FF0000"/>
                <w:sz w:val="24"/>
                <w:szCs w:val="24"/>
              </w:rPr>
            </w:pPr>
            <w:r w:rsidRPr="00B568F3">
              <w:rPr>
                <w:rFonts w:ascii="Arial" w:eastAsia="Calibri" w:hAnsi="Arial" w:cs="Arial"/>
                <w:noProof/>
                <w:color w:val="FF0000"/>
                <w:sz w:val="24"/>
                <w:szCs w:val="24"/>
              </w:rPr>
              <w:drawing>
                <wp:inline distT="0" distB="0" distL="0" distR="0" wp14:anchorId="572296B1" wp14:editId="0B80CDE0">
                  <wp:extent cx="5731200" cy="3744566"/>
                  <wp:effectExtent l="0" t="0" r="3175" b="8890"/>
                  <wp:docPr id="953641607" name="Picture 2" descr="Figure 5: Bar chart showing spend on staffing, 2023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41607" name="Picture 2" descr="Figure 5: Bar chart showing spend on staffing, 2023 to 20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200" cy="3744566"/>
                          </a:xfrm>
                          <a:prstGeom prst="rect">
                            <a:avLst/>
                          </a:prstGeom>
                        </pic:spPr>
                      </pic:pic>
                    </a:graphicData>
                  </a:graphic>
                </wp:inline>
              </w:drawing>
            </w:r>
          </w:p>
        </w:tc>
      </w:tr>
    </w:tbl>
    <w:p w14:paraId="0B386EA5" w14:textId="77777777" w:rsidR="00A12D19" w:rsidRPr="00B568F3" w:rsidRDefault="00A12D19" w:rsidP="00343C94">
      <w:pPr>
        <w:spacing w:after="0" w:line="240" w:lineRule="auto"/>
        <w:ind w:left="66"/>
        <w:contextualSpacing/>
        <w:rPr>
          <w:rFonts w:ascii="Arial" w:eastAsia="Calibri" w:hAnsi="Arial" w:cs="Arial"/>
          <w:b/>
          <w:bCs/>
          <w:sz w:val="24"/>
          <w:szCs w:val="24"/>
          <w:lang w:eastAsia="en-GB"/>
        </w:rPr>
      </w:pPr>
    </w:p>
    <w:p w14:paraId="2BCD6B3C" w14:textId="77777777" w:rsidR="00A12D19" w:rsidRPr="00B568F3" w:rsidRDefault="00A12D19" w:rsidP="00343C94">
      <w:pPr>
        <w:spacing w:after="0" w:line="240" w:lineRule="auto"/>
        <w:ind w:left="66"/>
        <w:contextualSpacing/>
        <w:rPr>
          <w:rFonts w:ascii="Arial" w:eastAsia="Calibri" w:hAnsi="Arial" w:cs="Arial"/>
          <w:b/>
          <w:bCs/>
          <w:sz w:val="24"/>
          <w:szCs w:val="24"/>
          <w:lang w:eastAsia="en-GB"/>
        </w:rPr>
      </w:pPr>
    </w:p>
    <w:p w14:paraId="64ADF3CD" w14:textId="0C6C1800" w:rsidR="00DB60C1" w:rsidRPr="00B568F3" w:rsidRDefault="00DB60C1" w:rsidP="00343C94">
      <w:pPr>
        <w:spacing w:after="0" w:line="240" w:lineRule="auto"/>
        <w:ind w:left="66"/>
        <w:contextualSpacing/>
        <w:rPr>
          <w:rFonts w:ascii="Arial" w:eastAsia="Calibri" w:hAnsi="Arial" w:cs="Arial"/>
          <w:b/>
          <w:bCs/>
          <w:sz w:val="24"/>
          <w:szCs w:val="24"/>
          <w:lang w:eastAsia="en-GB"/>
        </w:rPr>
      </w:pPr>
      <w:r w:rsidRPr="00B568F3">
        <w:rPr>
          <w:rFonts w:ascii="Arial" w:eastAsia="Calibri" w:hAnsi="Arial" w:cs="Arial"/>
          <w:b/>
          <w:bCs/>
          <w:sz w:val="24"/>
          <w:szCs w:val="24"/>
          <w:lang w:eastAsia="en-GB"/>
        </w:rPr>
        <w:t xml:space="preserve">Table 3: Staff spend, </w:t>
      </w:r>
      <w:r w:rsidR="00B62C77" w:rsidRPr="00B568F3">
        <w:rPr>
          <w:rFonts w:ascii="Arial" w:eastAsia="Calibri" w:hAnsi="Arial" w:cs="Arial"/>
          <w:b/>
          <w:bCs/>
          <w:sz w:val="24"/>
          <w:szCs w:val="24"/>
          <w:lang w:eastAsia="en-GB"/>
        </w:rPr>
        <w:t xml:space="preserve">the </w:t>
      </w:r>
      <w:r w:rsidRPr="00B568F3">
        <w:rPr>
          <w:rFonts w:ascii="Arial" w:eastAsia="Calibri" w:hAnsi="Arial" w:cs="Arial"/>
          <w:b/>
          <w:bCs/>
          <w:sz w:val="24"/>
          <w:szCs w:val="24"/>
        </w:rPr>
        <w:t>three</w:t>
      </w:r>
      <w:r w:rsidR="00B24C33" w:rsidRPr="00B568F3">
        <w:rPr>
          <w:rFonts w:ascii="Arial" w:eastAsia="Calibri" w:hAnsi="Arial" w:cs="Arial"/>
          <w:b/>
          <w:bCs/>
          <w:sz w:val="24"/>
          <w:szCs w:val="24"/>
        </w:rPr>
        <w:t>-</w:t>
      </w:r>
      <w:r w:rsidRPr="00B568F3">
        <w:rPr>
          <w:rFonts w:ascii="Arial" w:eastAsia="Calibri" w:hAnsi="Arial" w:cs="Arial"/>
          <w:b/>
          <w:bCs/>
          <w:sz w:val="24"/>
          <w:szCs w:val="24"/>
        </w:rPr>
        <w:t>year trend</w:t>
      </w:r>
    </w:p>
    <w:tbl>
      <w:tblPr>
        <w:tblStyle w:val="TableGridLight"/>
        <w:tblW w:w="9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350"/>
        <w:gridCol w:w="1273"/>
        <w:gridCol w:w="1311"/>
        <w:gridCol w:w="1561"/>
        <w:gridCol w:w="1263"/>
        <w:gridCol w:w="1239"/>
      </w:tblGrid>
      <w:tr w:rsidR="009B6404" w:rsidRPr="00B568F3" w14:paraId="2192C2EC" w14:textId="77777777" w:rsidTr="00343C94">
        <w:trPr>
          <w:trHeight w:val="300"/>
        </w:trPr>
        <w:tc>
          <w:tcPr>
            <w:tcW w:w="1260" w:type="dxa"/>
          </w:tcPr>
          <w:p w14:paraId="5EF7D3A6" w14:textId="39494F16" w:rsidR="009B6404" w:rsidRPr="000C06A7" w:rsidRDefault="009B6404" w:rsidP="009B6404">
            <w:pPr>
              <w:rPr>
                <w:rFonts w:ascii="Arial" w:hAnsi="Arial" w:cs="Arial"/>
              </w:rPr>
            </w:pPr>
          </w:p>
        </w:tc>
        <w:tc>
          <w:tcPr>
            <w:tcW w:w="1350" w:type="dxa"/>
          </w:tcPr>
          <w:p w14:paraId="647F71ED" w14:textId="77777777" w:rsidR="009B6404" w:rsidRPr="000C06A7" w:rsidRDefault="009B6404" w:rsidP="009B6404">
            <w:pPr>
              <w:rPr>
                <w:rFonts w:ascii="Arial" w:eastAsia="Calibri" w:hAnsi="Arial" w:cs="Arial"/>
                <w:b/>
                <w:bCs/>
                <w:lang w:eastAsia="en-GB"/>
              </w:rPr>
            </w:pPr>
          </w:p>
        </w:tc>
        <w:tc>
          <w:tcPr>
            <w:tcW w:w="1273" w:type="dxa"/>
          </w:tcPr>
          <w:p w14:paraId="08427D26" w14:textId="77777777" w:rsidR="009B6404" w:rsidRPr="000C06A7" w:rsidRDefault="009B6404" w:rsidP="009B6404">
            <w:pPr>
              <w:rPr>
                <w:rFonts w:ascii="Arial" w:eastAsia="Calibri" w:hAnsi="Arial" w:cs="Arial"/>
                <w:b/>
                <w:bCs/>
                <w:lang w:eastAsia="en-GB"/>
              </w:rPr>
            </w:pPr>
          </w:p>
        </w:tc>
        <w:tc>
          <w:tcPr>
            <w:tcW w:w="1311" w:type="dxa"/>
            <w:tcBorders>
              <w:right w:val="single" w:sz="4" w:space="0" w:color="auto"/>
            </w:tcBorders>
          </w:tcPr>
          <w:p w14:paraId="79C7CB6E" w14:textId="77777777" w:rsidR="009B6404" w:rsidRPr="000C06A7" w:rsidRDefault="009B6404" w:rsidP="009B6404">
            <w:pPr>
              <w:rPr>
                <w:rFonts w:ascii="Arial" w:eastAsia="Calibri" w:hAnsi="Arial" w:cs="Arial"/>
                <w:b/>
                <w:bCs/>
                <w:lang w:eastAsia="en-GB"/>
              </w:rPr>
            </w:pPr>
          </w:p>
        </w:tc>
        <w:tc>
          <w:tcPr>
            <w:tcW w:w="1561" w:type="dxa"/>
            <w:tcBorders>
              <w:left w:val="single" w:sz="4" w:space="0" w:color="auto"/>
            </w:tcBorders>
          </w:tcPr>
          <w:p w14:paraId="00D436BF" w14:textId="77777777" w:rsidR="009B6404" w:rsidRPr="000C06A7" w:rsidRDefault="009B6404" w:rsidP="009B6404">
            <w:pPr>
              <w:rPr>
                <w:rFonts w:ascii="Arial" w:eastAsia="Calibri" w:hAnsi="Arial" w:cs="Arial"/>
                <w:b/>
                <w:bCs/>
                <w:lang w:eastAsia="en-GB"/>
              </w:rPr>
            </w:pPr>
          </w:p>
        </w:tc>
        <w:tc>
          <w:tcPr>
            <w:tcW w:w="1263" w:type="dxa"/>
          </w:tcPr>
          <w:p w14:paraId="6844F38F" w14:textId="77777777" w:rsidR="009B6404" w:rsidRPr="000C06A7" w:rsidRDefault="009B6404" w:rsidP="009B6404">
            <w:pPr>
              <w:rPr>
                <w:rFonts w:ascii="Arial" w:eastAsia="Calibri" w:hAnsi="Arial" w:cs="Arial"/>
                <w:b/>
                <w:bCs/>
                <w:lang w:eastAsia="en-GB"/>
              </w:rPr>
            </w:pPr>
          </w:p>
        </w:tc>
        <w:tc>
          <w:tcPr>
            <w:tcW w:w="1239" w:type="dxa"/>
          </w:tcPr>
          <w:p w14:paraId="38409B4E" w14:textId="77777777" w:rsidR="009B6404" w:rsidRPr="000C06A7" w:rsidRDefault="009B6404" w:rsidP="009B6404">
            <w:pPr>
              <w:rPr>
                <w:rFonts w:ascii="Arial" w:eastAsia="Calibri" w:hAnsi="Arial" w:cs="Arial"/>
                <w:b/>
                <w:bCs/>
                <w:lang w:eastAsia="en-GB"/>
              </w:rPr>
            </w:pPr>
          </w:p>
        </w:tc>
      </w:tr>
      <w:tr w:rsidR="0077083D" w:rsidRPr="00B568F3" w14:paraId="45131538" w14:textId="77777777" w:rsidTr="005C3459">
        <w:trPr>
          <w:trHeight w:val="300"/>
        </w:trPr>
        <w:tc>
          <w:tcPr>
            <w:tcW w:w="1260" w:type="dxa"/>
            <w:vMerge w:val="restart"/>
            <w:tcBorders>
              <w:bottom w:val="single" w:sz="4" w:space="0" w:color="auto"/>
              <w:right w:val="single" w:sz="4" w:space="0" w:color="auto"/>
            </w:tcBorders>
            <w:vAlign w:val="center"/>
          </w:tcPr>
          <w:p w14:paraId="4F983A6C" w14:textId="4C6BCDBE" w:rsidR="00F8164F" w:rsidRPr="000C06A7" w:rsidRDefault="00F8164F" w:rsidP="00245F9E">
            <w:pPr>
              <w:jc w:val="center"/>
              <w:rPr>
                <w:rFonts w:ascii="Arial" w:hAnsi="Arial" w:cs="Arial"/>
                <w:b/>
                <w:bCs/>
              </w:rPr>
            </w:pPr>
            <w:r w:rsidRPr="000C06A7">
              <w:rPr>
                <w:rFonts w:ascii="Arial" w:hAnsi="Arial" w:cs="Arial"/>
                <w:b/>
                <w:bCs/>
              </w:rPr>
              <w:t>SCWWDP</w:t>
            </w:r>
          </w:p>
        </w:tc>
        <w:tc>
          <w:tcPr>
            <w:tcW w:w="3934" w:type="dxa"/>
            <w:gridSpan w:val="3"/>
            <w:tcBorders>
              <w:left w:val="single" w:sz="4" w:space="0" w:color="auto"/>
              <w:bottom w:val="single" w:sz="4" w:space="0" w:color="auto"/>
              <w:right w:val="single" w:sz="4" w:space="0" w:color="auto"/>
            </w:tcBorders>
            <w:vAlign w:val="center"/>
          </w:tcPr>
          <w:p w14:paraId="167C537B" w14:textId="29E171EC" w:rsidR="00F8164F" w:rsidRPr="000C06A7" w:rsidRDefault="00F8164F" w:rsidP="00245F9E">
            <w:pPr>
              <w:jc w:val="center"/>
              <w:rPr>
                <w:rFonts w:ascii="Arial" w:eastAsia="Calibri" w:hAnsi="Arial" w:cs="Arial"/>
                <w:b/>
                <w:bCs/>
                <w:lang w:eastAsia="en-GB"/>
              </w:rPr>
            </w:pPr>
            <w:r w:rsidRPr="000C06A7">
              <w:rPr>
                <w:rFonts w:ascii="Arial" w:hAnsi="Arial" w:cs="Arial"/>
                <w:b/>
                <w:bCs/>
              </w:rPr>
              <w:t xml:space="preserve">Delivery </w:t>
            </w:r>
            <w:r w:rsidR="006D5B86" w:rsidRPr="000C06A7">
              <w:rPr>
                <w:rFonts w:ascii="Arial" w:hAnsi="Arial" w:cs="Arial"/>
                <w:b/>
                <w:bCs/>
              </w:rPr>
              <w:t>s</w:t>
            </w:r>
            <w:r w:rsidRPr="000C06A7">
              <w:rPr>
                <w:rFonts w:ascii="Arial" w:hAnsi="Arial" w:cs="Arial"/>
                <w:b/>
                <w:bCs/>
              </w:rPr>
              <w:t>taff</w:t>
            </w:r>
          </w:p>
        </w:tc>
        <w:tc>
          <w:tcPr>
            <w:tcW w:w="4063" w:type="dxa"/>
            <w:gridSpan w:val="3"/>
            <w:tcBorders>
              <w:left w:val="single" w:sz="4" w:space="0" w:color="auto"/>
              <w:bottom w:val="single" w:sz="4" w:space="0" w:color="auto"/>
            </w:tcBorders>
            <w:vAlign w:val="center"/>
          </w:tcPr>
          <w:p w14:paraId="2A096276" w14:textId="2B516E3F" w:rsidR="00F8164F" w:rsidRPr="000C06A7" w:rsidRDefault="00F8164F" w:rsidP="00245F9E">
            <w:pPr>
              <w:jc w:val="center"/>
              <w:rPr>
                <w:rFonts w:ascii="Arial" w:eastAsia="Calibri" w:hAnsi="Arial" w:cs="Arial"/>
                <w:b/>
                <w:bCs/>
                <w:lang w:eastAsia="en-GB"/>
              </w:rPr>
            </w:pPr>
            <w:r w:rsidRPr="000C06A7">
              <w:rPr>
                <w:rFonts w:ascii="Arial" w:eastAsia="Calibri" w:hAnsi="Arial" w:cs="Arial"/>
                <w:b/>
                <w:bCs/>
                <w:lang w:eastAsia="en-GB"/>
              </w:rPr>
              <w:t>Management and admin</w:t>
            </w:r>
            <w:r w:rsidR="000F5E73" w:rsidRPr="000C06A7">
              <w:rPr>
                <w:rFonts w:ascii="Arial" w:eastAsia="Calibri" w:hAnsi="Arial" w:cs="Arial"/>
                <w:b/>
                <w:bCs/>
                <w:lang w:eastAsia="en-GB"/>
              </w:rPr>
              <w:t>istration</w:t>
            </w:r>
          </w:p>
        </w:tc>
      </w:tr>
      <w:tr w:rsidR="00862BE1" w:rsidRPr="00B568F3" w14:paraId="0CA8C9F0" w14:textId="77777777" w:rsidTr="005C3459">
        <w:trPr>
          <w:trHeight w:val="300"/>
        </w:trPr>
        <w:tc>
          <w:tcPr>
            <w:tcW w:w="1260" w:type="dxa"/>
            <w:vMerge/>
            <w:vAlign w:val="center"/>
          </w:tcPr>
          <w:p w14:paraId="2226582D" w14:textId="77777777" w:rsidR="00F8164F" w:rsidRPr="000C06A7" w:rsidRDefault="00F8164F" w:rsidP="00245F9E">
            <w:pPr>
              <w:jc w:val="center"/>
              <w:rPr>
                <w:rFonts w:ascii="Arial" w:hAnsi="Arial" w:cs="Arial"/>
                <w:b/>
                <w:bCs/>
              </w:rPr>
            </w:pPr>
          </w:p>
        </w:tc>
        <w:tc>
          <w:tcPr>
            <w:tcW w:w="1350" w:type="dxa"/>
            <w:tcBorders>
              <w:top w:val="single" w:sz="4" w:space="0" w:color="auto"/>
              <w:left w:val="single" w:sz="4" w:space="0" w:color="auto"/>
              <w:bottom w:val="single" w:sz="4" w:space="0" w:color="auto"/>
            </w:tcBorders>
            <w:vAlign w:val="center"/>
          </w:tcPr>
          <w:p w14:paraId="341186F9" w14:textId="5417AB1B" w:rsidR="00F8164F" w:rsidRPr="000C06A7" w:rsidRDefault="00F8164F" w:rsidP="00245F9E">
            <w:pPr>
              <w:jc w:val="center"/>
              <w:rPr>
                <w:rFonts w:ascii="Arial" w:hAnsi="Arial" w:cs="Arial"/>
                <w:b/>
                <w:bCs/>
              </w:rPr>
            </w:pPr>
            <w:r w:rsidRPr="000C06A7">
              <w:rPr>
                <w:rFonts w:ascii="Arial" w:eastAsia="Calibri" w:hAnsi="Arial" w:cs="Arial"/>
                <w:b/>
                <w:bCs/>
                <w:lang w:eastAsia="en-GB"/>
              </w:rPr>
              <w:t>£</w:t>
            </w:r>
          </w:p>
        </w:tc>
        <w:tc>
          <w:tcPr>
            <w:tcW w:w="1273" w:type="dxa"/>
            <w:tcBorders>
              <w:top w:val="single" w:sz="4" w:space="0" w:color="auto"/>
              <w:bottom w:val="single" w:sz="4" w:space="0" w:color="auto"/>
            </w:tcBorders>
            <w:vAlign w:val="center"/>
          </w:tcPr>
          <w:p w14:paraId="1F73C305" w14:textId="2B0C05EC" w:rsidR="00F8164F" w:rsidRPr="000C06A7" w:rsidRDefault="00F8164F" w:rsidP="00245F9E">
            <w:pPr>
              <w:jc w:val="center"/>
              <w:rPr>
                <w:rFonts w:ascii="Arial" w:hAnsi="Arial" w:cs="Arial"/>
                <w:b/>
                <w:bCs/>
              </w:rPr>
            </w:pPr>
            <w:r w:rsidRPr="000C06A7">
              <w:rPr>
                <w:rFonts w:ascii="Arial" w:eastAsia="Calibri" w:hAnsi="Arial" w:cs="Arial"/>
                <w:b/>
                <w:bCs/>
                <w:lang w:eastAsia="en-GB"/>
              </w:rPr>
              <w:t>£ change</w:t>
            </w:r>
          </w:p>
        </w:tc>
        <w:tc>
          <w:tcPr>
            <w:tcW w:w="1311" w:type="dxa"/>
            <w:tcBorders>
              <w:top w:val="single" w:sz="4" w:space="0" w:color="auto"/>
              <w:bottom w:val="single" w:sz="4" w:space="0" w:color="auto"/>
              <w:right w:val="single" w:sz="4" w:space="0" w:color="auto"/>
            </w:tcBorders>
            <w:vAlign w:val="center"/>
          </w:tcPr>
          <w:p w14:paraId="370D5203" w14:textId="074C03C8" w:rsidR="00F8164F" w:rsidRPr="000C06A7" w:rsidRDefault="00F8164F" w:rsidP="00245F9E">
            <w:pPr>
              <w:jc w:val="center"/>
              <w:rPr>
                <w:rFonts w:ascii="Arial" w:hAnsi="Arial" w:cs="Arial"/>
                <w:b/>
                <w:bCs/>
              </w:rPr>
            </w:pPr>
            <w:r w:rsidRPr="000C06A7">
              <w:rPr>
                <w:rFonts w:ascii="Arial" w:eastAsia="Calibri" w:hAnsi="Arial" w:cs="Arial"/>
                <w:b/>
                <w:bCs/>
                <w:lang w:eastAsia="en-GB"/>
              </w:rPr>
              <w:t>% change</w:t>
            </w:r>
          </w:p>
        </w:tc>
        <w:tc>
          <w:tcPr>
            <w:tcW w:w="1561" w:type="dxa"/>
            <w:tcBorders>
              <w:top w:val="single" w:sz="4" w:space="0" w:color="auto"/>
              <w:left w:val="single" w:sz="4" w:space="0" w:color="auto"/>
              <w:bottom w:val="single" w:sz="4" w:space="0" w:color="auto"/>
            </w:tcBorders>
            <w:vAlign w:val="center"/>
          </w:tcPr>
          <w:p w14:paraId="1510039A" w14:textId="154E27D7" w:rsidR="00F8164F" w:rsidRPr="000C06A7" w:rsidRDefault="00F8164F" w:rsidP="00245F9E">
            <w:pPr>
              <w:jc w:val="center"/>
              <w:rPr>
                <w:rFonts w:ascii="Arial" w:hAnsi="Arial" w:cs="Arial"/>
                <w:b/>
                <w:bCs/>
              </w:rPr>
            </w:pPr>
            <w:r w:rsidRPr="000C06A7">
              <w:rPr>
                <w:rFonts w:ascii="Arial" w:eastAsia="Calibri" w:hAnsi="Arial" w:cs="Arial"/>
                <w:b/>
                <w:bCs/>
                <w:lang w:eastAsia="en-GB"/>
              </w:rPr>
              <w:t>£</w:t>
            </w:r>
          </w:p>
        </w:tc>
        <w:tc>
          <w:tcPr>
            <w:tcW w:w="1263" w:type="dxa"/>
            <w:tcBorders>
              <w:top w:val="single" w:sz="4" w:space="0" w:color="auto"/>
              <w:bottom w:val="single" w:sz="4" w:space="0" w:color="auto"/>
            </w:tcBorders>
            <w:vAlign w:val="center"/>
          </w:tcPr>
          <w:p w14:paraId="2266DB80" w14:textId="725B26FD" w:rsidR="00F8164F" w:rsidRPr="000C06A7" w:rsidRDefault="00F8164F" w:rsidP="00245F9E">
            <w:pPr>
              <w:jc w:val="center"/>
              <w:rPr>
                <w:rFonts w:ascii="Arial" w:hAnsi="Arial" w:cs="Arial"/>
                <w:b/>
                <w:bCs/>
              </w:rPr>
            </w:pPr>
            <w:r w:rsidRPr="000C06A7">
              <w:rPr>
                <w:rFonts w:ascii="Arial" w:eastAsia="Calibri" w:hAnsi="Arial" w:cs="Arial"/>
                <w:b/>
                <w:bCs/>
                <w:lang w:eastAsia="en-GB"/>
              </w:rPr>
              <w:t>£ change</w:t>
            </w:r>
          </w:p>
        </w:tc>
        <w:tc>
          <w:tcPr>
            <w:tcW w:w="1239" w:type="dxa"/>
            <w:tcBorders>
              <w:top w:val="single" w:sz="4" w:space="0" w:color="auto"/>
              <w:bottom w:val="single" w:sz="4" w:space="0" w:color="auto"/>
            </w:tcBorders>
            <w:vAlign w:val="center"/>
          </w:tcPr>
          <w:p w14:paraId="5EFF8BF3" w14:textId="2DF3A77B" w:rsidR="00F8164F" w:rsidRPr="000C06A7" w:rsidRDefault="00F8164F" w:rsidP="00245F9E">
            <w:pPr>
              <w:jc w:val="center"/>
              <w:rPr>
                <w:rFonts w:ascii="Arial" w:hAnsi="Arial" w:cs="Arial"/>
                <w:b/>
                <w:bCs/>
              </w:rPr>
            </w:pPr>
            <w:r w:rsidRPr="000C06A7">
              <w:rPr>
                <w:rFonts w:ascii="Arial" w:eastAsia="Calibri" w:hAnsi="Arial" w:cs="Arial"/>
                <w:b/>
                <w:bCs/>
                <w:lang w:eastAsia="en-GB"/>
              </w:rPr>
              <w:t>% change</w:t>
            </w:r>
          </w:p>
        </w:tc>
      </w:tr>
      <w:tr w:rsidR="004508B3" w:rsidRPr="00B568F3" w14:paraId="3EB240C6" w14:textId="77777777" w:rsidTr="00343C94">
        <w:trPr>
          <w:trHeight w:val="300"/>
        </w:trPr>
        <w:tc>
          <w:tcPr>
            <w:tcW w:w="1260" w:type="dxa"/>
            <w:tcBorders>
              <w:top w:val="single" w:sz="4" w:space="0" w:color="auto"/>
              <w:right w:val="single" w:sz="4" w:space="0" w:color="auto"/>
            </w:tcBorders>
          </w:tcPr>
          <w:p w14:paraId="4FF3EB56" w14:textId="48F1DC1B" w:rsidR="009B6404" w:rsidRPr="000C06A7" w:rsidRDefault="009B6404" w:rsidP="009B6404">
            <w:pPr>
              <w:rPr>
                <w:rFonts w:ascii="Arial" w:hAnsi="Arial" w:cs="Arial"/>
                <w:b/>
                <w:bCs/>
              </w:rPr>
            </w:pPr>
            <w:r w:rsidRPr="000C06A7">
              <w:rPr>
                <w:rFonts w:ascii="Arial" w:eastAsia="Calibri" w:hAnsi="Arial" w:cs="Arial"/>
                <w:b/>
                <w:bCs/>
                <w:lang w:eastAsia="en-GB"/>
              </w:rPr>
              <w:t>2023/2024</w:t>
            </w:r>
          </w:p>
        </w:tc>
        <w:tc>
          <w:tcPr>
            <w:tcW w:w="1350" w:type="dxa"/>
            <w:tcBorders>
              <w:top w:val="single" w:sz="4" w:space="0" w:color="auto"/>
              <w:left w:val="single" w:sz="4" w:space="0" w:color="auto"/>
            </w:tcBorders>
          </w:tcPr>
          <w:p w14:paraId="5B9830AF" w14:textId="0195D88C" w:rsidR="009B6404" w:rsidRPr="000C06A7" w:rsidRDefault="009B6404" w:rsidP="00CD6405">
            <w:pPr>
              <w:jc w:val="center"/>
              <w:rPr>
                <w:rFonts w:ascii="Arial" w:hAnsi="Arial" w:cs="Arial"/>
              </w:rPr>
            </w:pPr>
            <w:r w:rsidRPr="000C06A7">
              <w:rPr>
                <w:rFonts w:ascii="Arial" w:eastAsia="Calibri" w:hAnsi="Arial" w:cs="Arial"/>
                <w:lang w:eastAsia="en-GB"/>
              </w:rPr>
              <w:t>£5,193,842</w:t>
            </w:r>
          </w:p>
        </w:tc>
        <w:tc>
          <w:tcPr>
            <w:tcW w:w="1273" w:type="dxa"/>
            <w:tcBorders>
              <w:top w:val="single" w:sz="4" w:space="0" w:color="auto"/>
            </w:tcBorders>
          </w:tcPr>
          <w:p w14:paraId="78909FBC" w14:textId="6CA11313" w:rsidR="009B6404" w:rsidRPr="000C06A7" w:rsidRDefault="009B6404" w:rsidP="00CD6405">
            <w:pPr>
              <w:jc w:val="center"/>
              <w:rPr>
                <w:rFonts w:ascii="Arial" w:hAnsi="Arial" w:cs="Arial"/>
              </w:rPr>
            </w:pPr>
            <w:r w:rsidRPr="000C06A7">
              <w:rPr>
                <w:rFonts w:ascii="Arial" w:eastAsia="Calibri" w:hAnsi="Arial" w:cs="Arial"/>
                <w:lang w:eastAsia="en-GB"/>
              </w:rPr>
              <w:t>+£438,854</w:t>
            </w:r>
          </w:p>
        </w:tc>
        <w:tc>
          <w:tcPr>
            <w:tcW w:w="1311" w:type="dxa"/>
            <w:tcBorders>
              <w:top w:val="single" w:sz="4" w:space="0" w:color="auto"/>
              <w:right w:val="single" w:sz="4" w:space="0" w:color="auto"/>
            </w:tcBorders>
          </w:tcPr>
          <w:p w14:paraId="5F4CDA4B" w14:textId="7A65C426" w:rsidR="009B6404" w:rsidRPr="000C06A7" w:rsidRDefault="009B6404" w:rsidP="00CD6405">
            <w:pPr>
              <w:jc w:val="center"/>
              <w:rPr>
                <w:rFonts w:ascii="Arial" w:hAnsi="Arial" w:cs="Arial"/>
              </w:rPr>
            </w:pPr>
            <w:r w:rsidRPr="000C06A7">
              <w:rPr>
                <w:rFonts w:ascii="Arial" w:eastAsia="Calibri" w:hAnsi="Arial" w:cs="Arial"/>
                <w:lang w:eastAsia="en-GB"/>
              </w:rPr>
              <w:t>+9.2%</w:t>
            </w:r>
          </w:p>
        </w:tc>
        <w:tc>
          <w:tcPr>
            <w:tcW w:w="1561" w:type="dxa"/>
            <w:tcBorders>
              <w:top w:val="single" w:sz="4" w:space="0" w:color="auto"/>
              <w:left w:val="single" w:sz="4" w:space="0" w:color="auto"/>
            </w:tcBorders>
          </w:tcPr>
          <w:p w14:paraId="225F57C6" w14:textId="26539B59" w:rsidR="009B6404" w:rsidRPr="000C06A7" w:rsidRDefault="009B6404" w:rsidP="00CD6405">
            <w:pPr>
              <w:jc w:val="center"/>
              <w:rPr>
                <w:rFonts w:ascii="Arial" w:hAnsi="Arial" w:cs="Arial"/>
              </w:rPr>
            </w:pPr>
            <w:r w:rsidRPr="000C06A7">
              <w:rPr>
                <w:rFonts w:ascii="Arial" w:eastAsia="Calibri" w:hAnsi="Arial" w:cs="Arial"/>
                <w:lang w:eastAsia="en-GB"/>
              </w:rPr>
              <w:t>£2,348,926</w:t>
            </w:r>
          </w:p>
        </w:tc>
        <w:tc>
          <w:tcPr>
            <w:tcW w:w="1263" w:type="dxa"/>
            <w:tcBorders>
              <w:top w:val="single" w:sz="4" w:space="0" w:color="auto"/>
            </w:tcBorders>
          </w:tcPr>
          <w:p w14:paraId="3EB70951" w14:textId="707B6505" w:rsidR="009B6404" w:rsidRPr="000C06A7" w:rsidRDefault="009B6404" w:rsidP="00CD6405">
            <w:pPr>
              <w:jc w:val="center"/>
              <w:rPr>
                <w:rFonts w:ascii="Arial" w:hAnsi="Arial" w:cs="Arial"/>
              </w:rPr>
            </w:pPr>
            <w:r w:rsidRPr="000C06A7">
              <w:rPr>
                <w:rFonts w:ascii="Arial" w:eastAsia="Calibri" w:hAnsi="Arial" w:cs="Arial"/>
                <w:lang w:eastAsia="en-GB"/>
              </w:rPr>
              <w:t>+£6,084</w:t>
            </w:r>
          </w:p>
        </w:tc>
        <w:tc>
          <w:tcPr>
            <w:tcW w:w="1239" w:type="dxa"/>
            <w:tcBorders>
              <w:top w:val="single" w:sz="4" w:space="0" w:color="auto"/>
            </w:tcBorders>
          </w:tcPr>
          <w:p w14:paraId="0EED3FB8" w14:textId="48DF59CA" w:rsidR="009B6404" w:rsidRPr="000C06A7" w:rsidRDefault="009B6404" w:rsidP="00CD6405">
            <w:pPr>
              <w:jc w:val="center"/>
              <w:rPr>
                <w:rFonts w:ascii="Arial" w:hAnsi="Arial" w:cs="Arial"/>
              </w:rPr>
            </w:pPr>
            <w:r w:rsidRPr="000C06A7">
              <w:rPr>
                <w:rFonts w:ascii="Arial" w:eastAsia="Calibri" w:hAnsi="Arial" w:cs="Arial"/>
                <w:lang w:eastAsia="en-GB"/>
              </w:rPr>
              <w:t>+0.3%</w:t>
            </w:r>
          </w:p>
        </w:tc>
      </w:tr>
      <w:tr w:rsidR="004508B3" w:rsidRPr="00B568F3" w14:paraId="166A5698" w14:textId="77777777" w:rsidTr="00343C94">
        <w:trPr>
          <w:trHeight w:val="300"/>
        </w:trPr>
        <w:tc>
          <w:tcPr>
            <w:tcW w:w="1260" w:type="dxa"/>
            <w:tcBorders>
              <w:right w:val="single" w:sz="4" w:space="0" w:color="auto"/>
            </w:tcBorders>
          </w:tcPr>
          <w:p w14:paraId="1D7D37A5" w14:textId="2D22E21D" w:rsidR="009B6404" w:rsidRPr="000C06A7" w:rsidRDefault="009B6404" w:rsidP="009B6404">
            <w:pPr>
              <w:rPr>
                <w:rFonts w:ascii="Arial" w:hAnsi="Arial" w:cs="Arial"/>
                <w:b/>
                <w:bCs/>
              </w:rPr>
            </w:pPr>
            <w:r w:rsidRPr="000C06A7">
              <w:rPr>
                <w:rFonts w:ascii="Arial" w:eastAsia="Calibri" w:hAnsi="Arial" w:cs="Arial"/>
                <w:b/>
                <w:bCs/>
                <w:lang w:eastAsia="en-GB"/>
              </w:rPr>
              <w:t>2022/2023</w:t>
            </w:r>
          </w:p>
        </w:tc>
        <w:tc>
          <w:tcPr>
            <w:tcW w:w="1350" w:type="dxa"/>
            <w:tcBorders>
              <w:left w:val="single" w:sz="4" w:space="0" w:color="auto"/>
            </w:tcBorders>
          </w:tcPr>
          <w:p w14:paraId="67CC78F9" w14:textId="2E493333" w:rsidR="009B6404" w:rsidRPr="000C06A7" w:rsidRDefault="009B6404" w:rsidP="00CD6405">
            <w:pPr>
              <w:jc w:val="center"/>
              <w:rPr>
                <w:rFonts w:ascii="Arial" w:hAnsi="Arial" w:cs="Arial"/>
              </w:rPr>
            </w:pPr>
            <w:r w:rsidRPr="000C06A7">
              <w:rPr>
                <w:rFonts w:ascii="Arial" w:eastAsia="Calibri" w:hAnsi="Arial" w:cs="Arial"/>
                <w:lang w:eastAsia="en-GB"/>
              </w:rPr>
              <w:t>£4,754,988</w:t>
            </w:r>
          </w:p>
        </w:tc>
        <w:tc>
          <w:tcPr>
            <w:tcW w:w="1273" w:type="dxa"/>
          </w:tcPr>
          <w:p w14:paraId="2A49E5F7" w14:textId="493DFC00" w:rsidR="009B6404" w:rsidRPr="000C06A7" w:rsidRDefault="009B6404" w:rsidP="00CD6405">
            <w:pPr>
              <w:jc w:val="center"/>
              <w:rPr>
                <w:rFonts w:ascii="Arial" w:hAnsi="Arial" w:cs="Arial"/>
              </w:rPr>
            </w:pPr>
            <w:r w:rsidRPr="000C06A7">
              <w:rPr>
                <w:rFonts w:ascii="Arial" w:eastAsia="Calibri" w:hAnsi="Arial" w:cs="Arial"/>
                <w:lang w:eastAsia="en-GB"/>
              </w:rPr>
              <w:t>+£178,771</w:t>
            </w:r>
          </w:p>
        </w:tc>
        <w:tc>
          <w:tcPr>
            <w:tcW w:w="1311" w:type="dxa"/>
            <w:tcBorders>
              <w:right w:val="single" w:sz="4" w:space="0" w:color="auto"/>
            </w:tcBorders>
          </w:tcPr>
          <w:p w14:paraId="7007F1B8" w14:textId="69F968FC" w:rsidR="009B6404" w:rsidRPr="000C06A7" w:rsidRDefault="009B6404" w:rsidP="00CD6405">
            <w:pPr>
              <w:jc w:val="center"/>
              <w:rPr>
                <w:rFonts w:ascii="Arial" w:hAnsi="Arial" w:cs="Arial"/>
              </w:rPr>
            </w:pPr>
            <w:r w:rsidRPr="000C06A7">
              <w:rPr>
                <w:rFonts w:ascii="Arial" w:eastAsia="Calibri" w:hAnsi="Arial" w:cs="Arial"/>
                <w:lang w:eastAsia="en-GB"/>
              </w:rPr>
              <w:t>+3.9%</w:t>
            </w:r>
          </w:p>
        </w:tc>
        <w:tc>
          <w:tcPr>
            <w:tcW w:w="1561" w:type="dxa"/>
            <w:tcBorders>
              <w:left w:val="single" w:sz="4" w:space="0" w:color="auto"/>
            </w:tcBorders>
          </w:tcPr>
          <w:p w14:paraId="7BD11A7F" w14:textId="3B8486A8" w:rsidR="009B6404" w:rsidRPr="000C06A7" w:rsidRDefault="009B6404" w:rsidP="00CD6405">
            <w:pPr>
              <w:jc w:val="center"/>
              <w:rPr>
                <w:rFonts w:ascii="Arial" w:hAnsi="Arial" w:cs="Arial"/>
              </w:rPr>
            </w:pPr>
            <w:r w:rsidRPr="000C06A7">
              <w:rPr>
                <w:rFonts w:ascii="Arial" w:eastAsia="Calibri" w:hAnsi="Arial" w:cs="Arial"/>
                <w:lang w:eastAsia="en-GB"/>
              </w:rPr>
              <w:t>£2,342,842</w:t>
            </w:r>
          </w:p>
        </w:tc>
        <w:tc>
          <w:tcPr>
            <w:tcW w:w="1263" w:type="dxa"/>
          </w:tcPr>
          <w:p w14:paraId="1FF287AE" w14:textId="662EA090" w:rsidR="009B6404" w:rsidRPr="000C06A7" w:rsidRDefault="009B6404" w:rsidP="00CD6405">
            <w:pPr>
              <w:jc w:val="center"/>
              <w:rPr>
                <w:rFonts w:ascii="Arial" w:hAnsi="Arial" w:cs="Arial"/>
              </w:rPr>
            </w:pPr>
            <w:r w:rsidRPr="000C06A7">
              <w:rPr>
                <w:rFonts w:ascii="Arial" w:eastAsia="Calibri" w:hAnsi="Arial" w:cs="Arial"/>
                <w:lang w:eastAsia="en-GB"/>
              </w:rPr>
              <w:t>-£45,571</w:t>
            </w:r>
          </w:p>
        </w:tc>
        <w:tc>
          <w:tcPr>
            <w:tcW w:w="1239" w:type="dxa"/>
          </w:tcPr>
          <w:p w14:paraId="364BD655" w14:textId="25D2A3BC" w:rsidR="009B6404" w:rsidRPr="000C06A7" w:rsidRDefault="009B6404" w:rsidP="00CD6405">
            <w:pPr>
              <w:jc w:val="center"/>
              <w:rPr>
                <w:rFonts w:ascii="Arial" w:hAnsi="Arial" w:cs="Arial"/>
              </w:rPr>
            </w:pPr>
            <w:r w:rsidRPr="000C06A7">
              <w:rPr>
                <w:rFonts w:ascii="Arial" w:eastAsia="Calibri" w:hAnsi="Arial" w:cs="Arial"/>
                <w:lang w:eastAsia="en-GB"/>
              </w:rPr>
              <w:t>-1.9%</w:t>
            </w:r>
          </w:p>
        </w:tc>
      </w:tr>
      <w:tr w:rsidR="009065F2" w:rsidRPr="00B568F3" w14:paraId="3678D421" w14:textId="77777777" w:rsidTr="00343C94">
        <w:trPr>
          <w:trHeight w:val="300"/>
        </w:trPr>
        <w:tc>
          <w:tcPr>
            <w:tcW w:w="1260" w:type="dxa"/>
            <w:tcBorders>
              <w:bottom w:val="single" w:sz="4" w:space="0" w:color="auto"/>
              <w:right w:val="single" w:sz="4" w:space="0" w:color="auto"/>
            </w:tcBorders>
          </w:tcPr>
          <w:p w14:paraId="06055B0F" w14:textId="203D7559" w:rsidR="009B6404" w:rsidRPr="000C06A7" w:rsidRDefault="009B6404" w:rsidP="009B6404">
            <w:pPr>
              <w:rPr>
                <w:rFonts w:ascii="Arial" w:hAnsi="Arial" w:cs="Arial"/>
                <w:b/>
                <w:bCs/>
              </w:rPr>
            </w:pPr>
            <w:r w:rsidRPr="000C06A7">
              <w:rPr>
                <w:rFonts w:ascii="Arial" w:eastAsia="Calibri" w:hAnsi="Arial" w:cs="Arial"/>
                <w:b/>
                <w:bCs/>
                <w:lang w:eastAsia="en-GB"/>
              </w:rPr>
              <w:t>2021/2022</w:t>
            </w:r>
          </w:p>
        </w:tc>
        <w:tc>
          <w:tcPr>
            <w:tcW w:w="1350" w:type="dxa"/>
            <w:tcBorders>
              <w:left w:val="single" w:sz="4" w:space="0" w:color="auto"/>
              <w:bottom w:val="single" w:sz="4" w:space="0" w:color="auto"/>
            </w:tcBorders>
          </w:tcPr>
          <w:p w14:paraId="1683079F" w14:textId="70CB9D16" w:rsidR="009B6404" w:rsidRPr="000C06A7" w:rsidRDefault="009B6404" w:rsidP="00CD6405">
            <w:pPr>
              <w:jc w:val="center"/>
              <w:rPr>
                <w:rFonts w:ascii="Arial" w:hAnsi="Arial" w:cs="Arial"/>
              </w:rPr>
            </w:pPr>
            <w:r w:rsidRPr="000C06A7">
              <w:rPr>
                <w:rFonts w:ascii="Arial" w:eastAsia="Calibri" w:hAnsi="Arial" w:cs="Arial"/>
                <w:lang w:eastAsia="en-GB"/>
              </w:rPr>
              <w:t>£4,576,217</w:t>
            </w:r>
          </w:p>
        </w:tc>
        <w:tc>
          <w:tcPr>
            <w:tcW w:w="1273" w:type="dxa"/>
            <w:tcBorders>
              <w:bottom w:val="single" w:sz="4" w:space="0" w:color="auto"/>
            </w:tcBorders>
          </w:tcPr>
          <w:p w14:paraId="3BC828F1" w14:textId="1787B7D7" w:rsidR="009B6404" w:rsidRPr="000C06A7" w:rsidRDefault="00782FD7" w:rsidP="00CD6405">
            <w:pPr>
              <w:jc w:val="center"/>
              <w:rPr>
                <w:rFonts w:ascii="Arial" w:hAnsi="Arial" w:cs="Arial"/>
              </w:rPr>
            </w:pPr>
            <w:r w:rsidRPr="000C06A7">
              <w:rPr>
                <w:rFonts w:ascii="Arial" w:hAnsi="Arial" w:cs="Arial"/>
              </w:rPr>
              <w:t>-£221,565</w:t>
            </w:r>
          </w:p>
        </w:tc>
        <w:tc>
          <w:tcPr>
            <w:tcW w:w="1311" w:type="dxa"/>
            <w:tcBorders>
              <w:bottom w:val="single" w:sz="4" w:space="0" w:color="auto"/>
              <w:right w:val="single" w:sz="4" w:space="0" w:color="auto"/>
            </w:tcBorders>
          </w:tcPr>
          <w:p w14:paraId="08D778A6" w14:textId="28118636" w:rsidR="009B6404" w:rsidRPr="000C06A7" w:rsidRDefault="005A1333" w:rsidP="00CD6405">
            <w:pPr>
              <w:jc w:val="center"/>
              <w:rPr>
                <w:rFonts w:ascii="Arial" w:hAnsi="Arial" w:cs="Arial"/>
              </w:rPr>
            </w:pPr>
            <w:r w:rsidRPr="000C06A7">
              <w:rPr>
                <w:rFonts w:ascii="Arial" w:hAnsi="Arial" w:cs="Arial"/>
              </w:rPr>
              <w:t>-</w:t>
            </w:r>
            <w:r w:rsidR="00712BE4" w:rsidRPr="000C06A7">
              <w:rPr>
                <w:rFonts w:ascii="Arial" w:hAnsi="Arial" w:cs="Arial"/>
              </w:rPr>
              <w:t>4.6</w:t>
            </w:r>
            <w:r w:rsidRPr="000C06A7">
              <w:rPr>
                <w:rFonts w:ascii="Arial" w:hAnsi="Arial" w:cs="Arial"/>
              </w:rPr>
              <w:t>%</w:t>
            </w:r>
          </w:p>
        </w:tc>
        <w:tc>
          <w:tcPr>
            <w:tcW w:w="1561" w:type="dxa"/>
            <w:tcBorders>
              <w:left w:val="single" w:sz="4" w:space="0" w:color="auto"/>
              <w:bottom w:val="single" w:sz="4" w:space="0" w:color="auto"/>
            </w:tcBorders>
          </w:tcPr>
          <w:p w14:paraId="4D3C3CA4" w14:textId="1CE01A99" w:rsidR="009B6404" w:rsidRPr="000C06A7" w:rsidRDefault="009B6404" w:rsidP="00CD6405">
            <w:pPr>
              <w:jc w:val="center"/>
              <w:rPr>
                <w:rFonts w:ascii="Arial" w:hAnsi="Arial" w:cs="Arial"/>
              </w:rPr>
            </w:pPr>
            <w:r w:rsidRPr="000C06A7">
              <w:rPr>
                <w:rFonts w:ascii="Arial" w:eastAsia="Calibri" w:hAnsi="Arial" w:cs="Arial"/>
                <w:lang w:eastAsia="en-GB"/>
              </w:rPr>
              <w:t>£2,388,413</w:t>
            </w:r>
          </w:p>
        </w:tc>
        <w:tc>
          <w:tcPr>
            <w:tcW w:w="1263" w:type="dxa"/>
            <w:tcBorders>
              <w:bottom w:val="single" w:sz="4" w:space="0" w:color="auto"/>
            </w:tcBorders>
          </w:tcPr>
          <w:p w14:paraId="1AEF2C3B" w14:textId="09C051AD" w:rsidR="009B6404" w:rsidRPr="000C06A7" w:rsidRDefault="00B361EA" w:rsidP="00CD6405">
            <w:pPr>
              <w:jc w:val="center"/>
              <w:rPr>
                <w:rFonts w:ascii="Arial" w:hAnsi="Arial" w:cs="Arial"/>
              </w:rPr>
            </w:pPr>
            <w:r w:rsidRPr="000C06A7">
              <w:rPr>
                <w:rFonts w:ascii="Arial" w:hAnsi="Arial" w:cs="Arial"/>
              </w:rPr>
              <w:t>+£215,205</w:t>
            </w:r>
          </w:p>
        </w:tc>
        <w:tc>
          <w:tcPr>
            <w:tcW w:w="1239" w:type="dxa"/>
            <w:tcBorders>
              <w:bottom w:val="single" w:sz="4" w:space="0" w:color="auto"/>
            </w:tcBorders>
          </w:tcPr>
          <w:p w14:paraId="6480A64D" w14:textId="0E792490" w:rsidR="009B6404" w:rsidRPr="000C06A7" w:rsidRDefault="00F92B6B" w:rsidP="00CD6405">
            <w:pPr>
              <w:jc w:val="center"/>
              <w:rPr>
                <w:rFonts w:ascii="Arial" w:hAnsi="Arial" w:cs="Arial"/>
              </w:rPr>
            </w:pPr>
            <w:r w:rsidRPr="000C06A7">
              <w:rPr>
                <w:rFonts w:ascii="Arial" w:hAnsi="Arial" w:cs="Arial"/>
              </w:rPr>
              <w:t>+</w:t>
            </w:r>
            <w:r w:rsidR="004508B3" w:rsidRPr="000C06A7">
              <w:rPr>
                <w:rFonts w:ascii="Arial" w:hAnsi="Arial" w:cs="Arial"/>
              </w:rPr>
              <w:t>9.9</w:t>
            </w:r>
            <w:r w:rsidRPr="000C06A7">
              <w:rPr>
                <w:rFonts w:ascii="Arial" w:hAnsi="Arial" w:cs="Arial"/>
              </w:rPr>
              <w:t>%</w:t>
            </w:r>
          </w:p>
        </w:tc>
      </w:tr>
      <w:tr w:rsidR="00B327D0" w:rsidRPr="00B568F3" w14:paraId="578BC3A7" w14:textId="77777777" w:rsidTr="00343C94">
        <w:trPr>
          <w:trHeight w:val="300"/>
        </w:trPr>
        <w:tc>
          <w:tcPr>
            <w:tcW w:w="1260" w:type="dxa"/>
            <w:tcBorders>
              <w:top w:val="single" w:sz="4" w:space="0" w:color="auto"/>
            </w:tcBorders>
          </w:tcPr>
          <w:p w14:paraId="4257BBCD" w14:textId="77777777" w:rsidR="009B6404" w:rsidRPr="000C06A7" w:rsidRDefault="009B6404" w:rsidP="009B6404">
            <w:pPr>
              <w:rPr>
                <w:rFonts w:ascii="Arial" w:hAnsi="Arial" w:cs="Arial"/>
              </w:rPr>
            </w:pPr>
          </w:p>
        </w:tc>
        <w:tc>
          <w:tcPr>
            <w:tcW w:w="1350" w:type="dxa"/>
            <w:tcBorders>
              <w:top w:val="single" w:sz="4" w:space="0" w:color="auto"/>
            </w:tcBorders>
          </w:tcPr>
          <w:p w14:paraId="3ACC897B" w14:textId="77777777" w:rsidR="009B6404" w:rsidRPr="000C06A7" w:rsidRDefault="009B6404" w:rsidP="00CD6405">
            <w:pPr>
              <w:jc w:val="center"/>
              <w:rPr>
                <w:rFonts w:ascii="Arial" w:hAnsi="Arial" w:cs="Arial"/>
              </w:rPr>
            </w:pPr>
          </w:p>
        </w:tc>
        <w:tc>
          <w:tcPr>
            <w:tcW w:w="1273" w:type="dxa"/>
            <w:tcBorders>
              <w:top w:val="single" w:sz="4" w:space="0" w:color="auto"/>
            </w:tcBorders>
          </w:tcPr>
          <w:p w14:paraId="53C2FDA3" w14:textId="77777777" w:rsidR="009B6404" w:rsidRPr="000C06A7" w:rsidRDefault="009B6404" w:rsidP="00CD6405">
            <w:pPr>
              <w:jc w:val="center"/>
              <w:rPr>
                <w:rFonts w:ascii="Arial" w:hAnsi="Arial" w:cs="Arial"/>
              </w:rPr>
            </w:pPr>
          </w:p>
        </w:tc>
        <w:tc>
          <w:tcPr>
            <w:tcW w:w="1311" w:type="dxa"/>
            <w:tcBorders>
              <w:top w:val="single" w:sz="4" w:space="0" w:color="auto"/>
            </w:tcBorders>
          </w:tcPr>
          <w:p w14:paraId="7A893AC4" w14:textId="77777777" w:rsidR="009B6404" w:rsidRPr="000C06A7" w:rsidRDefault="009B6404" w:rsidP="00CD6405">
            <w:pPr>
              <w:jc w:val="center"/>
              <w:rPr>
                <w:rFonts w:ascii="Arial" w:hAnsi="Arial" w:cs="Arial"/>
              </w:rPr>
            </w:pPr>
          </w:p>
        </w:tc>
        <w:tc>
          <w:tcPr>
            <w:tcW w:w="1561" w:type="dxa"/>
            <w:tcBorders>
              <w:top w:val="single" w:sz="4" w:space="0" w:color="auto"/>
            </w:tcBorders>
          </w:tcPr>
          <w:p w14:paraId="7DA06843" w14:textId="77777777" w:rsidR="009B6404" w:rsidRPr="000C06A7" w:rsidRDefault="009B6404" w:rsidP="00CD6405">
            <w:pPr>
              <w:jc w:val="center"/>
              <w:rPr>
                <w:rFonts w:ascii="Arial" w:hAnsi="Arial" w:cs="Arial"/>
              </w:rPr>
            </w:pPr>
          </w:p>
        </w:tc>
        <w:tc>
          <w:tcPr>
            <w:tcW w:w="1263" w:type="dxa"/>
            <w:tcBorders>
              <w:top w:val="single" w:sz="4" w:space="0" w:color="auto"/>
            </w:tcBorders>
          </w:tcPr>
          <w:p w14:paraId="0DCCC44F" w14:textId="77777777" w:rsidR="009B6404" w:rsidRPr="000C06A7" w:rsidRDefault="009B6404" w:rsidP="00CD6405">
            <w:pPr>
              <w:jc w:val="center"/>
              <w:rPr>
                <w:rFonts w:ascii="Arial" w:hAnsi="Arial" w:cs="Arial"/>
              </w:rPr>
            </w:pPr>
          </w:p>
        </w:tc>
        <w:tc>
          <w:tcPr>
            <w:tcW w:w="1239" w:type="dxa"/>
            <w:tcBorders>
              <w:top w:val="single" w:sz="4" w:space="0" w:color="auto"/>
            </w:tcBorders>
          </w:tcPr>
          <w:p w14:paraId="0393C8D2" w14:textId="77777777" w:rsidR="009B6404" w:rsidRPr="000C06A7" w:rsidRDefault="009B6404" w:rsidP="00CD6405">
            <w:pPr>
              <w:jc w:val="center"/>
              <w:rPr>
                <w:rFonts w:ascii="Arial" w:hAnsi="Arial" w:cs="Arial"/>
              </w:rPr>
            </w:pPr>
          </w:p>
        </w:tc>
      </w:tr>
      <w:tr w:rsidR="0077083D" w:rsidRPr="00B568F3" w14:paraId="3877C656" w14:textId="77777777" w:rsidTr="005C3459">
        <w:trPr>
          <w:trHeight w:val="300"/>
        </w:trPr>
        <w:tc>
          <w:tcPr>
            <w:tcW w:w="1260" w:type="dxa"/>
            <w:vMerge w:val="restart"/>
            <w:tcBorders>
              <w:bottom w:val="single" w:sz="4" w:space="0" w:color="auto"/>
              <w:right w:val="single" w:sz="4" w:space="0" w:color="auto"/>
            </w:tcBorders>
            <w:vAlign w:val="center"/>
          </w:tcPr>
          <w:p w14:paraId="464EF7F2" w14:textId="41D89443" w:rsidR="00FD78FD" w:rsidRPr="000C06A7" w:rsidRDefault="00FD78FD" w:rsidP="00245F9E">
            <w:pPr>
              <w:jc w:val="center"/>
              <w:rPr>
                <w:rFonts w:ascii="Arial" w:hAnsi="Arial" w:cs="Arial"/>
                <w:b/>
                <w:bCs/>
              </w:rPr>
            </w:pPr>
            <w:r w:rsidRPr="000C06A7">
              <w:rPr>
                <w:rFonts w:ascii="Arial" w:hAnsi="Arial" w:cs="Arial"/>
                <w:b/>
                <w:bCs/>
              </w:rPr>
              <w:t>L</w:t>
            </w:r>
            <w:r w:rsidR="006D5B86" w:rsidRPr="000C06A7">
              <w:rPr>
                <w:rFonts w:ascii="Arial" w:hAnsi="Arial" w:cs="Arial"/>
                <w:b/>
                <w:bCs/>
              </w:rPr>
              <w:t>ocal authority</w:t>
            </w:r>
            <w:r w:rsidR="00F9782F" w:rsidRPr="000C06A7">
              <w:rPr>
                <w:rFonts w:ascii="Arial" w:hAnsi="Arial" w:cs="Arial"/>
                <w:b/>
                <w:bCs/>
              </w:rPr>
              <w:t xml:space="preserve"> </w:t>
            </w:r>
            <w:r w:rsidR="006D5B86" w:rsidRPr="000C06A7">
              <w:rPr>
                <w:rFonts w:ascii="Arial" w:hAnsi="Arial" w:cs="Arial"/>
                <w:b/>
                <w:bCs/>
              </w:rPr>
              <w:t>a</w:t>
            </w:r>
            <w:r w:rsidRPr="000C06A7">
              <w:rPr>
                <w:rFonts w:ascii="Arial" w:hAnsi="Arial" w:cs="Arial"/>
                <w:b/>
                <w:bCs/>
              </w:rPr>
              <w:t>dditional</w:t>
            </w:r>
            <w:r w:rsidR="00F6503C" w:rsidRPr="000C06A7">
              <w:rPr>
                <w:rFonts w:ascii="Arial" w:hAnsi="Arial" w:cs="Arial"/>
                <w:b/>
                <w:bCs/>
              </w:rPr>
              <w:t xml:space="preserve"> funding</w:t>
            </w:r>
          </w:p>
        </w:tc>
        <w:tc>
          <w:tcPr>
            <w:tcW w:w="3934" w:type="dxa"/>
            <w:gridSpan w:val="3"/>
            <w:tcBorders>
              <w:left w:val="single" w:sz="4" w:space="0" w:color="auto"/>
              <w:bottom w:val="single" w:sz="4" w:space="0" w:color="auto"/>
              <w:right w:val="single" w:sz="4" w:space="0" w:color="auto"/>
            </w:tcBorders>
            <w:vAlign w:val="center"/>
          </w:tcPr>
          <w:p w14:paraId="1BA4E91E" w14:textId="2CBC966C" w:rsidR="00FD78FD" w:rsidRPr="000C06A7" w:rsidRDefault="00FD78FD" w:rsidP="00245F9E">
            <w:pPr>
              <w:jc w:val="center"/>
              <w:rPr>
                <w:rFonts w:ascii="Arial" w:hAnsi="Arial" w:cs="Arial"/>
                <w:b/>
                <w:bCs/>
              </w:rPr>
            </w:pPr>
            <w:r w:rsidRPr="000C06A7">
              <w:rPr>
                <w:rFonts w:ascii="Arial" w:hAnsi="Arial" w:cs="Arial"/>
                <w:b/>
                <w:bCs/>
              </w:rPr>
              <w:t xml:space="preserve">Delivery </w:t>
            </w:r>
            <w:r w:rsidR="006D5B86" w:rsidRPr="000C06A7">
              <w:rPr>
                <w:rFonts w:ascii="Arial" w:hAnsi="Arial" w:cs="Arial"/>
                <w:b/>
                <w:bCs/>
              </w:rPr>
              <w:t>s</w:t>
            </w:r>
            <w:r w:rsidRPr="000C06A7">
              <w:rPr>
                <w:rFonts w:ascii="Arial" w:hAnsi="Arial" w:cs="Arial"/>
                <w:b/>
                <w:bCs/>
              </w:rPr>
              <w:t>taff</w:t>
            </w:r>
          </w:p>
        </w:tc>
        <w:tc>
          <w:tcPr>
            <w:tcW w:w="4063" w:type="dxa"/>
            <w:gridSpan w:val="3"/>
            <w:tcBorders>
              <w:left w:val="single" w:sz="4" w:space="0" w:color="auto"/>
              <w:bottom w:val="single" w:sz="4" w:space="0" w:color="auto"/>
            </w:tcBorders>
            <w:vAlign w:val="center"/>
          </w:tcPr>
          <w:p w14:paraId="1FA5D8B8" w14:textId="2CF079BF" w:rsidR="00FD78FD" w:rsidRPr="000C06A7" w:rsidRDefault="00FD78FD" w:rsidP="00245F9E">
            <w:pPr>
              <w:jc w:val="center"/>
              <w:rPr>
                <w:rFonts w:ascii="Arial" w:hAnsi="Arial" w:cs="Arial"/>
                <w:b/>
                <w:bCs/>
              </w:rPr>
            </w:pPr>
            <w:r w:rsidRPr="000C06A7">
              <w:rPr>
                <w:rFonts w:ascii="Arial" w:eastAsia="Calibri" w:hAnsi="Arial" w:cs="Arial"/>
                <w:b/>
                <w:bCs/>
                <w:lang w:eastAsia="en-GB"/>
              </w:rPr>
              <w:t>Management and admin</w:t>
            </w:r>
            <w:r w:rsidR="006D5B86" w:rsidRPr="000C06A7">
              <w:rPr>
                <w:rFonts w:ascii="Arial" w:eastAsia="Calibri" w:hAnsi="Arial" w:cs="Arial"/>
                <w:b/>
                <w:bCs/>
                <w:lang w:eastAsia="en-GB"/>
              </w:rPr>
              <w:t>istration</w:t>
            </w:r>
          </w:p>
        </w:tc>
      </w:tr>
      <w:tr w:rsidR="00862BE1" w:rsidRPr="00B568F3" w14:paraId="4713E6DC" w14:textId="77777777" w:rsidTr="005C3459">
        <w:trPr>
          <w:trHeight w:val="300"/>
        </w:trPr>
        <w:tc>
          <w:tcPr>
            <w:tcW w:w="1260" w:type="dxa"/>
            <w:vMerge/>
            <w:vAlign w:val="center"/>
          </w:tcPr>
          <w:p w14:paraId="5B4C52BA" w14:textId="77777777" w:rsidR="007B2817" w:rsidRPr="000C06A7" w:rsidRDefault="007B2817" w:rsidP="00245F9E">
            <w:pPr>
              <w:jc w:val="center"/>
              <w:rPr>
                <w:rFonts w:ascii="Arial" w:hAnsi="Arial" w:cs="Arial"/>
                <w:b/>
                <w:bCs/>
              </w:rPr>
            </w:pPr>
          </w:p>
        </w:tc>
        <w:tc>
          <w:tcPr>
            <w:tcW w:w="1350" w:type="dxa"/>
            <w:tcBorders>
              <w:top w:val="single" w:sz="4" w:space="0" w:color="auto"/>
              <w:left w:val="single" w:sz="4" w:space="0" w:color="auto"/>
              <w:bottom w:val="single" w:sz="4" w:space="0" w:color="auto"/>
            </w:tcBorders>
            <w:vAlign w:val="center"/>
          </w:tcPr>
          <w:p w14:paraId="1A0E8031" w14:textId="3A4D44CB" w:rsidR="007B2817" w:rsidRPr="000C06A7" w:rsidRDefault="007B2817" w:rsidP="00245F9E">
            <w:pPr>
              <w:jc w:val="center"/>
              <w:rPr>
                <w:rFonts w:ascii="Arial" w:hAnsi="Arial" w:cs="Arial"/>
                <w:b/>
                <w:bCs/>
              </w:rPr>
            </w:pPr>
            <w:r w:rsidRPr="000C06A7">
              <w:rPr>
                <w:rFonts w:ascii="Arial" w:eastAsia="Calibri" w:hAnsi="Arial" w:cs="Arial"/>
                <w:b/>
                <w:bCs/>
                <w:lang w:eastAsia="en-GB"/>
              </w:rPr>
              <w:t>£</w:t>
            </w:r>
          </w:p>
        </w:tc>
        <w:tc>
          <w:tcPr>
            <w:tcW w:w="1273" w:type="dxa"/>
            <w:tcBorders>
              <w:top w:val="single" w:sz="4" w:space="0" w:color="auto"/>
              <w:bottom w:val="single" w:sz="4" w:space="0" w:color="auto"/>
            </w:tcBorders>
            <w:vAlign w:val="center"/>
          </w:tcPr>
          <w:p w14:paraId="39588A61" w14:textId="4154FD7B" w:rsidR="007B2817" w:rsidRPr="000C06A7" w:rsidRDefault="007B2817" w:rsidP="00245F9E">
            <w:pPr>
              <w:jc w:val="center"/>
              <w:rPr>
                <w:rFonts w:ascii="Arial" w:hAnsi="Arial" w:cs="Arial"/>
                <w:b/>
                <w:bCs/>
              </w:rPr>
            </w:pPr>
            <w:r w:rsidRPr="000C06A7">
              <w:rPr>
                <w:rFonts w:ascii="Arial" w:eastAsia="Calibri" w:hAnsi="Arial" w:cs="Arial"/>
                <w:b/>
                <w:bCs/>
                <w:lang w:eastAsia="en-GB"/>
              </w:rPr>
              <w:t>£ change</w:t>
            </w:r>
          </w:p>
        </w:tc>
        <w:tc>
          <w:tcPr>
            <w:tcW w:w="1311" w:type="dxa"/>
            <w:tcBorders>
              <w:top w:val="single" w:sz="4" w:space="0" w:color="auto"/>
              <w:bottom w:val="single" w:sz="4" w:space="0" w:color="auto"/>
              <w:right w:val="single" w:sz="4" w:space="0" w:color="auto"/>
            </w:tcBorders>
            <w:vAlign w:val="center"/>
          </w:tcPr>
          <w:p w14:paraId="14C17605" w14:textId="748D3A70" w:rsidR="007B2817" w:rsidRPr="000C06A7" w:rsidRDefault="007B2817" w:rsidP="00245F9E">
            <w:pPr>
              <w:jc w:val="center"/>
              <w:rPr>
                <w:rFonts w:ascii="Arial" w:hAnsi="Arial" w:cs="Arial"/>
                <w:b/>
                <w:bCs/>
              </w:rPr>
            </w:pPr>
            <w:r w:rsidRPr="000C06A7">
              <w:rPr>
                <w:rFonts w:ascii="Arial" w:eastAsia="Calibri" w:hAnsi="Arial" w:cs="Arial"/>
                <w:b/>
                <w:bCs/>
                <w:lang w:eastAsia="en-GB"/>
              </w:rPr>
              <w:t>% change</w:t>
            </w:r>
          </w:p>
        </w:tc>
        <w:tc>
          <w:tcPr>
            <w:tcW w:w="1561" w:type="dxa"/>
            <w:tcBorders>
              <w:top w:val="single" w:sz="4" w:space="0" w:color="auto"/>
              <w:left w:val="single" w:sz="4" w:space="0" w:color="auto"/>
              <w:bottom w:val="single" w:sz="4" w:space="0" w:color="auto"/>
            </w:tcBorders>
            <w:vAlign w:val="center"/>
          </w:tcPr>
          <w:p w14:paraId="5CD95BEE" w14:textId="6907C3F6" w:rsidR="007B2817" w:rsidRPr="000C06A7" w:rsidRDefault="007B2817" w:rsidP="00245F9E">
            <w:pPr>
              <w:jc w:val="center"/>
              <w:rPr>
                <w:rFonts w:ascii="Arial" w:hAnsi="Arial" w:cs="Arial"/>
                <w:b/>
                <w:bCs/>
              </w:rPr>
            </w:pPr>
            <w:r w:rsidRPr="000C06A7">
              <w:rPr>
                <w:rFonts w:ascii="Arial" w:eastAsia="Calibri" w:hAnsi="Arial" w:cs="Arial"/>
                <w:b/>
                <w:bCs/>
                <w:lang w:eastAsia="en-GB"/>
              </w:rPr>
              <w:t>£</w:t>
            </w:r>
          </w:p>
        </w:tc>
        <w:tc>
          <w:tcPr>
            <w:tcW w:w="1263" w:type="dxa"/>
            <w:tcBorders>
              <w:top w:val="single" w:sz="4" w:space="0" w:color="auto"/>
              <w:bottom w:val="single" w:sz="4" w:space="0" w:color="auto"/>
            </w:tcBorders>
            <w:vAlign w:val="center"/>
          </w:tcPr>
          <w:p w14:paraId="19A8A98E" w14:textId="69F59625" w:rsidR="007B2817" w:rsidRPr="000C06A7" w:rsidRDefault="007B2817" w:rsidP="00245F9E">
            <w:pPr>
              <w:jc w:val="center"/>
              <w:rPr>
                <w:rFonts w:ascii="Arial" w:hAnsi="Arial" w:cs="Arial"/>
                <w:b/>
                <w:bCs/>
              </w:rPr>
            </w:pPr>
            <w:r w:rsidRPr="000C06A7">
              <w:rPr>
                <w:rFonts w:ascii="Arial" w:eastAsia="Calibri" w:hAnsi="Arial" w:cs="Arial"/>
                <w:b/>
                <w:bCs/>
                <w:lang w:eastAsia="en-GB"/>
              </w:rPr>
              <w:t>£ change</w:t>
            </w:r>
          </w:p>
        </w:tc>
        <w:tc>
          <w:tcPr>
            <w:tcW w:w="1239" w:type="dxa"/>
            <w:tcBorders>
              <w:top w:val="single" w:sz="4" w:space="0" w:color="auto"/>
              <w:bottom w:val="single" w:sz="4" w:space="0" w:color="auto"/>
            </w:tcBorders>
            <w:vAlign w:val="center"/>
          </w:tcPr>
          <w:p w14:paraId="767D7C3B" w14:textId="0D8E0B38" w:rsidR="007B2817" w:rsidRPr="000C06A7" w:rsidRDefault="007B2817" w:rsidP="00245F9E">
            <w:pPr>
              <w:jc w:val="center"/>
              <w:rPr>
                <w:rFonts w:ascii="Arial" w:hAnsi="Arial" w:cs="Arial"/>
                <w:b/>
                <w:bCs/>
              </w:rPr>
            </w:pPr>
            <w:r w:rsidRPr="000C06A7">
              <w:rPr>
                <w:rFonts w:ascii="Arial" w:eastAsia="Calibri" w:hAnsi="Arial" w:cs="Arial"/>
                <w:b/>
                <w:bCs/>
                <w:lang w:eastAsia="en-GB"/>
              </w:rPr>
              <w:t>% change</w:t>
            </w:r>
          </w:p>
        </w:tc>
      </w:tr>
      <w:tr w:rsidR="004508B3" w:rsidRPr="00B568F3" w14:paraId="0B9D8315" w14:textId="77777777" w:rsidTr="00343C94">
        <w:trPr>
          <w:trHeight w:val="300"/>
        </w:trPr>
        <w:tc>
          <w:tcPr>
            <w:tcW w:w="1260" w:type="dxa"/>
            <w:tcBorders>
              <w:top w:val="single" w:sz="4" w:space="0" w:color="auto"/>
              <w:right w:val="single" w:sz="4" w:space="0" w:color="auto"/>
            </w:tcBorders>
          </w:tcPr>
          <w:p w14:paraId="64B1DBBB" w14:textId="2873B931" w:rsidR="007B2817" w:rsidRPr="000C06A7" w:rsidRDefault="007B2817" w:rsidP="007B2817">
            <w:pPr>
              <w:rPr>
                <w:rFonts w:ascii="Arial" w:hAnsi="Arial" w:cs="Arial"/>
              </w:rPr>
            </w:pPr>
            <w:r w:rsidRPr="000C06A7">
              <w:rPr>
                <w:rFonts w:ascii="Arial" w:eastAsia="Calibri" w:hAnsi="Arial" w:cs="Arial"/>
                <w:b/>
                <w:bCs/>
                <w:lang w:eastAsia="en-GB"/>
              </w:rPr>
              <w:t>2023/2024</w:t>
            </w:r>
          </w:p>
        </w:tc>
        <w:tc>
          <w:tcPr>
            <w:tcW w:w="1350" w:type="dxa"/>
            <w:tcBorders>
              <w:top w:val="single" w:sz="4" w:space="0" w:color="auto"/>
              <w:left w:val="single" w:sz="4" w:space="0" w:color="auto"/>
            </w:tcBorders>
          </w:tcPr>
          <w:p w14:paraId="16477359" w14:textId="5B97FCBB" w:rsidR="007B2817" w:rsidRPr="000C06A7" w:rsidRDefault="007B2817" w:rsidP="00CD6405">
            <w:pPr>
              <w:jc w:val="center"/>
              <w:rPr>
                <w:rFonts w:ascii="Arial" w:hAnsi="Arial" w:cs="Arial"/>
              </w:rPr>
            </w:pPr>
            <w:r w:rsidRPr="000C06A7">
              <w:rPr>
                <w:rFonts w:ascii="Arial" w:eastAsia="Calibri" w:hAnsi="Arial" w:cs="Arial"/>
                <w:lang w:eastAsia="en-GB"/>
              </w:rPr>
              <w:t>£206,305</w:t>
            </w:r>
          </w:p>
        </w:tc>
        <w:tc>
          <w:tcPr>
            <w:tcW w:w="1273" w:type="dxa"/>
            <w:tcBorders>
              <w:top w:val="single" w:sz="4" w:space="0" w:color="auto"/>
            </w:tcBorders>
          </w:tcPr>
          <w:p w14:paraId="4E20CBB6" w14:textId="70C76B05" w:rsidR="007B2817" w:rsidRPr="000C06A7" w:rsidRDefault="007B2817" w:rsidP="00CD6405">
            <w:pPr>
              <w:jc w:val="center"/>
              <w:rPr>
                <w:rFonts w:ascii="Arial" w:hAnsi="Arial" w:cs="Arial"/>
              </w:rPr>
            </w:pPr>
            <w:r w:rsidRPr="000C06A7">
              <w:rPr>
                <w:rFonts w:ascii="Arial" w:eastAsia="Calibri" w:hAnsi="Arial" w:cs="Arial"/>
                <w:lang w:eastAsia="en-GB"/>
              </w:rPr>
              <w:t>-£310,521</w:t>
            </w:r>
          </w:p>
        </w:tc>
        <w:tc>
          <w:tcPr>
            <w:tcW w:w="1311" w:type="dxa"/>
            <w:tcBorders>
              <w:top w:val="single" w:sz="4" w:space="0" w:color="auto"/>
              <w:right w:val="single" w:sz="4" w:space="0" w:color="auto"/>
            </w:tcBorders>
          </w:tcPr>
          <w:p w14:paraId="5B33EFAA" w14:textId="2D619DE5" w:rsidR="007B2817" w:rsidRPr="000C06A7" w:rsidRDefault="007B2817" w:rsidP="00CD6405">
            <w:pPr>
              <w:jc w:val="center"/>
              <w:rPr>
                <w:rFonts w:ascii="Arial" w:hAnsi="Arial" w:cs="Arial"/>
              </w:rPr>
            </w:pPr>
            <w:r w:rsidRPr="000C06A7">
              <w:rPr>
                <w:rFonts w:ascii="Arial" w:eastAsia="Calibri" w:hAnsi="Arial" w:cs="Arial"/>
                <w:lang w:eastAsia="en-GB"/>
              </w:rPr>
              <w:t>-60.1%</w:t>
            </w:r>
          </w:p>
        </w:tc>
        <w:tc>
          <w:tcPr>
            <w:tcW w:w="1561" w:type="dxa"/>
            <w:tcBorders>
              <w:top w:val="single" w:sz="4" w:space="0" w:color="auto"/>
              <w:left w:val="single" w:sz="4" w:space="0" w:color="auto"/>
            </w:tcBorders>
          </w:tcPr>
          <w:p w14:paraId="727E31D5" w14:textId="6D368D5A" w:rsidR="007B2817" w:rsidRPr="000C06A7" w:rsidRDefault="007B2817" w:rsidP="00CD6405">
            <w:pPr>
              <w:jc w:val="center"/>
              <w:rPr>
                <w:rFonts w:ascii="Arial" w:hAnsi="Arial" w:cs="Arial"/>
              </w:rPr>
            </w:pPr>
            <w:r w:rsidRPr="000C06A7">
              <w:rPr>
                <w:rFonts w:ascii="Arial" w:eastAsia="Calibri" w:hAnsi="Arial" w:cs="Arial"/>
                <w:lang w:eastAsia="en-GB"/>
              </w:rPr>
              <w:t>£395,773</w:t>
            </w:r>
          </w:p>
        </w:tc>
        <w:tc>
          <w:tcPr>
            <w:tcW w:w="1263" w:type="dxa"/>
            <w:tcBorders>
              <w:top w:val="single" w:sz="4" w:space="0" w:color="auto"/>
            </w:tcBorders>
          </w:tcPr>
          <w:p w14:paraId="6E4AB9DA" w14:textId="60D996E0" w:rsidR="007B2817" w:rsidRPr="000C06A7" w:rsidRDefault="007B2817" w:rsidP="00CD6405">
            <w:pPr>
              <w:jc w:val="center"/>
              <w:rPr>
                <w:rFonts w:ascii="Arial" w:hAnsi="Arial" w:cs="Arial"/>
              </w:rPr>
            </w:pPr>
            <w:r w:rsidRPr="000C06A7">
              <w:rPr>
                <w:rFonts w:ascii="Arial" w:eastAsia="Calibri" w:hAnsi="Arial" w:cs="Arial"/>
                <w:lang w:eastAsia="en-GB"/>
              </w:rPr>
              <w:t>-£26,914</w:t>
            </w:r>
          </w:p>
        </w:tc>
        <w:tc>
          <w:tcPr>
            <w:tcW w:w="1239" w:type="dxa"/>
            <w:tcBorders>
              <w:top w:val="single" w:sz="4" w:space="0" w:color="auto"/>
            </w:tcBorders>
          </w:tcPr>
          <w:p w14:paraId="43C8DB9A" w14:textId="167DFFD8" w:rsidR="007B2817" w:rsidRPr="000C06A7" w:rsidRDefault="007B2817" w:rsidP="00CD6405">
            <w:pPr>
              <w:jc w:val="center"/>
              <w:rPr>
                <w:rFonts w:ascii="Arial" w:hAnsi="Arial" w:cs="Arial"/>
              </w:rPr>
            </w:pPr>
            <w:r w:rsidRPr="000C06A7">
              <w:rPr>
                <w:rFonts w:ascii="Arial" w:eastAsia="Calibri" w:hAnsi="Arial" w:cs="Arial"/>
                <w:lang w:eastAsia="en-GB"/>
              </w:rPr>
              <w:t>-6.4%</w:t>
            </w:r>
          </w:p>
        </w:tc>
      </w:tr>
      <w:tr w:rsidR="004508B3" w:rsidRPr="00B568F3" w14:paraId="603A1A49" w14:textId="77777777" w:rsidTr="00343C94">
        <w:trPr>
          <w:trHeight w:val="300"/>
        </w:trPr>
        <w:tc>
          <w:tcPr>
            <w:tcW w:w="1260" w:type="dxa"/>
            <w:tcBorders>
              <w:right w:val="single" w:sz="4" w:space="0" w:color="auto"/>
            </w:tcBorders>
          </w:tcPr>
          <w:p w14:paraId="31E61040" w14:textId="7A944A8A" w:rsidR="007B2817" w:rsidRPr="000C06A7" w:rsidRDefault="007B2817" w:rsidP="007B2817">
            <w:pPr>
              <w:rPr>
                <w:rFonts w:ascii="Arial" w:hAnsi="Arial" w:cs="Arial"/>
              </w:rPr>
            </w:pPr>
            <w:r w:rsidRPr="000C06A7">
              <w:rPr>
                <w:rFonts w:ascii="Arial" w:eastAsia="Calibri" w:hAnsi="Arial" w:cs="Arial"/>
                <w:b/>
                <w:bCs/>
                <w:lang w:eastAsia="en-GB"/>
              </w:rPr>
              <w:t>2022/2023</w:t>
            </w:r>
          </w:p>
        </w:tc>
        <w:tc>
          <w:tcPr>
            <w:tcW w:w="1350" w:type="dxa"/>
            <w:tcBorders>
              <w:left w:val="single" w:sz="4" w:space="0" w:color="auto"/>
            </w:tcBorders>
          </w:tcPr>
          <w:p w14:paraId="620A4462" w14:textId="14F3366E" w:rsidR="007B2817" w:rsidRPr="000C06A7" w:rsidRDefault="007B2817" w:rsidP="00CD6405">
            <w:pPr>
              <w:jc w:val="center"/>
              <w:rPr>
                <w:rFonts w:ascii="Arial" w:hAnsi="Arial" w:cs="Arial"/>
              </w:rPr>
            </w:pPr>
            <w:r w:rsidRPr="000C06A7">
              <w:rPr>
                <w:rFonts w:ascii="Arial" w:eastAsia="Calibri" w:hAnsi="Arial" w:cs="Arial"/>
                <w:lang w:eastAsia="en-GB"/>
              </w:rPr>
              <w:t>£516,826</w:t>
            </w:r>
          </w:p>
        </w:tc>
        <w:tc>
          <w:tcPr>
            <w:tcW w:w="1273" w:type="dxa"/>
          </w:tcPr>
          <w:p w14:paraId="3EEE5B56" w14:textId="517BE470" w:rsidR="007B2817" w:rsidRPr="000C06A7" w:rsidRDefault="007B2817" w:rsidP="00CD6405">
            <w:pPr>
              <w:jc w:val="center"/>
              <w:rPr>
                <w:rFonts w:ascii="Arial" w:hAnsi="Arial" w:cs="Arial"/>
              </w:rPr>
            </w:pPr>
            <w:r w:rsidRPr="000C06A7">
              <w:rPr>
                <w:rFonts w:ascii="Arial" w:eastAsia="Calibri" w:hAnsi="Arial" w:cs="Arial"/>
                <w:lang w:eastAsia="en-GB"/>
              </w:rPr>
              <w:t>+£270,034</w:t>
            </w:r>
          </w:p>
        </w:tc>
        <w:tc>
          <w:tcPr>
            <w:tcW w:w="1311" w:type="dxa"/>
            <w:tcBorders>
              <w:right w:val="single" w:sz="4" w:space="0" w:color="auto"/>
            </w:tcBorders>
          </w:tcPr>
          <w:p w14:paraId="5932D61F" w14:textId="18F78BA9" w:rsidR="007B2817" w:rsidRPr="000C06A7" w:rsidRDefault="007B2817" w:rsidP="00CD6405">
            <w:pPr>
              <w:jc w:val="center"/>
              <w:rPr>
                <w:rFonts w:ascii="Arial" w:hAnsi="Arial" w:cs="Arial"/>
              </w:rPr>
            </w:pPr>
            <w:r w:rsidRPr="000C06A7">
              <w:rPr>
                <w:rFonts w:ascii="Arial" w:eastAsia="Calibri" w:hAnsi="Arial" w:cs="Arial"/>
                <w:lang w:eastAsia="en-GB"/>
              </w:rPr>
              <w:t>+109.4%</w:t>
            </w:r>
          </w:p>
        </w:tc>
        <w:tc>
          <w:tcPr>
            <w:tcW w:w="1561" w:type="dxa"/>
            <w:tcBorders>
              <w:left w:val="single" w:sz="4" w:space="0" w:color="auto"/>
            </w:tcBorders>
          </w:tcPr>
          <w:p w14:paraId="0E4D41F9" w14:textId="7ACCCD98" w:rsidR="007B2817" w:rsidRPr="000C06A7" w:rsidRDefault="007B2817" w:rsidP="00CD6405">
            <w:pPr>
              <w:jc w:val="center"/>
              <w:rPr>
                <w:rFonts w:ascii="Arial" w:hAnsi="Arial" w:cs="Arial"/>
              </w:rPr>
            </w:pPr>
            <w:r w:rsidRPr="000C06A7">
              <w:rPr>
                <w:rFonts w:ascii="Arial" w:eastAsia="Calibri" w:hAnsi="Arial" w:cs="Arial"/>
                <w:lang w:eastAsia="en-GB"/>
              </w:rPr>
              <w:t>£422,687</w:t>
            </w:r>
          </w:p>
        </w:tc>
        <w:tc>
          <w:tcPr>
            <w:tcW w:w="1263" w:type="dxa"/>
          </w:tcPr>
          <w:p w14:paraId="44E8B7B6" w14:textId="1DF82F0A" w:rsidR="007B2817" w:rsidRPr="000C06A7" w:rsidRDefault="007B2817" w:rsidP="00CD6405">
            <w:pPr>
              <w:jc w:val="center"/>
              <w:rPr>
                <w:rFonts w:ascii="Arial" w:hAnsi="Arial" w:cs="Arial"/>
              </w:rPr>
            </w:pPr>
            <w:r w:rsidRPr="000C06A7">
              <w:rPr>
                <w:rFonts w:ascii="Arial" w:eastAsia="Calibri" w:hAnsi="Arial" w:cs="Arial"/>
                <w:lang w:eastAsia="en-GB"/>
              </w:rPr>
              <w:t>+£176,060</w:t>
            </w:r>
          </w:p>
        </w:tc>
        <w:tc>
          <w:tcPr>
            <w:tcW w:w="1239" w:type="dxa"/>
          </w:tcPr>
          <w:p w14:paraId="2EDC9B2F" w14:textId="55315EFC" w:rsidR="007B2817" w:rsidRPr="000C06A7" w:rsidRDefault="007B2817" w:rsidP="00CD6405">
            <w:pPr>
              <w:jc w:val="center"/>
              <w:rPr>
                <w:rFonts w:ascii="Arial" w:hAnsi="Arial" w:cs="Arial"/>
              </w:rPr>
            </w:pPr>
            <w:r w:rsidRPr="000C06A7">
              <w:rPr>
                <w:rFonts w:ascii="Arial" w:eastAsia="Calibri" w:hAnsi="Arial" w:cs="Arial"/>
                <w:lang w:eastAsia="en-GB"/>
              </w:rPr>
              <w:t>+71.4%</w:t>
            </w:r>
          </w:p>
        </w:tc>
      </w:tr>
      <w:tr w:rsidR="00B327D0" w:rsidRPr="00B568F3" w14:paraId="5CCD13E6" w14:textId="77777777" w:rsidTr="00343C94">
        <w:trPr>
          <w:trHeight w:val="300"/>
        </w:trPr>
        <w:tc>
          <w:tcPr>
            <w:tcW w:w="1260" w:type="dxa"/>
            <w:tcBorders>
              <w:bottom w:val="single" w:sz="4" w:space="0" w:color="auto"/>
              <w:right w:val="single" w:sz="4" w:space="0" w:color="auto"/>
            </w:tcBorders>
          </w:tcPr>
          <w:p w14:paraId="27DDD3AF" w14:textId="25FC83C0" w:rsidR="007B2817" w:rsidRPr="000C06A7" w:rsidRDefault="007B2817" w:rsidP="007B2817">
            <w:pPr>
              <w:rPr>
                <w:rFonts w:ascii="Arial" w:hAnsi="Arial" w:cs="Arial"/>
              </w:rPr>
            </w:pPr>
            <w:r w:rsidRPr="000C06A7">
              <w:rPr>
                <w:rFonts w:ascii="Arial" w:eastAsia="Calibri" w:hAnsi="Arial" w:cs="Arial"/>
                <w:b/>
                <w:bCs/>
                <w:lang w:eastAsia="en-GB"/>
              </w:rPr>
              <w:t>2021/2022</w:t>
            </w:r>
          </w:p>
        </w:tc>
        <w:tc>
          <w:tcPr>
            <w:tcW w:w="1350" w:type="dxa"/>
            <w:tcBorders>
              <w:left w:val="single" w:sz="4" w:space="0" w:color="auto"/>
              <w:bottom w:val="single" w:sz="4" w:space="0" w:color="auto"/>
            </w:tcBorders>
          </w:tcPr>
          <w:p w14:paraId="040E9747" w14:textId="6BB5863E" w:rsidR="007B2817" w:rsidRPr="000C06A7" w:rsidRDefault="007B2817" w:rsidP="00CD6405">
            <w:pPr>
              <w:jc w:val="center"/>
              <w:rPr>
                <w:rFonts w:ascii="Arial" w:hAnsi="Arial" w:cs="Arial"/>
              </w:rPr>
            </w:pPr>
            <w:r w:rsidRPr="000C06A7">
              <w:rPr>
                <w:rFonts w:ascii="Arial" w:eastAsia="Calibri" w:hAnsi="Arial" w:cs="Arial"/>
                <w:lang w:eastAsia="en-GB"/>
              </w:rPr>
              <w:t>£246,792</w:t>
            </w:r>
          </w:p>
        </w:tc>
        <w:tc>
          <w:tcPr>
            <w:tcW w:w="1273" w:type="dxa"/>
            <w:tcBorders>
              <w:bottom w:val="single" w:sz="4" w:space="0" w:color="auto"/>
            </w:tcBorders>
          </w:tcPr>
          <w:p w14:paraId="3ECE22D5" w14:textId="7B454C5B" w:rsidR="007B2817" w:rsidRPr="000C06A7" w:rsidRDefault="000F3A9B" w:rsidP="00CD6405">
            <w:pPr>
              <w:jc w:val="center"/>
              <w:rPr>
                <w:rFonts w:ascii="Arial" w:hAnsi="Arial" w:cs="Arial"/>
              </w:rPr>
            </w:pPr>
            <w:r w:rsidRPr="000C06A7">
              <w:rPr>
                <w:rFonts w:ascii="Arial" w:hAnsi="Arial" w:cs="Arial"/>
              </w:rPr>
              <w:t>+£209,577</w:t>
            </w:r>
          </w:p>
        </w:tc>
        <w:tc>
          <w:tcPr>
            <w:tcW w:w="1311" w:type="dxa"/>
            <w:tcBorders>
              <w:bottom w:val="single" w:sz="4" w:space="0" w:color="auto"/>
              <w:right w:val="single" w:sz="4" w:space="0" w:color="auto"/>
            </w:tcBorders>
          </w:tcPr>
          <w:p w14:paraId="051B2D62" w14:textId="5041540D" w:rsidR="007B2817" w:rsidRPr="000C06A7" w:rsidRDefault="00734514" w:rsidP="00CD6405">
            <w:pPr>
              <w:jc w:val="center"/>
              <w:rPr>
                <w:rFonts w:ascii="Arial" w:hAnsi="Arial" w:cs="Arial"/>
              </w:rPr>
            </w:pPr>
            <w:r w:rsidRPr="000C06A7">
              <w:rPr>
                <w:rFonts w:ascii="Arial" w:hAnsi="Arial" w:cs="Arial"/>
              </w:rPr>
              <w:t>+17.8%</w:t>
            </w:r>
          </w:p>
        </w:tc>
        <w:tc>
          <w:tcPr>
            <w:tcW w:w="1561" w:type="dxa"/>
            <w:tcBorders>
              <w:left w:val="single" w:sz="4" w:space="0" w:color="auto"/>
              <w:bottom w:val="single" w:sz="4" w:space="0" w:color="auto"/>
            </w:tcBorders>
          </w:tcPr>
          <w:p w14:paraId="7EA8C092" w14:textId="6215C6E8" w:rsidR="007B2817" w:rsidRPr="000C06A7" w:rsidRDefault="007B2817" w:rsidP="00CD6405">
            <w:pPr>
              <w:jc w:val="center"/>
              <w:rPr>
                <w:rFonts w:ascii="Arial" w:hAnsi="Arial" w:cs="Arial"/>
              </w:rPr>
            </w:pPr>
            <w:r w:rsidRPr="000C06A7">
              <w:rPr>
                <w:rFonts w:ascii="Arial" w:eastAsia="Calibri" w:hAnsi="Arial" w:cs="Arial"/>
                <w:lang w:eastAsia="en-GB"/>
              </w:rPr>
              <w:t>£246,627</w:t>
            </w:r>
          </w:p>
        </w:tc>
        <w:tc>
          <w:tcPr>
            <w:tcW w:w="1263" w:type="dxa"/>
            <w:tcBorders>
              <w:bottom w:val="single" w:sz="4" w:space="0" w:color="auto"/>
            </w:tcBorders>
          </w:tcPr>
          <w:p w14:paraId="2AF0952E" w14:textId="7964C338" w:rsidR="007B2817" w:rsidRPr="000C06A7" w:rsidRDefault="00B10310" w:rsidP="00CD6405">
            <w:pPr>
              <w:jc w:val="center"/>
              <w:rPr>
                <w:rFonts w:ascii="Arial" w:hAnsi="Arial" w:cs="Arial"/>
              </w:rPr>
            </w:pPr>
            <w:r w:rsidRPr="000C06A7">
              <w:rPr>
                <w:rFonts w:ascii="Arial" w:hAnsi="Arial" w:cs="Arial"/>
              </w:rPr>
              <w:t>-£119,256</w:t>
            </w:r>
          </w:p>
        </w:tc>
        <w:tc>
          <w:tcPr>
            <w:tcW w:w="1239" w:type="dxa"/>
            <w:tcBorders>
              <w:bottom w:val="single" w:sz="4" w:space="0" w:color="auto"/>
            </w:tcBorders>
          </w:tcPr>
          <w:p w14:paraId="6A97CE2A" w14:textId="019314A1" w:rsidR="007B2817" w:rsidRPr="000C06A7" w:rsidRDefault="00B60F84" w:rsidP="00CD6405">
            <w:pPr>
              <w:jc w:val="center"/>
              <w:rPr>
                <w:rFonts w:ascii="Arial" w:hAnsi="Arial" w:cs="Arial"/>
              </w:rPr>
            </w:pPr>
            <w:r w:rsidRPr="000C06A7">
              <w:rPr>
                <w:rFonts w:ascii="Arial" w:hAnsi="Arial" w:cs="Arial"/>
              </w:rPr>
              <w:t>-32.6%</w:t>
            </w:r>
          </w:p>
        </w:tc>
      </w:tr>
      <w:tr w:rsidR="006F1FB1" w:rsidRPr="00B568F3" w14:paraId="578A20D7" w14:textId="77777777" w:rsidTr="00343C94">
        <w:trPr>
          <w:trHeight w:val="300"/>
        </w:trPr>
        <w:tc>
          <w:tcPr>
            <w:tcW w:w="1260" w:type="dxa"/>
            <w:tcBorders>
              <w:top w:val="single" w:sz="4" w:space="0" w:color="auto"/>
            </w:tcBorders>
          </w:tcPr>
          <w:p w14:paraId="0435DA25" w14:textId="77777777" w:rsidR="006F1FB1" w:rsidRPr="000C06A7" w:rsidRDefault="006F1FB1" w:rsidP="007B2817">
            <w:pPr>
              <w:rPr>
                <w:rFonts w:ascii="Arial" w:eastAsia="Calibri" w:hAnsi="Arial" w:cs="Arial"/>
                <w:b/>
                <w:bCs/>
                <w:lang w:eastAsia="en-GB"/>
              </w:rPr>
            </w:pPr>
          </w:p>
        </w:tc>
        <w:tc>
          <w:tcPr>
            <w:tcW w:w="1350" w:type="dxa"/>
            <w:tcBorders>
              <w:top w:val="single" w:sz="4" w:space="0" w:color="auto"/>
            </w:tcBorders>
          </w:tcPr>
          <w:p w14:paraId="20FE6229" w14:textId="77777777" w:rsidR="006F1FB1" w:rsidRPr="000C06A7" w:rsidRDefault="006F1FB1" w:rsidP="00CD6405">
            <w:pPr>
              <w:jc w:val="center"/>
              <w:rPr>
                <w:rFonts w:ascii="Arial" w:eastAsia="Calibri" w:hAnsi="Arial" w:cs="Arial"/>
                <w:lang w:eastAsia="en-GB"/>
              </w:rPr>
            </w:pPr>
          </w:p>
        </w:tc>
        <w:tc>
          <w:tcPr>
            <w:tcW w:w="1273" w:type="dxa"/>
            <w:tcBorders>
              <w:top w:val="single" w:sz="4" w:space="0" w:color="auto"/>
            </w:tcBorders>
          </w:tcPr>
          <w:p w14:paraId="5A087285" w14:textId="77777777" w:rsidR="006F1FB1" w:rsidRPr="000C06A7" w:rsidRDefault="006F1FB1" w:rsidP="00CD6405">
            <w:pPr>
              <w:jc w:val="center"/>
              <w:rPr>
                <w:rFonts w:ascii="Arial" w:hAnsi="Arial" w:cs="Arial"/>
              </w:rPr>
            </w:pPr>
          </w:p>
        </w:tc>
        <w:tc>
          <w:tcPr>
            <w:tcW w:w="1311" w:type="dxa"/>
            <w:tcBorders>
              <w:top w:val="single" w:sz="4" w:space="0" w:color="auto"/>
            </w:tcBorders>
          </w:tcPr>
          <w:p w14:paraId="111E37EE" w14:textId="77777777" w:rsidR="006F1FB1" w:rsidRPr="000C06A7" w:rsidRDefault="006F1FB1" w:rsidP="00CD6405">
            <w:pPr>
              <w:jc w:val="center"/>
              <w:rPr>
                <w:rFonts w:ascii="Arial" w:hAnsi="Arial" w:cs="Arial"/>
              </w:rPr>
            </w:pPr>
          </w:p>
        </w:tc>
        <w:tc>
          <w:tcPr>
            <w:tcW w:w="1561" w:type="dxa"/>
            <w:tcBorders>
              <w:top w:val="single" w:sz="4" w:space="0" w:color="auto"/>
            </w:tcBorders>
          </w:tcPr>
          <w:p w14:paraId="4F54503F" w14:textId="77777777" w:rsidR="006F1FB1" w:rsidRPr="000C06A7" w:rsidRDefault="006F1FB1" w:rsidP="00CD6405">
            <w:pPr>
              <w:jc w:val="center"/>
              <w:rPr>
                <w:rFonts w:ascii="Arial" w:eastAsia="Calibri" w:hAnsi="Arial" w:cs="Arial"/>
                <w:lang w:eastAsia="en-GB"/>
              </w:rPr>
            </w:pPr>
          </w:p>
        </w:tc>
        <w:tc>
          <w:tcPr>
            <w:tcW w:w="1263" w:type="dxa"/>
            <w:tcBorders>
              <w:top w:val="single" w:sz="4" w:space="0" w:color="auto"/>
            </w:tcBorders>
          </w:tcPr>
          <w:p w14:paraId="70974FDC" w14:textId="77777777" w:rsidR="006F1FB1" w:rsidRPr="000C06A7" w:rsidRDefault="006F1FB1" w:rsidP="00CD6405">
            <w:pPr>
              <w:jc w:val="center"/>
              <w:rPr>
                <w:rFonts w:ascii="Arial" w:hAnsi="Arial" w:cs="Arial"/>
              </w:rPr>
            </w:pPr>
          </w:p>
        </w:tc>
        <w:tc>
          <w:tcPr>
            <w:tcW w:w="1239" w:type="dxa"/>
            <w:tcBorders>
              <w:top w:val="single" w:sz="4" w:space="0" w:color="auto"/>
            </w:tcBorders>
          </w:tcPr>
          <w:p w14:paraId="77DF95FE" w14:textId="77777777" w:rsidR="006F1FB1" w:rsidRPr="000C06A7" w:rsidRDefault="006F1FB1" w:rsidP="00CD6405">
            <w:pPr>
              <w:jc w:val="center"/>
              <w:rPr>
                <w:rFonts w:ascii="Arial" w:hAnsi="Arial" w:cs="Arial"/>
              </w:rPr>
            </w:pPr>
          </w:p>
        </w:tc>
      </w:tr>
      <w:tr w:rsidR="0077083D" w:rsidRPr="00B568F3" w14:paraId="574A6E66" w14:textId="77777777" w:rsidTr="005C3459">
        <w:trPr>
          <w:trHeight w:val="300"/>
        </w:trPr>
        <w:tc>
          <w:tcPr>
            <w:tcW w:w="1260" w:type="dxa"/>
            <w:vMerge w:val="restart"/>
            <w:tcBorders>
              <w:bottom w:val="single" w:sz="4" w:space="0" w:color="auto"/>
              <w:right w:val="single" w:sz="4" w:space="0" w:color="auto"/>
            </w:tcBorders>
            <w:vAlign w:val="center"/>
          </w:tcPr>
          <w:p w14:paraId="79C780D4" w14:textId="25814BB6" w:rsidR="006F1FB1" w:rsidRPr="000C06A7" w:rsidRDefault="006F1FB1" w:rsidP="00245F9E">
            <w:pPr>
              <w:jc w:val="center"/>
              <w:rPr>
                <w:rFonts w:ascii="Arial" w:eastAsia="Calibri" w:hAnsi="Arial" w:cs="Arial"/>
                <w:b/>
                <w:bCs/>
                <w:lang w:eastAsia="en-GB"/>
              </w:rPr>
            </w:pPr>
            <w:r w:rsidRPr="000C06A7">
              <w:rPr>
                <w:rFonts w:ascii="Arial" w:eastAsia="Calibri" w:hAnsi="Arial" w:cs="Arial"/>
                <w:b/>
                <w:bCs/>
                <w:lang w:eastAsia="en-GB"/>
              </w:rPr>
              <w:t>Overall</w:t>
            </w:r>
          </w:p>
        </w:tc>
        <w:tc>
          <w:tcPr>
            <w:tcW w:w="3934" w:type="dxa"/>
            <w:gridSpan w:val="3"/>
            <w:tcBorders>
              <w:left w:val="single" w:sz="4" w:space="0" w:color="auto"/>
              <w:bottom w:val="single" w:sz="4" w:space="0" w:color="auto"/>
              <w:right w:val="single" w:sz="4" w:space="0" w:color="auto"/>
            </w:tcBorders>
            <w:vAlign w:val="center"/>
          </w:tcPr>
          <w:p w14:paraId="4B11B769" w14:textId="59E37D08" w:rsidR="006F1FB1" w:rsidRPr="000C06A7" w:rsidRDefault="006F1FB1" w:rsidP="00245F9E">
            <w:pPr>
              <w:jc w:val="center"/>
              <w:rPr>
                <w:rFonts w:ascii="Arial" w:hAnsi="Arial" w:cs="Arial"/>
              </w:rPr>
            </w:pPr>
            <w:r w:rsidRPr="000C06A7">
              <w:rPr>
                <w:rFonts w:ascii="Arial" w:hAnsi="Arial" w:cs="Arial"/>
                <w:b/>
                <w:bCs/>
              </w:rPr>
              <w:t xml:space="preserve">Delivery </w:t>
            </w:r>
            <w:r w:rsidR="0035272F" w:rsidRPr="000C06A7">
              <w:rPr>
                <w:rFonts w:ascii="Arial" w:hAnsi="Arial" w:cs="Arial"/>
                <w:b/>
                <w:bCs/>
              </w:rPr>
              <w:t>s</w:t>
            </w:r>
            <w:r w:rsidRPr="000C06A7">
              <w:rPr>
                <w:rFonts w:ascii="Arial" w:hAnsi="Arial" w:cs="Arial"/>
                <w:b/>
                <w:bCs/>
              </w:rPr>
              <w:t>taff</w:t>
            </w:r>
          </w:p>
        </w:tc>
        <w:tc>
          <w:tcPr>
            <w:tcW w:w="4063" w:type="dxa"/>
            <w:gridSpan w:val="3"/>
            <w:tcBorders>
              <w:left w:val="single" w:sz="4" w:space="0" w:color="auto"/>
              <w:bottom w:val="single" w:sz="4" w:space="0" w:color="auto"/>
            </w:tcBorders>
            <w:vAlign w:val="center"/>
          </w:tcPr>
          <w:p w14:paraId="4DF551A8" w14:textId="6E5CFAF1" w:rsidR="006F1FB1" w:rsidRPr="000C06A7" w:rsidRDefault="006F1FB1" w:rsidP="00245F9E">
            <w:pPr>
              <w:jc w:val="center"/>
              <w:rPr>
                <w:rFonts w:ascii="Arial" w:hAnsi="Arial" w:cs="Arial"/>
              </w:rPr>
            </w:pPr>
            <w:r w:rsidRPr="000C06A7">
              <w:rPr>
                <w:rFonts w:ascii="Arial" w:eastAsia="Calibri" w:hAnsi="Arial" w:cs="Arial"/>
                <w:b/>
                <w:bCs/>
                <w:lang w:eastAsia="en-GB"/>
              </w:rPr>
              <w:t>Management and admin</w:t>
            </w:r>
            <w:r w:rsidR="0035272F" w:rsidRPr="000C06A7">
              <w:rPr>
                <w:rFonts w:ascii="Arial" w:eastAsia="Calibri" w:hAnsi="Arial" w:cs="Arial"/>
                <w:b/>
                <w:bCs/>
                <w:lang w:eastAsia="en-GB"/>
              </w:rPr>
              <w:t>istration</w:t>
            </w:r>
          </w:p>
        </w:tc>
      </w:tr>
      <w:tr w:rsidR="00862BE1" w:rsidRPr="00B568F3" w14:paraId="0A743778" w14:textId="77777777" w:rsidTr="005C3459">
        <w:trPr>
          <w:trHeight w:val="300"/>
        </w:trPr>
        <w:tc>
          <w:tcPr>
            <w:tcW w:w="1260" w:type="dxa"/>
            <w:vMerge/>
            <w:vAlign w:val="center"/>
          </w:tcPr>
          <w:p w14:paraId="67FF7109" w14:textId="48828E3A" w:rsidR="006F1FB1" w:rsidRPr="000C06A7" w:rsidRDefault="006F1FB1" w:rsidP="00245F9E">
            <w:pPr>
              <w:jc w:val="center"/>
              <w:rPr>
                <w:rFonts w:ascii="Arial" w:eastAsia="Calibri" w:hAnsi="Arial" w:cs="Arial"/>
                <w:b/>
                <w:bCs/>
                <w:lang w:eastAsia="en-GB"/>
              </w:rPr>
            </w:pPr>
          </w:p>
        </w:tc>
        <w:tc>
          <w:tcPr>
            <w:tcW w:w="1350" w:type="dxa"/>
            <w:tcBorders>
              <w:top w:val="single" w:sz="4" w:space="0" w:color="auto"/>
              <w:left w:val="single" w:sz="4" w:space="0" w:color="auto"/>
              <w:bottom w:val="single" w:sz="4" w:space="0" w:color="auto"/>
            </w:tcBorders>
            <w:vAlign w:val="center"/>
          </w:tcPr>
          <w:p w14:paraId="4DA055B0" w14:textId="302A7910" w:rsidR="006F1FB1" w:rsidRPr="000C06A7" w:rsidRDefault="006F1FB1" w:rsidP="00245F9E">
            <w:pPr>
              <w:jc w:val="center"/>
              <w:rPr>
                <w:rFonts w:ascii="Arial" w:eastAsia="Calibri" w:hAnsi="Arial" w:cs="Arial"/>
                <w:lang w:eastAsia="en-GB"/>
              </w:rPr>
            </w:pPr>
            <w:r w:rsidRPr="000C06A7">
              <w:rPr>
                <w:rFonts w:ascii="Arial" w:eastAsia="Calibri" w:hAnsi="Arial" w:cs="Arial"/>
                <w:b/>
                <w:bCs/>
                <w:lang w:eastAsia="en-GB"/>
              </w:rPr>
              <w:t>£</w:t>
            </w:r>
          </w:p>
        </w:tc>
        <w:tc>
          <w:tcPr>
            <w:tcW w:w="1273" w:type="dxa"/>
            <w:tcBorders>
              <w:top w:val="single" w:sz="4" w:space="0" w:color="auto"/>
              <w:bottom w:val="single" w:sz="4" w:space="0" w:color="auto"/>
            </w:tcBorders>
            <w:vAlign w:val="center"/>
          </w:tcPr>
          <w:p w14:paraId="1B041E9A" w14:textId="6873266A" w:rsidR="006F1FB1" w:rsidRPr="000C06A7" w:rsidRDefault="006F1FB1" w:rsidP="00245F9E">
            <w:pPr>
              <w:jc w:val="center"/>
              <w:rPr>
                <w:rFonts w:ascii="Arial" w:hAnsi="Arial" w:cs="Arial"/>
              </w:rPr>
            </w:pPr>
            <w:r w:rsidRPr="000C06A7">
              <w:rPr>
                <w:rFonts w:ascii="Arial" w:eastAsia="Calibri" w:hAnsi="Arial" w:cs="Arial"/>
                <w:b/>
                <w:bCs/>
                <w:lang w:eastAsia="en-GB"/>
              </w:rPr>
              <w:t>£ change</w:t>
            </w:r>
          </w:p>
        </w:tc>
        <w:tc>
          <w:tcPr>
            <w:tcW w:w="1311" w:type="dxa"/>
            <w:tcBorders>
              <w:top w:val="single" w:sz="4" w:space="0" w:color="auto"/>
              <w:bottom w:val="single" w:sz="4" w:space="0" w:color="auto"/>
              <w:right w:val="single" w:sz="4" w:space="0" w:color="auto"/>
            </w:tcBorders>
            <w:vAlign w:val="center"/>
          </w:tcPr>
          <w:p w14:paraId="0816AF5F" w14:textId="249594EA" w:rsidR="006F1FB1" w:rsidRPr="000C06A7" w:rsidRDefault="006F1FB1" w:rsidP="00245F9E">
            <w:pPr>
              <w:jc w:val="center"/>
              <w:rPr>
                <w:rFonts w:ascii="Arial" w:hAnsi="Arial" w:cs="Arial"/>
              </w:rPr>
            </w:pPr>
            <w:r w:rsidRPr="000C06A7">
              <w:rPr>
                <w:rFonts w:ascii="Arial" w:eastAsia="Calibri" w:hAnsi="Arial" w:cs="Arial"/>
                <w:b/>
                <w:bCs/>
                <w:lang w:eastAsia="en-GB"/>
              </w:rPr>
              <w:t>% change</w:t>
            </w:r>
          </w:p>
        </w:tc>
        <w:tc>
          <w:tcPr>
            <w:tcW w:w="1561" w:type="dxa"/>
            <w:tcBorders>
              <w:top w:val="single" w:sz="4" w:space="0" w:color="auto"/>
              <w:left w:val="single" w:sz="4" w:space="0" w:color="auto"/>
              <w:bottom w:val="single" w:sz="4" w:space="0" w:color="auto"/>
            </w:tcBorders>
            <w:vAlign w:val="center"/>
          </w:tcPr>
          <w:p w14:paraId="6952968B" w14:textId="6FCACF5D" w:rsidR="006F1FB1" w:rsidRPr="000C06A7" w:rsidRDefault="006F1FB1" w:rsidP="00245F9E">
            <w:pPr>
              <w:jc w:val="center"/>
              <w:rPr>
                <w:rFonts w:ascii="Arial" w:eastAsia="Calibri" w:hAnsi="Arial" w:cs="Arial"/>
                <w:lang w:eastAsia="en-GB"/>
              </w:rPr>
            </w:pPr>
            <w:r w:rsidRPr="000C06A7">
              <w:rPr>
                <w:rFonts w:ascii="Arial" w:eastAsia="Calibri" w:hAnsi="Arial" w:cs="Arial"/>
                <w:b/>
                <w:bCs/>
                <w:lang w:eastAsia="en-GB"/>
              </w:rPr>
              <w:t>£</w:t>
            </w:r>
          </w:p>
        </w:tc>
        <w:tc>
          <w:tcPr>
            <w:tcW w:w="1263" w:type="dxa"/>
            <w:tcBorders>
              <w:top w:val="single" w:sz="4" w:space="0" w:color="auto"/>
              <w:bottom w:val="single" w:sz="4" w:space="0" w:color="auto"/>
            </w:tcBorders>
            <w:vAlign w:val="center"/>
          </w:tcPr>
          <w:p w14:paraId="206633D5" w14:textId="52820A43" w:rsidR="006F1FB1" w:rsidRPr="000C06A7" w:rsidRDefault="006F1FB1" w:rsidP="00245F9E">
            <w:pPr>
              <w:jc w:val="center"/>
              <w:rPr>
                <w:rFonts w:ascii="Arial" w:hAnsi="Arial" w:cs="Arial"/>
              </w:rPr>
            </w:pPr>
            <w:r w:rsidRPr="000C06A7">
              <w:rPr>
                <w:rFonts w:ascii="Arial" w:eastAsia="Calibri" w:hAnsi="Arial" w:cs="Arial"/>
                <w:b/>
                <w:bCs/>
                <w:lang w:eastAsia="en-GB"/>
              </w:rPr>
              <w:t>£ change</w:t>
            </w:r>
          </w:p>
        </w:tc>
        <w:tc>
          <w:tcPr>
            <w:tcW w:w="1239" w:type="dxa"/>
            <w:tcBorders>
              <w:top w:val="single" w:sz="4" w:space="0" w:color="auto"/>
              <w:bottom w:val="single" w:sz="4" w:space="0" w:color="auto"/>
            </w:tcBorders>
            <w:vAlign w:val="center"/>
          </w:tcPr>
          <w:p w14:paraId="0BDF23FC" w14:textId="61D08055" w:rsidR="006F1FB1" w:rsidRPr="000C06A7" w:rsidRDefault="006F1FB1" w:rsidP="00245F9E">
            <w:pPr>
              <w:jc w:val="center"/>
              <w:rPr>
                <w:rFonts w:ascii="Arial" w:hAnsi="Arial" w:cs="Arial"/>
              </w:rPr>
            </w:pPr>
            <w:r w:rsidRPr="000C06A7">
              <w:rPr>
                <w:rFonts w:ascii="Arial" w:eastAsia="Calibri" w:hAnsi="Arial" w:cs="Arial"/>
                <w:b/>
                <w:bCs/>
                <w:lang w:eastAsia="en-GB"/>
              </w:rPr>
              <w:t>% change</w:t>
            </w:r>
          </w:p>
        </w:tc>
      </w:tr>
      <w:tr w:rsidR="006F1FB1" w:rsidRPr="00B568F3" w14:paraId="11141ED9" w14:textId="77777777" w:rsidTr="00343C94">
        <w:trPr>
          <w:trHeight w:val="300"/>
        </w:trPr>
        <w:tc>
          <w:tcPr>
            <w:tcW w:w="1260" w:type="dxa"/>
            <w:tcBorders>
              <w:top w:val="single" w:sz="4" w:space="0" w:color="auto"/>
              <w:right w:val="single" w:sz="4" w:space="0" w:color="auto"/>
            </w:tcBorders>
          </w:tcPr>
          <w:p w14:paraId="6ABE3360" w14:textId="46C5813F" w:rsidR="006F1FB1" w:rsidRPr="000C06A7" w:rsidRDefault="006F1FB1" w:rsidP="006F1FB1">
            <w:pPr>
              <w:rPr>
                <w:rFonts w:ascii="Arial" w:eastAsia="Calibri" w:hAnsi="Arial" w:cs="Arial"/>
                <w:b/>
                <w:bCs/>
                <w:lang w:eastAsia="en-GB"/>
              </w:rPr>
            </w:pPr>
            <w:r w:rsidRPr="000C06A7">
              <w:rPr>
                <w:rFonts w:ascii="Arial" w:eastAsia="Calibri" w:hAnsi="Arial" w:cs="Arial"/>
                <w:b/>
                <w:bCs/>
                <w:lang w:eastAsia="en-GB"/>
              </w:rPr>
              <w:t>2023/2024</w:t>
            </w:r>
          </w:p>
        </w:tc>
        <w:tc>
          <w:tcPr>
            <w:tcW w:w="1350" w:type="dxa"/>
            <w:tcBorders>
              <w:top w:val="single" w:sz="4" w:space="0" w:color="auto"/>
              <w:left w:val="single" w:sz="4" w:space="0" w:color="auto"/>
            </w:tcBorders>
          </w:tcPr>
          <w:p w14:paraId="1DC5E79B" w14:textId="4F44F086" w:rsidR="006F1FB1" w:rsidRPr="000C06A7" w:rsidRDefault="002A1CF1" w:rsidP="006F1FB1">
            <w:pPr>
              <w:jc w:val="center"/>
              <w:rPr>
                <w:rFonts w:ascii="Arial" w:eastAsia="Calibri" w:hAnsi="Arial" w:cs="Arial"/>
                <w:lang w:eastAsia="en-GB"/>
              </w:rPr>
            </w:pPr>
            <w:r w:rsidRPr="000C06A7">
              <w:rPr>
                <w:rFonts w:ascii="Arial" w:eastAsia="Calibri" w:hAnsi="Arial" w:cs="Arial"/>
                <w:lang w:eastAsia="en-GB"/>
              </w:rPr>
              <w:t>£</w:t>
            </w:r>
            <w:r w:rsidR="00886C37" w:rsidRPr="000C06A7">
              <w:rPr>
                <w:rFonts w:ascii="Arial" w:eastAsia="Calibri" w:hAnsi="Arial" w:cs="Arial"/>
                <w:lang w:eastAsia="en-GB"/>
              </w:rPr>
              <w:t>5,400,147</w:t>
            </w:r>
          </w:p>
        </w:tc>
        <w:tc>
          <w:tcPr>
            <w:tcW w:w="1273" w:type="dxa"/>
            <w:tcBorders>
              <w:top w:val="single" w:sz="4" w:space="0" w:color="auto"/>
            </w:tcBorders>
          </w:tcPr>
          <w:p w14:paraId="4C52F734" w14:textId="247C7D67" w:rsidR="006F1FB1" w:rsidRPr="000C06A7" w:rsidRDefault="00886C37" w:rsidP="006F1FB1">
            <w:pPr>
              <w:jc w:val="center"/>
              <w:rPr>
                <w:rFonts w:ascii="Arial" w:hAnsi="Arial" w:cs="Arial"/>
              </w:rPr>
            </w:pPr>
            <w:r w:rsidRPr="000C06A7">
              <w:rPr>
                <w:rFonts w:ascii="Arial" w:hAnsi="Arial" w:cs="Arial"/>
              </w:rPr>
              <w:t>+£128,333</w:t>
            </w:r>
          </w:p>
        </w:tc>
        <w:tc>
          <w:tcPr>
            <w:tcW w:w="1311" w:type="dxa"/>
            <w:tcBorders>
              <w:top w:val="single" w:sz="4" w:space="0" w:color="auto"/>
              <w:right w:val="single" w:sz="4" w:space="0" w:color="auto"/>
            </w:tcBorders>
          </w:tcPr>
          <w:p w14:paraId="25E27430" w14:textId="5800AE84" w:rsidR="006F1FB1" w:rsidRPr="000C06A7" w:rsidRDefault="00100357" w:rsidP="006F1FB1">
            <w:pPr>
              <w:jc w:val="center"/>
              <w:rPr>
                <w:rFonts w:ascii="Arial" w:hAnsi="Arial" w:cs="Arial"/>
              </w:rPr>
            </w:pPr>
            <w:r w:rsidRPr="000C06A7">
              <w:rPr>
                <w:rFonts w:ascii="Arial" w:hAnsi="Arial" w:cs="Arial"/>
              </w:rPr>
              <w:t>+2.4%</w:t>
            </w:r>
          </w:p>
        </w:tc>
        <w:tc>
          <w:tcPr>
            <w:tcW w:w="1561" w:type="dxa"/>
            <w:tcBorders>
              <w:top w:val="single" w:sz="4" w:space="0" w:color="auto"/>
              <w:left w:val="single" w:sz="4" w:space="0" w:color="auto"/>
            </w:tcBorders>
          </w:tcPr>
          <w:p w14:paraId="7B90174C" w14:textId="3EA256B6" w:rsidR="006F1FB1" w:rsidRPr="000C06A7" w:rsidRDefault="00100357" w:rsidP="006F1FB1">
            <w:pPr>
              <w:jc w:val="center"/>
              <w:rPr>
                <w:rFonts w:ascii="Arial" w:eastAsia="Calibri" w:hAnsi="Arial" w:cs="Arial"/>
                <w:lang w:eastAsia="en-GB"/>
              </w:rPr>
            </w:pPr>
            <w:r w:rsidRPr="000C06A7">
              <w:rPr>
                <w:rFonts w:ascii="Arial" w:eastAsia="Calibri" w:hAnsi="Arial" w:cs="Arial"/>
                <w:lang w:eastAsia="en-GB"/>
              </w:rPr>
              <w:t>£2,744,699</w:t>
            </w:r>
          </w:p>
        </w:tc>
        <w:tc>
          <w:tcPr>
            <w:tcW w:w="1263" w:type="dxa"/>
            <w:tcBorders>
              <w:top w:val="single" w:sz="4" w:space="0" w:color="auto"/>
            </w:tcBorders>
          </w:tcPr>
          <w:p w14:paraId="61DAB1D9" w14:textId="52E9C155" w:rsidR="006F1FB1" w:rsidRPr="000C06A7" w:rsidRDefault="00766292" w:rsidP="006F1FB1">
            <w:pPr>
              <w:jc w:val="center"/>
              <w:rPr>
                <w:rFonts w:ascii="Arial" w:hAnsi="Arial" w:cs="Arial"/>
              </w:rPr>
            </w:pPr>
            <w:r w:rsidRPr="000C06A7">
              <w:rPr>
                <w:rFonts w:ascii="Arial" w:hAnsi="Arial" w:cs="Arial"/>
              </w:rPr>
              <w:t>-£20,830</w:t>
            </w:r>
          </w:p>
        </w:tc>
        <w:tc>
          <w:tcPr>
            <w:tcW w:w="1239" w:type="dxa"/>
            <w:tcBorders>
              <w:top w:val="single" w:sz="4" w:space="0" w:color="auto"/>
            </w:tcBorders>
          </w:tcPr>
          <w:p w14:paraId="1DE5B9C3" w14:textId="77F7E365" w:rsidR="006F1FB1" w:rsidRPr="000C06A7" w:rsidRDefault="002B55DA" w:rsidP="006F1FB1">
            <w:pPr>
              <w:jc w:val="center"/>
              <w:rPr>
                <w:rFonts w:ascii="Arial" w:hAnsi="Arial" w:cs="Arial"/>
              </w:rPr>
            </w:pPr>
            <w:r w:rsidRPr="000C06A7">
              <w:rPr>
                <w:rFonts w:ascii="Arial" w:hAnsi="Arial" w:cs="Arial"/>
              </w:rPr>
              <w:t>-0.8%</w:t>
            </w:r>
          </w:p>
        </w:tc>
      </w:tr>
      <w:tr w:rsidR="006F1FB1" w:rsidRPr="00B568F3" w14:paraId="401D94D5" w14:textId="77777777" w:rsidTr="00343C94">
        <w:trPr>
          <w:trHeight w:val="300"/>
        </w:trPr>
        <w:tc>
          <w:tcPr>
            <w:tcW w:w="1260" w:type="dxa"/>
            <w:tcBorders>
              <w:right w:val="single" w:sz="4" w:space="0" w:color="auto"/>
            </w:tcBorders>
          </w:tcPr>
          <w:p w14:paraId="0C9CBBE0" w14:textId="21FC1585" w:rsidR="006F1FB1" w:rsidRPr="000C06A7" w:rsidRDefault="006F1FB1" w:rsidP="006F1FB1">
            <w:pPr>
              <w:rPr>
                <w:rFonts w:ascii="Arial" w:eastAsia="Calibri" w:hAnsi="Arial" w:cs="Arial"/>
                <w:b/>
                <w:bCs/>
                <w:lang w:eastAsia="en-GB"/>
              </w:rPr>
            </w:pPr>
            <w:r w:rsidRPr="000C06A7">
              <w:rPr>
                <w:rFonts w:ascii="Arial" w:eastAsia="Calibri" w:hAnsi="Arial" w:cs="Arial"/>
                <w:b/>
                <w:bCs/>
                <w:lang w:eastAsia="en-GB"/>
              </w:rPr>
              <w:t>2022/2023</w:t>
            </w:r>
          </w:p>
        </w:tc>
        <w:tc>
          <w:tcPr>
            <w:tcW w:w="1350" w:type="dxa"/>
            <w:tcBorders>
              <w:left w:val="single" w:sz="4" w:space="0" w:color="auto"/>
            </w:tcBorders>
          </w:tcPr>
          <w:p w14:paraId="73E02E61" w14:textId="30340CFE" w:rsidR="006F1FB1" w:rsidRPr="000C06A7" w:rsidRDefault="002A1CF1" w:rsidP="006F1FB1">
            <w:pPr>
              <w:jc w:val="center"/>
              <w:rPr>
                <w:rFonts w:ascii="Arial" w:eastAsia="Calibri" w:hAnsi="Arial" w:cs="Arial"/>
                <w:lang w:eastAsia="en-GB"/>
              </w:rPr>
            </w:pPr>
            <w:r w:rsidRPr="000C06A7">
              <w:rPr>
                <w:rFonts w:ascii="Arial" w:eastAsia="Calibri" w:hAnsi="Arial" w:cs="Arial"/>
                <w:lang w:eastAsia="en-GB"/>
              </w:rPr>
              <w:t>£5,271,814</w:t>
            </w:r>
          </w:p>
        </w:tc>
        <w:tc>
          <w:tcPr>
            <w:tcW w:w="1273" w:type="dxa"/>
          </w:tcPr>
          <w:p w14:paraId="7A602D4E" w14:textId="24F2F9A3" w:rsidR="006F1FB1" w:rsidRPr="000C06A7" w:rsidRDefault="00886C37" w:rsidP="006F1FB1">
            <w:pPr>
              <w:jc w:val="center"/>
              <w:rPr>
                <w:rFonts w:ascii="Arial" w:hAnsi="Arial" w:cs="Arial"/>
              </w:rPr>
            </w:pPr>
            <w:r w:rsidRPr="000C06A7">
              <w:rPr>
                <w:rFonts w:ascii="Arial" w:hAnsi="Arial" w:cs="Arial"/>
              </w:rPr>
              <w:t>+£448,805</w:t>
            </w:r>
          </w:p>
        </w:tc>
        <w:tc>
          <w:tcPr>
            <w:tcW w:w="1311" w:type="dxa"/>
            <w:tcBorders>
              <w:right w:val="single" w:sz="4" w:space="0" w:color="auto"/>
            </w:tcBorders>
          </w:tcPr>
          <w:p w14:paraId="56B70318" w14:textId="5B9FB111" w:rsidR="006F1FB1" w:rsidRPr="000C06A7" w:rsidRDefault="00100357" w:rsidP="006F1FB1">
            <w:pPr>
              <w:jc w:val="center"/>
              <w:rPr>
                <w:rFonts w:ascii="Arial" w:hAnsi="Arial" w:cs="Arial"/>
              </w:rPr>
            </w:pPr>
            <w:r w:rsidRPr="000C06A7">
              <w:rPr>
                <w:rFonts w:ascii="Arial" w:hAnsi="Arial" w:cs="Arial"/>
              </w:rPr>
              <w:t>+9.3%</w:t>
            </w:r>
          </w:p>
        </w:tc>
        <w:tc>
          <w:tcPr>
            <w:tcW w:w="1561" w:type="dxa"/>
            <w:tcBorders>
              <w:left w:val="single" w:sz="4" w:space="0" w:color="auto"/>
            </w:tcBorders>
          </w:tcPr>
          <w:p w14:paraId="45FE9000" w14:textId="061987AE" w:rsidR="006F1FB1" w:rsidRPr="000C06A7" w:rsidRDefault="00100357" w:rsidP="006F1FB1">
            <w:pPr>
              <w:jc w:val="center"/>
              <w:rPr>
                <w:rFonts w:ascii="Arial" w:eastAsia="Calibri" w:hAnsi="Arial" w:cs="Arial"/>
                <w:lang w:eastAsia="en-GB"/>
              </w:rPr>
            </w:pPr>
            <w:r w:rsidRPr="000C06A7">
              <w:rPr>
                <w:rFonts w:ascii="Arial" w:eastAsia="Calibri" w:hAnsi="Arial" w:cs="Arial"/>
                <w:lang w:eastAsia="en-GB"/>
              </w:rPr>
              <w:t>£2,765,529</w:t>
            </w:r>
          </w:p>
        </w:tc>
        <w:tc>
          <w:tcPr>
            <w:tcW w:w="1263" w:type="dxa"/>
          </w:tcPr>
          <w:p w14:paraId="51E73980" w14:textId="761CEB1D" w:rsidR="006F1FB1" w:rsidRPr="000C06A7" w:rsidRDefault="00766292" w:rsidP="006F1FB1">
            <w:pPr>
              <w:jc w:val="center"/>
              <w:rPr>
                <w:rFonts w:ascii="Arial" w:hAnsi="Arial" w:cs="Arial"/>
              </w:rPr>
            </w:pPr>
            <w:r w:rsidRPr="000C06A7">
              <w:rPr>
                <w:rFonts w:ascii="Arial" w:hAnsi="Arial" w:cs="Arial"/>
              </w:rPr>
              <w:t>+</w:t>
            </w:r>
            <w:r w:rsidR="002B55DA" w:rsidRPr="000C06A7">
              <w:rPr>
                <w:rFonts w:ascii="Arial" w:hAnsi="Arial" w:cs="Arial"/>
              </w:rPr>
              <w:t>£</w:t>
            </w:r>
            <w:r w:rsidRPr="000C06A7">
              <w:rPr>
                <w:rFonts w:ascii="Arial" w:hAnsi="Arial" w:cs="Arial"/>
              </w:rPr>
              <w:t>130</w:t>
            </w:r>
            <w:r w:rsidR="002B55DA" w:rsidRPr="000C06A7">
              <w:rPr>
                <w:rFonts w:ascii="Arial" w:hAnsi="Arial" w:cs="Arial"/>
              </w:rPr>
              <w:t>,489</w:t>
            </w:r>
          </w:p>
        </w:tc>
        <w:tc>
          <w:tcPr>
            <w:tcW w:w="1239" w:type="dxa"/>
          </w:tcPr>
          <w:p w14:paraId="2E95B3C0" w14:textId="3AEBAB1B" w:rsidR="006F1FB1" w:rsidRPr="000C06A7" w:rsidRDefault="002B55DA" w:rsidP="006F1FB1">
            <w:pPr>
              <w:jc w:val="center"/>
              <w:rPr>
                <w:rFonts w:ascii="Arial" w:hAnsi="Arial" w:cs="Arial"/>
              </w:rPr>
            </w:pPr>
            <w:r w:rsidRPr="000C06A7">
              <w:rPr>
                <w:rFonts w:ascii="Arial" w:hAnsi="Arial" w:cs="Arial"/>
              </w:rPr>
              <w:t>+5.0%</w:t>
            </w:r>
          </w:p>
        </w:tc>
      </w:tr>
      <w:tr w:rsidR="006F1FB1" w:rsidRPr="00B568F3" w14:paraId="29505EF4" w14:textId="77777777" w:rsidTr="00343C94">
        <w:trPr>
          <w:trHeight w:val="300"/>
        </w:trPr>
        <w:tc>
          <w:tcPr>
            <w:tcW w:w="1260" w:type="dxa"/>
            <w:tcBorders>
              <w:bottom w:val="single" w:sz="4" w:space="0" w:color="auto"/>
              <w:right w:val="single" w:sz="4" w:space="0" w:color="auto"/>
            </w:tcBorders>
          </w:tcPr>
          <w:p w14:paraId="399D3808" w14:textId="5ED25BAB" w:rsidR="006F1FB1" w:rsidRPr="000C06A7" w:rsidRDefault="006F1FB1" w:rsidP="006F1FB1">
            <w:pPr>
              <w:rPr>
                <w:rFonts w:ascii="Arial" w:eastAsia="Calibri" w:hAnsi="Arial" w:cs="Arial"/>
                <w:b/>
                <w:bCs/>
                <w:lang w:eastAsia="en-GB"/>
              </w:rPr>
            </w:pPr>
            <w:r w:rsidRPr="000C06A7">
              <w:rPr>
                <w:rFonts w:ascii="Arial" w:eastAsia="Calibri" w:hAnsi="Arial" w:cs="Arial"/>
                <w:b/>
                <w:bCs/>
                <w:lang w:eastAsia="en-GB"/>
              </w:rPr>
              <w:t>2021/2022</w:t>
            </w:r>
          </w:p>
        </w:tc>
        <w:tc>
          <w:tcPr>
            <w:tcW w:w="1350" w:type="dxa"/>
            <w:tcBorders>
              <w:left w:val="single" w:sz="4" w:space="0" w:color="auto"/>
              <w:bottom w:val="single" w:sz="4" w:space="0" w:color="auto"/>
            </w:tcBorders>
          </w:tcPr>
          <w:p w14:paraId="5F7B615F" w14:textId="5888C6E6" w:rsidR="006F1FB1" w:rsidRPr="000C06A7" w:rsidRDefault="002A1CF1" w:rsidP="006F1FB1">
            <w:pPr>
              <w:jc w:val="center"/>
              <w:rPr>
                <w:rFonts w:ascii="Arial" w:eastAsia="Calibri" w:hAnsi="Arial" w:cs="Arial"/>
                <w:lang w:eastAsia="en-GB"/>
              </w:rPr>
            </w:pPr>
            <w:r w:rsidRPr="000C06A7">
              <w:rPr>
                <w:rFonts w:ascii="Arial" w:eastAsia="Calibri" w:hAnsi="Arial" w:cs="Arial"/>
                <w:lang w:eastAsia="en-GB"/>
              </w:rPr>
              <w:t>£4,823,009</w:t>
            </w:r>
          </w:p>
        </w:tc>
        <w:tc>
          <w:tcPr>
            <w:tcW w:w="1273" w:type="dxa"/>
            <w:tcBorders>
              <w:bottom w:val="single" w:sz="4" w:space="0" w:color="auto"/>
            </w:tcBorders>
          </w:tcPr>
          <w:p w14:paraId="1B536AE1" w14:textId="652491C9" w:rsidR="006F1FB1" w:rsidRPr="000C06A7" w:rsidRDefault="00886C37" w:rsidP="006F1FB1">
            <w:pPr>
              <w:jc w:val="center"/>
              <w:rPr>
                <w:rFonts w:ascii="Arial" w:hAnsi="Arial" w:cs="Arial"/>
              </w:rPr>
            </w:pPr>
            <w:r w:rsidRPr="000C06A7">
              <w:rPr>
                <w:rFonts w:ascii="Arial" w:hAnsi="Arial" w:cs="Arial"/>
              </w:rPr>
              <w:t>-£184,350</w:t>
            </w:r>
          </w:p>
        </w:tc>
        <w:tc>
          <w:tcPr>
            <w:tcW w:w="1311" w:type="dxa"/>
            <w:tcBorders>
              <w:bottom w:val="single" w:sz="4" w:space="0" w:color="auto"/>
              <w:right w:val="single" w:sz="4" w:space="0" w:color="auto"/>
            </w:tcBorders>
          </w:tcPr>
          <w:p w14:paraId="6A380CC2" w14:textId="4D9008BD" w:rsidR="006F1FB1" w:rsidRPr="000C06A7" w:rsidRDefault="00100357" w:rsidP="006F1FB1">
            <w:pPr>
              <w:jc w:val="center"/>
              <w:rPr>
                <w:rFonts w:ascii="Arial" w:hAnsi="Arial" w:cs="Arial"/>
              </w:rPr>
            </w:pPr>
            <w:r w:rsidRPr="000C06A7">
              <w:rPr>
                <w:rFonts w:ascii="Arial" w:hAnsi="Arial" w:cs="Arial"/>
              </w:rPr>
              <w:t>-3.7%</w:t>
            </w:r>
          </w:p>
        </w:tc>
        <w:tc>
          <w:tcPr>
            <w:tcW w:w="1561" w:type="dxa"/>
            <w:tcBorders>
              <w:left w:val="single" w:sz="4" w:space="0" w:color="auto"/>
              <w:bottom w:val="single" w:sz="4" w:space="0" w:color="auto"/>
            </w:tcBorders>
          </w:tcPr>
          <w:p w14:paraId="034E5236" w14:textId="00E497B6" w:rsidR="006F1FB1" w:rsidRPr="000C06A7" w:rsidRDefault="00100357" w:rsidP="006F1FB1">
            <w:pPr>
              <w:jc w:val="center"/>
              <w:rPr>
                <w:rFonts w:ascii="Arial" w:eastAsia="Calibri" w:hAnsi="Arial" w:cs="Arial"/>
                <w:lang w:eastAsia="en-GB"/>
              </w:rPr>
            </w:pPr>
            <w:r w:rsidRPr="000C06A7">
              <w:rPr>
                <w:rFonts w:ascii="Arial" w:eastAsia="Calibri" w:hAnsi="Arial" w:cs="Arial"/>
                <w:lang w:eastAsia="en-GB"/>
              </w:rPr>
              <w:t>£</w:t>
            </w:r>
            <w:r w:rsidR="00766292" w:rsidRPr="000C06A7">
              <w:rPr>
                <w:rFonts w:ascii="Arial" w:eastAsia="Calibri" w:hAnsi="Arial" w:cs="Arial"/>
                <w:lang w:eastAsia="en-GB"/>
              </w:rPr>
              <w:t>2,635,040</w:t>
            </w:r>
          </w:p>
        </w:tc>
        <w:tc>
          <w:tcPr>
            <w:tcW w:w="1263" w:type="dxa"/>
            <w:tcBorders>
              <w:bottom w:val="single" w:sz="4" w:space="0" w:color="auto"/>
            </w:tcBorders>
          </w:tcPr>
          <w:p w14:paraId="6EB48C06" w14:textId="745E0B0E" w:rsidR="006F1FB1" w:rsidRPr="000C06A7" w:rsidRDefault="002B55DA" w:rsidP="006F1FB1">
            <w:pPr>
              <w:jc w:val="center"/>
              <w:rPr>
                <w:rFonts w:ascii="Arial" w:hAnsi="Arial" w:cs="Arial"/>
              </w:rPr>
            </w:pPr>
            <w:r w:rsidRPr="000C06A7">
              <w:rPr>
                <w:rFonts w:ascii="Arial" w:hAnsi="Arial" w:cs="Arial"/>
              </w:rPr>
              <w:t>+£95,949</w:t>
            </w:r>
          </w:p>
        </w:tc>
        <w:tc>
          <w:tcPr>
            <w:tcW w:w="1239" w:type="dxa"/>
            <w:tcBorders>
              <w:bottom w:val="single" w:sz="4" w:space="0" w:color="auto"/>
            </w:tcBorders>
          </w:tcPr>
          <w:p w14:paraId="1F6CBB0B" w14:textId="7FAB4B08" w:rsidR="006F1FB1" w:rsidRPr="000C06A7" w:rsidRDefault="005E1C36" w:rsidP="006F1FB1">
            <w:pPr>
              <w:jc w:val="center"/>
              <w:rPr>
                <w:rFonts w:ascii="Arial" w:hAnsi="Arial" w:cs="Arial"/>
              </w:rPr>
            </w:pPr>
            <w:r w:rsidRPr="000C06A7">
              <w:rPr>
                <w:rFonts w:ascii="Arial" w:hAnsi="Arial" w:cs="Arial"/>
              </w:rPr>
              <w:t>+3.8%</w:t>
            </w:r>
          </w:p>
        </w:tc>
      </w:tr>
    </w:tbl>
    <w:p w14:paraId="2765239D" w14:textId="77777777" w:rsidR="00627F96" w:rsidRPr="000C06A7" w:rsidRDefault="00627F96" w:rsidP="00343C94">
      <w:pPr>
        <w:ind w:left="66"/>
        <w:rPr>
          <w:rFonts w:ascii="Arial" w:hAnsi="Arial" w:cs="Arial"/>
        </w:rPr>
      </w:pPr>
    </w:p>
    <w:p w14:paraId="41748452" w14:textId="269852F6" w:rsidR="002D1B1F" w:rsidRPr="000C06A7" w:rsidRDefault="002D1B1F" w:rsidP="000C06A7">
      <w:pPr>
        <w:pStyle w:val="Heading3"/>
      </w:pPr>
      <w:bookmarkStart w:id="8" w:name="_Toc179481628"/>
      <w:r w:rsidRPr="000C06A7">
        <w:t>Health and safety</w:t>
      </w:r>
      <w:bookmarkEnd w:id="8"/>
    </w:p>
    <w:p w14:paraId="2E050AF7" w14:textId="77777777" w:rsidR="002D1B1F" w:rsidRPr="00B568F3" w:rsidRDefault="002D1B1F" w:rsidP="00343C94">
      <w:pPr>
        <w:pStyle w:val="ListParagraph"/>
        <w:spacing w:after="0" w:line="240" w:lineRule="auto"/>
        <w:ind w:left="786"/>
        <w:rPr>
          <w:rFonts w:ascii="Arial" w:eastAsia="Calibri" w:hAnsi="Arial" w:cs="Arial"/>
          <w:sz w:val="24"/>
          <w:szCs w:val="24"/>
        </w:rPr>
      </w:pPr>
    </w:p>
    <w:p w14:paraId="080E730C" w14:textId="0A74460A" w:rsidR="004078BD" w:rsidRPr="00B568F3" w:rsidRDefault="004078BD"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Health and safety </w:t>
      </w:r>
      <w:r w:rsidR="000064A5" w:rsidRPr="00B568F3">
        <w:rPr>
          <w:rFonts w:ascii="Arial" w:eastAsia="Calibri" w:hAnsi="Arial" w:cs="Arial"/>
          <w:sz w:val="24"/>
          <w:szCs w:val="24"/>
        </w:rPr>
        <w:t>spend is</w:t>
      </w:r>
      <w:r w:rsidR="004A0864" w:rsidRPr="00B568F3">
        <w:rPr>
          <w:rFonts w:ascii="Arial" w:eastAsia="Calibri" w:hAnsi="Arial" w:cs="Arial"/>
          <w:sz w:val="24"/>
          <w:szCs w:val="24"/>
        </w:rPr>
        <w:t xml:space="preserve"> </w:t>
      </w:r>
      <w:r w:rsidR="007A0EA3" w:rsidRPr="00B568F3">
        <w:rPr>
          <w:rFonts w:ascii="Arial" w:eastAsia="Calibri" w:hAnsi="Arial" w:cs="Arial"/>
          <w:sz w:val="24"/>
          <w:szCs w:val="24"/>
        </w:rPr>
        <w:t>capped</w:t>
      </w:r>
      <w:r w:rsidR="00894CD1" w:rsidRPr="00B568F3">
        <w:rPr>
          <w:rFonts w:ascii="Arial" w:eastAsia="Calibri" w:hAnsi="Arial" w:cs="Arial"/>
          <w:sz w:val="24"/>
          <w:szCs w:val="24"/>
        </w:rPr>
        <w:t>,</w:t>
      </w:r>
      <w:r w:rsidR="006C278B" w:rsidRPr="00B568F3">
        <w:rPr>
          <w:rFonts w:ascii="Arial" w:eastAsia="Calibri" w:hAnsi="Arial" w:cs="Arial"/>
          <w:sz w:val="24"/>
          <w:szCs w:val="24"/>
        </w:rPr>
        <w:t xml:space="preserve"> </w:t>
      </w:r>
      <w:r w:rsidRPr="00B568F3">
        <w:rPr>
          <w:rFonts w:ascii="Arial" w:eastAsia="Calibri" w:hAnsi="Arial" w:cs="Arial"/>
          <w:sz w:val="24"/>
          <w:szCs w:val="24"/>
        </w:rPr>
        <w:t xml:space="preserve">and regions </w:t>
      </w:r>
      <w:r w:rsidR="00234EDD" w:rsidRPr="00B568F3">
        <w:rPr>
          <w:rFonts w:ascii="Arial" w:eastAsia="Calibri" w:hAnsi="Arial" w:cs="Arial"/>
          <w:sz w:val="24"/>
          <w:szCs w:val="24"/>
        </w:rPr>
        <w:t>aren’t</w:t>
      </w:r>
      <w:r w:rsidRPr="00B568F3">
        <w:rPr>
          <w:rFonts w:ascii="Arial" w:eastAsia="Calibri" w:hAnsi="Arial" w:cs="Arial"/>
          <w:sz w:val="24"/>
          <w:szCs w:val="24"/>
        </w:rPr>
        <w:t xml:space="preserve"> allowed to spend any more than 10</w:t>
      </w:r>
      <w:r w:rsidR="008F5A25" w:rsidRPr="00B568F3">
        <w:rPr>
          <w:rFonts w:ascii="Arial" w:eastAsia="Calibri" w:hAnsi="Arial" w:cs="Arial"/>
          <w:sz w:val="24"/>
          <w:szCs w:val="24"/>
        </w:rPr>
        <w:t xml:space="preserve"> </w:t>
      </w:r>
      <w:r w:rsidR="006435FD" w:rsidRPr="00B568F3">
        <w:rPr>
          <w:rFonts w:ascii="Arial" w:eastAsia="Calibri" w:hAnsi="Arial" w:cs="Arial"/>
          <w:sz w:val="24"/>
          <w:szCs w:val="24"/>
        </w:rPr>
        <w:t>per cent</w:t>
      </w:r>
      <w:r w:rsidRPr="00B568F3">
        <w:rPr>
          <w:rFonts w:ascii="Arial" w:eastAsia="Calibri" w:hAnsi="Arial" w:cs="Arial"/>
          <w:sz w:val="24"/>
          <w:szCs w:val="24"/>
        </w:rPr>
        <w:t xml:space="preserve"> of their grant on </w:t>
      </w:r>
      <w:r w:rsidR="00EE6C61" w:rsidRPr="00B568F3">
        <w:rPr>
          <w:rFonts w:ascii="Arial" w:eastAsia="Calibri" w:hAnsi="Arial" w:cs="Arial"/>
          <w:sz w:val="24"/>
          <w:szCs w:val="24"/>
        </w:rPr>
        <w:t xml:space="preserve">health and safety </w:t>
      </w:r>
      <w:r w:rsidR="008F2FF2" w:rsidRPr="00B568F3">
        <w:rPr>
          <w:rFonts w:ascii="Arial" w:eastAsia="Calibri" w:hAnsi="Arial" w:cs="Arial"/>
          <w:sz w:val="24"/>
          <w:szCs w:val="24"/>
        </w:rPr>
        <w:t>arrangements</w:t>
      </w:r>
      <w:r w:rsidR="00EE6C61" w:rsidRPr="00B568F3">
        <w:rPr>
          <w:rFonts w:ascii="Arial" w:eastAsia="Calibri" w:hAnsi="Arial" w:cs="Arial"/>
          <w:sz w:val="24"/>
          <w:szCs w:val="24"/>
        </w:rPr>
        <w:t xml:space="preserve"> that the employers are responsible for.</w:t>
      </w:r>
    </w:p>
    <w:p w14:paraId="16B35397" w14:textId="77777777" w:rsidR="00F37E53" w:rsidRPr="00B568F3" w:rsidRDefault="00F37E53" w:rsidP="001501DD">
      <w:pPr>
        <w:spacing w:after="200" w:line="276" w:lineRule="auto"/>
        <w:ind w:left="567"/>
        <w:contextualSpacing/>
        <w:rPr>
          <w:rFonts w:ascii="Arial" w:eastAsia="Calibri" w:hAnsi="Arial" w:cs="Arial"/>
          <w:sz w:val="24"/>
          <w:szCs w:val="24"/>
        </w:rPr>
      </w:pPr>
    </w:p>
    <w:p w14:paraId="12828305" w14:textId="318CFA8D" w:rsidR="002D1B1F" w:rsidRPr="00B568F3" w:rsidRDefault="009230E8" w:rsidP="00632461">
      <w:pPr>
        <w:numPr>
          <w:ilvl w:val="0"/>
          <w:numId w:val="6"/>
        </w:numPr>
        <w:spacing w:after="200" w:line="276" w:lineRule="auto"/>
        <w:ind w:left="720" w:hanging="578"/>
        <w:contextualSpacing/>
        <w:rPr>
          <w:rFonts w:ascii="Arial" w:eastAsia="Calibri" w:hAnsi="Arial" w:cs="Arial"/>
          <w:sz w:val="24"/>
          <w:szCs w:val="24"/>
        </w:rPr>
      </w:pPr>
      <w:r w:rsidRPr="00B568F3">
        <w:rPr>
          <w:rFonts w:ascii="Arial" w:eastAsia="Calibri" w:hAnsi="Arial" w:cs="Arial"/>
          <w:sz w:val="24"/>
          <w:szCs w:val="24"/>
        </w:rPr>
        <w:t>Figure 6</w:t>
      </w:r>
      <w:r w:rsidR="009D43BC" w:rsidRPr="00B568F3">
        <w:rPr>
          <w:rFonts w:ascii="Arial" w:eastAsia="Calibri" w:hAnsi="Arial" w:cs="Arial"/>
          <w:sz w:val="24"/>
          <w:szCs w:val="24"/>
        </w:rPr>
        <w:t xml:space="preserve"> shows that </w:t>
      </w:r>
      <w:r w:rsidRPr="00B568F3">
        <w:rPr>
          <w:rFonts w:ascii="Arial" w:eastAsia="Calibri" w:hAnsi="Arial" w:cs="Arial"/>
          <w:sz w:val="24"/>
          <w:szCs w:val="24"/>
        </w:rPr>
        <w:t>s</w:t>
      </w:r>
      <w:r w:rsidR="003C450F" w:rsidRPr="00B568F3">
        <w:rPr>
          <w:rFonts w:ascii="Arial" w:eastAsia="Calibri" w:hAnsi="Arial" w:cs="Arial"/>
          <w:sz w:val="24"/>
          <w:szCs w:val="24"/>
        </w:rPr>
        <w:t xml:space="preserve">pending on health and safety as a </w:t>
      </w:r>
      <w:r w:rsidR="0034352B" w:rsidRPr="00B568F3">
        <w:rPr>
          <w:rFonts w:ascii="Arial" w:eastAsia="Calibri" w:hAnsi="Arial" w:cs="Arial"/>
          <w:sz w:val="24"/>
          <w:szCs w:val="24"/>
        </w:rPr>
        <w:t xml:space="preserve">proportion of the SCWWDP grant </w:t>
      </w:r>
      <w:r w:rsidR="006E011B" w:rsidRPr="00B568F3">
        <w:rPr>
          <w:rFonts w:ascii="Arial" w:eastAsia="Calibri" w:hAnsi="Arial" w:cs="Arial"/>
          <w:sz w:val="24"/>
          <w:szCs w:val="24"/>
        </w:rPr>
        <w:t>remains</w:t>
      </w:r>
      <w:r w:rsidR="0029549B" w:rsidRPr="00B568F3" w:rsidDel="00A374EF">
        <w:rPr>
          <w:rFonts w:ascii="Arial" w:eastAsia="Calibri" w:hAnsi="Arial" w:cs="Arial"/>
          <w:sz w:val="24"/>
          <w:szCs w:val="24"/>
        </w:rPr>
        <w:t xml:space="preserve"> </w:t>
      </w:r>
      <w:r w:rsidR="00A374EF" w:rsidRPr="00B568F3">
        <w:rPr>
          <w:rFonts w:ascii="Arial" w:eastAsia="Calibri" w:hAnsi="Arial" w:cs="Arial"/>
          <w:sz w:val="24"/>
          <w:szCs w:val="24"/>
        </w:rPr>
        <w:t>the same</w:t>
      </w:r>
      <w:r w:rsidR="006E011B" w:rsidRPr="00B568F3">
        <w:rPr>
          <w:rFonts w:ascii="Arial" w:eastAsia="Calibri" w:hAnsi="Arial" w:cs="Arial"/>
          <w:sz w:val="24"/>
          <w:szCs w:val="24"/>
        </w:rPr>
        <w:t>,</w:t>
      </w:r>
      <w:r w:rsidR="00A374EF" w:rsidRPr="00B568F3">
        <w:rPr>
          <w:rFonts w:ascii="Arial" w:eastAsia="Calibri" w:hAnsi="Arial" w:cs="Arial"/>
          <w:sz w:val="24"/>
          <w:szCs w:val="24"/>
        </w:rPr>
        <w:t xml:space="preserve"> </w:t>
      </w:r>
      <w:r w:rsidR="0029549B" w:rsidRPr="00B568F3">
        <w:rPr>
          <w:rFonts w:ascii="Arial" w:eastAsia="Calibri" w:hAnsi="Arial" w:cs="Arial"/>
          <w:sz w:val="24"/>
          <w:szCs w:val="24"/>
        </w:rPr>
        <w:t xml:space="preserve">at </w:t>
      </w:r>
      <w:r w:rsidR="002D1B1F" w:rsidRPr="00B568F3">
        <w:rPr>
          <w:rFonts w:ascii="Arial" w:eastAsia="Calibri" w:hAnsi="Arial" w:cs="Arial"/>
          <w:sz w:val="24"/>
          <w:szCs w:val="24"/>
        </w:rPr>
        <w:t>2.1</w:t>
      </w:r>
      <w:r w:rsidR="00A374EF" w:rsidRPr="00B568F3">
        <w:rPr>
          <w:rFonts w:ascii="Arial" w:eastAsia="Calibri" w:hAnsi="Arial" w:cs="Arial"/>
          <w:sz w:val="24"/>
          <w:szCs w:val="24"/>
        </w:rPr>
        <w:t xml:space="preserve"> per cent</w:t>
      </w:r>
      <w:r w:rsidR="00D36D76" w:rsidRPr="00B568F3">
        <w:rPr>
          <w:rFonts w:ascii="Arial" w:eastAsia="Calibri" w:hAnsi="Arial" w:cs="Arial"/>
          <w:sz w:val="24"/>
          <w:szCs w:val="24"/>
        </w:rPr>
        <w:t xml:space="preserve">. </w:t>
      </w:r>
      <w:r w:rsidR="00201635" w:rsidRPr="00B568F3">
        <w:rPr>
          <w:rFonts w:ascii="Arial" w:eastAsia="Calibri" w:hAnsi="Arial" w:cs="Arial"/>
          <w:sz w:val="24"/>
          <w:szCs w:val="24"/>
        </w:rPr>
        <w:t>The regions</w:t>
      </w:r>
      <w:r w:rsidR="00FD411B" w:rsidRPr="00B568F3">
        <w:rPr>
          <w:rFonts w:ascii="Arial" w:eastAsia="Calibri" w:hAnsi="Arial" w:cs="Arial"/>
          <w:sz w:val="24"/>
          <w:szCs w:val="24"/>
        </w:rPr>
        <w:t>’ spend</w:t>
      </w:r>
      <w:r w:rsidR="002D1B1F" w:rsidRPr="00B568F3" w:rsidDel="00201635">
        <w:rPr>
          <w:rFonts w:ascii="Arial" w:eastAsia="Calibri" w:hAnsi="Arial" w:cs="Arial"/>
          <w:sz w:val="24"/>
          <w:szCs w:val="24"/>
        </w:rPr>
        <w:t xml:space="preserve"> </w:t>
      </w:r>
      <w:r w:rsidR="002D1B1F" w:rsidRPr="00B568F3">
        <w:rPr>
          <w:rFonts w:ascii="Arial" w:eastAsia="Calibri" w:hAnsi="Arial" w:cs="Arial"/>
          <w:sz w:val="24"/>
          <w:szCs w:val="24"/>
        </w:rPr>
        <w:t>rang</w:t>
      </w:r>
      <w:r w:rsidR="00D36D76" w:rsidRPr="00B568F3">
        <w:rPr>
          <w:rFonts w:ascii="Arial" w:eastAsia="Calibri" w:hAnsi="Arial" w:cs="Arial"/>
          <w:sz w:val="24"/>
          <w:szCs w:val="24"/>
        </w:rPr>
        <w:t>e</w:t>
      </w:r>
      <w:r w:rsidR="002D1B1F" w:rsidRPr="00B568F3">
        <w:rPr>
          <w:rFonts w:ascii="Arial" w:eastAsia="Calibri" w:hAnsi="Arial" w:cs="Arial"/>
          <w:sz w:val="24"/>
          <w:szCs w:val="24"/>
        </w:rPr>
        <w:t xml:space="preserve"> from 0.6</w:t>
      </w:r>
      <w:r w:rsidR="00201635" w:rsidRPr="00B568F3">
        <w:rPr>
          <w:rFonts w:ascii="Arial" w:eastAsia="Calibri" w:hAnsi="Arial" w:cs="Arial"/>
          <w:sz w:val="24"/>
          <w:szCs w:val="24"/>
        </w:rPr>
        <w:t xml:space="preserve"> per cent</w:t>
      </w:r>
      <w:r w:rsidR="002D1B1F" w:rsidRPr="00B568F3">
        <w:rPr>
          <w:rFonts w:ascii="Arial" w:eastAsia="Calibri" w:hAnsi="Arial" w:cs="Arial"/>
          <w:sz w:val="24"/>
          <w:szCs w:val="24"/>
        </w:rPr>
        <w:t xml:space="preserve"> to 3.1</w:t>
      </w:r>
      <w:r w:rsidR="00777B37" w:rsidRPr="00B568F3">
        <w:rPr>
          <w:rFonts w:ascii="Arial" w:eastAsia="Calibri" w:hAnsi="Arial" w:cs="Arial"/>
          <w:sz w:val="24"/>
          <w:szCs w:val="24"/>
        </w:rPr>
        <w:t xml:space="preserve"> per cent</w:t>
      </w:r>
      <w:r w:rsidR="00C93C7A" w:rsidRPr="00B568F3">
        <w:rPr>
          <w:rFonts w:ascii="Arial" w:eastAsia="Calibri" w:hAnsi="Arial" w:cs="Arial"/>
          <w:sz w:val="24"/>
          <w:szCs w:val="24"/>
        </w:rPr>
        <w:t>,</w:t>
      </w:r>
      <w:r w:rsidR="002D1B1F" w:rsidRPr="00B568F3">
        <w:rPr>
          <w:rFonts w:ascii="Arial" w:eastAsia="Calibri" w:hAnsi="Arial" w:cs="Arial"/>
          <w:sz w:val="24"/>
          <w:szCs w:val="24"/>
        </w:rPr>
        <w:t xml:space="preserve"> which </w:t>
      </w:r>
      <w:r w:rsidR="00777B37" w:rsidRPr="00B568F3">
        <w:rPr>
          <w:rFonts w:ascii="Arial" w:eastAsia="Calibri" w:hAnsi="Arial" w:cs="Arial"/>
          <w:sz w:val="24"/>
          <w:szCs w:val="24"/>
        </w:rPr>
        <w:t xml:space="preserve">is </w:t>
      </w:r>
      <w:r w:rsidR="002D1B1F" w:rsidRPr="00B568F3">
        <w:rPr>
          <w:rFonts w:ascii="Arial" w:eastAsia="Calibri" w:hAnsi="Arial" w:cs="Arial"/>
          <w:sz w:val="24"/>
          <w:szCs w:val="24"/>
        </w:rPr>
        <w:t>well within the 10</w:t>
      </w:r>
      <w:r w:rsidR="00777B37" w:rsidRPr="00B568F3">
        <w:rPr>
          <w:rFonts w:ascii="Arial" w:eastAsia="Calibri" w:hAnsi="Arial" w:cs="Arial"/>
          <w:sz w:val="24"/>
          <w:szCs w:val="24"/>
        </w:rPr>
        <w:t xml:space="preserve"> per cent</w:t>
      </w:r>
      <w:r w:rsidR="002D1B1F" w:rsidRPr="00B568F3">
        <w:rPr>
          <w:rFonts w:ascii="Arial" w:eastAsia="Calibri" w:hAnsi="Arial" w:cs="Arial"/>
          <w:sz w:val="24"/>
          <w:szCs w:val="24"/>
        </w:rPr>
        <w:t xml:space="preserve"> allowance</w:t>
      </w:r>
      <w:r w:rsidR="43B7F088" w:rsidRPr="00B568F3">
        <w:rPr>
          <w:rFonts w:ascii="Arial" w:eastAsia="Calibri" w:hAnsi="Arial" w:cs="Arial"/>
          <w:sz w:val="24"/>
          <w:szCs w:val="24"/>
        </w:rPr>
        <w:t xml:space="preserve">. </w:t>
      </w:r>
    </w:p>
    <w:p w14:paraId="5F2B2EC7" w14:textId="77777777" w:rsidR="00B15F40" w:rsidRPr="00B568F3" w:rsidRDefault="00B15F40" w:rsidP="001501DD">
      <w:pPr>
        <w:spacing w:after="200" w:line="276" w:lineRule="auto"/>
        <w:ind w:left="567"/>
        <w:contextualSpacing/>
        <w:rPr>
          <w:rFonts w:ascii="Arial" w:eastAsia="Calibri" w:hAnsi="Arial" w:cs="Arial"/>
          <w:sz w:val="24"/>
          <w:szCs w:val="24"/>
        </w:rPr>
      </w:pPr>
    </w:p>
    <w:p w14:paraId="5B72D390" w14:textId="35E8EAEA" w:rsidR="00B15F40" w:rsidRPr="00B568F3" w:rsidRDefault="00225420"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Table 4 shows that </w:t>
      </w:r>
      <w:r w:rsidR="00E13748" w:rsidRPr="00B568F3">
        <w:rPr>
          <w:rFonts w:ascii="Arial" w:eastAsia="Calibri" w:hAnsi="Arial" w:cs="Arial"/>
          <w:sz w:val="24"/>
          <w:szCs w:val="24"/>
        </w:rPr>
        <w:t xml:space="preserve">SCWWDP </w:t>
      </w:r>
      <w:r w:rsidR="000D26D4" w:rsidRPr="00B568F3">
        <w:rPr>
          <w:rFonts w:ascii="Arial" w:eastAsia="Calibri" w:hAnsi="Arial" w:cs="Arial"/>
          <w:sz w:val="24"/>
          <w:szCs w:val="24"/>
        </w:rPr>
        <w:t xml:space="preserve">funding </w:t>
      </w:r>
      <w:r w:rsidR="00E13748" w:rsidRPr="00B568F3">
        <w:rPr>
          <w:rFonts w:ascii="Arial" w:eastAsia="Calibri" w:hAnsi="Arial" w:cs="Arial"/>
          <w:sz w:val="24"/>
          <w:szCs w:val="24"/>
        </w:rPr>
        <w:t xml:space="preserve">spent on health and safety </w:t>
      </w:r>
      <w:r w:rsidR="00377599" w:rsidRPr="00B568F3">
        <w:rPr>
          <w:rFonts w:ascii="Arial" w:eastAsia="Calibri" w:hAnsi="Arial" w:cs="Arial"/>
          <w:sz w:val="24"/>
          <w:szCs w:val="24"/>
        </w:rPr>
        <w:t xml:space="preserve">has </w:t>
      </w:r>
      <w:r w:rsidR="001C22AB" w:rsidRPr="00B568F3">
        <w:rPr>
          <w:rFonts w:ascii="Arial" w:eastAsia="Calibri" w:hAnsi="Arial" w:cs="Arial"/>
          <w:sz w:val="24"/>
          <w:szCs w:val="24"/>
        </w:rPr>
        <w:t>reduced</w:t>
      </w:r>
      <w:r w:rsidR="00E13748" w:rsidRPr="00B568F3">
        <w:rPr>
          <w:rFonts w:ascii="Arial" w:eastAsia="Calibri" w:hAnsi="Arial" w:cs="Arial"/>
          <w:sz w:val="24"/>
          <w:szCs w:val="24"/>
        </w:rPr>
        <w:t xml:space="preserve"> from </w:t>
      </w:r>
      <w:r w:rsidR="003C55C6" w:rsidRPr="00B568F3">
        <w:rPr>
          <w:rFonts w:ascii="Arial" w:eastAsia="Calibri" w:hAnsi="Arial" w:cs="Arial"/>
          <w:sz w:val="24"/>
          <w:szCs w:val="24"/>
        </w:rPr>
        <w:t xml:space="preserve">£250,176 in </w:t>
      </w:r>
      <w:r w:rsidR="16D98EF1" w:rsidRPr="00B568F3">
        <w:rPr>
          <w:rFonts w:ascii="Arial" w:eastAsia="Calibri" w:hAnsi="Arial" w:cs="Arial"/>
          <w:sz w:val="24"/>
          <w:szCs w:val="24"/>
        </w:rPr>
        <w:t>20</w:t>
      </w:r>
      <w:r w:rsidR="003C55C6" w:rsidRPr="00B568F3">
        <w:rPr>
          <w:rFonts w:ascii="Arial" w:eastAsia="Calibri" w:hAnsi="Arial" w:cs="Arial"/>
          <w:sz w:val="24"/>
          <w:szCs w:val="24"/>
        </w:rPr>
        <w:t>22</w:t>
      </w:r>
      <w:r w:rsidR="00F87081" w:rsidRPr="00B568F3">
        <w:rPr>
          <w:rFonts w:ascii="Arial" w:eastAsia="Calibri" w:hAnsi="Arial" w:cs="Arial"/>
          <w:sz w:val="24"/>
          <w:szCs w:val="24"/>
        </w:rPr>
        <w:t xml:space="preserve"> to </w:t>
      </w:r>
      <w:r w:rsidR="00434D5F" w:rsidRPr="00B568F3">
        <w:rPr>
          <w:rFonts w:ascii="Arial" w:eastAsia="Calibri" w:hAnsi="Arial" w:cs="Arial"/>
          <w:sz w:val="24"/>
          <w:szCs w:val="24"/>
        </w:rPr>
        <w:t>20</w:t>
      </w:r>
      <w:r w:rsidR="003C55C6" w:rsidRPr="00B568F3">
        <w:rPr>
          <w:rFonts w:ascii="Arial" w:eastAsia="Calibri" w:hAnsi="Arial" w:cs="Arial"/>
          <w:sz w:val="24"/>
          <w:szCs w:val="24"/>
        </w:rPr>
        <w:t>23</w:t>
      </w:r>
      <w:r w:rsidR="00C93C7A" w:rsidRPr="00B568F3">
        <w:rPr>
          <w:rFonts w:ascii="Arial" w:eastAsia="Calibri" w:hAnsi="Arial" w:cs="Arial"/>
          <w:sz w:val="24"/>
          <w:szCs w:val="24"/>
        </w:rPr>
        <w:t>,</w:t>
      </w:r>
      <w:r w:rsidR="003C55C6" w:rsidRPr="00B568F3">
        <w:rPr>
          <w:rFonts w:ascii="Arial" w:eastAsia="Calibri" w:hAnsi="Arial" w:cs="Arial"/>
          <w:sz w:val="24"/>
          <w:szCs w:val="24"/>
        </w:rPr>
        <w:t xml:space="preserve"> to £228,451 in </w:t>
      </w:r>
      <w:r w:rsidR="7D7C80A0" w:rsidRPr="00B568F3">
        <w:rPr>
          <w:rFonts w:ascii="Arial" w:eastAsia="Calibri" w:hAnsi="Arial" w:cs="Arial"/>
          <w:sz w:val="24"/>
          <w:szCs w:val="24"/>
        </w:rPr>
        <w:t>20</w:t>
      </w:r>
      <w:r w:rsidR="003C55C6" w:rsidRPr="00B568F3">
        <w:rPr>
          <w:rFonts w:ascii="Arial" w:eastAsia="Calibri" w:hAnsi="Arial" w:cs="Arial"/>
          <w:sz w:val="24"/>
          <w:szCs w:val="24"/>
        </w:rPr>
        <w:t>23</w:t>
      </w:r>
      <w:r w:rsidR="00EE6C61" w:rsidRPr="00B568F3">
        <w:rPr>
          <w:rFonts w:ascii="Arial" w:eastAsia="Calibri" w:hAnsi="Arial" w:cs="Arial"/>
          <w:sz w:val="24"/>
          <w:szCs w:val="24"/>
        </w:rPr>
        <w:t xml:space="preserve"> to 20</w:t>
      </w:r>
      <w:r w:rsidR="003C55C6" w:rsidRPr="00B568F3">
        <w:rPr>
          <w:rFonts w:ascii="Arial" w:eastAsia="Calibri" w:hAnsi="Arial" w:cs="Arial"/>
          <w:sz w:val="24"/>
          <w:szCs w:val="24"/>
        </w:rPr>
        <w:t>24, a reduction of 8.7</w:t>
      </w:r>
      <w:r w:rsidR="00EE6C61" w:rsidRPr="00B568F3">
        <w:rPr>
          <w:rFonts w:ascii="Arial" w:eastAsia="Calibri" w:hAnsi="Arial" w:cs="Arial"/>
          <w:sz w:val="24"/>
          <w:szCs w:val="24"/>
        </w:rPr>
        <w:t xml:space="preserve"> per cent</w:t>
      </w:r>
      <w:r w:rsidR="00A2717E" w:rsidRPr="00B568F3">
        <w:rPr>
          <w:rFonts w:ascii="Arial" w:eastAsia="Calibri" w:hAnsi="Arial" w:cs="Arial"/>
          <w:sz w:val="24"/>
          <w:szCs w:val="24"/>
        </w:rPr>
        <w:t>. T</w:t>
      </w:r>
      <w:r w:rsidR="00B15F40" w:rsidRPr="00B568F3">
        <w:rPr>
          <w:rFonts w:ascii="Arial" w:eastAsia="Calibri" w:hAnsi="Arial" w:cs="Arial"/>
          <w:sz w:val="24"/>
          <w:szCs w:val="24"/>
        </w:rPr>
        <w:t xml:space="preserve">his is a positive </w:t>
      </w:r>
      <w:r w:rsidR="00DF3D36" w:rsidRPr="00B568F3">
        <w:rPr>
          <w:rFonts w:ascii="Arial" w:eastAsia="Calibri" w:hAnsi="Arial" w:cs="Arial"/>
          <w:sz w:val="24"/>
          <w:szCs w:val="24"/>
        </w:rPr>
        <w:t xml:space="preserve">trend in terms </w:t>
      </w:r>
      <w:r w:rsidR="00B15F40" w:rsidRPr="00B568F3">
        <w:rPr>
          <w:rFonts w:ascii="Arial" w:eastAsia="Calibri" w:hAnsi="Arial" w:cs="Arial"/>
          <w:sz w:val="24"/>
          <w:szCs w:val="24"/>
        </w:rPr>
        <w:t>of</w:t>
      </w:r>
      <w:r w:rsidR="00D247F9" w:rsidRPr="00B568F3">
        <w:rPr>
          <w:rFonts w:ascii="Arial" w:eastAsia="Calibri" w:hAnsi="Arial" w:cs="Arial"/>
          <w:sz w:val="24"/>
          <w:szCs w:val="24"/>
        </w:rPr>
        <w:t xml:space="preserve"> </w:t>
      </w:r>
      <w:r w:rsidR="00B15F40" w:rsidRPr="00B568F3">
        <w:rPr>
          <w:rFonts w:ascii="Arial" w:eastAsia="Calibri" w:hAnsi="Arial" w:cs="Arial"/>
          <w:sz w:val="24"/>
          <w:szCs w:val="24"/>
        </w:rPr>
        <w:t xml:space="preserve">the reduction in </w:t>
      </w:r>
      <w:r w:rsidR="00DF3D36" w:rsidRPr="00B568F3">
        <w:rPr>
          <w:rFonts w:ascii="Arial" w:eastAsia="Calibri" w:hAnsi="Arial" w:cs="Arial"/>
          <w:sz w:val="24"/>
          <w:szCs w:val="24"/>
        </w:rPr>
        <w:t xml:space="preserve">the </w:t>
      </w:r>
      <w:r w:rsidR="00B15F40" w:rsidRPr="00B568F3">
        <w:rPr>
          <w:rFonts w:ascii="Arial" w:eastAsia="Calibri" w:hAnsi="Arial" w:cs="Arial"/>
          <w:sz w:val="24"/>
          <w:szCs w:val="24"/>
        </w:rPr>
        <w:t>SCWWDP</w:t>
      </w:r>
      <w:r w:rsidR="00DF3D36" w:rsidRPr="00B568F3">
        <w:rPr>
          <w:rFonts w:ascii="Arial" w:eastAsia="Calibri" w:hAnsi="Arial" w:cs="Arial"/>
          <w:sz w:val="24"/>
          <w:szCs w:val="24"/>
        </w:rPr>
        <w:t xml:space="preserve"> grant</w:t>
      </w:r>
      <w:r w:rsidR="00B15F40" w:rsidRPr="00B568F3">
        <w:rPr>
          <w:rFonts w:ascii="Arial" w:eastAsia="Calibri" w:hAnsi="Arial" w:cs="Arial"/>
          <w:sz w:val="24"/>
          <w:szCs w:val="24"/>
        </w:rPr>
        <w:t xml:space="preserve"> used for legislative training </w:t>
      </w:r>
      <w:r w:rsidR="00EE6C61" w:rsidRPr="00B568F3">
        <w:rPr>
          <w:rFonts w:ascii="Arial" w:eastAsia="Calibri" w:hAnsi="Arial" w:cs="Arial"/>
          <w:sz w:val="24"/>
          <w:szCs w:val="24"/>
        </w:rPr>
        <w:t>because if the grant was reduced or stopped, the regions would still meet their required legal health and safety needs</w:t>
      </w:r>
      <w:r w:rsidR="00FB3F08" w:rsidRPr="00B568F3">
        <w:rPr>
          <w:rFonts w:ascii="Arial" w:eastAsia="Calibri" w:hAnsi="Arial" w:cs="Arial"/>
          <w:sz w:val="24"/>
          <w:szCs w:val="24"/>
        </w:rPr>
        <w:t>. It</w:t>
      </w:r>
      <w:r w:rsidR="006A1757" w:rsidRPr="00B568F3">
        <w:rPr>
          <w:rFonts w:ascii="Arial" w:eastAsia="Calibri" w:hAnsi="Arial" w:cs="Arial"/>
          <w:sz w:val="24"/>
          <w:szCs w:val="24"/>
        </w:rPr>
        <w:t xml:space="preserve"> shows </w:t>
      </w:r>
      <w:r w:rsidR="00780AE2" w:rsidRPr="00B568F3">
        <w:rPr>
          <w:rFonts w:ascii="Arial" w:eastAsia="Calibri" w:hAnsi="Arial" w:cs="Arial"/>
          <w:sz w:val="24"/>
          <w:szCs w:val="24"/>
        </w:rPr>
        <w:t>how valuable the grant is</w:t>
      </w:r>
      <w:r w:rsidR="00F90009" w:rsidRPr="00B568F3">
        <w:rPr>
          <w:rFonts w:ascii="Arial" w:eastAsia="Calibri" w:hAnsi="Arial" w:cs="Arial"/>
          <w:sz w:val="24"/>
          <w:szCs w:val="24"/>
        </w:rPr>
        <w:t xml:space="preserve"> beyond</w:t>
      </w:r>
      <w:r w:rsidR="00C75353" w:rsidRPr="00B568F3">
        <w:rPr>
          <w:rFonts w:ascii="Arial" w:eastAsia="Calibri" w:hAnsi="Arial" w:cs="Arial"/>
          <w:sz w:val="24"/>
          <w:szCs w:val="24"/>
        </w:rPr>
        <w:t xml:space="preserve"> essential </w:t>
      </w:r>
      <w:r w:rsidR="00AE3CC5" w:rsidRPr="00B568F3">
        <w:rPr>
          <w:rFonts w:ascii="Arial" w:eastAsia="Calibri" w:hAnsi="Arial" w:cs="Arial"/>
          <w:sz w:val="24"/>
          <w:szCs w:val="24"/>
        </w:rPr>
        <w:t>health and safety</w:t>
      </w:r>
      <w:r w:rsidR="004C02E1" w:rsidRPr="00B568F3">
        <w:rPr>
          <w:rFonts w:ascii="Arial" w:eastAsia="Calibri" w:hAnsi="Arial" w:cs="Arial"/>
          <w:sz w:val="24"/>
          <w:szCs w:val="24"/>
        </w:rPr>
        <w:t xml:space="preserve"> training</w:t>
      </w:r>
      <w:r w:rsidR="004E102E" w:rsidRPr="00B568F3">
        <w:rPr>
          <w:rFonts w:ascii="Arial" w:eastAsia="Calibri" w:hAnsi="Arial" w:cs="Arial"/>
          <w:sz w:val="24"/>
          <w:szCs w:val="24"/>
        </w:rPr>
        <w:t>.</w:t>
      </w:r>
      <w:r w:rsidR="00EE6C61" w:rsidRPr="00B568F3">
        <w:rPr>
          <w:rFonts w:ascii="Arial" w:eastAsia="Calibri" w:hAnsi="Arial" w:cs="Arial"/>
          <w:sz w:val="24"/>
          <w:szCs w:val="24"/>
        </w:rPr>
        <w:t xml:space="preserve"> </w:t>
      </w:r>
    </w:p>
    <w:p w14:paraId="2F621927" w14:textId="77777777" w:rsidR="00F37E53" w:rsidRPr="00B568F3" w:rsidRDefault="00F37E53" w:rsidP="001501DD">
      <w:pPr>
        <w:spacing w:after="200" w:line="276" w:lineRule="auto"/>
        <w:ind w:left="567"/>
        <w:contextualSpacing/>
        <w:rPr>
          <w:rFonts w:ascii="Arial" w:eastAsia="Calibri" w:hAnsi="Arial" w:cs="Arial"/>
          <w:sz w:val="24"/>
          <w:szCs w:val="24"/>
        </w:rPr>
      </w:pPr>
    </w:p>
    <w:p w14:paraId="33E90FC3" w14:textId="4FB43DD3"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Health and safety </w:t>
      </w:r>
      <w:r w:rsidR="005C48B7" w:rsidRPr="00B568F3">
        <w:rPr>
          <w:rFonts w:ascii="Arial" w:eastAsia="Calibri" w:hAnsi="Arial" w:cs="Arial"/>
          <w:sz w:val="24"/>
          <w:szCs w:val="24"/>
        </w:rPr>
        <w:t>made up</w:t>
      </w:r>
      <w:r w:rsidRPr="00B568F3">
        <w:rPr>
          <w:rFonts w:ascii="Arial" w:eastAsia="Calibri" w:hAnsi="Arial" w:cs="Arial"/>
          <w:sz w:val="24"/>
          <w:szCs w:val="24"/>
        </w:rPr>
        <w:t xml:space="preserve"> for 21.7</w:t>
      </w:r>
      <w:r w:rsidR="00B62C77" w:rsidRPr="00B568F3">
        <w:rPr>
          <w:rFonts w:ascii="Arial" w:eastAsia="Calibri" w:hAnsi="Arial" w:cs="Arial"/>
          <w:sz w:val="24"/>
          <w:szCs w:val="24"/>
        </w:rPr>
        <w:t xml:space="preserve"> per cent</w:t>
      </w:r>
      <w:r w:rsidRPr="00B568F3">
        <w:rPr>
          <w:rFonts w:ascii="Arial" w:eastAsia="Calibri" w:hAnsi="Arial" w:cs="Arial"/>
          <w:sz w:val="24"/>
          <w:szCs w:val="24"/>
        </w:rPr>
        <w:t xml:space="preserve"> of the additional </w:t>
      </w:r>
      <w:r w:rsidR="00B62C77" w:rsidRPr="00B568F3">
        <w:rPr>
          <w:rFonts w:ascii="Arial" w:eastAsia="Calibri" w:hAnsi="Arial" w:cs="Arial"/>
          <w:sz w:val="24"/>
          <w:szCs w:val="24"/>
        </w:rPr>
        <w:t>local authority</w:t>
      </w:r>
      <w:r w:rsidR="00FB3F08" w:rsidRPr="00B568F3">
        <w:rPr>
          <w:rFonts w:ascii="Arial" w:eastAsia="Calibri" w:hAnsi="Arial" w:cs="Arial"/>
          <w:sz w:val="24"/>
          <w:szCs w:val="24"/>
        </w:rPr>
        <w:t xml:space="preserve"> </w:t>
      </w:r>
      <w:r w:rsidRPr="00B568F3">
        <w:rPr>
          <w:rFonts w:ascii="Arial" w:eastAsia="Calibri" w:hAnsi="Arial" w:cs="Arial"/>
          <w:sz w:val="24"/>
          <w:szCs w:val="24"/>
        </w:rPr>
        <w:t>funding in 2023</w:t>
      </w:r>
      <w:r w:rsidR="00B62C77" w:rsidRPr="00B568F3">
        <w:rPr>
          <w:rFonts w:ascii="Arial" w:eastAsia="Calibri" w:hAnsi="Arial" w:cs="Arial"/>
          <w:sz w:val="24"/>
          <w:szCs w:val="24"/>
        </w:rPr>
        <w:t xml:space="preserve"> to </w:t>
      </w:r>
      <w:r w:rsidRPr="00B568F3">
        <w:rPr>
          <w:rFonts w:ascii="Arial" w:eastAsia="Calibri" w:hAnsi="Arial" w:cs="Arial"/>
          <w:sz w:val="24"/>
          <w:szCs w:val="24"/>
        </w:rPr>
        <w:t>2024, an increase of 12.4</w:t>
      </w:r>
      <w:r w:rsidR="00B62C77" w:rsidRPr="00B568F3">
        <w:rPr>
          <w:rFonts w:ascii="Arial" w:eastAsia="Calibri" w:hAnsi="Arial" w:cs="Arial"/>
          <w:sz w:val="24"/>
          <w:szCs w:val="24"/>
        </w:rPr>
        <w:t xml:space="preserve"> per cent</w:t>
      </w:r>
      <w:r w:rsidRPr="00B568F3">
        <w:rPr>
          <w:rFonts w:ascii="Arial" w:eastAsia="Calibri" w:hAnsi="Arial" w:cs="Arial"/>
          <w:sz w:val="24"/>
          <w:szCs w:val="24"/>
        </w:rPr>
        <w:t xml:space="preserve"> compared to the previous year.</w:t>
      </w:r>
    </w:p>
    <w:p w14:paraId="3B7032C8" w14:textId="3AB5C6B1" w:rsidR="002D1B1F" w:rsidRPr="00B568F3" w:rsidRDefault="002D1B1F" w:rsidP="00343C94">
      <w:pPr>
        <w:spacing w:after="0" w:line="240" w:lineRule="auto"/>
        <w:ind w:left="66"/>
        <w:rPr>
          <w:rFonts w:ascii="Arial" w:eastAsia="Calibri" w:hAnsi="Arial" w:cs="Arial"/>
          <w:b/>
          <w:bCs/>
          <w:sz w:val="24"/>
          <w:szCs w:val="24"/>
          <w:lang w:eastAsia="en-GB"/>
        </w:rPr>
      </w:pPr>
      <w:r w:rsidRPr="00B568F3">
        <w:rPr>
          <w:rFonts w:ascii="Arial" w:eastAsia="Calibri" w:hAnsi="Arial" w:cs="Arial"/>
          <w:b/>
          <w:bCs/>
          <w:sz w:val="24"/>
          <w:szCs w:val="24"/>
          <w:lang w:eastAsia="en-GB"/>
        </w:rPr>
        <w:t xml:space="preserve">Table </w:t>
      </w:r>
      <w:r w:rsidR="005B3195" w:rsidRPr="00B568F3">
        <w:rPr>
          <w:rFonts w:ascii="Arial" w:eastAsia="Calibri" w:hAnsi="Arial" w:cs="Arial"/>
          <w:b/>
          <w:bCs/>
          <w:sz w:val="24"/>
          <w:szCs w:val="24"/>
          <w:lang w:eastAsia="en-GB"/>
        </w:rPr>
        <w:t>4</w:t>
      </w:r>
      <w:r w:rsidRPr="00B568F3">
        <w:rPr>
          <w:rFonts w:ascii="Arial" w:eastAsia="Calibri" w:hAnsi="Arial" w:cs="Arial"/>
          <w:b/>
          <w:bCs/>
          <w:sz w:val="24"/>
          <w:szCs w:val="24"/>
          <w:lang w:eastAsia="en-GB"/>
        </w:rPr>
        <w:t xml:space="preserve">: Health and </w:t>
      </w:r>
      <w:r w:rsidR="001C2320" w:rsidRPr="00B568F3">
        <w:rPr>
          <w:rFonts w:ascii="Arial" w:eastAsia="Calibri" w:hAnsi="Arial" w:cs="Arial"/>
          <w:b/>
          <w:bCs/>
          <w:sz w:val="24"/>
          <w:szCs w:val="24"/>
          <w:lang w:eastAsia="en-GB"/>
        </w:rPr>
        <w:t>s</w:t>
      </w:r>
      <w:r w:rsidRPr="00B568F3">
        <w:rPr>
          <w:rFonts w:ascii="Arial" w:eastAsia="Calibri" w:hAnsi="Arial" w:cs="Arial"/>
          <w:b/>
          <w:bCs/>
          <w:sz w:val="24"/>
          <w:szCs w:val="24"/>
          <w:lang w:eastAsia="en-GB"/>
        </w:rPr>
        <w:t xml:space="preserve">afety spending, </w:t>
      </w:r>
      <w:r w:rsidR="00040CE7" w:rsidRPr="00B568F3">
        <w:rPr>
          <w:rFonts w:ascii="Arial" w:eastAsia="Calibri" w:hAnsi="Arial" w:cs="Arial"/>
          <w:b/>
          <w:bCs/>
          <w:sz w:val="24"/>
          <w:szCs w:val="24"/>
          <w:lang w:eastAsia="en-GB"/>
        </w:rPr>
        <w:t xml:space="preserve">the </w:t>
      </w:r>
      <w:r w:rsidRPr="00B568F3">
        <w:rPr>
          <w:rFonts w:ascii="Arial" w:eastAsia="Calibri" w:hAnsi="Arial" w:cs="Arial"/>
          <w:b/>
          <w:bCs/>
          <w:sz w:val="24"/>
          <w:szCs w:val="24"/>
        </w:rPr>
        <w:t>three</w:t>
      </w:r>
      <w:r w:rsidR="00B24C33" w:rsidRPr="00B568F3">
        <w:rPr>
          <w:rFonts w:ascii="Arial" w:eastAsia="Calibri" w:hAnsi="Arial" w:cs="Arial"/>
          <w:b/>
          <w:bCs/>
          <w:sz w:val="24"/>
          <w:szCs w:val="24"/>
        </w:rPr>
        <w:t>-</w:t>
      </w:r>
      <w:r w:rsidRPr="00B568F3">
        <w:rPr>
          <w:rFonts w:ascii="Arial" w:eastAsia="Calibri" w:hAnsi="Arial" w:cs="Arial"/>
          <w:b/>
          <w:bCs/>
          <w:sz w:val="24"/>
          <w:szCs w:val="24"/>
        </w:rPr>
        <w:t>year trend</w:t>
      </w:r>
    </w:p>
    <w:p w14:paraId="5A58E5DE" w14:textId="77777777" w:rsidR="002D1B1F" w:rsidRPr="00B568F3" w:rsidRDefault="002D1B1F" w:rsidP="00343C94">
      <w:pPr>
        <w:pStyle w:val="ListParagraph"/>
        <w:spacing w:after="0" w:line="240" w:lineRule="auto"/>
        <w:ind w:left="1506"/>
        <w:rPr>
          <w:rFonts w:ascii="Arial" w:eastAsia="Calibri" w:hAnsi="Arial" w:cs="Arial"/>
          <w:color w:val="FF0000"/>
          <w:sz w:val="24"/>
          <w:szCs w:val="24"/>
          <w:lang w:eastAsia="en-GB"/>
        </w:rPr>
      </w:pPr>
    </w:p>
    <w:tbl>
      <w:tblPr>
        <w:tblStyle w:val="TableGrid"/>
        <w:tblW w:w="9365" w:type="dxa"/>
        <w:tblLook w:val="04A0" w:firstRow="1" w:lastRow="0" w:firstColumn="1" w:lastColumn="0" w:noHBand="0" w:noVBand="1"/>
      </w:tblPr>
      <w:tblGrid>
        <w:gridCol w:w="1423"/>
        <w:gridCol w:w="1467"/>
        <w:gridCol w:w="1327"/>
        <w:gridCol w:w="1037"/>
        <w:gridCol w:w="1799"/>
        <w:gridCol w:w="1275"/>
        <w:gridCol w:w="1037"/>
      </w:tblGrid>
      <w:tr w:rsidR="002D1B1F" w:rsidRPr="00B568F3" w14:paraId="409CA180" w14:textId="77777777" w:rsidTr="00343C94">
        <w:trPr>
          <w:trHeight w:val="300"/>
        </w:trPr>
        <w:tc>
          <w:tcPr>
            <w:tcW w:w="1425" w:type="dxa"/>
          </w:tcPr>
          <w:p w14:paraId="1F774CDE" w14:textId="77777777" w:rsidR="002D1B1F" w:rsidRPr="00B568F3" w:rsidRDefault="002D1B1F" w:rsidP="00FC716F">
            <w:pPr>
              <w:pStyle w:val="ListParagraph"/>
              <w:ind w:left="0"/>
              <w:rPr>
                <w:rFonts w:ascii="Arial" w:eastAsia="Calibri" w:hAnsi="Arial" w:cs="Arial"/>
                <w:sz w:val="24"/>
                <w:szCs w:val="24"/>
                <w:lang w:eastAsia="en-GB"/>
              </w:rPr>
            </w:pPr>
          </w:p>
        </w:tc>
        <w:tc>
          <w:tcPr>
            <w:tcW w:w="1472" w:type="dxa"/>
            <w:vAlign w:val="center"/>
          </w:tcPr>
          <w:p w14:paraId="3ECCA49C" w14:textId="77777777" w:rsidR="002D1B1F" w:rsidRPr="00B568F3" w:rsidRDefault="002D1B1F" w:rsidP="00FC716F">
            <w:pPr>
              <w:pStyle w:val="ListParagraph"/>
              <w:ind w:left="0"/>
              <w:jc w:val="center"/>
              <w:rPr>
                <w:rFonts w:ascii="Arial" w:eastAsia="Calibri" w:hAnsi="Arial" w:cs="Arial"/>
                <w:b/>
                <w:bCs/>
                <w:lang w:eastAsia="en-GB"/>
              </w:rPr>
            </w:pPr>
            <w:r w:rsidRPr="00B568F3">
              <w:rPr>
                <w:rFonts w:ascii="Arial" w:eastAsia="Calibri" w:hAnsi="Arial" w:cs="Arial"/>
                <w:b/>
                <w:bCs/>
                <w:lang w:eastAsia="en-GB"/>
              </w:rPr>
              <w:t>SCWWDP grant spend</w:t>
            </w:r>
          </w:p>
        </w:tc>
        <w:tc>
          <w:tcPr>
            <w:tcW w:w="1329" w:type="dxa"/>
            <w:vAlign w:val="center"/>
          </w:tcPr>
          <w:p w14:paraId="4BD3C4D8" w14:textId="77777777" w:rsidR="002D1B1F" w:rsidRPr="00B568F3" w:rsidRDefault="002D1B1F" w:rsidP="00FC716F">
            <w:pPr>
              <w:pStyle w:val="ListParagraph"/>
              <w:ind w:left="0"/>
              <w:jc w:val="center"/>
              <w:rPr>
                <w:rFonts w:ascii="Arial" w:eastAsia="Calibri" w:hAnsi="Arial" w:cs="Arial"/>
                <w:b/>
                <w:bCs/>
                <w:lang w:eastAsia="en-GB"/>
              </w:rPr>
            </w:pPr>
            <w:r w:rsidRPr="00B568F3">
              <w:rPr>
                <w:rFonts w:ascii="Arial" w:eastAsia="Calibri" w:hAnsi="Arial" w:cs="Arial"/>
                <w:b/>
                <w:bCs/>
                <w:lang w:eastAsia="en-GB"/>
              </w:rPr>
              <w:t>% of SCWWDP grant</w:t>
            </w:r>
          </w:p>
        </w:tc>
        <w:tc>
          <w:tcPr>
            <w:tcW w:w="1037" w:type="dxa"/>
            <w:vAlign w:val="center"/>
          </w:tcPr>
          <w:p w14:paraId="163379F3" w14:textId="77777777" w:rsidR="002D1B1F" w:rsidRPr="00B568F3" w:rsidRDefault="002D1B1F" w:rsidP="00FC716F">
            <w:pPr>
              <w:pStyle w:val="ListParagraph"/>
              <w:ind w:left="0"/>
              <w:jc w:val="center"/>
              <w:rPr>
                <w:rFonts w:ascii="Arial" w:eastAsia="Calibri" w:hAnsi="Arial" w:cs="Arial"/>
                <w:b/>
                <w:bCs/>
                <w:lang w:eastAsia="en-GB"/>
              </w:rPr>
            </w:pPr>
            <w:r w:rsidRPr="00B568F3">
              <w:rPr>
                <w:rFonts w:ascii="Arial" w:eastAsia="Calibri" w:hAnsi="Arial" w:cs="Arial"/>
                <w:b/>
                <w:bCs/>
                <w:lang w:eastAsia="en-GB"/>
              </w:rPr>
              <w:t>% change</w:t>
            </w:r>
          </w:p>
        </w:tc>
        <w:tc>
          <w:tcPr>
            <w:tcW w:w="1810" w:type="dxa"/>
            <w:vAlign w:val="center"/>
          </w:tcPr>
          <w:p w14:paraId="4FDA0CD5" w14:textId="6A94399B" w:rsidR="002D1B1F" w:rsidRPr="00B568F3" w:rsidRDefault="002D1B1F" w:rsidP="00FC716F">
            <w:pPr>
              <w:pStyle w:val="ListParagraph"/>
              <w:ind w:left="0"/>
              <w:jc w:val="center"/>
              <w:rPr>
                <w:rFonts w:ascii="Arial" w:eastAsia="Calibri" w:hAnsi="Arial" w:cs="Arial"/>
                <w:b/>
                <w:bCs/>
                <w:lang w:eastAsia="en-GB"/>
              </w:rPr>
            </w:pPr>
            <w:r w:rsidRPr="00B568F3">
              <w:rPr>
                <w:rFonts w:ascii="Arial" w:eastAsia="Calibri" w:hAnsi="Arial" w:cs="Arial"/>
                <w:b/>
                <w:bCs/>
                <w:lang w:eastAsia="en-GB"/>
              </w:rPr>
              <w:t xml:space="preserve">Additional </w:t>
            </w:r>
            <w:r w:rsidR="00040CE7" w:rsidRPr="00B568F3">
              <w:rPr>
                <w:rFonts w:ascii="Arial" w:eastAsia="Calibri" w:hAnsi="Arial" w:cs="Arial"/>
                <w:b/>
                <w:bCs/>
                <w:lang w:eastAsia="en-GB"/>
              </w:rPr>
              <w:t>local authority</w:t>
            </w:r>
            <w:r w:rsidRPr="00B568F3">
              <w:rPr>
                <w:rFonts w:ascii="Arial" w:eastAsia="Calibri" w:hAnsi="Arial" w:cs="Arial"/>
                <w:b/>
                <w:bCs/>
                <w:lang w:eastAsia="en-GB"/>
              </w:rPr>
              <w:t xml:space="preserve"> funding spend</w:t>
            </w:r>
          </w:p>
        </w:tc>
        <w:tc>
          <w:tcPr>
            <w:tcW w:w="1275" w:type="dxa"/>
            <w:vAlign w:val="center"/>
          </w:tcPr>
          <w:p w14:paraId="7B2B3200" w14:textId="0019D48F" w:rsidR="002D1B1F" w:rsidRPr="00B568F3" w:rsidRDefault="002D1B1F" w:rsidP="00FC716F">
            <w:pPr>
              <w:pStyle w:val="ListParagraph"/>
              <w:ind w:left="0"/>
              <w:jc w:val="center"/>
              <w:rPr>
                <w:rFonts w:ascii="Arial" w:eastAsia="Calibri" w:hAnsi="Arial" w:cs="Arial"/>
                <w:b/>
                <w:bCs/>
                <w:lang w:eastAsia="en-GB"/>
              </w:rPr>
            </w:pPr>
            <w:r w:rsidRPr="00B568F3">
              <w:rPr>
                <w:rFonts w:ascii="Arial" w:eastAsia="Calibri" w:hAnsi="Arial" w:cs="Arial"/>
                <w:b/>
                <w:bCs/>
                <w:lang w:eastAsia="en-GB"/>
              </w:rPr>
              <w:t>% of additional</w:t>
            </w:r>
            <w:r w:rsidR="007A33B3" w:rsidRPr="00B568F3">
              <w:rPr>
                <w:rFonts w:ascii="Arial" w:eastAsia="Calibri" w:hAnsi="Arial" w:cs="Arial"/>
                <w:b/>
                <w:bCs/>
                <w:lang w:eastAsia="en-GB"/>
              </w:rPr>
              <w:t xml:space="preserve"> </w:t>
            </w:r>
            <w:r w:rsidR="00040CE7" w:rsidRPr="00B568F3">
              <w:rPr>
                <w:rFonts w:ascii="Arial" w:eastAsia="Calibri" w:hAnsi="Arial" w:cs="Arial"/>
                <w:b/>
                <w:bCs/>
                <w:lang w:eastAsia="en-GB"/>
              </w:rPr>
              <w:t xml:space="preserve">local authority </w:t>
            </w:r>
            <w:r w:rsidRPr="00B568F3">
              <w:rPr>
                <w:rFonts w:ascii="Arial" w:eastAsia="Calibri" w:hAnsi="Arial" w:cs="Arial"/>
                <w:b/>
                <w:bCs/>
                <w:lang w:eastAsia="en-GB"/>
              </w:rPr>
              <w:t>funding</w:t>
            </w:r>
          </w:p>
        </w:tc>
        <w:tc>
          <w:tcPr>
            <w:tcW w:w="1017" w:type="dxa"/>
            <w:vAlign w:val="center"/>
          </w:tcPr>
          <w:p w14:paraId="432A160C" w14:textId="77777777" w:rsidR="002D1B1F" w:rsidRPr="00B568F3" w:rsidRDefault="002D1B1F" w:rsidP="00FC716F">
            <w:pPr>
              <w:pStyle w:val="ListParagraph"/>
              <w:ind w:left="0"/>
              <w:jc w:val="center"/>
              <w:rPr>
                <w:rFonts w:ascii="Arial" w:eastAsia="Calibri" w:hAnsi="Arial" w:cs="Arial"/>
                <w:b/>
                <w:bCs/>
                <w:lang w:eastAsia="en-GB"/>
              </w:rPr>
            </w:pPr>
            <w:r w:rsidRPr="00B568F3">
              <w:rPr>
                <w:rFonts w:ascii="Arial" w:eastAsia="Calibri" w:hAnsi="Arial" w:cs="Arial"/>
                <w:b/>
                <w:bCs/>
                <w:lang w:eastAsia="en-GB"/>
              </w:rPr>
              <w:t>% change</w:t>
            </w:r>
          </w:p>
        </w:tc>
      </w:tr>
      <w:tr w:rsidR="002D1B1F" w:rsidRPr="00B568F3" w14:paraId="10C3BFC8" w14:textId="77777777" w:rsidTr="00343C94">
        <w:trPr>
          <w:trHeight w:val="300"/>
        </w:trPr>
        <w:tc>
          <w:tcPr>
            <w:tcW w:w="1425" w:type="dxa"/>
            <w:vAlign w:val="center"/>
          </w:tcPr>
          <w:p w14:paraId="53EC8EDB" w14:textId="77777777" w:rsidR="002D1B1F" w:rsidRPr="00B568F3" w:rsidRDefault="002D1B1F" w:rsidP="00FC716F">
            <w:pPr>
              <w:pStyle w:val="ListParagraph"/>
              <w:ind w:left="0"/>
              <w:rPr>
                <w:rFonts w:ascii="Arial" w:eastAsia="Calibri" w:hAnsi="Arial" w:cs="Arial"/>
                <w:sz w:val="24"/>
                <w:szCs w:val="24"/>
                <w:lang w:eastAsia="en-GB"/>
              </w:rPr>
            </w:pPr>
            <w:r w:rsidRPr="00B568F3">
              <w:rPr>
                <w:rFonts w:ascii="Arial" w:eastAsia="Calibri" w:hAnsi="Arial" w:cs="Arial"/>
                <w:b/>
                <w:bCs/>
                <w:sz w:val="24"/>
                <w:szCs w:val="24"/>
                <w:lang w:eastAsia="en-GB"/>
              </w:rPr>
              <w:t>2023/2024</w:t>
            </w:r>
          </w:p>
        </w:tc>
        <w:tc>
          <w:tcPr>
            <w:tcW w:w="1472" w:type="dxa"/>
            <w:vAlign w:val="center"/>
          </w:tcPr>
          <w:p w14:paraId="35313BDB" w14:textId="77777777" w:rsidR="002D1B1F" w:rsidRPr="00B568F3" w:rsidRDefault="002D1B1F"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£228,451</w:t>
            </w:r>
          </w:p>
        </w:tc>
        <w:tc>
          <w:tcPr>
            <w:tcW w:w="1329" w:type="dxa"/>
            <w:vAlign w:val="center"/>
          </w:tcPr>
          <w:p w14:paraId="3CD2014C" w14:textId="77777777" w:rsidR="002D1B1F" w:rsidRPr="00B568F3" w:rsidRDefault="002D1B1F"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2.1%</w:t>
            </w:r>
          </w:p>
        </w:tc>
        <w:tc>
          <w:tcPr>
            <w:tcW w:w="1037" w:type="dxa"/>
            <w:vAlign w:val="center"/>
          </w:tcPr>
          <w:p w14:paraId="5F88980D" w14:textId="77777777" w:rsidR="002D1B1F" w:rsidRPr="00B568F3" w:rsidRDefault="002D1B1F"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-8.7%</w:t>
            </w:r>
          </w:p>
        </w:tc>
        <w:tc>
          <w:tcPr>
            <w:tcW w:w="1810" w:type="dxa"/>
            <w:vAlign w:val="center"/>
          </w:tcPr>
          <w:p w14:paraId="163E0397" w14:textId="77777777" w:rsidR="002D1B1F" w:rsidRPr="00B568F3" w:rsidRDefault="002D1B1F"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£386,153</w:t>
            </w:r>
          </w:p>
        </w:tc>
        <w:tc>
          <w:tcPr>
            <w:tcW w:w="1275" w:type="dxa"/>
            <w:vAlign w:val="center"/>
          </w:tcPr>
          <w:p w14:paraId="641C7BAA" w14:textId="77777777" w:rsidR="002D1B1F" w:rsidRPr="00B568F3" w:rsidRDefault="002D1B1F"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21.7%</w:t>
            </w:r>
          </w:p>
        </w:tc>
        <w:tc>
          <w:tcPr>
            <w:tcW w:w="1017" w:type="dxa"/>
            <w:vAlign w:val="center"/>
          </w:tcPr>
          <w:p w14:paraId="33C1115C" w14:textId="77777777" w:rsidR="002D1B1F" w:rsidRPr="00B568F3" w:rsidRDefault="002D1B1F"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+12.4%</w:t>
            </w:r>
          </w:p>
        </w:tc>
      </w:tr>
      <w:tr w:rsidR="002D1B1F" w:rsidRPr="00B568F3" w14:paraId="455ECB0A" w14:textId="77777777" w:rsidTr="00343C94">
        <w:trPr>
          <w:trHeight w:val="300"/>
        </w:trPr>
        <w:tc>
          <w:tcPr>
            <w:tcW w:w="1425" w:type="dxa"/>
            <w:vAlign w:val="center"/>
          </w:tcPr>
          <w:p w14:paraId="40A10877" w14:textId="77777777" w:rsidR="002D1B1F" w:rsidRPr="00B568F3" w:rsidRDefault="002D1B1F" w:rsidP="00FC716F">
            <w:pPr>
              <w:pStyle w:val="ListParagraph"/>
              <w:ind w:left="0"/>
              <w:rPr>
                <w:rFonts w:ascii="Arial" w:eastAsia="Calibri" w:hAnsi="Arial" w:cs="Arial"/>
                <w:sz w:val="24"/>
                <w:szCs w:val="24"/>
                <w:lang w:eastAsia="en-GB"/>
              </w:rPr>
            </w:pPr>
            <w:r w:rsidRPr="00B568F3">
              <w:rPr>
                <w:rFonts w:ascii="Arial" w:eastAsia="Calibri" w:hAnsi="Arial" w:cs="Arial"/>
                <w:b/>
                <w:bCs/>
                <w:sz w:val="24"/>
                <w:szCs w:val="24"/>
                <w:lang w:eastAsia="en-GB"/>
              </w:rPr>
              <w:t>2022/2023</w:t>
            </w:r>
          </w:p>
        </w:tc>
        <w:tc>
          <w:tcPr>
            <w:tcW w:w="1472" w:type="dxa"/>
            <w:vAlign w:val="center"/>
          </w:tcPr>
          <w:p w14:paraId="7CCE8888" w14:textId="77777777" w:rsidR="002D1B1F" w:rsidRPr="00B568F3" w:rsidRDefault="002D1B1F"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£250,176</w:t>
            </w:r>
          </w:p>
        </w:tc>
        <w:tc>
          <w:tcPr>
            <w:tcW w:w="1329" w:type="dxa"/>
            <w:vAlign w:val="center"/>
          </w:tcPr>
          <w:p w14:paraId="1A58B84E" w14:textId="77777777" w:rsidR="002D1B1F" w:rsidRPr="00B568F3" w:rsidRDefault="002D1B1F"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2.4%</w:t>
            </w:r>
          </w:p>
        </w:tc>
        <w:tc>
          <w:tcPr>
            <w:tcW w:w="1037" w:type="dxa"/>
            <w:vAlign w:val="center"/>
          </w:tcPr>
          <w:p w14:paraId="58A33538" w14:textId="77777777" w:rsidR="002D1B1F" w:rsidRPr="00B568F3" w:rsidRDefault="002D1B1F"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+15.7%</w:t>
            </w:r>
          </w:p>
        </w:tc>
        <w:tc>
          <w:tcPr>
            <w:tcW w:w="1810" w:type="dxa"/>
            <w:vAlign w:val="center"/>
          </w:tcPr>
          <w:p w14:paraId="083D779E" w14:textId="77777777" w:rsidR="002D1B1F" w:rsidRPr="00B568F3" w:rsidRDefault="002D1B1F"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£343,440</w:t>
            </w:r>
          </w:p>
        </w:tc>
        <w:tc>
          <w:tcPr>
            <w:tcW w:w="1275" w:type="dxa"/>
            <w:vAlign w:val="center"/>
          </w:tcPr>
          <w:p w14:paraId="3922ACCF" w14:textId="77777777" w:rsidR="002D1B1F" w:rsidRPr="00B568F3" w:rsidRDefault="002D1B1F"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15.2%</w:t>
            </w:r>
          </w:p>
        </w:tc>
        <w:tc>
          <w:tcPr>
            <w:tcW w:w="1017" w:type="dxa"/>
            <w:vAlign w:val="center"/>
          </w:tcPr>
          <w:p w14:paraId="024C54D3" w14:textId="77777777" w:rsidR="002D1B1F" w:rsidRPr="00B568F3" w:rsidRDefault="002D1B1F"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+18.7%</w:t>
            </w:r>
          </w:p>
        </w:tc>
      </w:tr>
      <w:tr w:rsidR="002D1B1F" w:rsidRPr="00B568F3" w14:paraId="11EF0418" w14:textId="77777777" w:rsidTr="00343C94">
        <w:trPr>
          <w:trHeight w:val="300"/>
        </w:trPr>
        <w:tc>
          <w:tcPr>
            <w:tcW w:w="1425" w:type="dxa"/>
            <w:vAlign w:val="center"/>
          </w:tcPr>
          <w:p w14:paraId="60A014CD" w14:textId="77777777" w:rsidR="002D1B1F" w:rsidRPr="00B568F3" w:rsidRDefault="002D1B1F" w:rsidP="00FC716F">
            <w:pPr>
              <w:pStyle w:val="ListParagraph"/>
              <w:ind w:left="0"/>
              <w:rPr>
                <w:rFonts w:ascii="Arial" w:eastAsia="Calibri" w:hAnsi="Arial" w:cs="Arial"/>
                <w:sz w:val="24"/>
                <w:szCs w:val="24"/>
                <w:lang w:eastAsia="en-GB"/>
              </w:rPr>
            </w:pPr>
            <w:r w:rsidRPr="00B568F3">
              <w:rPr>
                <w:rFonts w:ascii="Arial" w:eastAsia="Calibri" w:hAnsi="Arial" w:cs="Arial"/>
                <w:b/>
                <w:bCs/>
                <w:sz w:val="24"/>
                <w:szCs w:val="24"/>
                <w:lang w:eastAsia="en-GB"/>
              </w:rPr>
              <w:t>2021/2022</w:t>
            </w:r>
          </w:p>
        </w:tc>
        <w:tc>
          <w:tcPr>
            <w:tcW w:w="1472" w:type="dxa"/>
            <w:vAlign w:val="center"/>
          </w:tcPr>
          <w:p w14:paraId="784AE8F7" w14:textId="77777777" w:rsidR="002D1B1F" w:rsidRPr="00B568F3" w:rsidRDefault="002D1B1F"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£216,182</w:t>
            </w:r>
          </w:p>
        </w:tc>
        <w:tc>
          <w:tcPr>
            <w:tcW w:w="1329" w:type="dxa"/>
            <w:vAlign w:val="center"/>
          </w:tcPr>
          <w:p w14:paraId="6CD84C88" w14:textId="77777777" w:rsidR="002D1B1F" w:rsidRPr="00B568F3" w:rsidRDefault="002D1B1F"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2.1%</w:t>
            </w:r>
          </w:p>
        </w:tc>
        <w:tc>
          <w:tcPr>
            <w:tcW w:w="1037" w:type="dxa"/>
            <w:shd w:val="clear" w:color="auto" w:fill="auto"/>
            <w:vAlign w:val="center"/>
          </w:tcPr>
          <w:p w14:paraId="40FCE089" w14:textId="61A48F54" w:rsidR="002D1B1F" w:rsidRPr="00B568F3" w:rsidRDefault="008560B5"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+19.2%</w:t>
            </w:r>
          </w:p>
        </w:tc>
        <w:tc>
          <w:tcPr>
            <w:tcW w:w="1810" w:type="dxa"/>
            <w:shd w:val="clear" w:color="auto" w:fill="auto"/>
            <w:vAlign w:val="center"/>
          </w:tcPr>
          <w:p w14:paraId="403ECD99" w14:textId="77777777" w:rsidR="002D1B1F" w:rsidRPr="00B568F3" w:rsidRDefault="002D1B1F"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£289,446</w:t>
            </w:r>
          </w:p>
        </w:tc>
        <w:tc>
          <w:tcPr>
            <w:tcW w:w="1275" w:type="dxa"/>
            <w:shd w:val="clear" w:color="auto" w:fill="auto"/>
            <w:vAlign w:val="center"/>
          </w:tcPr>
          <w:p w14:paraId="44623AA7" w14:textId="77777777" w:rsidR="002D1B1F" w:rsidRPr="00B568F3" w:rsidRDefault="002D1B1F"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16.9%</w:t>
            </w:r>
          </w:p>
        </w:tc>
        <w:tc>
          <w:tcPr>
            <w:tcW w:w="1017" w:type="dxa"/>
            <w:shd w:val="clear" w:color="auto" w:fill="auto"/>
            <w:vAlign w:val="center"/>
          </w:tcPr>
          <w:p w14:paraId="0770EADE" w14:textId="3E056689" w:rsidR="002D1B1F" w:rsidRPr="00B568F3" w:rsidRDefault="008560B5"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w:t>
            </w:r>
            <w:r w:rsidR="001C04A5" w:rsidRPr="00B568F3">
              <w:rPr>
                <w:rFonts w:ascii="Arial" w:eastAsia="Calibri" w:hAnsi="Arial" w:cs="Arial"/>
                <w:sz w:val="24"/>
                <w:szCs w:val="24"/>
                <w:lang w:eastAsia="en-GB"/>
              </w:rPr>
              <w:t>15.0%</w:t>
            </w:r>
          </w:p>
        </w:tc>
      </w:tr>
    </w:tbl>
    <w:p w14:paraId="197CBE19" w14:textId="77777777" w:rsidR="002D1B1F" w:rsidRPr="00B568F3" w:rsidRDefault="002D1B1F" w:rsidP="00343C94">
      <w:pPr>
        <w:pStyle w:val="ListParagraph"/>
        <w:spacing w:after="0" w:line="240" w:lineRule="auto"/>
        <w:ind w:left="1506"/>
        <w:rPr>
          <w:rFonts w:ascii="Arial" w:eastAsia="Calibri" w:hAnsi="Arial" w:cs="Arial"/>
          <w:color w:val="FF0000"/>
          <w:sz w:val="24"/>
          <w:szCs w:val="24"/>
          <w:lang w:eastAsia="en-GB"/>
        </w:rPr>
      </w:pPr>
    </w:p>
    <w:p w14:paraId="53398963" w14:textId="77777777" w:rsidR="006303B5" w:rsidRPr="00B568F3" w:rsidRDefault="006303B5" w:rsidP="00343C94">
      <w:pPr>
        <w:pStyle w:val="ListParagraph"/>
        <w:spacing w:after="0" w:line="240" w:lineRule="auto"/>
        <w:ind w:left="1506"/>
        <w:rPr>
          <w:rFonts w:ascii="Arial" w:eastAsia="Calibri" w:hAnsi="Arial" w:cs="Arial"/>
          <w:color w:val="FF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30EB5" w:rsidRPr="00B568F3" w14:paraId="18020725" w14:textId="77777777" w:rsidTr="00A25471">
        <w:tc>
          <w:tcPr>
            <w:tcW w:w="9026" w:type="dxa"/>
          </w:tcPr>
          <w:p w14:paraId="41E33137" w14:textId="39A0563F" w:rsidR="00230EB5" w:rsidRPr="00B568F3" w:rsidRDefault="00230EB5" w:rsidP="00FC716F">
            <w:pPr>
              <w:contextualSpacing/>
              <w:rPr>
                <w:rFonts w:ascii="Arial" w:eastAsia="Calibri" w:hAnsi="Arial" w:cs="Arial"/>
                <w:b/>
                <w:bCs/>
                <w:sz w:val="24"/>
                <w:szCs w:val="24"/>
              </w:rPr>
            </w:pPr>
            <w:r w:rsidRPr="00B568F3">
              <w:rPr>
                <w:rFonts w:ascii="Arial" w:eastAsia="Calibri" w:hAnsi="Arial" w:cs="Arial"/>
                <w:b/>
                <w:bCs/>
                <w:sz w:val="24"/>
                <w:szCs w:val="24"/>
              </w:rPr>
              <w:t xml:space="preserve">Figure 6: </w:t>
            </w:r>
            <w:r w:rsidR="00F249DC" w:rsidRPr="00B568F3">
              <w:rPr>
                <w:rFonts w:ascii="Arial" w:eastAsia="Calibri" w:hAnsi="Arial" w:cs="Arial"/>
                <w:b/>
                <w:bCs/>
                <w:sz w:val="24"/>
                <w:szCs w:val="24"/>
              </w:rPr>
              <w:t xml:space="preserve">Spend on </w:t>
            </w:r>
            <w:r w:rsidR="00BC3514" w:rsidRPr="00B568F3">
              <w:rPr>
                <w:rFonts w:ascii="Arial" w:eastAsia="Calibri" w:hAnsi="Arial" w:cs="Arial"/>
                <w:b/>
                <w:bCs/>
                <w:sz w:val="24"/>
                <w:szCs w:val="24"/>
              </w:rPr>
              <w:t>h</w:t>
            </w:r>
            <w:r w:rsidR="00F249DC" w:rsidRPr="00B568F3">
              <w:rPr>
                <w:rFonts w:ascii="Arial" w:eastAsia="Calibri" w:hAnsi="Arial" w:cs="Arial"/>
                <w:b/>
                <w:bCs/>
                <w:sz w:val="24"/>
                <w:szCs w:val="24"/>
              </w:rPr>
              <w:t xml:space="preserve">ealth and </w:t>
            </w:r>
            <w:r w:rsidR="00BC3514" w:rsidRPr="00B568F3">
              <w:rPr>
                <w:rFonts w:ascii="Arial" w:eastAsia="Calibri" w:hAnsi="Arial" w:cs="Arial"/>
                <w:b/>
                <w:bCs/>
                <w:sz w:val="24"/>
                <w:szCs w:val="24"/>
              </w:rPr>
              <w:t>s</w:t>
            </w:r>
            <w:r w:rsidR="00F249DC" w:rsidRPr="00B568F3">
              <w:rPr>
                <w:rFonts w:ascii="Arial" w:eastAsia="Calibri" w:hAnsi="Arial" w:cs="Arial"/>
                <w:b/>
                <w:bCs/>
                <w:sz w:val="24"/>
                <w:szCs w:val="24"/>
              </w:rPr>
              <w:t>afety, 2</w:t>
            </w:r>
            <w:r w:rsidRPr="00B568F3">
              <w:rPr>
                <w:rFonts w:ascii="Arial" w:eastAsia="Calibri" w:hAnsi="Arial" w:cs="Arial"/>
                <w:b/>
                <w:bCs/>
                <w:sz w:val="24"/>
                <w:szCs w:val="24"/>
              </w:rPr>
              <w:t>023</w:t>
            </w:r>
            <w:r w:rsidR="00BC3514" w:rsidRPr="00B568F3">
              <w:rPr>
                <w:rFonts w:ascii="Arial" w:eastAsia="Calibri" w:hAnsi="Arial" w:cs="Arial"/>
                <w:b/>
                <w:bCs/>
                <w:sz w:val="24"/>
                <w:szCs w:val="24"/>
              </w:rPr>
              <w:t xml:space="preserve"> to </w:t>
            </w:r>
            <w:r w:rsidRPr="00B568F3">
              <w:rPr>
                <w:rFonts w:ascii="Arial" w:eastAsia="Calibri" w:hAnsi="Arial" w:cs="Arial"/>
                <w:b/>
                <w:bCs/>
                <w:sz w:val="24"/>
                <w:szCs w:val="24"/>
              </w:rPr>
              <w:t xml:space="preserve">2024 </w:t>
            </w:r>
          </w:p>
          <w:p w14:paraId="43E3DF80" w14:textId="77777777" w:rsidR="00230EB5" w:rsidRPr="00B568F3" w:rsidRDefault="00230EB5" w:rsidP="00FC716F">
            <w:pPr>
              <w:spacing w:before="120" w:after="120"/>
              <w:contextualSpacing/>
              <w:rPr>
                <w:rFonts w:ascii="Arial" w:eastAsia="Calibri" w:hAnsi="Arial" w:cs="Arial"/>
                <w:b/>
                <w:bCs/>
                <w:color w:val="FF0000"/>
                <w:sz w:val="24"/>
                <w:szCs w:val="24"/>
              </w:rPr>
            </w:pPr>
          </w:p>
        </w:tc>
      </w:tr>
      <w:tr w:rsidR="00230EB5" w:rsidRPr="00B568F3" w14:paraId="3B50854E" w14:textId="77777777" w:rsidTr="00A25471">
        <w:tc>
          <w:tcPr>
            <w:tcW w:w="9026" w:type="dxa"/>
          </w:tcPr>
          <w:p w14:paraId="20D8E186" w14:textId="2378E2F4" w:rsidR="00230EB5" w:rsidRPr="00B568F3" w:rsidRDefault="00152F9C" w:rsidP="00FC716F">
            <w:pPr>
              <w:contextualSpacing/>
              <w:jc w:val="center"/>
              <w:rPr>
                <w:rFonts w:ascii="Arial" w:eastAsia="Calibri" w:hAnsi="Arial" w:cs="Arial"/>
                <w:color w:val="FF0000"/>
                <w:sz w:val="24"/>
                <w:szCs w:val="24"/>
              </w:rPr>
            </w:pPr>
            <w:r w:rsidRPr="00B568F3">
              <w:rPr>
                <w:rFonts w:ascii="Arial" w:eastAsia="Calibri" w:hAnsi="Arial" w:cs="Arial"/>
                <w:noProof/>
                <w:color w:val="FF0000"/>
                <w:sz w:val="24"/>
                <w:szCs w:val="24"/>
              </w:rPr>
              <w:drawing>
                <wp:inline distT="0" distB="0" distL="0" distR="0" wp14:anchorId="100DF0D4" wp14:editId="612129D4">
                  <wp:extent cx="5731510" cy="3740785"/>
                  <wp:effectExtent l="0" t="0" r="2540" b="0"/>
                  <wp:docPr id="1013474042" name="Picture 2" descr="Figure 6: Bar chart showing spend on health and safety, 2023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4042" name="Picture 2" descr="Figure 6: Bar chart showing spend on health and safety, 2023 to 202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3740785"/>
                          </a:xfrm>
                          <a:prstGeom prst="rect">
                            <a:avLst/>
                          </a:prstGeom>
                        </pic:spPr>
                      </pic:pic>
                    </a:graphicData>
                  </a:graphic>
                </wp:inline>
              </w:drawing>
            </w:r>
          </w:p>
        </w:tc>
      </w:tr>
    </w:tbl>
    <w:p w14:paraId="3DCBBF6F" w14:textId="77777777" w:rsidR="00B451E7" w:rsidRPr="000C06A7" w:rsidRDefault="00B451E7" w:rsidP="0047174D">
      <w:pPr>
        <w:ind w:left="66"/>
        <w:rPr>
          <w:rFonts w:ascii="Arial" w:hAnsi="Arial" w:cs="Arial"/>
        </w:rPr>
      </w:pPr>
    </w:p>
    <w:p w14:paraId="17AF315C" w14:textId="77777777" w:rsidR="00F00B7D" w:rsidRDefault="00F00B7D">
      <w:pPr>
        <w:rPr>
          <w:rFonts w:ascii="Arial" w:eastAsiaTheme="majorEastAsia" w:hAnsi="Arial" w:cs="Arial"/>
          <w:b/>
          <w:color w:val="11846A"/>
          <w:sz w:val="32"/>
          <w:szCs w:val="32"/>
          <w:lang w:eastAsia="en-GB"/>
        </w:rPr>
      </w:pPr>
      <w:bookmarkStart w:id="9" w:name="_Toc179481629"/>
      <w:r>
        <w:br w:type="page"/>
      </w:r>
    </w:p>
    <w:p w14:paraId="61959375" w14:textId="70F23A30" w:rsidR="002D1B1F" w:rsidRPr="000C06A7" w:rsidRDefault="002D1B1F" w:rsidP="00F00B7D">
      <w:pPr>
        <w:pStyle w:val="Heading2"/>
      </w:pPr>
      <w:r w:rsidRPr="000C06A7">
        <w:t>National priorities</w:t>
      </w:r>
      <w:bookmarkEnd w:id="9"/>
    </w:p>
    <w:p w14:paraId="30A146E7" w14:textId="77777777" w:rsidR="002D1B1F" w:rsidRPr="00B568F3" w:rsidRDefault="002D1B1F" w:rsidP="0047174D">
      <w:pPr>
        <w:spacing w:after="0" w:line="240" w:lineRule="auto"/>
        <w:ind w:left="66"/>
        <w:rPr>
          <w:rFonts w:ascii="Arial" w:eastAsia="Calibri" w:hAnsi="Arial" w:cs="Arial"/>
          <w:color w:val="FF0000"/>
          <w:sz w:val="24"/>
          <w:szCs w:val="24"/>
          <w:lang w:eastAsia="en-GB"/>
        </w:rPr>
      </w:pPr>
    </w:p>
    <w:p w14:paraId="1E9536C1" w14:textId="11E6539C" w:rsidR="003A30B5" w:rsidRPr="00B568F3" w:rsidRDefault="313CC04F"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The national priorities for workforce development in the grant circular are taken from the themes of the long term </w:t>
      </w:r>
      <w:hyperlink r:id="rId16" w:history="1">
        <w:r w:rsidRPr="00B568F3">
          <w:rPr>
            <w:rStyle w:val="Hyperlink"/>
            <w:rFonts w:ascii="Arial" w:eastAsia="Calibri" w:hAnsi="Arial" w:cs="Arial"/>
            <w:sz w:val="24"/>
            <w:szCs w:val="24"/>
            <w:lang w:eastAsia="en-GB"/>
          </w:rPr>
          <w:t>workforce strategy</w:t>
        </w:r>
      </w:hyperlink>
      <w:r w:rsidR="004A2690" w:rsidRPr="00B568F3">
        <w:rPr>
          <w:rFonts w:ascii="Arial" w:eastAsia="Calibri" w:hAnsi="Arial" w:cs="Arial"/>
          <w:sz w:val="24"/>
          <w:szCs w:val="24"/>
          <w:lang w:eastAsia="en-GB"/>
        </w:rPr>
        <w:t>. These are</w:t>
      </w:r>
      <w:r w:rsidRPr="00B568F3" w:rsidDel="004A2690">
        <w:rPr>
          <w:rFonts w:ascii="Arial" w:eastAsia="Calibri" w:hAnsi="Arial" w:cs="Arial"/>
          <w:sz w:val="24"/>
          <w:szCs w:val="24"/>
          <w:lang w:eastAsia="en-GB"/>
        </w:rPr>
        <w:t>:</w:t>
      </w:r>
    </w:p>
    <w:p w14:paraId="5D625065" w14:textId="77777777" w:rsidR="003A30B5" w:rsidRPr="00B568F3" w:rsidRDefault="003A30B5" w:rsidP="003A30B5">
      <w:pPr>
        <w:spacing w:after="0" w:line="240" w:lineRule="auto"/>
        <w:rPr>
          <w:rFonts w:ascii="Arial" w:eastAsia="Calibri" w:hAnsi="Arial" w:cs="Arial"/>
          <w:sz w:val="24"/>
          <w:szCs w:val="24"/>
        </w:rPr>
      </w:pPr>
    </w:p>
    <w:p w14:paraId="1FB31B12" w14:textId="3EC18392" w:rsidR="003A30B5" w:rsidRPr="00B568F3" w:rsidRDefault="00FB3F08" w:rsidP="00632461">
      <w:pPr>
        <w:numPr>
          <w:ilvl w:val="1"/>
          <w:numId w:val="6"/>
        </w:numPr>
        <w:spacing w:after="20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b</w:t>
      </w:r>
      <w:r w:rsidR="003A30B5" w:rsidRPr="00B568F3">
        <w:rPr>
          <w:rFonts w:ascii="Arial" w:eastAsia="Calibri" w:hAnsi="Arial" w:cs="Arial"/>
          <w:sz w:val="24"/>
          <w:szCs w:val="24"/>
          <w:lang w:eastAsia="en-GB"/>
        </w:rPr>
        <w:t>uilding a digitally ready workforce  </w:t>
      </w:r>
    </w:p>
    <w:p w14:paraId="352235FD" w14:textId="20E1443E" w:rsidR="003A30B5" w:rsidRPr="00B568F3" w:rsidRDefault="00FB3F08" w:rsidP="00632461">
      <w:pPr>
        <w:numPr>
          <w:ilvl w:val="1"/>
          <w:numId w:val="6"/>
        </w:numPr>
        <w:spacing w:after="20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e</w:t>
      </w:r>
      <w:r w:rsidR="003A30B5" w:rsidRPr="00B568F3">
        <w:rPr>
          <w:rFonts w:ascii="Arial" w:eastAsia="Calibri" w:hAnsi="Arial" w:cs="Arial"/>
          <w:sz w:val="24"/>
          <w:szCs w:val="24"/>
          <w:lang w:eastAsia="en-GB"/>
        </w:rPr>
        <w:t>xcellent education and learning  </w:t>
      </w:r>
    </w:p>
    <w:p w14:paraId="7C7E0A71" w14:textId="7D03CDF2" w:rsidR="003A30B5" w:rsidRPr="00B568F3" w:rsidRDefault="00FB3F08" w:rsidP="00632461">
      <w:pPr>
        <w:numPr>
          <w:ilvl w:val="1"/>
          <w:numId w:val="6"/>
        </w:numPr>
        <w:spacing w:after="20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p</w:t>
      </w:r>
      <w:r w:rsidR="003A30B5" w:rsidRPr="00B568F3">
        <w:rPr>
          <w:rFonts w:ascii="Arial" w:eastAsia="Calibri" w:hAnsi="Arial" w:cs="Arial"/>
          <w:sz w:val="24"/>
          <w:szCs w:val="24"/>
          <w:lang w:eastAsia="en-GB"/>
        </w:rPr>
        <w:t>rovision of qualifying and post qualifying social work training  </w:t>
      </w:r>
    </w:p>
    <w:p w14:paraId="0A638199" w14:textId="1600AB70" w:rsidR="003A30B5" w:rsidRPr="00B568F3" w:rsidRDefault="00FB3F08" w:rsidP="00632461">
      <w:pPr>
        <w:numPr>
          <w:ilvl w:val="1"/>
          <w:numId w:val="6"/>
        </w:numPr>
        <w:spacing w:after="20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l</w:t>
      </w:r>
      <w:r w:rsidR="003A30B5" w:rsidRPr="00B568F3">
        <w:rPr>
          <w:rFonts w:ascii="Arial" w:eastAsia="Calibri" w:hAnsi="Arial" w:cs="Arial"/>
          <w:sz w:val="24"/>
          <w:szCs w:val="24"/>
          <w:lang w:eastAsia="en-GB"/>
        </w:rPr>
        <w:t>eadership and succession  </w:t>
      </w:r>
    </w:p>
    <w:p w14:paraId="266F7777" w14:textId="2E83711B" w:rsidR="003A30B5" w:rsidRPr="00B568F3" w:rsidRDefault="00FB3F08" w:rsidP="00632461">
      <w:pPr>
        <w:numPr>
          <w:ilvl w:val="1"/>
          <w:numId w:val="6"/>
        </w:numPr>
        <w:spacing w:after="20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w</w:t>
      </w:r>
      <w:r w:rsidR="003A30B5" w:rsidRPr="00B568F3">
        <w:rPr>
          <w:rFonts w:ascii="Arial" w:eastAsia="Calibri" w:hAnsi="Arial" w:cs="Arial"/>
          <w:sz w:val="24"/>
          <w:szCs w:val="24"/>
          <w:lang w:eastAsia="en-GB"/>
        </w:rPr>
        <w:t>orkforce shape and supply</w:t>
      </w:r>
      <w:r w:rsidRPr="00B568F3">
        <w:rPr>
          <w:rFonts w:ascii="Arial" w:eastAsia="Calibri" w:hAnsi="Arial" w:cs="Arial"/>
          <w:sz w:val="24"/>
          <w:szCs w:val="24"/>
          <w:lang w:eastAsia="en-GB"/>
        </w:rPr>
        <w:t>.</w:t>
      </w:r>
      <w:r w:rsidR="003A30B5" w:rsidRPr="00B568F3">
        <w:rPr>
          <w:rFonts w:ascii="Arial" w:eastAsia="Calibri" w:hAnsi="Arial" w:cs="Arial"/>
          <w:sz w:val="24"/>
          <w:szCs w:val="24"/>
          <w:lang w:eastAsia="en-GB"/>
        </w:rPr>
        <w:t> </w:t>
      </w:r>
    </w:p>
    <w:p w14:paraId="5F2E5E5A" w14:textId="77777777" w:rsidR="00DA5F5B" w:rsidRPr="00B568F3" w:rsidRDefault="00DA5F5B" w:rsidP="00DA5F5B">
      <w:pPr>
        <w:spacing w:after="200" w:line="276" w:lineRule="auto"/>
        <w:ind w:left="2160"/>
        <w:contextualSpacing/>
        <w:rPr>
          <w:rFonts w:ascii="Arial" w:eastAsia="Calibri" w:hAnsi="Arial" w:cs="Arial"/>
          <w:sz w:val="24"/>
          <w:szCs w:val="24"/>
          <w:lang w:eastAsia="en-GB"/>
        </w:rPr>
      </w:pPr>
    </w:p>
    <w:p w14:paraId="08B89A9D" w14:textId="0396D73A" w:rsidR="00311CC8" w:rsidRPr="00B568F3" w:rsidRDefault="00621563"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Regions can also use</w:t>
      </w:r>
      <w:r w:rsidR="00715285" w:rsidRPr="00B568F3">
        <w:rPr>
          <w:rFonts w:ascii="Arial" w:eastAsia="Calibri" w:hAnsi="Arial" w:cs="Arial"/>
          <w:sz w:val="24"/>
          <w:szCs w:val="24"/>
          <w:lang w:eastAsia="en-GB"/>
        </w:rPr>
        <w:t xml:space="preserve"> the</w:t>
      </w:r>
      <w:r w:rsidR="00240643" w:rsidRPr="00B568F3">
        <w:rPr>
          <w:rFonts w:ascii="Arial" w:eastAsia="Calibri" w:hAnsi="Arial" w:cs="Arial"/>
          <w:sz w:val="24"/>
          <w:szCs w:val="24"/>
          <w:lang w:eastAsia="en-GB"/>
        </w:rPr>
        <w:t xml:space="preserve"> funding to support other priorities identified at local and regional level.</w:t>
      </w:r>
    </w:p>
    <w:p w14:paraId="36DB9F4C" w14:textId="77777777" w:rsidR="00ED2BBD" w:rsidRPr="00B568F3" w:rsidRDefault="00ED2BBD" w:rsidP="00EB1A13">
      <w:pPr>
        <w:spacing w:after="200" w:line="276" w:lineRule="auto"/>
        <w:ind w:left="567"/>
        <w:contextualSpacing/>
        <w:rPr>
          <w:rFonts w:ascii="Arial" w:eastAsia="Calibri" w:hAnsi="Arial" w:cs="Arial"/>
          <w:sz w:val="24"/>
          <w:szCs w:val="24"/>
          <w:lang w:eastAsia="en-GB"/>
        </w:rPr>
      </w:pPr>
    </w:p>
    <w:p w14:paraId="59E2B8ED" w14:textId="6568FEA1" w:rsidR="000E2A24" w:rsidRPr="00B568F3" w:rsidRDefault="002D1B1F" w:rsidP="00632461">
      <w:pPr>
        <w:numPr>
          <w:ilvl w:val="0"/>
          <w:numId w:val="6"/>
        </w:numPr>
        <w:spacing w:after="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In 2023</w:t>
      </w:r>
      <w:r w:rsidR="00FC4845" w:rsidRPr="00B568F3">
        <w:rPr>
          <w:rFonts w:ascii="Arial" w:eastAsia="Calibri" w:hAnsi="Arial" w:cs="Arial"/>
          <w:sz w:val="24"/>
          <w:szCs w:val="24"/>
          <w:lang w:eastAsia="en-GB"/>
        </w:rPr>
        <w:t xml:space="preserve"> to </w:t>
      </w:r>
      <w:r w:rsidRPr="00B568F3">
        <w:rPr>
          <w:rFonts w:ascii="Arial" w:eastAsia="Calibri" w:hAnsi="Arial" w:cs="Arial"/>
          <w:sz w:val="24"/>
          <w:szCs w:val="24"/>
          <w:lang w:eastAsia="en-GB"/>
        </w:rPr>
        <w:t>2024, 29.6</w:t>
      </w:r>
      <w:r w:rsidR="00FC4845" w:rsidRPr="00B568F3">
        <w:rPr>
          <w:rFonts w:ascii="Arial" w:eastAsia="Calibri" w:hAnsi="Arial" w:cs="Arial"/>
          <w:sz w:val="24"/>
          <w:szCs w:val="24"/>
          <w:lang w:eastAsia="en-GB"/>
        </w:rPr>
        <w:t xml:space="preserve"> per cent</w:t>
      </w:r>
      <w:r w:rsidRPr="00B568F3">
        <w:rPr>
          <w:rFonts w:ascii="Arial" w:eastAsia="Calibri" w:hAnsi="Arial" w:cs="Arial"/>
          <w:sz w:val="24"/>
          <w:szCs w:val="24"/>
          <w:lang w:eastAsia="en-GB"/>
        </w:rPr>
        <w:t xml:space="preserve"> of the SCWWDP spend </w:t>
      </w:r>
      <w:r w:rsidR="007B0C64" w:rsidRPr="00B568F3">
        <w:rPr>
          <w:rFonts w:ascii="Arial" w:eastAsia="Calibri" w:hAnsi="Arial" w:cs="Arial"/>
          <w:sz w:val="24"/>
          <w:szCs w:val="24"/>
          <w:lang w:eastAsia="en-GB"/>
        </w:rPr>
        <w:t>(£</w:t>
      </w:r>
      <w:r w:rsidR="00213957" w:rsidRPr="00B568F3">
        <w:rPr>
          <w:rFonts w:ascii="Arial" w:eastAsia="Calibri" w:hAnsi="Arial" w:cs="Arial"/>
          <w:sz w:val="24"/>
          <w:szCs w:val="24"/>
          <w:lang w:eastAsia="en-GB"/>
        </w:rPr>
        <w:t>3,22</w:t>
      </w:r>
      <w:r w:rsidR="00EF7C1C" w:rsidRPr="00B568F3">
        <w:rPr>
          <w:rFonts w:ascii="Arial" w:eastAsia="Calibri" w:hAnsi="Arial" w:cs="Arial"/>
          <w:sz w:val="24"/>
          <w:szCs w:val="24"/>
          <w:lang w:eastAsia="en-GB"/>
        </w:rPr>
        <w:t>7,</w:t>
      </w:r>
      <w:r w:rsidR="001602CA" w:rsidRPr="00B568F3">
        <w:rPr>
          <w:rFonts w:ascii="Arial" w:eastAsia="Calibri" w:hAnsi="Arial" w:cs="Arial"/>
          <w:sz w:val="24"/>
          <w:szCs w:val="24"/>
          <w:lang w:eastAsia="en-GB"/>
        </w:rPr>
        <w:t>248</w:t>
      </w:r>
      <w:r w:rsidR="007B0C64" w:rsidRPr="00B568F3">
        <w:rPr>
          <w:rFonts w:ascii="Arial" w:eastAsia="Calibri" w:hAnsi="Arial" w:cs="Arial"/>
          <w:sz w:val="24"/>
          <w:szCs w:val="24"/>
          <w:lang w:eastAsia="en-GB"/>
        </w:rPr>
        <w:t xml:space="preserve">) </w:t>
      </w:r>
      <w:r w:rsidRPr="00B568F3">
        <w:rPr>
          <w:rFonts w:ascii="Arial" w:eastAsia="Calibri" w:hAnsi="Arial" w:cs="Arial"/>
          <w:sz w:val="24"/>
          <w:szCs w:val="24"/>
          <w:lang w:eastAsia="en-GB"/>
        </w:rPr>
        <w:t xml:space="preserve">was </w:t>
      </w:r>
      <w:r w:rsidR="00B836C2" w:rsidRPr="00B568F3">
        <w:rPr>
          <w:rFonts w:ascii="Arial" w:eastAsia="Calibri" w:hAnsi="Arial" w:cs="Arial"/>
          <w:sz w:val="24"/>
          <w:szCs w:val="24"/>
          <w:lang w:eastAsia="en-GB"/>
        </w:rPr>
        <w:t>in-line with</w:t>
      </w:r>
      <w:r w:rsidRPr="00B568F3">
        <w:rPr>
          <w:rFonts w:ascii="Arial" w:eastAsia="Calibri" w:hAnsi="Arial" w:cs="Arial"/>
          <w:sz w:val="24"/>
          <w:szCs w:val="24"/>
          <w:lang w:eastAsia="en-GB"/>
        </w:rPr>
        <w:t xml:space="preserve"> the national priorities</w:t>
      </w:r>
      <w:r w:rsidR="00535E51" w:rsidRPr="00B568F3">
        <w:rPr>
          <w:rFonts w:ascii="Arial" w:eastAsia="Calibri" w:hAnsi="Arial" w:cs="Arial"/>
          <w:sz w:val="24"/>
          <w:szCs w:val="24"/>
          <w:lang w:eastAsia="en-GB"/>
        </w:rPr>
        <w:t>.</w:t>
      </w:r>
    </w:p>
    <w:p w14:paraId="4A45E902" w14:textId="77777777" w:rsidR="000E2A24" w:rsidRPr="00B568F3" w:rsidRDefault="000E2A24" w:rsidP="00D97576">
      <w:pPr>
        <w:pStyle w:val="ListParagraph"/>
        <w:spacing w:after="0"/>
        <w:rPr>
          <w:rFonts w:ascii="Arial" w:eastAsia="Calibri" w:hAnsi="Arial" w:cs="Arial"/>
          <w:sz w:val="24"/>
          <w:szCs w:val="24"/>
          <w:lang w:eastAsia="en-GB"/>
        </w:rPr>
      </w:pPr>
    </w:p>
    <w:p w14:paraId="209FC8F1" w14:textId="07FD492C" w:rsidR="000E2A24" w:rsidRPr="00B568F3" w:rsidRDefault="000E2A24"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Delivery staff </w:t>
      </w:r>
      <w:r w:rsidR="00DC25D5" w:rsidRPr="00B568F3">
        <w:rPr>
          <w:rFonts w:ascii="Arial" w:eastAsia="Calibri" w:hAnsi="Arial" w:cs="Arial"/>
          <w:sz w:val="24"/>
          <w:szCs w:val="24"/>
          <w:lang w:eastAsia="en-GB"/>
        </w:rPr>
        <w:t xml:space="preserve">who </w:t>
      </w:r>
      <w:r w:rsidRPr="00B568F3">
        <w:rPr>
          <w:rFonts w:ascii="Arial" w:eastAsia="Calibri" w:hAnsi="Arial" w:cs="Arial"/>
          <w:sz w:val="24"/>
          <w:szCs w:val="24"/>
          <w:lang w:eastAsia="en-GB"/>
        </w:rPr>
        <w:t>provide</w:t>
      </w:r>
      <w:r w:rsidR="001E0B1C" w:rsidRPr="00B568F3">
        <w:rPr>
          <w:rFonts w:ascii="Arial" w:eastAsia="Calibri" w:hAnsi="Arial" w:cs="Arial"/>
          <w:sz w:val="24"/>
          <w:szCs w:val="24"/>
          <w:lang w:eastAsia="en-GB"/>
        </w:rPr>
        <w:t xml:space="preserve"> direct</w:t>
      </w:r>
      <w:r w:rsidRPr="00B568F3">
        <w:rPr>
          <w:rFonts w:ascii="Arial" w:eastAsia="Calibri" w:hAnsi="Arial" w:cs="Arial"/>
          <w:sz w:val="24"/>
          <w:szCs w:val="24"/>
          <w:lang w:eastAsia="en-GB"/>
        </w:rPr>
        <w:t xml:space="preserve"> learning and development</w:t>
      </w:r>
      <w:r w:rsidR="001E0B1C" w:rsidRPr="00B568F3">
        <w:rPr>
          <w:rFonts w:ascii="Arial" w:eastAsia="Calibri" w:hAnsi="Arial" w:cs="Arial"/>
          <w:sz w:val="24"/>
          <w:szCs w:val="24"/>
          <w:lang w:eastAsia="en-GB"/>
        </w:rPr>
        <w:t xml:space="preserve"> </w:t>
      </w:r>
      <w:r w:rsidR="00072990" w:rsidRPr="00B568F3">
        <w:rPr>
          <w:rFonts w:ascii="Arial" w:eastAsia="Calibri" w:hAnsi="Arial" w:cs="Arial"/>
          <w:sz w:val="24"/>
          <w:szCs w:val="24"/>
          <w:lang w:eastAsia="en-GB"/>
        </w:rPr>
        <w:t xml:space="preserve">also deliver activities </w:t>
      </w:r>
      <w:r w:rsidR="00B36CEB" w:rsidRPr="00B568F3">
        <w:rPr>
          <w:rFonts w:ascii="Arial" w:eastAsia="Calibri" w:hAnsi="Arial" w:cs="Arial"/>
          <w:sz w:val="24"/>
          <w:szCs w:val="24"/>
          <w:lang w:eastAsia="en-GB"/>
        </w:rPr>
        <w:t xml:space="preserve">linked </w:t>
      </w:r>
      <w:r w:rsidR="00072990" w:rsidRPr="00B568F3">
        <w:rPr>
          <w:rFonts w:ascii="Arial" w:eastAsia="Calibri" w:hAnsi="Arial" w:cs="Arial"/>
          <w:sz w:val="24"/>
          <w:szCs w:val="24"/>
          <w:lang w:eastAsia="en-GB"/>
        </w:rPr>
        <w:t>to the national priorities</w:t>
      </w:r>
      <w:r w:rsidR="008032AC" w:rsidRPr="00B568F3">
        <w:rPr>
          <w:rFonts w:ascii="Arial" w:eastAsia="Calibri" w:hAnsi="Arial" w:cs="Arial"/>
          <w:sz w:val="24"/>
          <w:szCs w:val="24"/>
          <w:lang w:eastAsia="en-GB"/>
        </w:rPr>
        <w:t xml:space="preserve">. The SCWWDP spend on delivery staff is </w:t>
      </w:r>
      <w:r w:rsidR="00D97576" w:rsidRPr="00B568F3">
        <w:rPr>
          <w:rFonts w:ascii="Arial" w:eastAsia="Calibri" w:hAnsi="Arial" w:cs="Arial"/>
          <w:sz w:val="24"/>
          <w:szCs w:val="24"/>
          <w:lang w:eastAsia="en-GB"/>
        </w:rPr>
        <w:t>mentioned earlier in this report.</w:t>
      </w:r>
    </w:p>
    <w:p w14:paraId="09B8298B" w14:textId="77777777" w:rsidR="002D35D3" w:rsidRPr="00B568F3" w:rsidRDefault="002D35D3" w:rsidP="00D97576">
      <w:pPr>
        <w:spacing w:after="200" w:line="276" w:lineRule="auto"/>
        <w:ind w:left="567"/>
        <w:contextualSpacing/>
        <w:rPr>
          <w:rFonts w:ascii="Arial" w:eastAsia="Calibri" w:hAnsi="Arial" w:cs="Arial"/>
          <w:sz w:val="24"/>
          <w:szCs w:val="24"/>
          <w:lang w:eastAsia="en-GB"/>
        </w:rPr>
      </w:pPr>
    </w:p>
    <w:p w14:paraId="0442B868" w14:textId="25845E4B" w:rsidR="00791503" w:rsidRPr="00B568F3" w:rsidRDefault="00C51D5F"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SCWWDP</w:t>
      </w:r>
      <w:r w:rsidR="007F6290" w:rsidRPr="00B568F3">
        <w:rPr>
          <w:rFonts w:ascii="Arial" w:eastAsia="Calibri" w:hAnsi="Arial" w:cs="Arial"/>
          <w:sz w:val="24"/>
          <w:szCs w:val="24"/>
          <w:lang w:eastAsia="en-GB"/>
        </w:rPr>
        <w:t xml:space="preserve"> </w:t>
      </w:r>
      <w:r w:rsidR="001914B2" w:rsidRPr="00B568F3">
        <w:rPr>
          <w:rFonts w:ascii="Arial" w:eastAsia="Calibri" w:hAnsi="Arial" w:cs="Arial"/>
          <w:sz w:val="24"/>
          <w:szCs w:val="24"/>
          <w:lang w:eastAsia="en-GB"/>
        </w:rPr>
        <w:t xml:space="preserve">national priorities spending </w:t>
      </w:r>
      <w:r w:rsidR="00B278DD" w:rsidRPr="00B568F3">
        <w:rPr>
          <w:rFonts w:ascii="Arial" w:eastAsia="Calibri" w:hAnsi="Arial" w:cs="Arial"/>
          <w:sz w:val="24"/>
          <w:szCs w:val="24"/>
          <w:lang w:eastAsia="en-GB"/>
        </w:rPr>
        <w:t>is</w:t>
      </w:r>
      <w:r w:rsidR="002D1B1F" w:rsidRPr="00B568F3">
        <w:rPr>
          <w:rFonts w:ascii="Arial" w:eastAsia="Calibri" w:hAnsi="Arial" w:cs="Arial"/>
          <w:sz w:val="24"/>
          <w:szCs w:val="24"/>
          <w:lang w:eastAsia="en-GB"/>
        </w:rPr>
        <w:t xml:space="preserve"> dominated </w:t>
      </w:r>
      <w:r w:rsidR="000064A5" w:rsidRPr="00B568F3">
        <w:rPr>
          <w:rFonts w:ascii="Arial" w:eastAsia="Calibri" w:hAnsi="Arial" w:cs="Arial"/>
          <w:sz w:val="24"/>
          <w:szCs w:val="24"/>
          <w:lang w:eastAsia="en-GB"/>
        </w:rPr>
        <w:t>by education</w:t>
      </w:r>
      <w:r w:rsidR="00962B00" w:rsidRPr="00B568F3">
        <w:rPr>
          <w:rFonts w:ascii="Arial" w:eastAsia="Calibri" w:hAnsi="Arial" w:cs="Arial"/>
          <w:sz w:val="24"/>
          <w:szCs w:val="24"/>
          <w:lang w:eastAsia="en-GB"/>
        </w:rPr>
        <w:t xml:space="preserve"> and learning</w:t>
      </w:r>
      <w:r w:rsidR="00434ECE" w:rsidRPr="00B568F3">
        <w:rPr>
          <w:rFonts w:ascii="Arial" w:eastAsia="Calibri" w:hAnsi="Arial" w:cs="Arial"/>
          <w:sz w:val="24"/>
          <w:szCs w:val="24"/>
          <w:lang w:eastAsia="en-GB"/>
        </w:rPr>
        <w:t>,</w:t>
      </w:r>
      <w:r w:rsidR="00962B00" w:rsidRPr="00B568F3">
        <w:rPr>
          <w:rFonts w:ascii="Arial" w:eastAsia="Calibri" w:hAnsi="Arial" w:cs="Arial"/>
          <w:sz w:val="24"/>
          <w:szCs w:val="24"/>
          <w:lang w:eastAsia="en-GB"/>
        </w:rPr>
        <w:t xml:space="preserve"> </w:t>
      </w:r>
      <w:r w:rsidR="004C6D84" w:rsidRPr="00B568F3">
        <w:rPr>
          <w:rFonts w:ascii="Arial" w:eastAsia="Calibri" w:hAnsi="Arial" w:cs="Arial"/>
          <w:sz w:val="24"/>
          <w:szCs w:val="24"/>
          <w:lang w:eastAsia="en-GB"/>
        </w:rPr>
        <w:t xml:space="preserve">which includes vocational qualifications </w:t>
      </w:r>
      <w:r w:rsidR="00962B00" w:rsidRPr="00B568F3">
        <w:rPr>
          <w:rFonts w:ascii="Arial" w:eastAsia="Calibri" w:hAnsi="Arial" w:cs="Arial"/>
          <w:sz w:val="24"/>
          <w:szCs w:val="24"/>
          <w:lang w:eastAsia="en-GB"/>
        </w:rPr>
        <w:t>(43.3</w:t>
      </w:r>
      <w:r w:rsidR="00850CD8" w:rsidRPr="00B568F3">
        <w:rPr>
          <w:rFonts w:ascii="Arial" w:eastAsia="Calibri" w:hAnsi="Arial" w:cs="Arial"/>
          <w:sz w:val="24"/>
          <w:szCs w:val="24"/>
          <w:lang w:eastAsia="en-GB"/>
        </w:rPr>
        <w:t xml:space="preserve"> per cent</w:t>
      </w:r>
      <w:r w:rsidR="00962B00" w:rsidRPr="00B568F3">
        <w:rPr>
          <w:rFonts w:ascii="Arial" w:eastAsia="Calibri" w:hAnsi="Arial" w:cs="Arial"/>
          <w:sz w:val="24"/>
          <w:szCs w:val="24"/>
          <w:lang w:eastAsia="en-GB"/>
        </w:rPr>
        <w:t>, £</w:t>
      </w:r>
      <w:r w:rsidR="00D31651" w:rsidRPr="00B568F3">
        <w:rPr>
          <w:rFonts w:ascii="Arial" w:eastAsia="Calibri" w:hAnsi="Arial" w:cs="Arial"/>
          <w:sz w:val="24"/>
          <w:szCs w:val="24"/>
          <w:lang w:eastAsia="en-GB"/>
        </w:rPr>
        <w:t xml:space="preserve">1,397,797) </w:t>
      </w:r>
      <w:r w:rsidR="002D1B1F" w:rsidRPr="00B568F3">
        <w:rPr>
          <w:rFonts w:ascii="Arial" w:eastAsia="Calibri" w:hAnsi="Arial" w:cs="Arial"/>
          <w:sz w:val="24"/>
          <w:szCs w:val="24"/>
          <w:lang w:eastAsia="en-GB"/>
        </w:rPr>
        <w:t xml:space="preserve">as well as </w:t>
      </w:r>
      <w:r w:rsidR="006E7B4E" w:rsidRPr="00B568F3">
        <w:rPr>
          <w:rFonts w:ascii="Arial" w:eastAsia="Calibri" w:hAnsi="Arial" w:cs="Arial"/>
          <w:sz w:val="24"/>
          <w:szCs w:val="24"/>
          <w:lang w:eastAsia="en-GB"/>
        </w:rPr>
        <w:t>qualifying</w:t>
      </w:r>
      <w:r w:rsidR="00B54BEC" w:rsidRPr="00B568F3">
        <w:rPr>
          <w:rFonts w:ascii="Arial" w:eastAsia="Calibri" w:hAnsi="Arial" w:cs="Arial"/>
          <w:sz w:val="24"/>
          <w:szCs w:val="24"/>
          <w:lang w:eastAsia="en-GB"/>
        </w:rPr>
        <w:t xml:space="preserve"> and post </w:t>
      </w:r>
      <w:r w:rsidR="006E7B4E" w:rsidRPr="00B568F3">
        <w:rPr>
          <w:rFonts w:ascii="Arial" w:eastAsia="Calibri" w:hAnsi="Arial" w:cs="Arial"/>
          <w:sz w:val="24"/>
          <w:szCs w:val="24"/>
          <w:lang w:eastAsia="en-GB"/>
        </w:rPr>
        <w:t>qualifying</w:t>
      </w:r>
      <w:r w:rsidR="00B54BEC" w:rsidRPr="00B568F3">
        <w:rPr>
          <w:rFonts w:ascii="Arial" w:eastAsia="Calibri" w:hAnsi="Arial" w:cs="Arial"/>
          <w:sz w:val="24"/>
          <w:szCs w:val="24"/>
          <w:lang w:eastAsia="en-GB"/>
        </w:rPr>
        <w:t xml:space="preserve"> social work </w:t>
      </w:r>
      <w:r w:rsidR="002D1B1F" w:rsidRPr="00B568F3">
        <w:rPr>
          <w:rFonts w:ascii="Arial" w:eastAsia="Calibri" w:hAnsi="Arial" w:cs="Arial"/>
          <w:sz w:val="24"/>
          <w:szCs w:val="24"/>
          <w:lang w:eastAsia="en-GB"/>
        </w:rPr>
        <w:t>training</w:t>
      </w:r>
      <w:r w:rsidR="00B54BEC" w:rsidRPr="00B568F3">
        <w:rPr>
          <w:rFonts w:ascii="Arial" w:eastAsia="Calibri" w:hAnsi="Arial" w:cs="Arial"/>
          <w:sz w:val="24"/>
          <w:szCs w:val="24"/>
          <w:lang w:eastAsia="en-GB"/>
        </w:rPr>
        <w:t xml:space="preserve"> (</w:t>
      </w:r>
      <w:r w:rsidR="00336726" w:rsidRPr="00B568F3">
        <w:rPr>
          <w:rFonts w:ascii="Arial" w:eastAsia="Calibri" w:hAnsi="Arial" w:cs="Arial"/>
          <w:sz w:val="24"/>
          <w:szCs w:val="24"/>
          <w:lang w:eastAsia="en-GB"/>
        </w:rPr>
        <w:t>35.5</w:t>
      </w:r>
      <w:r w:rsidR="00850CD8" w:rsidRPr="00B568F3">
        <w:rPr>
          <w:rFonts w:ascii="Arial" w:eastAsia="Calibri" w:hAnsi="Arial" w:cs="Arial"/>
          <w:sz w:val="24"/>
          <w:szCs w:val="24"/>
          <w:lang w:eastAsia="en-GB"/>
        </w:rPr>
        <w:t xml:space="preserve"> per cent</w:t>
      </w:r>
      <w:r w:rsidR="00336726" w:rsidRPr="00B568F3">
        <w:rPr>
          <w:rFonts w:ascii="Arial" w:eastAsia="Calibri" w:hAnsi="Arial" w:cs="Arial"/>
          <w:sz w:val="24"/>
          <w:szCs w:val="24"/>
          <w:lang w:eastAsia="en-GB"/>
        </w:rPr>
        <w:t>, £1,146,467)</w:t>
      </w:r>
      <w:r w:rsidR="002D1B1F" w:rsidRPr="00B568F3">
        <w:rPr>
          <w:rFonts w:ascii="Arial" w:eastAsia="Calibri" w:hAnsi="Arial" w:cs="Arial"/>
          <w:sz w:val="24"/>
          <w:szCs w:val="24"/>
          <w:lang w:eastAsia="en-GB"/>
        </w:rPr>
        <w:t>.</w:t>
      </w:r>
    </w:p>
    <w:p w14:paraId="4EA74C6F" w14:textId="77777777" w:rsidR="002D35D3" w:rsidRPr="00B568F3" w:rsidRDefault="002D35D3" w:rsidP="00A25471">
      <w:pPr>
        <w:spacing w:after="200" w:line="276" w:lineRule="auto"/>
        <w:ind w:left="567"/>
        <w:contextualSpacing/>
        <w:rPr>
          <w:rFonts w:ascii="Arial" w:eastAsia="Calibri" w:hAnsi="Arial" w:cs="Arial"/>
          <w:sz w:val="24"/>
          <w:szCs w:val="24"/>
          <w:lang w:eastAsia="en-GB"/>
        </w:rPr>
      </w:pPr>
    </w:p>
    <w:p w14:paraId="40DF68CE" w14:textId="6222215C" w:rsidR="002D1B1F" w:rsidRPr="00B568F3" w:rsidRDefault="00791503"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T</w:t>
      </w:r>
      <w:r w:rsidR="00707184" w:rsidRPr="00B568F3">
        <w:rPr>
          <w:rFonts w:ascii="Arial" w:eastAsia="Calibri" w:hAnsi="Arial" w:cs="Arial"/>
          <w:sz w:val="24"/>
          <w:szCs w:val="24"/>
          <w:lang w:eastAsia="en-GB"/>
        </w:rPr>
        <w:t>raining</w:t>
      </w:r>
      <w:r w:rsidR="008F45BD" w:rsidRPr="00B568F3">
        <w:rPr>
          <w:rFonts w:ascii="Arial" w:eastAsia="Calibri" w:hAnsi="Arial" w:cs="Arial"/>
          <w:sz w:val="24"/>
          <w:szCs w:val="24"/>
          <w:lang w:eastAsia="en-GB"/>
        </w:rPr>
        <w:t xml:space="preserve"> in regions</w:t>
      </w:r>
      <w:r w:rsidR="00707184" w:rsidRPr="00B568F3">
        <w:rPr>
          <w:rFonts w:ascii="Arial" w:eastAsia="Calibri" w:hAnsi="Arial" w:cs="Arial"/>
          <w:sz w:val="24"/>
          <w:szCs w:val="24"/>
          <w:lang w:eastAsia="en-GB"/>
        </w:rPr>
        <w:t xml:space="preserve"> is</w:t>
      </w:r>
      <w:r w:rsidR="004174FF" w:rsidRPr="00B568F3">
        <w:rPr>
          <w:rFonts w:ascii="Arial" w:eastAsia="Calibri" w:hAnsi="Arial" w:cs="Arial"/>
          <w:sz w:val="24"/>
          <w:szCs w:val="24"/>
          <w:lang w:eastAsia="en-GB"/>
        </w:rPr>
        <w:t xml:space="preserve"> </w:t>
      </w:r>
      <w:r w:rsidR="0089779B" w:rsidRPr="00B568F3">
        <w:rPr>
          <w:rFonts w:ascii="Arial" w:eastAsia="Calibri" w:hAnsi="Arial" w:cs="Arial"/>
          <w:sz w:val="24"/>
          <w:szCs w:val="24"/>
          <w:lang w:eastAsia="en-GB"/>
        </w:rPr>
        <w:t xml:space="preserve">mainly </w:t>
      </w:r>
      <w:r w:rsidR="004174FF" w:rsidRPr="00B568F3">
        <w:rPr>
          <w:rFonts w:ascii="Arial" w:eastAsia="Calibri" w:hAnsi="Arial" w:cs="Arial"/>
          <w:sz w:val="24"/>
          <w:szCs w:val="24"/>
          <w:lang w:eastAsia="en-GB"/>
        </w:rPr>
        <w:t>provided at the local authority</w:t>
      </w:r>
      <w:r w:rsidR="00C37BE8" w:rsidRPr="00B568F3">
        <w:rPr>
          <w:rFonts w:ascii="Arial" w:eastAsia="Calibri" w:hAnsi="Arial" w:cs="Arial"/>
          <w:sz w:val="24"/>
          <w:szCs w:val="24"/>
          <w:lang w:eastAsia="en-GB"/>
        </w:rPr>
        <w:t xml:space="preserve"> level</w:t>
      </w:r>
      <w:r w:rsidR="00E931B1" w:rsidRPr="00B568F3">
        <w:rPr>
          <w:rFonts w:ascii="Arial" w:eastAsia="Calibri" w:hAnsi="Arial" w:cs="Arial"/>
          <w:sz w:val="24"/>
          <w:szCs w:val="24"/>
          <w:lang w:eastAsia="en-GB"/>
        </w:rPr>
        <w:t>,</w:t>
      </w:r>
      <w:r w:rsidR="0089779B" w:rsidRPr="00B568F3">
        <w:rPr>
          <w:rFonts w:ascii="Arial" w:eastAsia="Calibri" w:hAnsi="Arial" w:cs="Arial"/>
          <w:sz w:val="24"/>
          <w:szCs w:val="24"/>
          <w:lang w:eastAsia="en-GB"/>
        </w:rPr>
        <w:t xml:space="preserve"> </w:t>
      </w:r>
      <w:r w:rsidR="00954143" w:rsidRPr="00B568F3">
        <w:rPr>
          <w:rFonts w:ascii="Arial" w:eastAsia="Calibri" w:hAnsi="Arial" w:cs="Arial"/>
          <w:sz w:val="24"/>
          <w:szCs w:val="24"/>
          <w:lang w:eastAsia="en-GB"/>
        </w:rPr>
        <w:t>and examples</w:t>
      </w:r>
      <w:r w:rsidR="001C6713" w:rsidRPr="00B568F3">
        <w:rPr>
          <w:rFonts w:ascii="Arial" w:eastAsia="Calibri" w:hAnsi="Arial" w:cs="Arial"/>
          <w:sz w:val="24"/>
          <w:szCs w:val="24"/>
          <w:lang w:eastAsia="en-GB"/>
        </w:rPr>
        <w:t xml:space="preserve"> are given </w:t>
      </w:r>
      <w:r w:rsidR="00051B5A" w:rsidRPr="00B568F3">
        <w:rPr>
          <w:rFonts w:ascii="Arial" w:eastAsia="Calibri" w:hAnsi="Arial" w:cs="Arial"/>
          <w:sz w:val="24"/>
          <w:szCs w:val="24"/>
          <w:lang w:eastAsia="en-GB"/>
        </w:rPr>
        <w:t xml:space="preserve">by the regions of this </w:t>
      </w:r>
      <w:r w:rsidR="001C6713" w:rsidRPr="00B568F3">
        <w:rPr>
          <w:rFonts w:ascii="Arial" w:eastAsia="Calibri" w:hAnsi="Arial" w:cs="Arial"/>
          <w:sz w:val="24"/>
          <w:szCs w:val="24"/>
          <w:lang w:eastAsia="en-GB"/>
        </w:rPr>
        <w:t>range of work.</w:t>
      </w:r>
      <w:r w:rsidR="00F41E4F" w:rsidRPr="00B568F3">
        <w:rPr>
          <w:rFonts w:ascii="Arial" w:eastAsia="Calibri" w:hAnsi="Arial" w:cs="Arial"/>
          <w:sz w:val="24"/>
          <w:szCs w:val="24"/>
          <w:lang w:eastAsia="en-GB"/>
        </w:rPr>
        <w:t xml:space="preserve"> </w:t>
      </w:r>
      <w:r w:rsidR="002D1B1F" w:rsidRPr="00B568F3">
        <w:rPr>
          <w:rFonts w:ascii="Arial" w:eastAsia="Calibri" w:hAnsi="Arial" w:cs="Arial"/>
          <w:sz w:val="24"/>
          <w:szCs w:val="24"/>
          <w:lang w:eastAsia="en-GB"/>
        </w:rPr>
        <w:t xml:space="preserve">Learning and development is provided by all regions </w:t>
      </w:r>
      <w:r w:rsidR="00AE0BC0" w:rsidRPr="00B568F3">
        <w:rPr>
          <w:rFonts w:ascii="Arial" w:eastAsia="Calibri" w:hAnsi="Arial" w:cs="Arial"/>
          <w:sz w:val="24"/>
          <w:szCs w:val="24"/>
          <w:lang w:eastAsia="en-GB"/>
        </w:rPr>
        <w:t>and includes</w:t>
      </w:r>
      <w:r w:rsidR="0033537F" w:rsidRPr="00B568F3">
        <w:rPr>
          <w:rFonts w:ascii="Arial" w:eastAsia="Calibri" w:hAnsi="Arial" w:cs="Arial"/>
          <w:sz w:val="24"/>
          <w:szCs w:val="24"/>
          <w:lang w:eastAsia="en-GB"/>
        </w:rPr>
        <w:t xml:space="preserve"> </w:t>
      </w:r>
      <w:r w:rsidR="00DC0249" w:rsidRPr="00B568F3">
        <w:rPr>
          <w:rFonts w:ascii="Arial" w:eastAsia="Calibri" w:hAnsi="Arial" w:cs="Arial"/>
          <w:sz w:val="24"/>
          <w:szCs w:val="24"/>
          <w:lang w:eastAsia="en-GB"/>
        </w:rPr>
        <w:t>self</w:t>
      </w:r>
      <w:r w:rsidR="002D1B1F" w:rsidRPr="00B568F3">
        <w:rPr>
          <w:rFonts w:ascii="Arial" w:eastAsia="Calibri" w:hAnsi="Arial" w:cs="Arial"/>
          <w:sz w:val="24"/>
          <w:szCs w:val="24"/>
          <w:lang w:eastAsia="en-GB"/>
        </w:rPr>
        <w:t xml:space="preserve">-directed learning, </w:t>
      </w:r>
      <w:r w:rsidR="00AE0BC0" w:rsidRPr="00B568F3">
        <w:rPr>
          <w:rFonts w:ascii="Arial" w:eastAsia="Calibri" w:hAnsi="Arial" w:cs="Arial"/>
          <w:sz w:val="24"/>
          <w:szCs w:val="24"/>
          <w:lang w:eastAsia="en-GB"/>
        </w:rPr>
        <w:t xml:space="preserve">using </w:t>
      </w:r>
      <w:r w:rsidR="002D1B1F" w:rsidRPr="00B568F3">
        <w:rPr>
          <w:rFonts w:ascii="Arial" w:eastAsia="Calibri" w:hAnsi="Arial" w:cs="Arial"/>
          <w:sz w:val="24"/>
          <w:szCs w:val="24"/>
          <w:lang w:eastAsia="en-GB"/>
        </w:rPr>
        <w:t xml:space="preserve">on-line resources, virtual </w:t>
      </w:r>
      <w:r w:rsidR="005A60F9" w:rsidRPr="00B568F3">
        <w:rPr>
          <w:rFonts w:ascii="Arial" w:eastAsia="Calibri" w:hAnsi="Arial" w:cs="Arial"/>
          <w:sz w:val="24"/>
          <w:szCs w:val="24"/>
          <w:lang w:eastAsia="en-GB"/>
        </w:rPr>
        <w:t>classrooms,</w:t>
      </w:r>
      <w:r w:rsidR="002D1B1F" w:rsidRPr="00B568F3">
        <w:rPr>
          <w:rFonts w:ascii="Arial" w:eastAsia="Calibri" w:hAnsi="Arial" w:cs="Arial"/>
          <w:sz w:val="24"/>
          <w:szCs w:val="24"/>
          <w:lang w:eastAsia="en-GB"/>
        </w:rPr>
        <w:t xml:space="preserve"> and face-to-face training.</w:t>
      </w:r>
    </w:p>
    <w:p w14:paraId="03EE3D79" w14:textId="77777777" w:rsidR="002D35D3" w:rsidRPr="00B568F3" w:rsidRDefault="002D35D3" w:rsidP="00D97576">
      <w:pPr>
        <w:spacing w:after="200" w:line="276" w:lineRule="auto"/>
        <w:ind w:left="567"/>
        <w:contextualSpacing/>
        <w:rPr>
          <w:rFonts w:ascii="Arial" w:eastAsia="Calibri" w:hAnsi="Arial" w:cs="Arial"/>
          <w:sz w:val="24"/>
          <w:szCs w:val="24"/>
          <w:lang w:eastAsia="en-GB"/>
        </w:rPr>
      </w:pPr>
    </w:p>
    <w:p w14:paraId="55C475BC" w14:textId="61B0D7BE"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All regions u</w:t>
      </w:r>
      <w:r w:rsidR="74444C96" w:rsidRPr="00B568F3">
        <w:rPr>
          <w:rFonts w:ascii="Arial" w:eastAsia="Calibri" w:hAnsi="Arial" w:cs="Arial"/>
          <w:sz w:val="24"/>
          <w:szCs w:val="24"/>
          <w:lang w:eastAsia="en-GB"/>
        </w:rPr>
        <w:t>se</w:t>
      </w:r>
      <w:r w:rsidRPr="00B568F3">
        <w:rPr>
          <w:rFonts w:ascii="Arial" w:eastAsia="Calibri" w:hAnsi="Arial" w:cs="Arial"/>
          <w:sz w:val="24"/>
          <w:szCs w:val="24"/>
          <w:lang w:eastAsia="en-GB"/>
        </w:rPr>
        <w:t xml:space="preserve"> learning platforms that are </w:t>
      </w:r>
      <w:r w:rsidR="00703456" w:rsidRPr="00B568F3">
        <w:rPr>
          <w:rFonts w:ascii="Arial" w:eastAsia="Calibri" w:hAnsi="Arial" w:cs="Arial"/>
          <w:sz w:val="24"/>
          <w:szCs w:val="24"/>
          <w:lang w:eastAsia="en-GB"/>
        </w:rPr>
        <w:t xml:space="preserve">available for </w:t>
      </w:r>
      <w:r w:rsidRPr="00B568F3">
        <w:rPr>
          <w:rFonts w:ascii="Arial" w:eastAsia="Calibri" w:hAnsi="Arial" w:cs="Arial"/>
          <w:sz w:val="24"/>
          <w:szCs w:val="24"/>
          <w:lang w:eastAsia="en-GB"/>
        </w:rPr>
        <w:t>internal and external providers.</w:t>
      </w:r>
    </w:p>
    <w:p w14:paraId="734DE465" w14:textId="77777777" w:rsidR="002477A0" w:rsidRPr="00B568F3" w:rsidRDefault="002477A0" w:rsidP="00D97576">
      <w:pPr>
        <w:spacing w:after="200" w:line="276" w:lineRule="auto"/>
        <w:ind w:left="567"/>
        <w:contextualSpacing/>
        <w:rPr>
          <w:rFonts w:ascii="Arial" w:eastAsia="Calibri" w:hAnsi="Arial" w:cs="Arial"/>
          <w:sz w:val="24"/>
          <w:szCs w:val="24"/>
          <w:lang w:eastAsia="en-GB"/>
        </w:rPr>
      </w:pPr>
    </w:p>
    <w:p w14:paraId="082436B0" w14:textId="2E03B0DC" w:rsidR="00355775" w:rsidRPr="00B568F3" w:rsidRDefault="002D1B1F"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There</w:t>
      </w:r>
      <w:r w:rsidR="00DC0249" w:rsidRPr="00B568F3">
        <w:rPr>
          <w:rFonts w:ascii="Arial" w:eastAsia="Calibri" w:hAnsi="Arial" w:cs="Arial"/>
          <w:sz w:val="24"/>
          <w:szCs w:val="24"/>
          <w:lang w:eastAsia="en-GB"/>
        </w:rPr>
        <w:t>’s</w:t>
      </w:r>
      <w:r w:rsidRPr="00B568F3">
        <w:rPr>
          <w:rFonts w:ascii="Arial" w:eastAsia="Calibri" w:hAnsi="Arial" w:cs="Arial"/>
          <w:sz w:val="24"/>
          <w:szCs w:val="24"/>
          <w:lang w:eastAsia="en-GB"/>
        </w:rPr>
        <w:t xml:space="preserve"> a continued commitment </w:t>
      </w:r>
      <w:r w:rsidR="00AE58A7" w:rsidRPr="00B568F3">
        <w:rPr>
          <w:rFonts w:ascii="Arial" w:eastAsia="Calibri" w:hAnsi="Arial" w:cs="Arial"/>
          <w:sz w:val="24"/>
          <w:szCs w:val="24"/>
          <w:lang w:eastAsia="en-GB"/>
        </w:rPr>
        <w:t xml:space="preserve">from </w:t>
      </w:r>
      <w:r w:rsidR="008D4816" w:rsidRPr="00B568F3">
        <w:rPr>
          <w:rFonts w:ascii="Arial" w:eastAsia="Calibri" w:hAnsi="Arial" w:cs="Arial"/>
          <w:sz w:val="24"/>
          <w:szCs w:val="24"/>
          <w:lang w:eastAsia="en-GB"/>
        </w:rPr>
        <w:t xml:space="preserve">local authorities </w:t>
      </w:r>
      <w:r w:rsidR="00AE58A7" w:rsidRPr="00B568F3">
        <w:rPr>
          <w:rFonts w:ascii="Arial" w:eastAsia="Calibri" w:hAnsi="Arial" w:cs="Arial"/>
          <w:sz w:val="24"/>
          <w:szCs w:val="24"/>
          <w:lang w:eastAsia="en-GB"/>
        </w:rPr>
        <w:t xml:space="preserve">in regions </w:t>
      </w:r>
      <w:r w:rsidRPr="00B568F3">
        <w:rPr>
          <w:rFonts w:ascii="Arial" w:eastAsia="Calibri" w:hAnsi="Arial" w:cs="Arial"/>
          <w:sz w:val="24"/>
          <w:szCs w:val="24"/>
          <w:lang w:eastAsia="en-GB"/>
        </w:rPr>
        <w:t xml:space="preserve">to contribute to the national agenda and </w:t>
      </w:r>
      <w:r w:rsidR="00BC7720" w:rsidRPr="00B568F3">
        <w:rPr>
          <w:rFonts w:ascii="Arial" w:eastAsia="Calibri" w:hAnsi="Arial" w:cs="Arial"/>
          <w:sz w:val="24"/>
          <w:szCs w:val="24"/>
          <w:lang w:eastAsia="en-GB"/>
        </w:rPr>
        <w:t>our</w:t>
      </w:r>
      <w:r w:rsidRPr="00B568F3">
        <w:rPr>
          <w:rFonts w:ascii="Arial" w:eastAsia="Calibri" w:hAnsi="Arial" w:cs="Arial"/>
          <w:sz w:val="24"/>
          <w:szCs w:val="24"/>
          <w:lang w:eastAsia="en-GB"/>
        </w:rPr>
        <w:t xml:space="preserve"> activity </w:t>
      </w:r>
      <w:r w:rsidR="00355775" w:rsidRPr="00B568F3">
        <w:rPr>
          <w:rFonts w:ascii="Arial" w:eastAsia="Calibri" w:hAnsi="Arial" w:cs="Arial"/>
          <w:sz w:val="24"/>
          <w:szCs w:val="24"/>
          <w:lang w:eastAsia="en-GB"/>
        </w:rPr>
        <w:t>including:</w:t>
      </w:r>
    </w:p>
    <w:p w14:paraId="12D214A2" w14:textId="06FB0DD1" w:rsidR="00F17B21" w:rsidRPr="00B568F3" w:rsidRDefault="002D1B1F" w:rsidP="00632461">
      <w:pPr>
        <w:numPr>
          <w:ilvl w:val="1"/>
          <w:numId w:val="6"/>
        </w:numPr>
        <w:spacing w:after="20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governance of nationally delivered management programmes such as Team Manager Development Programme (TMDP), and Middle Manager Development Programme (MMDP) </w:t>
      </w:r>
    </w:p>
    <w:p w14:paraId="6CA0E03B" w14:textId="29751AB6" w:rsidR="00F17B21" w:rsidRPr="00B568F3" w:rsidRDefault="002D1B1F" w:rsidP="00632461">
      <w:pPr>
        <w:numPr>
          <w:ilvl w:val="1"/>
          <w:numId w:val="6"/>
        </w:numPr>
        <w:spacing w:after="20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WeCare Wales campaign</w:t>
      </w:r>
      <w:r w:rsidR="518BB7FA" w:rsidRPr="00B568F3">
        <w:rPr>
          <w:rFonts w:ascii="Arial" w:eastAsia="Calibri" w:hAnsi="Arial" w:cs="Arial"/>
          <w:sz w:val="24"/>
          <w:szCs w:val="24"/>
          <w:lang w:eastAsia="en-GB"/>
        </w:rPr>
        <w:t>s</w:t>
      </w:r>
      <w:r w:rsidRPr="00B568F3">
        <w:rPr>
          <w:rFonts w:ascii="Arial" w:eastAsia="Calibri" w:hAnsi="Arial" w:cs="Arial"/>
          <w:sz w:val="24"/>
          <w:szCs w:val="24"/>
          <w:lang w:eastAsia="en-GB"/>
        </w:rPr>
        <w:t xml:space="preserve"> </w:t>
      </w:r>
    </w:p>
    <w:p w14:paraId="0708028E" w14:textId="280857C7" w:rsidR="00DB26ED" w:rsidRPr="00B568F3" w:rsidRDefault="002D1B1F" w:rsidP="00632461">
      <w:pPr>
        <w:numPr>
          <w:ilvl w:val="1"/>
          <w:numId w:val="6"/>
        </w:numPr>
        <w:spacing w:after="20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Introduction to social care programme </w:t>
      </w:r>
    </w:p>
    <w:p w14:paraId="0E2AF616" w14:textId="3F223010" w:rsidR="00DB26ED" w:rsidRPr="00B568F3" w:rsidRDefault="001E4E7E" w:rsidP="00632461">
      <w:pPr>
        <w:numPr>
          <w:ilvl w:val="1"/>
          <w:numId w:val="6"/>
        </w:numPr>
        <w:spacing w:after="20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Our</w:t>
      </w:r>
      <w:r w:rsidR="005E13F0" w:rsidRPr="00B568F3">
        <w:rPr>
          <w:rFonts w:ascii="Arial" w:eastAsia="Calibri" w:hAnsi="Arial" w:cs="Arial"/>
          <w:sz w:val="24"/>
          <w:szCs w:val="24"/>
          <w:lang w:eastAsia="en-GB"/>
        </w:rPr>
        <w:t xml:space="preserve"> </w:t>
      </w:r>
      <w:r w:rsidR="002D1B1F" w:rsidRPr="00B568F3">
        <w:rPr>
          <w:rFonts w:ascii="Arial" w:eastAsia="Calibri" w:hAnsi="Arial" w:cs="Arial"/>
          <w:sz w:val="24"/>
          <w:szCs w:val="24"/>
          <w:lang w:eastAsia="en-GB"/>
        </w:rPr>
        <w:t>communities of practice</w:t>
      </w:r>
    </w:p>
    <w:p w14:paraId="09CDFC5E" w14:textId="196B40E9" w:rsidR="00DB26ED" w:rsidRPr="00B568F3" w:rsidRDefault="00DB26ED" w:rsidP="00632461">
      <w:pPr>
        <w:numPr>
          <w:ilvl w:val="1"/>
          <w:numId w:val="6"/>
        </w:numPr>
        <w:spacing w:after="20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S</w:t>
      </w:r>
      <w:r w:rsidR="002D1B1F" w:rsidRPr="00B568F3">
        <w:rPr>
          <w:rFonts w:ascii="Arial" w:eastAsia="Calibri" w:hAnsi="Arial" w:cs="Arial"/>
          <w:sz w:val="24"/>
          <w:szCs w:val="24"/>
          <w:lang w:eastAsia="en-GB"/>
        </w:rPr>
        <w:t xml:space="preserve">afeguarding resources and learning frameworks </w:t>
      </w:r>
    </w:p>
    <w:p w14:paraId="6C347B7E" w14:textId="39653626" w:rsidR="007C3B05" w:rsidRPr="00B568F3" w:rsidRDefault="002D1B1F" w:rsidP="00632461">
      <w:pPr>
        <w:numPr>
          <w:ilvl w:val="1"/>
          <w:numId w:val="6"/>
        </w:numPr>
        <w:spacing w:after="20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Qualifications and Standards Advisory Group</w:t>
      </w:r>
      <w:r w:rsidR="002031EB" w:rsidRPr="00B568F3">
        <w:rPr>
          <w:rFonts w:ascii="Arial" w:eastAsia="Calibri" w:hAnsi="Arial" w:cs="Arial"/>
          <w:sz w:val="24"/>
          <w:szCs w:val="24"/>
          <w:lang w:eastAsia="en-GB"/>
        </w:rPr>
        <w:t>.</w:t>
      </w:r>
      <w:r w:rsidRPr="00B568F3">
        <w:rPr>
          <w:rFonts w:ascii="Arial" w:eastAsia="Calibri" w:hAnsi="Arial" w:cs="Arial"/>
          <w:sz w:val="24"/>
          <w:szCs w:val="24"/>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93359" w:rsidRPr="00B568F3" w14:paraId="20C620F1" w14:textId="77777777" w:rsidTr="4BA15C28">
        <w:tc>
          <w:tcPr>
            <w:tcW w:w="9026" w:type="dxa"/>
          </w:tcPr>
          <w:p w14:paraId="5C2F70D6" w14:textId="5266B684" w:rsidR="00693359" w:rsidRPr="00B568F3" w:rsidRDefault="1B29F7EB" w:rsidP="00FC716F">
            <w:pPr>
              <w:contextualSpacing/>
              <w:rPr>
                <w:rFonts w:ascii="Arial" w:eastAsia="Calibri" w:hAnsi="Arial" w:cs="Arial"/>
                <w:b/>
                <w:bCs/>
                <w:sz w:val="24"/>
                <w:szCs w:val="24"/>
              </w:rPr>
            </w:pPr>
            <w:r w:rsidRPr="00B568F3">
              <w:rPr>
                <w:rFonts w:ascii="Arial" w:eastAsia="Calibri" w:hAnsi="Arial" w:cs="Arial"/>
                <w:b/>
                <w:bCs/>
                <w:sz w:val="24"/>
                <w:szCs w:val="24"/>
              </w:rPr>
              <w:t>F</w:t>
            </w:r>
            <w:r w:rsidR="3C2EA369" w:rsidRPr="00B568F3">
              <w:rPr>
                <w:rFonts w:ascii="Arial" w:eastAsia="Calibri" w:hAnsi="Arial" w:cs="Arial"/>
                <w:b/>
                <w:bCs/>
                <w:sz w:val="24"/>
                <w:szCs w:val="24"/>
              </w:rPr>
              <w:t xml:space="preserve">igure 7: </w:t>
            </w:r>
            <w:r w:rsidR="64B835D6" w:rsidRPr="00B568F3">
              <w:rPr>
                <w:rFonts w:ascii="Arial" w:eastAsia="Calibri" w:hAnsi="Arial" w:cs="Arial"/>
                <w:b/>
                <w:bCs/>
                <w:sz w:val="24"/>
                <w:szCs w:val="24"/>
              </w:rPr>
              <w:t xml:space="preserve">National, </w:t>
            </w:r>
            <w:r w:rsidR="008562CE" w:rsidRPr="00B568F3">
              <w:rPr>
                <w:rFonts w:ascii="Arial" w:eastAsia="Calibri" w:hAnsi="Arial" w:cs="Arial"/>
                <w:b/>
                <w:bCs/>
                <w:sz w:val="24"/>
                <w:szCs w:val="24"/>
              </w:rPr>
              <w:t>regional,</w:t>
            </w:r>
            <w:r w:rsidR="64B835D6" w:rsidRPr="00B568F3">
              <w:rPr>
                <w:rFonts w:ascii="Arial" w:eastAsia="Calibri" w:hAnsi="Arial" w:cs="Arial"/>
                <w:b/>
                <w:bCs/>
                <w:sz w:val="24"/>
                <w:szCs w:val="24"/>
              </w:rPr>
              <w:t xml:space="preserve"> and local priorities spend</w:t>
            </w:r>
            <w:r w:rsidR="3C2EA369" w:rsidRPr="00B568F3">
              <w:rPr>
                <w:rFonts w:ascii="Arial" w:eastAsia="Calibri" w:hAnsi="Arial" w:cs="Arial"/>
                <w:b/>
                <w:bCs/>
                <w:sz w:val="24"/>
                <w:szCs w:val="24"/>
              </w:rPr>
              <w:t>, 2023</w:t>
            </w:r>
            <w:r w:rsidR="001E4E7E" w:rsidRPr="00B568F3">
              <w:rPr>
                <w:rFonts w:ascii="Arial" w:eastAsia="Calibri" w:hAnsi="Arial" w:cs="Arial"/>
                <w:b/>
                <w:bCs/>
                <w:sz w:val="24"/>
                <w:szCs w:val="24"/>
              </w:rPr>
              <w:t xml:space="preserve"> to </w:t>
            </w:r>
            <w:r w:rsidR="3C2EA369" w:rsidRPr="00B568F3">
              <w:rPr>
                <w:rFonts w:ascii="Arial" w:eastAsia="Calibri" w:hAnsi="Arial" w:cs="Arial"/>
                <w:b/>
                <w:bCs/>
                <w:sz w:val="24"/>
                <w:szCs w:val="24"/>
              </w:rPr>
              <w:t xml:space="preserve">2024 </w:t>
            </w:r>
          </w:p>
          <w:p w14:paraId="2308B9A1" w14:textId="77777777" w:rsidR="00693359" w:rsidRPr="00B568F3" w:rsidRDefault="00693359" w:rsidP="00FC716F">
            <w:pPr>
              <w:spacing w:before="120" w:after="120"/>
              <w:contextualSpacing/>
              <w:rPr>
                <w:rFonts w:ascii="Arial" w:eastAsia="Calibri" w:hAnsi="Arial" w:cs="Arial"/>
                <w:b/>
                <w:bCs/>
                <w:color w:val="FF0000"/>
                <w:sz w:val="24"/>
                <w:szCs w:val="24"/>
              </w:rPr>
            </w:pPr>
          </w:p>
        </w:tc>
      </w:tr>
      <w:tr w:rsidR="00693359" w:rsidRPr="00B568F3" w14:paraId="213D4ED2" w14:textId="77777777" w:rsidTr="4BA15C28">
        <w:tc>
          <w:tcPr>
            <w:tcW w:w="9026" w:type="dxa"/>
          </w:tcPr>
          <w:p w14:paraId="6BEA9404" w14:textId="527C2D77" w:rsidR="00693359" w:rsidRPr="00B568F3" w:rsidRDefault="003A717B" w:rsidP="00FC716F">
            <w:pPr>
              <w:contextualSpacing/>
              <w:jc w:val="center"/>
              <w:rPr>
                <w:rFonts w:ascii="Arial" w:eastAsia="Calibri" w:hAnsi="Arial" w:cs="Arial"/>
                <w:color w:val="FF0000"/>
                <w:sz w:val="24"/>
                <w:szCs w:val="24"/>
              </w:rPr>
            </w:pPr>
            <w:r w:rsidRPr="00B568F3">
              <w:rPr>
                <w:rFonts w:ascii="Arial" w:eastAsia="Calibri" w:hAnsi="Arial" w:cs="Arial"/>
                <w:noProof/>
                <w:color w:val="FF0000"/>
                <w:sz w:val="24"/>
                <w:szCs w:val="24"/>
              </w:rPr>
              <w:drawing>
                <wp:inline distT="0" distB="0" distL="0" distR="0" wp14:anchorId="3B82FAC3" wp14:editId="58553BC5">
                  <wp:extent cx="5731510" cy="3436620"/>
                  <wp:effectExtent l="0" t="0" r="2540" b="0"/>
                  <wp:docPr id="158183835" name="Picture 3" descr="Figure 7: Bar chart showing national, regional and local priorities spend, 2023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83835" name="Picture 3" descr="Figure 7: Bar chart showing national, regional and local priorities spend, 2023 to 20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3436620"/>
                          </a:xfrm>
                          <a:prstGeom prst="rect">
                            <a:avLst/>
                          </a:prstGeom>
                        </pic:spPr>
                      </pic:pic>
                    </a:graphicData>
                  </a:graphic>
                </wp:inline>
              </w:drawing>
            </w:r>
          </w:p>
        </w:tc>
      </w:tr>
    </w:tbl>
    <w:p w14:paraId="325067A0" w14:textId="77777777" w:rsidR="00693359" w:rsidRPr="00B568F3" w:rsidRDefault="00693359" w:rsidP="00693359">
      <w:pPr>
        <w:spacing w:after="200" w:line="276" w:lineRule="auto"/>
        <w:contextualSpacing/>
        <w:rPr>
          <w:rFonts w:ascii="Arial" w:eastAsia="Calibri" w:hAnsi="Arial" w:cs="Arial"/>
          <w:sz w:val="24"/>
          <w:szCs w:val="24"/>
          <w:lang w:eastAsia="en-GB"/>
        </w:rPr>
      </w:pPr>
    </w:p>
    <w:p w14:paraId="3243D138" w14:textId="77777777" w:rsidR="001F344C" w:rsidRPr="00B568F3" w:rsidRDefault="001F344C" w:rsidP="00693359">
      <w:pPr>
        <w:spacing w:after="200" w:line="276" w:lineRule="auto"/>
        <w:contextualSpacing/>
        <w:rPr>
          <w:rFonts w:ascii="Arial" w:eastAsia="Calibri" w:hAnsi="Arial" w:cs="Arial"/>
          <w:sz w:val="24"/>
          <w:szCs w:val="24"/>
          <w:lang w:eastAsia="en-GB"/>
        </w:rPr>
      </w:pPr>
    </w:p>
    <w:p w14:paraId="4827842B" w14:textId="77777777" w:rsidR="001F344C" w:rsidRPr="00B568F3" w:rsidRDefault="001F344C" w:rsidP="00693359">
      <w:pPr>
        <w:spacing w:after="200" w:line="276" w:lineRule="auto"/>
        <w:contextualSpacing/>
        <w:rPr>
          <w:rFonts w:ascii="Arial" w:eastAsia="Calibri"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F0D67" w:rsidRPr="00B568F3" w14:paraId="2FAAE5A8" w14:textId="77777777" w:rsidTr="4BA15C28">
        <w:tc>
          <w:tcPr>
            <w:tcW w:w="9026" w:type="dxa"/>
          </w:tcPr>
          <w:p w14:paraId="420EC610" w14:textId="4974B59A" w:rsidR="00DF0D67" w:rsidRPr="00B568F3" w:rsidRDefault="07A36CEA" w:rsidP="00FC716F">
            <w:pPr>
              <w:contextualSpacing/>
              <w:rPr>
                <w:rFonts w:ascii="Arial" w:eastAsia="Calibri" w:hAnsi="Arial" w:cs="Arial"/>
                <w:b/>
                <w:bCs/>
                <w:sz w:val="24"/>
                <w:szCs w:val="24"/>
              </w:rPr>
            </w:pPr>
            <w:r w:rsidRPr="00B568F3">
              <w:rPr>
                <w:rFonts w:ascii="Arial" w:eastAsia="Calibri" w:hAnsi="Arial" w:cs="Arial"/>
                <w:b/>
                <w:bCs/>
                <w:sz w:val="24"/>
                <w:szCs w:val="24"/>
              </w:rPr>
              <w:t xml:space="preserve">Figure 8: National, </w:t>
            </w:r>
            <w:r w:rsidR="008562CE" w:rsidRPr="00B568F3">
              <w:rPr>
                <w:rFonts w:ascii="Arial" w:eastAsia="Calibri" w:hAnsi="Arial" w:cs="Arial"/>
                <w:b/>
                <w:bCs/>
                <w:sz w:val="24"/>
                <w:szCs w:val="24"/>
              </w:rPr>
              <w:t>regional,</w:t>
            </w:r>
            <w:r w:rsidRPr="00B568F3">
              <w:rPr>
                <w:rFonts w:ascii="Arial" w:eastAsia="Calibri" w:hAnsi="Arial" w:cs="Arial"/>
                <w:b/>
                <w:bCs/>
                <w:sz w:val="24"/>
                <w:szCs w:val="24"/>
              </w:rPr>
              <w:t xml:space="preserve"> and local priorities </w:t>
            </w:r>
            <w:r w:rsidR="001E4E7E" w:rsidRPr="00B568F3">
              <w:rPr>
                <w:rFonts w:ascii="Arial" w:eastAsia="Calibri" w:hAnsi="Arial" w:cs="Arial"/>
                <w:b/>
                <w:bCs/>
                <w:sz w:val="24"/>
                <w:szCs w:val="24"/>
              </w:rPr>
              <w:t>percentage</w:t>
            </w:r>
            <w:r w:rsidR="67EE5DDD" w:rsidRPr="00B568F3">
              <w:rPr>
                <w:rFonts w:ascii="Arial" w:eastAsia="Calibri" w:hAnsi="Arial" w:cs="Arial"/>
                <w:b/>
                <w:bCs/>
                <w:sz w:val="24"/>
                <w:szCs w:val="24"/>
              </w:rPr>
              <w:t xml:space="preserve"> </w:t>
            </w:r>
            <w:r w:rsidRPr="00B568F3">
              <w:rPr>
                <w:rFonts w:ascii="Arial" w:eastAsia="Calibri" w:hAnsi="Arial" w:cs="Arial"/>
                <w:b/>
                <w:bCs/>
                <w:sz w:val="24"/>
                <w:szCs w:val="24"/>
              </w:rPr>
              <w:t>spend, 2023</w:t>
            </w:r>
            <w:r w:rsidR="001E4E7E" w:rsidRPr="00B568F3">
              <w:rPr>
                <w:rFonts w:ascii="Arial" w:eastAsia="Calibri" w:hAnsi="Arial" w:cs="Arial"/>
                <w:b/>
                <w:bCs/>
                <w:sz w:val="24"/>
                <w:szCs w:val="24"/>
              </w:rPr>
              <w:t xml:space="preserve"> to </w:t>
            </w:r>
            <w:r w:rsidRPr="00B568F3">
              <w:rPr>
                <w:rFonts w:ascii="Arial" w:eastAsia="Calibri" w:hAnsi="Arial" w:cs="Arial"/>
                <w:b/>
                <w:bCs/>
                <w:sz w:val="24"/>
                <w:szCs w:val="24"/>
              </w:rPr>
              <w:t xml:space="preserve">2024 </w:t>
            </w:r>
          </w:p>
          <w:p w14:paraId="4BD118A2" w14:textId="77777777" w:rsidR="00DF0D67" w:rsidRPr="00B568F3" w:rsidRDefault="00DF0D67" w:rsidP="00FC716F">
            <w:pPr>
              <w:spacing w:before="120" w:after="120"/>
              <w:contextualSpacing/>
              <w:rPr>
                <w:rFonts w:ascii="Arial" w:eastAsia="Calibri" w:hAnsi="Arial" w:cs="Arial"/>
                <w:b/>
                <w:bCs/>
                <w:color w:val="FF0000"/>
                <w:sz w:val="24"/>
                <w:szCs w:val="24"/>
              </w:rPr>
            </w:pPr>
          </w:p>
        </w:tc>
      </w:tr>
      <w:tr w:rsidR="00DF0D67" w:rsidRPr="00B568F3" w14:paraId="0B97EBEF" w14:textId="77777777" w:rsidTr="4BA15C28">
        <w:tc>
          <w:tcPr>
            <w:tcW w:w="9026" w:type="dxa"/>
          </w:tcPr>
          <w:p w14:paraId="4A391999" w14:textId="34D46198" w:rsidR="00DF0D67" w:rsidRPr="00B568F3" w:rsidRDefault="00187E25" w:rsidP="00FC716F">
            <w:pPr>
              <w:contextualSpacing/>
              <w:jc w:val="center"/>
              <w:rPr>
                <w:rFonts w:ascii="Arial" w:eastAsia="Calibri" w:hAnsi="Arial" w:cs="Arial"/>
                <w:color w:val="FF0000"/>
                <w:sz w:val="24"/>
                <w:szCs w:val="24"/>
              </w:rPr>
            </w:pPr>
            <w:r w:rsidRPr="00B568F3">
              <w:rPr>
                <w:rFonts w:ascii="Arial" w:eastAsia="Calibri" w:hAnsi="Arial" w:cs="Arial"/>
                <w:noProof/>
                <w:color w:val="FF0000"/>
                <w:sz w:val="24"/>
                <w:szCs w:val="24"/>
              </w:rPr>
              <w:drawing>
                <wp:inline distT="0" distB="0" distL="0" distR="0" wp14:anchorId="52B0D943" wp14:editId="58737E12">
                  <wp:extent cx="5731200" cy="3443114"/>
                  <wp:effectExtent l="0" t="0" r="3175" b="5080"/>
                  <wp:docPr id="1829202649" name="Picture 5" descr="Figure 8: Bar chart showing national, regional and local priorities percentage spend, 2023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02649" name="Picture 5" descr="Figure 8: Bar chart showing national, regional and local priorities percentage spend, 2023 to 202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200" cy="3443114"/>
                          </a:xfrm>
                          <a:prstGeom prst="rect">
                            <a:avLst/>
                          </a:prstGeom>
                        </pic:spPr>
                      </pic:pic>
                    </a:graphicData>
                  </a:graphic>
                </wp:inline>
              </w:drawing>
            </w:r>
          </w:p>
        </w:tc>
      </w:tr>
    </w:tbl>
    <w:p w14:paraId="3B532FA8" w14:textId="77777777" w:rsidR="00DF0D67" w:rsidRPr="00B568F3" w:rsidRDefault="00DF0D67" w:rsidP="00693359">
      <w:pPr>
        <w:spacing w:after="200" w:line="276" w:lineRule="auto"/>
        <w:contextualSpacing/>
        <w:rPr>
          <w:rFonts w:ascii="Arial" w:eastAsia="Calibri" w:hAnsi="Arial" w:cs="Arial"/>
          <w:sz w:val="24"/>
          <w:szCs w:val="24"/>
          <w:lang w:eastAsia="en-GB"/>
        </w:rPr>
      </w:pPr>
    </w:p>
    <w:p w14:paraId="7ACFDFDD" w14:textId="77777777" w:rsidR="0058054E" w:rsidRPr="00B568F3" w:rsidRDefault="0058054E" w:rsidP="0058054E">
      <w:pPr>
        <w:spacing w:after="200" w:line="276" w:lineRule="auto"/>
        <w:ind w:left="709"/>
        <w:contextualSpacing/>
        <w:rPr>
          <w:rFonts w:ascii="Arial" w:eastAsia="Calibri" w:hAnsi="Arial" w:cs="Arial"/>
          <w:sz w:val="24"/>
          <w:szCs w:val="24"/>
          <w:lang w:eastAsia="en-GB"/>
        </w:rPr>
      </w:pPr>
    </w:p>
    <w:p w14:paraId="2A7DA713" w14:textId="77777777" w:rsidR="0058054E" w:rsidRPr="00B568F3" w:rsidRDefault="0058054E" w:rsidP="0058054E">
      <w:pPr>
        <w:spacing w:after="200" w:line="276" w:lineRule="auto"/>
        <w:ind w:left="426"/>
        <w:contextualSpacing/>
        <w:rPr>
          <w:rFonts w:ascii="Arial" w:eastAsia="Calibri"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8054E" w:rsidRPr="00B568F3" w14:paraId="6B84FE84" w14:textId="77777777">
        <w:tc>
          <w:tcPr>
            <w:tcW w:w="9026" w:type="dxa"/>
          </w:tcPr>
          <w:p w14:paraId="66DDE86A" w14:textId="1D67B202" w:rsidR="0058054E" w:rsidRPr="00B568F3" w:rsidRDefault="0058054E">
            <w:pPr>
              <w:contextualSpacing/>
              <w:rPr>
                <w:rFonts w:ascii="Arial" w:eastAsia="Calibri" w:hAnsi="Arial" w:cs="Arial"/>
                <w:b/>
                <w:bCs/>
                <w:sz w:val="24"/>
                <w:szCs w:val="24"/>
              </w:rPr>
            </w:pPr>
            <w:r w:rsidRPr="00B568F3">
              <w:rPr>
                <w:rFonts w:ascii="Arial" w:eastAsia="Calibri" w:hAnsi="Arial" w:cs="Arial"/>
                <w:b/>
                <w:bCs/>
                <w:sz w:val="24"/>
                <w:szCs w:val="24"/>
              </w:rPr>
              <w:t xml:space="preserve">Figure 9: National, </w:t>
            </w:r>
            <w:r w:rsidR="008562CE" w:rsidRPr="00B568F3">
              <w:rPr>
                <w:rFonts w:ascii="Arial" w:eastAsia="Calibri" w:hAnsi="Arial" w:cs="Arial"/>
                <w:b/>
                <w:bCs/>
                <w:sz w:val="24"/>
                <w:szCs w:val="24"/>
              </w:rPr>
              <w:t>regional,</w:t>
            </w:r>
            <w:r w:rsidRPr="00B568F3">
              <w:rPr>
                <w:rFonts w:ascii="Arial" w:eastAsia="Calibri" w:hAnsi="Arial" w:cs="Arial"/>
                <w:b/>
                <w:bCs/>
                <w:sz w:val="24"/>
                <w:szCs w:val="24"/>
              </w:rPr>
              <w:t xml:space="preserve"> and local priorities </w:t>
            </w:r>
            <w:r w:rsidR="001E4E7E" w:rsidRPr="00B568F3">
              <w:rPr>
                <w:rFonts w:ascii="Arial" w:eastAsia="Calibri" w:hAnsi="Arial" w:cs="Arial"/>
                <w:b/>
                <w:bCs/>
                <w:sz w:val="24"/>
                <w:szCs w:val="24"/>
              </w:rPr>
              <w:t>percentage</w:t>
            </w:r>
            <w:r w:rsidRPr="00B568F3">
              <w:rPr>
                <w:rFonts w:ascii="Arial" w:eastAsia="Calibri" w:hAnsi="Arial" w:cs="Arial"/>
                <w:b/>
                <w:bCs/>
                <w:sz w:val="24"/>
                <w:szCs w:val="24"/>
              </w:rPr>
              <w:t xml:space="preserve"> change on spend, 2023</w:t>
            </w:r>
            <w:r w:rsidR="001E4E7E" w:rsidRPr="00B568F3">
              <w:rPr>
                <w:rFonts w:ascii="Arial" w:eastAsia="Calibri" w:hAnsi="Arial" w:cs="Arial"/>
                <w:b/>
                <w:bCs/>
                <w:sz w:val="24"/>
                <w:szCs w:val="24"/>
              </w:rPr>
              <w:t xml:space="preserve"> to </w:t>
            </w:r>
            <w:r w:rsidRPr="00B568F3">
              <w:rPr>
                <w:rFonts w:ascii="Arial" w:eastAsia="Calibri" w:hAnsi="Arial" w:cs="Arial"/>
                <w:b/>
                <w:bCs/>
                <w:sz w:val="24"/>
                <w:szCs w:val="24"/>
              </w:rPr>
              <w:t xml:space="preserve">2024 </w:t>
            </w:r>
          </w:p>
          <w:p w14:paraId="6A2A156E" w14:textId="77777777" w:rsidR="0058054E" w:rsidRPr="00B568F3" w:rsidRDefault="0058054E">
            <w:pPr>
              <w:spacing w:before="120" w:after="120"/>
              <w:contextualSpacing/>
              <w:rPr>
                <w:rFonts w:ascii="Arial" w:eastAsia="Calibri" w:hAnsi="Arial" w:cs="Arial"/>
                <w:b/>
                <w:bCs/>
                <w:color w:val="FF0000"/>
                <w:sz w:val="24"/>
                <w:szCs w:val="24"/>
              </w:rPr>
            </w:pPr>
          </w:p>
        </w:tc>
      </w:tr>
      <w:tr w:rsidR="0058054E" w:rsidRPr="00B568F3" w14:paraId="6DB747A4" w14:textId="77777777">
        <w:tc>
          <w:tcPr>
            <w:tcW w:w="9026" w:type="dxa"/>
          </w:tcPr>
          <w:p w14:paraId="6824FAD2" w14:textId="3B9A4A31" w:rsidR="0058054E" w:rsidRPr="00B568F3" w:rsidRDefault="00B93313">
            <w:pPr>
              <w:contextualSpacing/>
              <w:jc w:val="center"/>
              <w:rPr>
                <w:rFonts w:ascii="Arial" w:eastAsia="Calibri" w:hAnsi="Arial" w:cs="Arial"/>
                <w:color w:val="FF0000"/>
                <w:sz w:val="24"/>
                <w:szCs w:val="24"/>
              </w:rPr>
            </w:pPr>
            <w:r w:rsidRPr="00B568F3">
              <w:rPr>
                <w:rFonts w:ascii="Arial" w:eastAsia="Calibri" w:hAnsi="Arial" w:cs="Arial"/>
                <w:noProof/>
                <w:color w:val="FF0000"/>
                <w:sz w:val="24"/>
                <w:szCs w:val="24"/>
              </w:rPr>
              <w:drawing>
                <wp:inline distT="0" distB="0" distL="0" distR="0" wp14:anchorId="5F119E0E" wp14:editId="5A44AAA5">
                  <wp:extent cx="5731510" cy="3436620"/>
                  <wp:effectExtent l="0" t="0" r="2540" b="0"/>
                  <wp:docPr id="66688544" name="Picture 4" descr="Figure 9: Bar chart showing national, regional and local priorities percentage change on spend 2023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8544" name="Picture 4" descr="Figure 9: Bar chart showing national, regional and local priorities percentage change on spend 2023 to 20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3436620"/>
                          </a:xfrm>
                          <a:prstGeom prst="rect">
                            <a:avLst/>
                          </a:prstGeom>
                        </pic:spPr>
                      </pic:pic>
                    </a:graphicData>
                  </a:graphic>
                </wp:inline>
              </w:drawing>
            </w:r>
          </w:p>
        </w:tc>
      </w:tr>
    </w:tbl>
    <w:p w14:paraId="100301CF" w14:textId="77777777" w:rsidR="0058054E" w:rsidRPr="00B568F3" w:rsidRDefault="0058054E" w:rsidP="0058054E">
      <w:pPr>
        <w:spacing w:after="200" w:line="276" w:lineRule="auto"/>
        <w:ind w:left="709"/>
        <w:contextualSpacing/>
        <w:rPr>
          <w:rFonts w:ascii="Arial" w:eastAsia="Calibri" w:hAnsi="Arial" w:cs="Arial"/>
          <w:sz w:val="24"/>
          <w:szCs w:val="24"/>
          <w:lang w:eastAsia="en-GB"/>
        </w:rPr>
      </w:pPr>
    </w:p>
    <w:p w14:paraId="3091E10A" w14:textId="574F853F" w:rsidR="00882465" w:rsidRPr="00B568F3" w:rsidRDefault="00250FBB"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Figure </w:t>
      </w:r>
      <w:r w:rsidR="00B53B75" w:rsidRPr="00B568F3">
        <w:rPr>
          <w:rFonts w:ascii="Arial" w:eastAsia="Calibri" w:hAnsi="Arial" w:cs="Arial"/>
          <w:sz w:val="24"/>
          <w:szCs w:val="24"/>
          <w:lang w:eastAsia="en-GB"/>
        </w:rPr>
        <w:t>9</w:t>
      </w:r>
      <w:r w:rsidR="002477A0" w:rsidRPr="00B568F3">
        <w:rPr>
          <w:rFonts w:ascii="Arial" w:eastAsia="Calibri" w:hAnsi="Arial" w:cs="Arial"/>
          <w:sz w:val="24"/>
          <w:szCs w:val="24"/>
          <w:lang w:eastAsia="en-GB"/>
        </w:rPr>
        <w:t xml:space="preserve"> </w:t>
      </w:r>
      <w:r w:rsidRPr="00B568F3">
        <w:rPr>
          <w:rFonts w:ascii="Arial" w:eastAsia="Calibri" w:hAnsi="Arial" w:cs="Arial"/>
          <w:sz w:val="24"/>
          <w:szCs w:val="24"/>
          <w:lang w:eastAsia="en-GB"/>
        </w:rPr>
        <w:t>shows the change in spend</w:t>
      </w:r>
      <w:r w:rsidRPr="00B568F3" w:rsidDel="00740706">
        <w:rPr>
          <w:rFonts w:ascii="Arial" w:eastAsia="Calibri" w:hAnsi="Arial" w:cs="Arial"/>
          <w:sz w:val="24"/>
          <w:szCs w:val="24"/>
          <w:lang w:eastAsia="en-GB"/>
        </w:rPr>
        <w:t xml:space="preserve"> </w:t>
      </w:r>
      <w:r w:rsidRPr="00B568F3">
        <w:rPr>
          <w:rFonts w:ascii="Arial" w:eastAsia="Calibri" w:hAnsi="Arial" w:cs="Arial"/>
          <w:sz w:val="24"/>
          <w:szCs w:val="24"/>
          <w:lang w:eastAsia="en-GB"/>
        </w:rPr>
        <w:t xml:space="preserve">on </w:t>
      </w:r>
      <w:r w:rsidR="00193E64" w:rsidRPr="00B568F3">
        <w:rPr>
          <w:rFonts w:ascii="Arial" w:eastAsia="Calibri" w:hAnsi="Arial" w:cs="Arial"/>
          <w:sz w:val="24"/>
          <w:szCs w:val="24"/>
          <w:lang w:eastAsia="en-GB"/>
        </w:rPr>
        <w:t>national</w:t>
      </w:r>
      <w:r w:rsidR="007610F2" w:rsidRPr="00B568F3">
        <w:rPr>
          <w:rFonts w:ascii="Arial" w:eastAsia="Calibri" w:hAnsi="Arial" w:cs="Arial"/>
          <w:sz w:val="24"/>
          <w:szCs w:val="24"/>
          <w:lang w:eastAsia="en-GB"/>
        </w:rPr>
        <w:t xml:space="preserve"> and other </w:t>
      </w:r>
      <w:r w:rsidR="00193E64" w:rsidRPr="00B568F3">
        <w:rPr>
          <w:rFonts w:ascii="Arial" w:eastAsia="Calibri" w:hAnsi="Arial" w:cs="Arial"/>
          <w:sz w:val="24"/>
          <w:szCs w:val="24"/>
          <w:lang w:eastAsia="en-GB"/>
        </w:rPr>
        <w:t>priorities</w:t>
      </w:r>
      <w:r w:rsidR="00C978C8" w:rsidRPr="00B568F3">
        <w:rPr>
          <w:rFonts w:ascii="Arial" w:eastAsia="Calibri" w:hAnsi="Arial" w:cs="Arial"/>
          <w:sz w:val="24"/>
          <w:szCs w:val="24"/>
          <w:lang w:eastAsia="en-GB"/>
        </w:rPr>
        <w:t xml:space="preserve"> and </w:t>
      </w:r>
      <w:r w:rsidR="00DA1CB0" w:rsidRPr="00B568F3">
        <w:rPr>
          <w:rFonts w:ascii="Arial" w:eastAsia="Calibri" w:hAnsi="Arial" w:cs="Arial"/>
          <w:sz w:val="24"/>
          <w:szCs w:val="24"/>
          <w:lang w:eastAsia="en-GB"/>
        </w:rPr>
        <w:t>t</w:t>
      </w:r>
      <w:r w:rsidR="00C978C8" w:rsidRPr="00B568F3">
        <w:rPr>
          <w:rFonts w:ascii="Arial" w:eastAsia="Calibri" w:hAnsi="Arial" w:cs="Arial"/>
          <w:sz w:val="24"/>
          <w:szCs w:val="24"/>
          <w:lang w:eastAsia="en-GB"/>
        </w:rPr>
        <w:t>able 5</w:t>
      </w:r>
      <w:r w:rsidR="00C978C8" w:rsidRPr="00B568F3" w:rsidDel="00684287">
        <w:rPr>
          <w:rFonts w:ascii="Arial" w:eastAsia="Calibri" w:hAnsi="Arial" w:cs="Arial"/>
          <w:sz w:val="24"/>
          <w:szCs w:val="24"/>
          <w:lang w:eastAsia="en-GB"/>
        </w:rPr>
        <w:t xml:space="preserve"> </w:t>
      </w:r>
      <w:r w:rsidR="00684287" w:rsidRPr="00B568F3">
        <w:rPr>
          <w:rFonts w:ascii="Arial" w:eastAsia="Calibri" w:hAnsi="Arial" w:cs="Arial"/>
          <w:sz w:val="24"/>
          <w:szCs w:val="24"/>
          <w:lang w:eastAsia="en-GB"/>
        </w:rPr>
        <w:t>shows</w:t>
      </w:r>
      <w:r w:rsidR="00DA1CB0" w:rsidRPr="00B568F3">
        <w:rPr>
          <w:rFonts w:ascii="Arial" w:eastAsia="Calibri" w:hAnsi="Arial" w:cs="Arial"/>
          <w:sz w:val="24"/>
          <w:szCs w:val="24"/>
          <w:lang w:eastAsia="en-GB"/>
        </w:rPr>
        <w:t xml:space="preserve"> </w:t>
      </w:r>
      <w:r w:rsidR="00C978C8" w:rsidRPr="00B568F3">
        <w:rPr>
          <w:rFonts w:ascii="Arial" w:eastAsia="Calibri" w:hAnsi="Arial" w:cs="Arial"/>
          <w:sz w:val="24"/>
          <w:szCs w:val="24"/>
          <w:lang w:eastAsia="en-GB"/>
        </w:rPr>
        <w:t>the information for the last two financial years.</w:t>
      </w:r>
      <w:r w:rsidRPr="00B568F3">
        <w:rPr>
          <w:rFonts w:ascii="Arial" w:eastAsia="Calibri" w:hAnsi="Arial" w:cs="Arial"/>
          <w:sz w:val="24"/>
          <w:szCs w:val="24"/>
          <w:lang w:eastAsia="en-GB"/>
        </w:rPr>
        <w:t xml:space="preserve"> </w:t>
      </w:r>
    </w:p>
    <w:p w14:paraId="10E92EE7" w14:textId="77777777" w:rsidR="009E1FFF" w:rsidRPr="00B568F3" w:rsidRDefault="009E1FFF" w:rsidP="003766F9">
      <w:pPr>
        <w:spacing w:after="200" w:line="276" w:lineRule="auto"/>
        <w:ind w:left="567"/>
        <w:contextualSpacing/>
        <w:rPr>
          <w:rFonts w:ascii="Arial" w:eastAsia="Calibri" w:hAnsi="Arial" w:cs="Arial"/>
          <w:sz w:val="24"/>
          <w:szCs w:val="24"/>
          <w:lang w:eastAsia="en-GB"/>
        </w:rPr>
      </w:pPr>
    </w:p>
    <w:p w14:paraId="7D48B688" w14:textId="264C6DF7" w:rsidR="00250FBB" w:rsidRPr="00B568F3" w:rsidRDefault="003354F9"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T</w:t>
      </w:r>
      <w:r w:rsidR="00F51E2F" w:rsidRPr="00B568F3">
        <w:rPr>
          <w:rFonts w:ascii="Arial" w:eastAsia="Calibri" w:hAnsi="Arial" w:cs="Arial"/>
          <w:sz w:val="24"/>
          <w:szCs w:val="24"/>
          <w:lang w:eastAsia="en-GB"/>
        </w:rPr>
        <w:t xml:space="preserve">here was an increase in </w:t>
      </w:r>
      <w:r w:rsidRPr="00B568F3">
        <w:rPr>
          <w:rFonts w:ascii="Arial" w:eastAsia="Calibri" w:hAnsi="Arial" w:cs="Arial"/>
          <w:sz w:val="24"/>
          <w:szCs w:val="24"/>
          <w:lang w:eastAsia="en-GB"/>
        </w:rPr>
        <w:t xml:space="preserve">SCWWDP </w:t>
      </w:r>
      <w:r w:rsidR="00F51E2F" w:rsidRPr="00B568F3">
        <w:rPr>
          <w:rFonts w:ascii="Arial" w:eastAsia="Calibri" w:hAnsi="Arial" w:cs="Arial"/>
          <w:sz w:val="24"/>
          <w:szCs w:val="24"/>
          <w:lang w:eastAsia="en-GB"/>
        </w:rPr>
        <w:t>spend on qualifying and post qualifying social work awards (+21.</w:t>
      </w:r>
      <w:r w:rsidR="000819E4" w:rsidRPr="00B568F3">
        <w:rPr>
          <w:rFonts w:ascii="Arial" w:eastAsia="Calibri" w:hAnsi="Arial" w:cs="Arial"/>
          <w:sz w:val="24"/>
          <w:szCs w:val="24"/>
          <w:lang w:eastAsia="en-GB"/>
        </w:rPr>
        <w:t>0</w:t>
      </w:r>
      <w:r w:rsidR="001F4342" w:rsidRPr="00B568F3">
        <w:rPr>
          <w:rFonts w:ascii="Arial" w:eastAsia="Calibri" w:hAnsi="Arial" w:cs="Arial"/>
          <w:sz w:val="24"/>
          <w:szCs w:val="24"/>
          <w:lang w:eastAsia="en-GB"/>
        </w:rPr>
        <w:t xml:space="preserve"> per cent</w:t>
      </w:r>
      <w:r w:rsidR="00F51E2F" w:rsidRPr="00B568F3">
        <w:rPr>
          <w:rFonts w:ascii="Arial" w:eastAsia="Calibri" w:hAnsi="Arial" w:cs="Arial"/>
          <w:sz w:val="24"/>
          <w:szCs w:val="24"/>
          <w:lang w:eastAsia="en-GB"/>
        </w:rPr>
        <w:t xml:space="preserve">) and </w:t>
      </w:r>
      <w:r w:rsidR="00897660" w:rsidRPr="00B568F3">
        <w:rPr>
          <w:rFonts w:ascii="Arial" w:eastAsia="Calibri" w:hAnsi="Arial" w:cs="Arial"/>
          <w:sz w:val="24"/>
          <w:szCs w:val="24"/>
          <w:lang w:eastAsia="en-GB"/>
        </w:rPr>
        <w:t xml:space="preserve">excellent education and </w:t>
      </w:r>
      <w:r w:rsidR="18071652" w:rsidRPr="00B568F3">
        <w:rPr>
          <w:rFonts w:ascii="Arial" w:eastAsia="Calibri" w:hAnsi="Arial" w:cs="Arial"/>
          <w:sz w:val="24"/>
          <w:szCs w:val="24"/>
          <w:lang w:eastAsia="en-GB"/>
        </w:rPr>
        <w:t>learning</w:t>
      </w:r>
      <w:r w:rsidR="00897660" w:rsidRPr="00B568F3">
        <w:rPr>
          <w:rFonts w:ascii="Arial" w:eastAsia="Calibri" w:hAnsi="Arial" w:cs="Arial"/>
          <w:sz w:val="24"/>
          <w:szCs w:val="24"/>
          <w:lang w:eastAsia="en-GB"/>
        </w:rPr>
        <w:t xml:space="preserve"> (+17.8</w:t>
      </w:r>
      <w:r w:rsidR="001F4342" w:rsidRPr="00B568F3">
        <w:rPr>
          <w:rFonts w:ascii="Arial" w:eastAsia="Calibri" w:hAnsi="Arial" w:cs="Arial"/>
          <w:sz w:val="24"/>
          <w:szCs w:val="24"/>
          <w:lang w:eastAsia="en-GB"/>
        </w:rPr>
        <w:t xml:space="preserve"> per cent</w:t>
      </w:r>
      <w:r w:rsidR="00897660" w:rsidRPr="00B568F3">
        <w:rPr>
          <w:rFonts w:ascii="Arial" w:eastAsia="Calibri" w:hAnsi="Arial" w:cs="Arial"/>
          <w:sz w:val="24"/>
          <w:szCs w:val="24"/>
          <w:lang w:eastAsia="en-GB"/>
        </w:rPr>
        <w:t>)</w:t>
      </w:r>
      <w:r w:rsidR="009F4EFF" w:rsidRPr="00B568F3">
        <w:rPr>
          <w:rFonts w:ascii="Arial" w:eastAsia="Calibri" w:hAnsi="Arial" w:cs="Arial"/>
          <w:sz w:val="24"/>
          <w:szCs w:val="24"/>
          <w:lang w:eastAsia="en-GB"/>
        </w:rPr>
        <w:t xml:space="preserve"> compared to the previous year</w:t>
      </w:r>
      <w:r w:rsidR="006276ED" w:rsidRPr="00B568F3">
        <w:rPr>
          <w:rFonts w:ascii="Arial" w:eastAsia="Calibri" w:hAnsi="Arial" w:cs="Arial"/>
          <w:sz w:val="24"/>
          <w:szCs w:val="24"/>
          <w:lang w:eastAsia="en-GB"/>
        </w:rPr>
        <w:t>, whi</w:t>
      </w:r>
      <w:r w:rsidR="00DA1CB0" w:rsidRPr="00B568F3">
        <w:rPr>
          <w:rFonts w:ascii="Arial" w:eastAsia="Calibri" w:hAnsi="Arial" w:cs="Arial"/>
          <w:sz w:val="24"/>
          <w:szCs w:val="24"/>
          <w:lang w:eastAsia="en-GB"/>
        </w:rPr>
        <w:t>le</w:t>
      </w:r>
      <w:r w:rsidR="006276ED" w:rsidRPr="00B568F3">
        <w:rPr>
          <w:rFonts w:ascii="Arial" w:eastAsia="Calibri" w:hAnsi="Arial" w:cs="Arial"/>
          <w:sz w:val="24"/>
          <w:szCs w:val="24"/>
          <w:lang w:eastAsia="en-GB"/>
        </w:rPr>
        <w:t xml:space="preserve"> spend on all other priorities declined</w:t>
      </w:r>
      <w:r w:rsidR="00320A31" w:rsidRPr="00B568F3">
        <w:rPr>
          <w:rFonts w:ascii="Arial" w:eastAsia="Calibri" w:hAnsi="Arial" w:cs="Arial"/>
          <w:sz w:val="24"/>
          <w:szCs w:val="24"/>
          <w:lang w:eastAsia="en-GB"/>
        </w:rPr>
        <w:t xml:space="preserve">. </w:t>
      </w:r>
    </w:p>
    <w:p w14:paraId="10A3DC9A" w14:textId="77777777" w:rsidR="00786CE5" w:rsidRPr="00B568F3" w:rsidRDefault="00786CE5" w:rsidP="003766F9">
      <w:pPr>
        <w:spacing w:after="200" w:line="276" w:lineRule="auto"/>
        <w:ind w:left="567"/>
        <w:contextualSpacing/>
        <w:rPr>
          <w:rFonts w:ascii="Arial" w:eastAsia="Calibri" w:hAnsi="Arial" w:cs="Arial"/>
          <w:sz w:val="24"/>
          <w:szCs w:val="24"/>
          <w:lang w:eastAsia="en-GB"/>
        </w:rPr>
      </w:pPr>
    </w:p>
    <w:p w14:paraId="5CBE36C5" w14:textId="4EC0AD91" w:rsidR="00205933" w:rsidRPr="00B568F3" w:rsidRDefault="00205933"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L</w:t>
      </w:r>
      <w:r w:rsidR="00F25EA9" w:rsidRPr="00B568F3">
        <w:rPr>
          <w:rFonts w:ascii="Arial" w:eastAsia="Calibri" w:hAnsi="Arial" w:cs="Arial"/>
          <w:sz w:val="24"/>
          <w:szCs w:val="24"/>
          <w:lang w:eastAsia="en-GB"/>
        </w:rPr>
        <w:t>ocal authorities</w:t>
      </w:r>
      <w:r w:rsidRPr="00B568F3">
        <w:rPr>
          <w:rFonts w:ascii="Arial" w:eastAsia="Calibri" w:hAnsi="Arial" w:cs="Arial"/>
          <w:sz w:val="24"/>
          <w:szCs w:val="24"/>
          <w:lang w:eastAsia="en-GB"/>
        </w:rPr>
        <w:t xml:space="preserve"> have told us that </w:t>
      </w:r>
      <w:r w:rsidR="00F25EA9" w:rsidRPr="00B568F3">
        <w:rPr>
          <w:rFonts w:ascii="Arial" w:eastAsia="Calibri" w:hAnsi="Arial" w:cs="Arial"/>
          <w:sz w:val="24"/>
          <w:szCs w:val="24"/>
          <w:lang w:eastAsia="en-GB"/>
        </w:rPr>
        <w:t>we</w:t>
      </w:r>
      <w:r w:rsidRPr="00B568F3">
        <w:rPr>
          <w:rFonts w:ascii="Arial" w:eastAsia="Calibri" w:hAnsi="Arial" w:cs="Arial"/>
          <w:sz w:val="24"/>
          <w:szCs w:val="24"/>
          <w:lang w:eastAsia="en-GB"/>
        </w:rPr>
        <w:t xml:space="preserve"> could provide clearer guidance on where some of the financial information should sit when reporting on the national priorities. For example</w:t>
      </w:r>
      <w:r w:rsidR="00BD2A38" w:rsidRPr="00B568F3">
        <w:rPr>
          <w:rFonts w:ascii="Arial" w:eastAsia="Calibri" w:hAnsi="Arial" w:cs="Arial"/>
          <w:sz w:val="24"/>
          <w:szCs w:val="24"/>
          <w:lang w:eastAsia="en-GB"/>
        </w:rPr>
        <w:t>,</w:t>
      </w:r>
      <w:r w:rsidRPr="00B568F3">
        <w:rPr>
          <w:rFonts w:ascii="Arial" w:eastAsia="Calibri" w:hAnsi="Arial" w:cs="Arial"/>
          <w:sz w:val="24"/>
          <w:szCs w:val="24"/>
          <w:lang w:eastAsia="en-GB"/>
        </w:rPr>
        <w:t xml:space="preserve"> one region might record the TMDP leadership programme costs against qualifying and post qualifying social work awards</w:t>
      </w:r>
      <w:r w:rsidR="002E256A" w:rsidRPr="00B568F3">
        <w:rPr>
          <w:rFonts w:ascii="Arial" w:eastAsia="Calibri" w:hAnsi="Arial" w:cs="Arial"/>
          <w:sz w:val="24"/>
          <w:szCs w:val="24"/>
          <w:lang w:eastAsia="en-GB"/>
        </w:rPr>
        <w:t>,</w:t>
      </w:r>
      <w:r w:rsidRPr="00B568F3">
        <w:rPr>
          <w:rFonts w:ascii="Arial" w:eastAsia="Calibri" w:hAnsi="Arial" w:cs="Arial"/>
          <w:sz w:val="24"/>
          <w:szCs w:val="24"/>
          <w:lang w:eastAsia="en-GB"/>
        </w:rPr>
        <w:t xml:space="preserve"> as they see it as a social work development programme, while another region </w:t>
      </w:r>
      <w:r w:rsidR="0091161E" w:rsidRPr="00B568F3">
        <w:rPr>
          <w:rFonts w:ascii="Arial" w:eastAsia="Calibri" w:hAnsi="Arial" w:cs="Arial"/>
          <w:sz w:val="24"/>
          <w:szCs w:val="24"/>
          <w:lang w:eastAsia="en-GB"/>
        </w:rPr>
        <w:t>might</w:t>
      </w:r>
      <w:r w:rsidRPr="00B568F3">
        <w:rPr>
          <w:rFonts w:ascii="Arial" w:eastAsia="Calibri" w:hAnsi="Arial" w:cs="Arial"/>
          <w:sz w:val="24"/>
          <w:szCs w:val="24"/>
          <w:lang w:eastAsia="en-GB"/>
        </w:rPr>
        <w:t xml:space="preserve"> record it against the leadership and succession national priority. </w:t>
      </w:r>
      <w:r w:rsidR="002E256A" w:rsidRPr="00B568F3">
        <w:rPr>
          <w:rFonts w:ascii="Arial" w:eastAsia="Calibri" w:hAnsi="Arial" w:cs="Arial"/>
          <w:sz w:val="24"/>
          <w:szCs w:val="24"/>
          <w:lang w:eastAsia="en-GB"/>
        </w:rPr>
        <w:t>We</w:t>
      </w:r>
      <w:r w:rsidRPr="00B568F3">
        <w:rPr>
          <w:rFonts w:ascii="Arial" w:eastAsia="Calibri" w:hAnsi="Arial" w:cs="Arial"/>
          <w:sz w:val="24"/>
          <w:szCs w:val="24"/>
          <w:lang w:eastAsia="en-GB"/>
        </w:rPr>
        <w:t xml:space="preserve"> </w:t>
      </w:r>
      <w:r w:rsidR="00F77825" w:rsidRPr="00B568F3">
        <w:rPr>
          <w:rFonts w:ascii="Arial" w:eastAsia="Calibri" w:hAnsi="Arial" w:cs="Arial"/>
          <w:sz w:val="24"/>
          <w:szCs w:val="24"/>
          <w:lang w:eastAsia="en-GB"/>
        </w:rPr>
        <w:t>will work with training managers to</w:t>
      </w:r>
      <w:r w:rsidRPr="00B568F3">
        <w:rPr>
          <w:rFonts w:ascii="Arial" w:eastAsia="Calibri" w:hAnsi="Arial" w:cs="Arial"/>
          <w:sz w:val="24"/>
          <w:szCs w:val="24"/>
          <w:lang w:eastAsia="en-GB"/>
        </w:rPr>
        <w:t xml:space="preserve"> strengthen the grant guidance</w:t>
      </w:r>
      <w:r w:rsidR="0069183B" w:rsidRPr="00B568F3">
        <w:rPr>
          <w:rFonts w:ascii="Arial" w:eastAsia="Calibri" w:hAnsi="Arial" w:cs="Arial"/>
          <w:sz w:val="24"/>
          <w:szCs w:val="24"/>
          <w:lang w:eastAsia="en-GB"/>
        </w:rPr>
        <w:t>.</w:t>
      </w:r>
    </w:p>
    <w:p w14:paraId="07AF841D" w14:textId="77777777" w:rsidR="00205933" w:rsidRPr="00B568F3" w:rsidRDefault="00205933" w:rsidP="003766F9">
      <w:pPr>
        <w:spacing w:after="200" w:line="276" w:lineRule="auto"/>
        <w:ind w:left="567"/>
        <w:contextualSpacing/>
        <w:rPr>
          <w:rFonts w:ascii="Arial" w:eastAsia="Calibri" w:hAnsi="Arial" w:cs="Arial"/>
          <w:sz w:val="24"/>
          <w:szCs w:val="24"/>
          <w:lang w:eastAsia="en-GB"/>
        </w:rPr>
      </w:pPr>
    </w:p>
    <w:p w14:paraId="0F832EB1" w14:textId="0BEE76C5" w:rsidR="00D111C7" w:rsidRPr="00B568F3" w:rsidRDefault="009A5F88"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SCWWDP spend on </w:t>
      </w:r>
      <w:r w:rsidR="000819E4" w:rsidRPr="00B568F3">
        <w:rPr>
          <w:rFonts w:ascii="Arial" w:eastAsia="Calibri" w:hAnsi="Arial" w:cs="Arial"/>
          <w:sz w:val="24"/>
          <w:szCs w:val="24"/>
          <w:lang w:eastAsia="en-GB"/>
        </w:rPr>
        <w:t xml:space="preserve">qualifying and post qualifying social work awards </w:t>
      </w:r>
      <w:r w:rsidR="00AC754D" w:rsidRPr="00B568F3">
        <w:rPr>
          <w:rFonts w:ascii="Arial" w:eastAsia="Calibri" w:hAnsi="Arial" w:cs="Arial"/>
          <w:sz w:val="24"/>
          <w:szCs w:val="24"/>
          <w:lang w:eastAsia="en-GB"/>
        </w:rPr>
        <w:t>made up</w:t>
      </w:r>
      <w:r w:rsidR="007B2894" w:rsidRPr="00B568F3">
        <w:rPr>
          <w:rFonts w:ascii="Arial" w:eastAsia="Calibri" w:hAnsi="Arial" w:cs="Arial"/>
          <w:sz w:val="24"/>
          <w:szCs w:val="24"/>
          <w:lang w:eastAsia="en-GB"/>
        </w:rPr>
        <w:t xml:space="preserve"> 35.5</w:t>
      </w:r>
      <w:r w:rsidR="00942ABE" w:rsidRPr="00B568F3">
        <w:rPr>
          <w:rFonts w:ascii="Arial" w:eastAsia="Calibri" w:hAnsi="Arial" w:cs="Arial"/>
          <w:sz w:val="24"/>
          <w:szCs w:val="24"/>
          <w:lang w:eastAsia="en-GB"/>
        </w:rPr>
        <w:t xml:space="preserve"> per cent</w:t>
      </w:r>
      <w:r w:rsidR="007B2894" w:rsidRPr="00B568F3">
        <w:rPr>
          <w:rFonts w:ascii="Arial" w:eastAsia="Calibri" w:hAnsi="Arial" w:cs="Arial"/>
          <w:sz w:val="24"/>
          <w:szCs w:val="24"/>
          <w:lang w:eastAsia="en-GB"/>
        </w:rPr>
        <w:t xml:space="preserve"> of the SCWWDP spen</w:t>
      </w:r>
      <w:r w:rsidR="00237C77" w:rsidRPr="00B568F3">
        <w:rPr>
          <w:rFonts w:ascii="Arial" w:eastAsia="Calibri" w:hAnsi="Arial" w:cs="Arial"/>
          <w:sz w:val="24"/>
          <w:szCs w:val="24"/>
          <w:lang w:eastAsia="en-GB"/>
        </w:rPr>
        <w:t>d</w:t>
      </w:r>
      <w:r w:rsidR="007B2894" w:rsidRPr="00B568F3">
        <w:rPr>
          <w:rFonts w:ascii="Arial" w:eastAsia="Calibri" w:hAnsi="Arial" w:cs="Arial"/>
          <w:sz w:val="24"/>
          <w:szCs w:val="24"/>
          <w:lang w:eastAsia="en-GB"/>
        </w:rPr>
        <w:t xml:space="preserve"> on national priorities in 2023</w:t>
      </w:r>
      <w:r w:rsidR="00942ABE" w:rsidRPr="00B568F3">
        <w:rPr>
          <w:rFonts w:ascii="Arial" w:eastAsia="Calibri" w:hAnsi="Arial" w:cs="Arial"/>
          <w:sz w:val="24"/>
          <w:szCs w:val="24"/>
          <w:lang w:eastAsia="en-GB"/>
        </w:rPr>
        <w:t xml:space="preserve"> to </w:t>
      </w:r>
      <w:r w:rsidR="007B2894" w:rsidRPr="00B568F3">
        <w:rPr>
          <w:rFonts w:ascii="Arial" w:eastAsia="Calibri" w:hAnsi="Arial" w:cs="Arial"/>
          <w:sz w:val="24"/>
          <w:szCs w:val="24"/>
          <w:lang w:eastAsia="en-GB"/>
        </w:rPr>
        <w:t>2024</w:t>
      </w:r>
      <w:r w:rsidR="00942ABE" w:rsidRPr="00B568F3">
        <w:rPr>
          <w:rFonts w:ascii="Arial" w:eastAsia="Calibri" w:hAnsi="Arial" w:cs="Arial"/>
          <w:sz w:val="24"/>
          <w:szCs w:val="24"/>
          <w:lang w:eastAsia="en-GB"/>
        </w:rPr>
        <w:t>,</w:t>
      </w:r>
      <w:r w:rsidR="007B2894" w:rsidRPr="00B568F3">
        <w:rPr>
          <w:rFonts w:ascii="Arial" w:eastAsia="Calibri" w:hAnsi="Arial" w:cs="Arial"/>
          <w:sz w:val="24"/>
          <w:szCs w:val="24"/>
          <w:lang w:eastAsia="en-GB"/>
        </w:rPr>
        <w:t xml:space="preserve"> </w:t>
      </w:r>
      <w:r w:rsidR="00237C77" w:rsidRPr="00B568F3">
        <w:rPr>
          <w:rFonts w:ascii="Arial" w:eastAsia="Calibri" w:hAnsi="Arial" w:cs="Arial"/>
          <w:sz w:val="24"/>
          <w:szCs w:val="24"/>
          <w:lang w:eastAsia="en-GB"/>
        </w:rPr>
        <w:t>compared to 32.4</w:t>
      </w:r>
      <w:r w:rsidR="00942ABE" w:rsidRPr="00B568F3">
        <w:rPr>
          <w:rFonts w:ascii="Arial" w:eastAsia="Calibri" w:hAnsi="Arial" w:cs="Arial"/>
          <w:sz w:val="24"/>
          <w:szCs w:val="24"/>
          <w:lang w:eastAsia="en-GB"/>
        </w:rPr>
        <w:t xml:space="preserve"> per cent</w:t>
      </w:r>
      <w:r w:rsidR="00237C77" w:rsidRPr="00B568F3">
        <w:rPr>
          <w:rFonts w:ascii="Arial" w:eastAsia="Calibri" w:hAnsi="Arial" w:cs="Arial"/>
          <w:sz w:val="24"/>
          <w:szCs w:val="24"/>
          <w:lang w:eastAsia="en-GB"/>
        </w:rPr>
        <w:t xml:space="preserve"> in 2022</w:t>
      </w:r>
      <w:r w:rsidR="00942ABE" w:rsidRPr="00B568F3">
        <w:rPr>
          <w:rFonts w:ascii="Arial" w:eastAsia="Calibri" w:hAnsi="Arial" w:cs="Arial"/>
          <w:sz w:val="24"/>
          <w:szCs w:val="24"/>
          <w:lang w:eastAsia="en-GB"/>
        </w:rPr>
        <w:t xml:space="preserve"> to </w:t>
      </w:r>
      <w:r w:rsidR="00237C77" w:rsidRPr="00B568F3">
        <w:rPr>
          <w:rFonts w:ascii="Arial" w:eastAsia="Calibri" w:hAnsi="Arial" w:cs="Arial"/>
          <w:sz w:val="24"/>
          <w:szCs w:val="24"/>
          <w:lang w:eastAsia="en-GB"/>
        </w:rPr>
        <w:t xml:space="preserve">2023. </w:t>
      </w:r>
      <w:r w:rsidR="00FB1707" w:rsidRPr="00B568F3">
        <w:rPr>
          <w:rFonts w:ascii="Arial" w:eastAsia="Calibri" w:hAnsi="Arial" w:cs="Arial"/>
          <w:sz w:val="24"/>
          <w:szCs w:val="24"/>
          <w:lang w:eastAsia="en-GB"/>
        </w:rPr>
        <w:t>Social work is important</w:t>
      </w:r>
      <w:r w:rsidR="00942ABE" w:rsidRPr="00B568F3">
        <w:rPr>
          <w:rFonts w:ascii="Arial" w:eastAsia="Calibri" w:hAnsi="Arial" w:cs="Arial"/>
          <w:sz w:val="24"/>
          <w:szCs w:val="24"/>
          <w:lang w:eastAsia="en-GB"/>
        </w:rPr>
        <w:t>,</w:t>
      </w:r>
      <w:r w:rsidR="00FB1707" w:rsidRPr="00B568F3">
        <w:rPr>
          <w:rFonts w:ascii="Arial" w:eastAsia="Calibri" w:hAnsi="Arial" w:cs="Arial"/>
          <w:sz w:val="24"/>
          <w:szCs w:val="24"/>
          <w:lang w:eastAsia="en-GB"/>
        </w:rPr>
        <w:t xml:space="preserve"> and the sector wouldn’t be able to function without social work </w:t>
      </w:r>
      <w:r w:rsidR="00083464" w:rsidRPr="00B568F3">
        <w:rPr>
          <w:rFonts w:ascii="Arial" w:eastAsia="Calibri" w:hAnsi="Arial" w:cs="Arial"/>
          <w:sz w:val="24"/>
          <w:szCs w:val="24"/>
          <w:lang w:eastAsia="en-GB"/>
        </w:rPr>
        <w:t>development</w:t>
      </w:r>
      <w:r w:rsidR="00AA2716" w:rsidRPr="00B568F3">
        <w:rPr>
          <w:rFonts w:ascii="Arial" w:eastAsia="Calibri" w:hAnsi="Arial" w:cs="Arial"/>
          <w:sz w:val="24"/>
          <w:szCs w:val="24"/>
          <w:lang w:eastAsia="en-GB"/>
        </w:rPr>
        <w:t xml:space="preserve">. </w:t>
      </w:r>
      <w:r w:rsidR="00661783" w:rsidRPr="00B568F3">
        <w:rPr>
          <w:rFonts w:ascii="Arial" w:eastAsia="Calibri" w:hAnsi="Arial" w:cs="Arial"/>
          <w:sz w:val="24"/>
          <w:szCs w:val="24"/>
          <w:lang w:eastAsia="en-GB"/>
        </w:rPr>
        <w:t xml:space="preserve">But </w:t>
      </w:r>
      <w:r w:rsidR="008A2367" w:rsidRPr="00B568F3">
        <w:rPr>
          <w:rFonts w:ascii="Arial" w:eastAsia="Calibri" w:hAnsi="Arial" w:cs="Arial"/>
          <w:sz w:val="24"/>
          <w:szCs w:val="24"/>
          <w:lang w:eastAsia="en-GB"/>
        </w:rPr>
        <w:t>there</w:t>
      </w:r>
      <w:r w:rsidR="00661783" w:rsidRPr="00B568F3">
        <w:rPr>
          <w:rFonts w:ascii="Arial" w:eastAsia="Calibri" w:hAnsi="Arial" w:cs="Arial"/>
          <w:sz w:val="24"/>
          <w:szCs w:val="24"/>
          <w:lang w:eastAsia="en-GB"/>
        </w:rPr>
        <w:t>’s</w:t>
      </w:r>
      <w:r w:rsidR="008A2367" w:rsidRPr="00B568F3">
        <w:rPr>
          <w:rFonts w:ascii="Arial" w:eastAsia="Calibri" w:hAnsi="Arial" w:cs="Arial"/>
          <w:sz w:val="24"/>
          <w:szCs w:val="24"/>
          <w:lang w:eastAsia="en-GB"/>
        </w:rPr>
        <w:t xml:space="preserve"> a risk </w:t>
      </w:r>
      <w:r w:rsidR="003C2064" w:rsidRPr="00B568F3">
        <w:rPr>
          <w:rFonts w:ascii="Arial" w:eastAsia="Calibri" w:hAnsi="Arial" w:cs="Arial"/>
          <w:sz w:val="24"/>
          <w:szCs w:val="24"/>
          <w:lang w:eastAsia="en-GB"/>
        </w:rPr>
        <w:t xml:space="preserve">that </w:t>
      </w:r>
      <w:r w:rsidR="00A179B9" w:rsidRPr="00B568F3">
        <w:rPr>
          <w:rFonts w:ascii="Arial" w:eastAsia="Calibri" w:hAnsi="Arial" w:cs="Arial"/>
          <w:sz w:val="24"/>
          <w:szCs w:val="24"/>
          <w:lang w:eastAsia="en-GB"/>
        </w:rPr>
        <w:t>this</w:t>
      </w:r>
      <w:r w:rsidR="00942ABE" w:rsidRPr="00B568F3">
        <w:rPr>
          <w:rFonts w:ascii="Arial" w:eastAsia="Calibri" w:hAnsi="Arial" w:cs="Arial"/>
          <w:sz w:val="24"/>
          <w:szCs w:val="24"/>
          <w:lang w:eastAsia="en-GB"/>
        </w:rPr>
        <w:t xml:space="preserve"> could</w:t>
      </w:r>
      <w:r w:rsidR="00A179B9" w:rsidRPr="00B568F3">
        <w:rPr>
          <w:rFonts w:ascii="Arial" w:eastAsia="Calibri" w:hAnsi="Arial" w:cs="Arial"/>
          <w:sz w:val="24"/>
          <w:szCs w:val="24"/>
          <w:lang w:eastAsia="en-GB"/>
        </w:rPr>
        <w:t xml:space="preserve"> </w:t>
      </w:r>
      <w:r w:rsidR="007C5C79" w:rsidRPr="00B568F3">
        <w:rPr>
          <w:rFonts w:ascii="Arial" w:eastAsia="Calibri" w:hAnsi="Arial" w:cs="Arial"/>
          <w:sz w:val="24"/>
          <w:szCs w:val="24"/>
          <w:lang w:eastAsia="en-GB"/>
        </w:rPr>
        <w:t xml:space="preserve">lead to </w:t>
      </w:r>
      <w:r w:rsidR="00A179B9" w:rsidRPr="00B568F3">
        <w:rPr>
          <w:rFonts w:ascii="Arial" w:eastAsia="Calibri" w:hAnsi="Arial" w:cs="Arial"/>
          <w:sz w:val="24"/>
          <w:szCs w:val="24"/>
          <w:lang w:eastAsia="en-GB"/>
        </w:rPr>
        <w:t>under-investment i</w:t>
      </w:r>
      <w:r w:rsidR="007C5C79" w:rsidRPr="00B568F3">
        <w:rPr>
          <w:rFonts w:ascii="Arial" w:eastAsia="Calibri" w:hAnsi="Arial" w:cs="Arial"/>
          <w:sz w:val="24"/>
          <w:szCs w:val="24"/>
          <w:lang w:eastAsia="en-GB"/>
        </w:rPr>
        <w:t xml:space="preserve">n </w:t>
      </w:r>
      <w:r w:rsidR="00254F4F" w:rsidRPr="00B568F3">
        <w:rPr>
          <w:rFonts w:ascii="Arial" w:eastAsia="Calibri" w:hAnsi="Arial" w:cs="Arial"/>
          <w:sz w:val="24"/>
          <w:szCs w:val="24"/>
          <w:lang w:eastAsia="en-GB"/>
        </w:rPr>
        <w:t xml:space="preserve">the </w:t>
      </w:r>
      <w:r w:rsidR="008309E6" w:rsidRPr="00B568F3">
        <w:rPr>
          <w:rFonts w:ascii="Arial" w:eastAsia="Calibri" w:hAnsi="Arial" w:cs="Arial"/>
          <w:sz w:val="24"/>
          <w:szCs w:val="24"/>
          <w:lang w:eastAsia="en-GB"/>
        </w:rPr>
        <w:t>non-social worker workforce</w:t>
      </w:r>
      <w:r w:rsidR="00CD7212" w:rsidRPr="00B568F3">
        <w:rPr>
          <w:rFonts w:ascii="Arial" w:eastAsia="Calibri" w:hAnsi="Arial" w:cs="Arial"/>
          <w:sz w:val="24"/>
          <w:szCs w:val="24"/>
          <w:lang w:eastAsia="en-GB"/>
        </w:rPr>
        <w:t xml:space="preserve">. </w:t>
      </w:r>
    </w:p>
    <w:p w14:paraId="14DB8F13" w14:textId="733D263E" w:rsidR="00C416F7" w:rsidRPr="00B568F3" w:rsidRDefault="00320A31"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T</w:t>
      </w:r>
      <w:r w:rsidR="009E0F43" w:rsidRPr="00B568F3">
        <w:rPr>
          <w:rFonts w:ascii="Arial" w:eastAsia="Calibri" w:hAnsi="Arial" w:cs="Arial"/>
          <w:sz w:val="24"/>
          <w:szCs w:val="24"/>
          <w:lang w:eastAsia="en-GB"/>
        </w:rPr>
        <w:t xml:space="preserve">he largest </w:t>
      </w:r>
      <w:r w:rsidR="002C0C75" w:rsidRPr="00B568F3">
        <w:rPr>
          <w:rFonts w:ascii="Arial" w:eastAsia="Calibri" w:hAnsi="Arial" w:cs="Arial"/>
          <w:sz w:val="24"/>
          <w:szCs w:val="24"/>
          <w:lang w:eastAsia="en-GB"/>
        </w:rPr>
        <w:t>de</w:t>
      </w:r>
      <w:r w:rsidR="005B3D38" w:rsidRPr="00B568F3">
        <w:rPr>
          <w:rFonts w:ascii="Arial" w:eastAsia="Calibri" w:hAnsi="Arial" w:cs="Arial"/>
          <w:sz w:val="24"/>
          <w:szCs w:val="24"/>
          <w:lang w:eastAsia="en-GB"/>
        </w:rPr>
        <w:t xml:space="preserve">cline </w:t>
      </w:r>
      <w:r w:rsidR="00CA665C" w:rsidRPr="00B568F3">
        <w:rPr>
          <w:rFonts w:ascii="Arial" w:eastAsia="Calibri" w:hAnsi="Arial" w:cs="Arial"/>
          <w:sz w:val="24"/>
          <w:szCs w:val="24"/>
          <w:lang w:eastAsia="en-GB"/>
        </w:rPr>
        <w:t xml:space="preserve">of SCWWDP spend on national priorities was </w:t>
      </w:r>
      <w:r w:rsidR="009E0F43" w:rsidRPr="00B568F3">
        <w:rPr>
          <w:rFonts w:ascii="Arial" w:eastAsia="Calibri" w:hAnsi="Arial" w:cs="Arial"/>
          <w:sz w:val="24"/>
          <w:szCs w:val="24"/>
          <w:lang w:eastAsia="en-GB"/>
        </w:rPr>
        <w:t>on workforce shape and supply (-25.4</w:t>
      </w:r>
      <w:r w:rsidR="00FC0B45" w:rsidRPr="00B568F3">
        <w:rPr>
          <w:rFonts w:ascii="Arial" w:eastAsia="Calibri" w:hAnsi="Arial" w:cs="Arial"/>
          <w:sz w:val="24"/>
          <w:szCs w:val="24"/>
          <w:lang w:eastAsia="en-GB"/>
        </w:rPr>
        <w:t xml:space="preserve"> per cent</w:t>
      </w:r>
      <w:r w:rsidR="009E0F43" w:rsidRPr="00B568F3">
        <w:rPr>
          <w:rFonts w:ascii="Arial" w:eastAsia="Calibri" w:hAnsi="Arial" w:cs="Arial"/>
          <w:sz w:val="24"/>
          <w:szCs w:val="24"/>
          <w:lang w:eastAsia="en-GB"/>
        </w:rPr>
        <w:t>).</w:t>
      </w:r>
      <w:r w:rsidR="00DF2415" w:rsidRPr="00B568F3">
        <w:rPr>
          <w:rFonts w:ascii="Arial" w:eastAsia="Calibri" w:hAnsi="Arial" w:cs="Arial"/>
          <w:sz w:val="24"/>
          <w:szCs w:val="24"/>
          <w:lang w:eastAsia="en-GB"/>
        </w:rPr>
        <w:t xml:space="preserve"> </w:t>
      </w:r>
      <w:r w:rsidR="00FC0B45" w:rsidRPr="00B568F3">
        <w:rPr>
          <w:rFonts w:ascii="Arial" w:eastAsia="Calibri" w:hAnsi="Arial" w:cs="Arial"/>
          <w:sz w:val="24"/>
          <w:szCs w:val="24"/>
          <w:lang w:eastAsia="en-GB"/>
        </w:rPr>
        <w:t>It’s</w:t>
      </w:r>
      <w:r w:rsidR="006D0A35" w:rsidRPr="00B568F3">
        <w:rPr>
          <w:rFonts w:ascii="Arial" w:eastAsia="Calibri" w:hAnsi="Arial" w:cs="Arial"/>
          <w:sz w:val="24"/>
          <w:szCs w:val="24"/>
          <w:lang w:eastAsia="en-GB"/>
        </w:rPr>
        <w:t xml:space="preserve"> worth noting that </w:t>
      </w:r>
      <w:r w:rsidR="00FC0B45" w:rsidRPr="00B568F3">
        <w:rPr>
          <w:rFonts w:ascii="Arial" w:eastAsia="Calibri" w:hAnsi="Arial" w:cs="Arial"/>
          <w:sz w:val="24"/>
          <w:szCs w:val="24"/>
          <w:lang w:eastAsia="en-GB"/>
        </w:rPr>
        <w:t>local authorities</w:t>
      </w:r>
      <w:r w:rsidR="00154D53" w:rsidRPr="00B568F3" w:rsidDel="00FC0B45">
        <w:rPr>
          <w:rFonts w:ascii="Arial" w:eastAsia="Calibri" w:hAnsi="Arial" w:cs="Arial"/>
          <w:sz w:val="24"/>
          <w:szCs w:val="24"/>
          <w:lang w:eastAsia="en-GB"/>
        </w:rPr>
        <w:t xml:space="preserve"> </w:t>
      </w:r>
      <w:r w:rsidR="00154D53" w:rsidRPr="00B568F3">
        <w:rPr>
          <w:rFonts w:ascii="Arial" w:eastAsia="Calibri" w:hAnsi="Arial" w:cs="Arial"/>
          <w:sz w:val="24"/>
          <w:szCs w:val="24"/>
          <w:lang w:eastAsia="en-GB"/>
        </w:rPr>
        <w:t>use</w:t>
      </w:r>
      <w:r w:rsidR="00154D53" w:rsidRPr="00B568F3" w:rsidDel="00FC0B45">
        <w:rPr>
          <w:rFonts w:ascii="Arial" w:eastAsia="Calibri" w:hAnsi="Arial" w:cs="Arial"/>
          <w:sz w:val="24"/>
          <w:szCs w:val="24"/>
          <w:lang w:eastAsia="en-GB"/>
        </w:rPr>
        <w:t xml:space="preserve"> </w:t>
      </w:r>
      <w:r w:rsidR="00CC1926" w:rsidRPr="00B568F3">
        <w:rPr>
          <w:rFonts w:ascii="Arial" w:eastAsia="Calibri" w:hAnsi="Arial" w:cs="Arial"/>
          <w:sz w:val="24"/>
          <w:szCs w:val="24"/>
          <w:lang w:eastAsia="en-GB"/>
        </w:rPr>
        <w:t xml:space="preserve">staff capacity to support this national priority </w:t>
      </w:r>
      <w:r w:rsidR="00F51380" w:rsidRPr="00B568F3">
        <w:rPr>
          <w:rFonts w:ascii="Arial" w:eastAsia="Calibri" w:hAnsi="Arial" w:cs="Arial"/>
          <w:sz w:val="24"/>
          <w:szCs w:val="24"/>
          <w:lang w:eastAsia="en-GB"/>
        </w:rPr>
        <w:t>and</w:t>
      </w:r>
      <w:r w:rsidR="00CC1926" w:rsidRPr="00B568F3">
        <w:rPr>
          <w:rFonts w:ascii="Arial" w:eastAsia="Calibri" w:hAnsi="Arial" w:cs="Arial"/>
          <w:sz w:val="24"/>
          <w:szCs w:val="24"/>
          <w:lang w:eastAsia="en-GB"/>
        </w:rPr>
        <w:t xml:space="preserve"> cost is reported</w:t>
      </w:r>
      <w:r w:rsidR="00A84AB7" w:rsidRPr="00B568F3">
        <w:rPr>
          <w:rFonts w:ascii="Arial" w:eastAsia="Calibri" w:hAnsi="Arial" w:cs="Arial"/>
          <w:sz w:val="24"/>
          <w:szCs w:val="24"/>
          <w:lang w:eastAsia="en-GB"/>
        </w:rPr>
        <w:t xml:space="preserve"> as part of the delivery staff </w:t>
      </w:r>
      <w:r w:rsidR="0068593F" w:rsidRPr="00B568F3">
        <w:rPr>
          <w:rFonts w:ascii="Arial" w:eastAsia="Calibri" w:hAnsi="Arial" w:cs="Arial"/>
          <w:sz w:val="24"/>
          <w:szCs w:val="24"/>
          <w:lang w:eastAsia="en-GB"/>
        </w:rPr>
        <w:t>spen</w:t>
      </w:r>
      <w:r w:rsidR="005D45C8" w:rsidRPr="00B568F3">
        <w:rPr>
          <w:rFonts w:ascii="Arial" w:eastAsia="Calibri" w:hAnsi="Arial" w:cs="Arial"/>
          <w:sz w:val="24"/>
          <w:szCs w:val="24"/>
          <w:lang w:eastAsia="en-GB"/>
        </w:rPr>
        <w:t>ding where</w:t>
      </w:r>
      <w:r w:rsidR="005D45C8" w:rsidRPr="00B568F3" w:rsidDel="00F51380">
        <w:rPr>
          <w:rFonts w:ascii="Arial" w:eastAsia="Calibri" w:hAnsi="Arial" w:cs="Arial"/>
          <w:sz w:val="24"/>
          <w:szCs w:val="24"/>
          <w:lang w:eastAsia="en-GB"/>
        </w:rPr>
        <w:t xml:space="preserve"> </w:t>
      </w:r>
      <w:r w:rsidR="005D45C8" w:rsidRPr="00B568F3">
        <w:rPr>
          <w:rFonts w:ascii="Arial" w:eastAsia="Calibri" w:hAnsi="Arial" w:cs="Arial"/>
          <w:sz w:val="24"/>
          <w:szCs w:val="24"/>
          <w:lang w:eastAsia="en-GB"/>
        </w:rPr>
        <w:t>roles are SCWWDP funded</w:t>
      </w:r>
      <w:r w:rsidR="00D22CD2" w:rsidRPr="00B568F3">
        <w:rPr>
          <w:rFonts w:ascii="Arial" w:eastAsia="Calibri" w:hAnsi="Arial" w:cs="Arial"/>
          <w:sz w:val="24"/>
          <w:szCs w:val="24"/>
          <w:lang w:eastAsia="en-GB"/>
        </w:rPr>
        <w:t>.</w:t>
      </w:r>
      <w:r w:rsidR="004E40AE" w:rsidRPr="00B568F3">
        <w:rPr>
          <w:rFonts w:ascii="Arial" w:eastAsia="Calibri" w:hAnsi="Arial" w:cs="Arial"/>
          <w:sz w:val="24"/>
          <w:szCs w:val="24"/>
          <w:lang w:eastAsia="en-GB"/>
        </w:rPr>
        <w:t xml:space="preserve"> The W</w:t>
      </w:r>
      <w:r w:rsidR="001A364A" w:rsidRPr="00B568F3">
        <w:rPr>
          <w:rFonts w:ascii="Arial" w:eastAsia="Calibri" w:hAnsi="Arial" w:cs="Arial"/>
          <w:sz w:val="24"/>
          <w:szCs w:val="24"/>
          <w:lang w:eastAsia="en-GB"/>
        </w:rPr>
        <w:t xml:space="preserve">elsh </w:t>
      </w:r>
      <w:r w:rsidR="004E40AE" w:rsidRPr="00B568F3">
        <w:rPr>
          <w:rFonts w:ascii="Arial" w:eastAsia="Calibri" w:hAnsi="Arial" w:cs="Arial"/>
          <w:sz w:val="24"/>
          <w:szCs w:val="24"/>
          <w:lang w:eastAsia="en-GB"/>
        </w:rPr>
        <w:t>L</w:t>
      </w:r>
      <w:r w:rsidR="001A364A" w:rsidRPr="00B568F3">
        <w:rPr>
          <w:rFonts w:ascii="Arial" w:eastAsia="Calibri" w:hAnsi="Arial" w:cs="Arial"/>
          <w:sz w:val="24"/>
          <w:szCs w:val="24"/>
          <w:lang w:eastAsia="en-GB"/>
        </w:rPr>
        <w:t xml:space="preserve">ocal </w:t>
      </w:r>
      <w:r w:rsidR="004E40AE" w:rsidRPr="00B568F3">
        <w:rPr>
          <w:rFonts w:ascii="Arial" w:eastAsia="Calibri" w:hAnsi="Arial" w:cs="Arial"/>
          <w:sz w:val="24"/>
          <w:szCs w:val="24"/>
          <w:lang w:eastAsia="en-GB"/>
        </w:rPr>
        <w:t>G</w:t>
      </w:r>
      <w:r w:rsidR="001A364A" w:rsidRPr="00B568F3">
        <w:rPr>
          <w:rFonts w:ascii="Arial" w:eastAsia="Calibri" w:hAnsi="Arial" w:cs="Arial"/>
          <w:sz w:val="24"/>
          <w:szCs w:val="24"/>
          <w:lang w:eastAsia="en-GB"/>
        </w:rPr>
        <w:t xml:space="preserve">overnment </w:t>
      </w:r>
      <w:r w:rsidR="004D369B" w:rsidRPr="00B568F3">
        <w:rPr>
          <w:rFonts w:ascii="Arial" w:eastAsia="Calibri" w:hAnsi="Arial" w:cs="Arial"/>
          <w:sz w:val="24"/>
          <w:szCs w:val="24"/>
          <w:lang w:eastAsia="en-GB"/>
        </w:rPr>
        <w:t>Association</w:t>
      </w:r>
      <w:r w:rsidR="00667443" w:rsidRPr="00B568F3">
        <w:rPr>
          <w:rFonts w:ascii="Arial" w:eastAsia="Calibri" w:hAnsi="Arial" w:cs="Arial"/>
          <w:sz w:val="24"/>
          <w:szCs w:val="24"/>
          <w:lang w:eastAsia="en-GB"/>
        </w:rPr>
        <w:t xml:space="preserve"> (WLGA)</w:t>
      </w:r>
      <w:r w:rsidR="004E40AE" w:rsidRPr="00B568F3">
        <w:rPr>
          <w:rFonts w:ascii="Arial" w:eastAsia="Calibri" w:hAnsi="Arial" w:cs="Arial"/>
          <w:sz w:val="24"/>
          <w:szCs w:val="24"/>
          <w:lang w:eastAsia="en-GB"/>
        </w:rPr>
        <w:t xml:space="preserve"> also worked with the</w:t>
      </w:r>
      <w:r w:rsidR="004E40AE" w:rsidRPr="000C06A7">
        <w:rPr>
          <w:rFonts w:ascii="Arial" w:hAnsi="Arial" w:cs="Arial"/>
        </w:rPr>
        <w:t xml:space="preserve"> </w:t>
      </w:r>
      <w:r w:rsidR="006B1797" w:rsidRPr="00B568F3">
        <w:rPr>
          <w:rFonts w:ascii="Arial" w:eastAsia="Calibri" w:hAnsi="Arial" w:cs="Arial"/>
          <w:sz w:val="24"/>
          <w:szCs w:val="24"/>
          <w:lang w:eastAsia="en-GB"/>
        </w:rPr>
        <w:t xml:space="preserve">local government </w:t>
      </w:r>
      <w:r w:rsidR="000064A5" w:rsidRPr="00B568F3">
        <w:rPr>
          <w:rFonts w:ascii="Arial" w:eastAsia="Calibri" w:hAnsi="Arial" w:cs="Arial"/>
          <w:sz w:val="24"/>
          <w:szCs w:val="24"/>
          <w:lang w:eastAsia="en-GB"/>
        </w:rPr>
        <w:t>association (</w:t>
      </w:r>
      <w:r w:rsidR="004E40AE" w:rsidRPr="00B568F3">
        <w:rPr>
          <w:rFonts w:ascii="Arial" w:eastAsia="Calibri" w:hAnsi="Arial" w:cs="Arial"/>
          <w:sz w:val="24"/>
          <w:szCs w:val="24"/>
          <w:lang w:eastAsia="en-GB"/>
        </w:rPr>
        <w:t>LGA</w:t>
      </w:r>
      <w:r w:rsidR="006B1797" w:rsidRPr="00B568F3">
        <w:rPr>
          <w:rFonts w:ascii="Arial" w:eastAsia="Calibri" w:hAnsi="Arial" w:cs="Arial"/>
          <w:sz w:val="24"/>
          <w:szCs w:val="24"/>
          <w:lang w:eastAsia="en-GB"/>
        </w:rPr>
        <w:t>)</w:t>
      </w:r>
      <w:r w:rsidR="004E40AE" w:rsidRPr="00B568F3">
        <w:rPr>
          <w:rFonts w:ascii="Arial" w:eastAsia="Calibri" w:hAnsi="Arial" w:cs="Arial"/>
          <w:sz w:val="24"/>
          <w:szCs w:val="24"/>
          <w:lang w:eastAsia="en-GB"/>
        </w:rPr>
        <w:t xml:space="preserve"> on local authority workforce planning during 2023</w:t>
      </w:r>
      <w:r w:rsidR="00667443" w:rsidRPr="00B568F3">
        <w:rPr>
          <w:rFonts w:ascii="Arial" w:eastAsia="Calibri" w:hAnsi="Arial" w:cs="Arial"/>
          <w:sz w:val="24"/>
          <w:szCs w:val="24"/>
          <w:lang w:eastAsia="en-GB"/>
        </w:rPr>
        <w:t xml:space="preserve"> to </w:t>
      </w:r>
      <w:r w:rsidR="004E40AE" w:rsidRPr="00B568F3">
        <w:rPr>
          <w:rFonts w:ascii="Arial" w:eastAsia="Calibri" w:hAnsi="Arial" w:cs="Arial"/>
          <w:sz w:val="24"/>
          <w:szCs w:val="24"/>
          <w:lang w:eastAsia="en-GB"/>
        </w:rPr>
        <w:t>2024</w:t>
      </w:r>
      <w:r w:rsidR="003673FC" w:rsidRPr="00B568F3">
        <w:rPr>
          <w:rFonts w:ascii="Arial" w:eastAsia="Calibri" w:hAnsi="Arial" w:cs="Arial"/>
          <w:sz w:val="24"/>
          <w:szCs w:val="24"/>
          <w:lang w:eastAsia="en-GB"/>
        </w:rPr>
        <w:t>, which</w:t>
      </w:r>
      <w:r w:rsidR="004E40AE" w:rsidRPr="00B568F3">
        <w:rPr>
          <w:rFonts w:ascii="Arial" w:eastAsia="Calibri" w:hAnsi="Arial" w:cs="Arial"/>
          <w:sz w:val="24"/>
          <w:szCs w:val="24"/>
          <w:lang w:eastAsia="en-GB"/>
        </w:rPr>
        <w:t xml:space="preserve"> could</w:t>
      </w:r>
      <w:r w:rsidR="004E40AE" w:rsidRPr="00B568F3" w:rsidDel="00F8275C">
        <w:rPr>
          <w:rFonts w:ascii="Arial" w:eastAsia="Calibri" w:hAnsi="Arial" w:cs="Arial"/>
          <w:sz w:val="24"/>
          <w:szCs w:val="24"/>
          <w:lang w:eastAsia="en-GB"/>
        </w:rPr>
        <w:t xml:space="preserve"> ha</w:t>
      </w:r>
      <w:r w:rsidR="004E40AE" w:rsidRPr="00B568F3">
        <w:rPr>
          <w:rFonts w:ascii="Arial" w:eastAsia="Calibri" w:hAnsi="Arial" w:cs="Arial"/>
          <w:sz w:val="24"/>
          <w:szCs w:val="24"/>
          <w:lang w:eastAsia="en-GB"/>
        </w:rPr>
        <w:t xml:space="preserve">ve </w:t>
      </w:r>
      <w:r w:rsidR="003673FC" w:rsidRPr="00B568F3">
        <w:rPr>
          <w:rFonts w:ascii="Arial" w:eastAsia="Calibri" w:hAnsi="Arial" w:cs="Arial"/>
          <w:sz w:val="24"/>
          <w:szCs w:val="24"/>
          <w:lang w:eastAsia="en-GB"/>
        </w:rPr>
        <w:t>affected</w:t>
      </w:r>
      <w:r w:rsidR="004E40AE" w:rsidRPr="00B568F3" w:rsidDel="003673FC">
        <w:rPr>
          <w:rFonts w:ascii="Arial" w:eastAsia="Calibri" w:hAnsi="Arial" w:cs="Arial"/>
          <w:sz w:val="24"/>
          <w:szCs w:val="24"/>
          <w:lang w:eastAsia="en-GB"/>
        </w:rPr>
        <w:t xml:space="preserve"> </w:t>
      </w:r>
      <w:r w:rsidR="004E40AE" w:rsidRPr="00B568F3">
        <w:rPr>
          <w:rFonts w:ascii="Arial" w:eastAsia="Calibri" w:hAnsi="Arial" w:cs="Arial"/>
          <w:sz w:val="24"/>
          <w:szCs w:val="24"/>
          <w:lang w:eastAsia="en-GB"/>
        </w:rPr>
        <w:t>the amount of spend.</w:t>
      </w:r>
    </w:p>
    <w:p w14:paraId="0249F213" w14:textId="77777777" w:rsidR="00C416F7" w:rsidRPr="00B568F3" w:rsidRDefault="00C416F7" w:rsidP="003766F9">
      <w:pPr>
        <w:spacing w:after="200" w:line="276" w:lineRule="auto"/>
        <w:ind w:left="567"/>
        <w:contextualSpacing/>
        <w:rPr>
          <w:rFonts w:ascii="Arial" w:eastAsia="Calibri" w:hAnsi="Arial" w:cs="Arial"/>
          <w:sz w:val="24"/>
          <w:szCs w:val="24"/>
          <w:lang w:eastAsia="en-GB"/>
        </w:rPr>
      </w:pPr>
    </w:p>
    <w:p w14:paraId="78A6F150" w14:textId="397F9E37" w:rsidR="009C0C91" w:rsidRPr="00B568F3" w:rsidRDefault="00DC6962"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The decline </w:t>
      </w:r>
      <w:r w:rsidR="00AD1D93" w:rsidRPr="00B568F3">
        <w:rPr>
          <w:rFonts w:ascii="Arial" w:eastAsia="Calibri" w:hAnsi="Arial" w:cs="Arial"/>
          <w:sz w:val="24"/>
          <w:szCs w:val="24"/>
          <w:lang w:eastAsia="en-GB"/>
        </w:rPr>
        <w:t>in spend on th</w:t>
      </w:r>
      <w:r w:rsidR="00000A44" w:rsidRPr="00B568F3">
        <w:rPr>
          <w:rFonts w:ascii="Arial" w:eastAsia="Calibri" w:hAnsi="Arial" w:cs="Arial"/>
          <w:sz w:val="24"/>
          <w:szCs w:val="24"/>
          <w:lang w:eastAsia="en-GB"/>
        </w:rPr>
        <w:t>e workforce shape and supply</w:t>
      </w:r>
      <w:r w:rsidR="00AD1D93" w:rsidRPr="00B568F3">
        <w:rPr>
          <w:rFonts w:ascii="Arial" w:eastAsia="Calibri" w:hAnsi="Arial" w:cs="Arial"/>
          <w:sz w:val="24"/>
          <w:szCs w:val="24"/>
          <w:lang w:eastAsia="en-GB"/>
        </w:rPr>
        <w:t xml:space="preserve"> national priority </w:t>
      </w:r>
      <w:r w:rsidR="00D9761A" w:rsidRPr="00B568F3">
        <w:rPr>
          <w:rFonts w:ascii="Arial" w:eastAsia="Calibri" w:hAnsi="Arial" w:cs="Arial"/>
          <w:sz w:val="24"/>
          <w:szCs w:val="24"/>
          <w:lang w:eastAsia="en-GB"/>
        </w:rPr>
        <w:t xml:space="preserve">is also linked to the fact that </w:t>
      </w:r>
      <w:r w:rsidR="00FA1F8C" w:rsidRPr="00B568F3">
        <w:rPr>
          <w:rFonts w:ascii="Arial" w:eastAsia="Calibri" w:hAnsi="Arial" w:cs="Arial"/>
          <w:sz w:val="24"/>
          <w:szCs w:val="24"/>
          <w:lang w:eastAsia="en-GB"/>
        </w:rPr>
        <w:t>t</w:t>
      </w:r>
      <w:r w:rsidR="005D45C8" w:rsidRPr="00B568F3">
        <w:rPr>
          <w:rFonts w:ascii="Arial" w:eastAsia="Calibri" w:hAnsi="Arial" w:cs="Arial"/>
          <w:sz w:val="24"/>
          <w:szCs w:val="24"/>
          <w:lang w:eastAsia="en-GB"/>
        </w:rPr>
        <w:t xml:space="preserve">here will be some fully </w:t>
      </w:r>
      <w:r w:rsidR="00F8275C" w:rsidRPr="00B568F3">
        <w:rPr>
          <w:rFonts w:ascii="Arial" w:eastAsia="Calibri" w:hAnsi="Arial" w:cs="Arial"/>
          <w:sz w:val="24"/>
          <w:szCs w:val="24"/>
          <w:lang w:eastAsia="en-GB"/>
        </w:rPr>
        <w:t xml:space="preserve">local authority </w:t>
      </w:r>
      <w:r w:rsidR="005D45C8" w:rsidRPr="00B568F3">
        <w:rPr>
          <w:rFonts w:ascii="Arial" w:eastAsia="Calibri" w:hAnsi="Arial" w:cs="Arial"/>
          <w:sz w:val="24"/>
          <w:szCs w:val="24"/>
          <w:lang w:eastAsia="en-GB"/>
        </w:rPr>
        <w:t xml:space="preserve">funded </w:t>
      </w:r>
      <w:r w:rsidR="001323B0" w:rsidRPr="00B568F3">
        <w:rPr>
          <w:rFonts w:ascii="Arial" w:eastAsia="Calibri" w:hAnsi="Arial" w:cs="Arial"/>
          <w:sz w:val="24"/>
          <w:szCs w:val="24"/>
          <w:lang w:eastAsia="en-GB"/>
        </w:rPr>
        <w:t>capacity</w:t>
      </w:r>
      <w:r w:rsidR="00C66EB1" w:rsidRPr="00B568F3">
        <w:rPr>
          <w:rFonts w:ascii="Arial" w:eastAsia="Calibri" w:hAnsi="Arial" w:cs="Arial"/>
          <w:sz w:val="24"/>
          <w:szCs w:val="24"/>
          <w:lang w:eastAsia="en-GB"/>
        </w:rPr>
        <w:t>,</w:t>
      </w:r>
      <w:r w:rsidR="00790B30" w:rsidRPr="00B568F3">
        <w:rPr>
          <w:rFonts w:ascii="Arial" w:eastAsia="Calibri" w:hAnsi="Arial" w:cs="Arial"/>
          <w:sz w:val="24"/>
          <w:szCs w:val="24"/>
          <w:lang w:eastAsia="en-GB"/>
        </w:rPr>
        <w:t xml:space="preserve"> which isn’t </w:t>
      </w:r>
      <w:r w:rsidR="00830102" w:rsidRPr="00B568F3">
        <w:rPr>
          <w:rFonts w:ascii="Arial" w:eastAsia="Calibri" w:hAnsi="Arial" w:cs="Arial"/>
          <w:sz w:val="24"/>
          <w:szCs w:val="24"/>
          <w:lang w:eastAsia="en-GB"/>
        </w:rPr>
        <w:t>always reported.</w:t>
      </w:r>
      <w:r w:rsidR="009146C0" w:rsidRPr="00B568F3">
        <w:rPr>
          <w:rFonts w:ascii="Arial" w:eastAsia="Calibri" w:hAnsi="Arial" w:cs="Arial"/>
          <w:sz w:val="24"/>
          <w:szCs w:val="24"/>
          <w:lang w:eastAsia="en-GB"/>
        </w:rPr>
        <w:t xml:space="preserve"> </w:t>
      </w:r>
      <w:r w:rsidR="00154D53" w:rsidRPr="00B568F3">
        <w:rPr>
          <w:rFonts w:ascii="Arial" w:eastAsia="Calibri" w:hAnsi="Arial" w:cs="Arial"/>
          <w:sz w:val="24"/>
          <w:szCs w:val="24"/>
          <w:lang w:eastAsia="en-GB"/>
        </w:rPr>
        <w:t>Some</w:t>
      </w:r>
      <w:r w:rsidR="00154D53" w:rsidRPr="00B568F3" w:rsidDel="00431D27">
        <w:rPr>
          <w:rFonts w:ascii="Arial" w:eastAsia="Calibri" w:hAnsi="Arial" w:cs="Arial"/>
          <w:sz w:val="24"/>
          <w:szCs w:val="24"/>
          <w:lang w:eastAsia="en-GB"/>
        </w:rPr>
        <w:t xml:space="preserve"> </w:t>
      </w:r>
      <w:r w:rsidR="00431D27" w:rsidRPr="00B568F3">
        <w:rPr>
          <w:rFonts w:ascii="Arial" w:eastAsia="Calibri" w:hAnsi="Arial" w:cs="Arial"/>
          <w:sz w:val="24"/>
          <w:szCs w:val="24"/>
          <w:lang w:eastAsia="en-GB"/>
        </w:rPr>
        <w:t xml:space="preserve">local authorities </w:t>
      </w:r>
      <w:r w:rsidR="00154D53" w:rsidRPr="00B568F3">
        <w:rPr>
          <w:rFonts w:ascii="Arial" w:eastAsia="Calibri" w:hAnsi="Arial" w:cs="Arial"/>
          <w:sz w:val="24"/>
          <w:szCs w:val="24"/>
          <w:lang w:eastAsia="en-GB"/>
        </w:rPr>
        <w:t>reported that w</w:t>
      </w:r>
      <w:r w:rsidR="00794946" w:rsidRPr="00B568F3">
        <w:rPr>
          <w:rFonts w:ascii="Arial" w:eastAsia="Calibri" w:hAnsi="Arial" w:cs="Arial"/>
          <w:sz w:val="24"/>
          <w:szCs w:val="24"/>
          <w:lang w:eastAsia="en-GB"/>
        </w:rPr>
        <w:t>orkforce</w:t>
      </w:r>
      <w:r w:rsidR="005E6768" w:rsidRPr="00B568F3">
        <w:rPr>
          <w:rFonts w:ascii="Arial" w:eastAsia="Calibri" w:hAnsi="Arial" w:cs="Arial"/>
          <w:sz w:val="24"/>
          <w:szCs w:val="24"/>
          <w:lang w:eastAsia="en-GB"/>
        </w:rPr>
        <w:t xml:space="preserve"> planning, shape and supply </w:t>
      </w:r>
      <w:r w:rsidR="00154D53" w:rsidRPr="00B568F3">
        <w:rPr>
          <w:rFonts w:ascii="Arial" w:eastAsia="Calibri" w:hAnsi="Arial" w:cs="Arial"/>
          <w:sz w:val="24"/>
          <w:szCs w:val="24"/>
          <w:lang w:eastAsia="en-GB"/>
        </w:rPr>
        <w:t xml:space="preserve">is </w:t>
      </w:r>
      <w:r w:rsidR="000064A5" w:rsidRPr="00B568F3">
        <w:rPr>
          <w:rFonts w:ascii="Arial" w:eastAsia="Calibri" w:hAnsi="Arial" w:cs="Arial"/>
          <w:sz w:val="24"/>
          <w:szCs w:val="24"/>
          <w:lang w:eastAsia="en-GB"/>
        </w:rPr>
        <w:t>a human</w:t>
      </w:r>
      <w:r w:rsidR="00431D27" w:rsidRPr="00B568F3">
        <w:rPr>
          <w:rFonts w:ascii="Arial" w:eastAsia="Calibri" w:hAnsi="Arial" w:cs="Arial"/>
          <w:sz w:val="24"/>
          <w:szCs w:val="24"/>
          <w:lang w:eastAsia="en-GB"/>
        </w:rPr>
        <w:t xml:space="preserve"> resources</w:t>
      </w:r>
      <w:r w:rsidR="00154D53" w:rsidRPr="00B568F3">
        <w:rPr>
          <w:rFonts w:ascii="Arial" w:eastAsia="Calibri" w:hAnsi="Arial" w:cs="Arial"/>
          <w:sz w:val="24"/>
          <w:szCs w:val="24"/>
          <w:lang w:eastAsia="en-GB"/>
        </w:rPr>
        <w:t xml:space="preserve"> responsibility</w:t>
      </w:r>
      <w:r w:rsidR="00B12F12" w:rsidRPr="00B568F3">
        <w:rPr>
          <w:rFonts w:ascii="Arial" w:eastAsia="Calibri" w:hAnsi="Arial" w:cs="Arial"/>
          <w:sz w:val="24"/>
          <w:szCs w:val="24"/>
          <w:lang w:eastAsia="en-GB"/>
        </w:rPr>
        <w:t xml:space="preserve">, rather than </w:t>
      </w:r>
      <w:r w:rsidR="00165F57" w:rsidRPr="00B568F3">
        <w:rPr>
          <w:rFonts w:ascii="Arial" w:eastAsia="Calibri" w:hAnsi="Arial" w:cs="Arial"/>
          <w:sz w:val="24"/>
          <w:szCs w:val="24"/>
          <w:lang w:eastAsia="en-GB"/>
        </w:rPr>
        <w:t>a responsibility of</w:t>
      </w:r>
      <w:r w:rsidR="00B12F12" w:rsidRPr="00B568F3" w:rsidDel="00165F57">
        <w:rPr>
          <w:rFonts w:ascii="Arial" w:eastAsia="Calibri" w:hAnsi="Arial" w:cs="Arial"/>
          <w:sz w:val="24"/>
          <w:szCs w:val="24"/>
          <w:lang w:eastAsia="en-GB"/>
        </w:rPr>
        <w:t xml:space="preserve"> </w:t>
      </w:r>
      <w:r w:rsidR="00794946" w:rsidRPr="00B568F3">
        <w:rPr>
          <w:rFonts w:ascii="Arial" w:eastAsia="Calibri" w:hAnsi="Arial" w:cs="Arial"/>
          <w:sz w:val="24"/>
          <w:szCs w:val="24"/>
          <w:lang w:eastAsia="en-GB"/>
        </w:rPr>
        <w:t xml:space="preserve">the workforce development teams </w:t>
      </w:r>
      <w:r w:rsidR="00B12F12" w:rsidRPr="00B568F3">
        <w:rPr>
          <w:rFonts w:ascii="Arial" w:eastAsia="Calibri" w:hAnsi="Arial" w:cs="Arial"/>
          <w:sz w:val="24"/>
          <w:szCs w:val="24"/>
          <w:lang w:eastAsia="en-GB"/>
        </w:rPr>
        <w:t>supported by SCWWDP.</w:t>
      </w:r>
    </w:p>
    <w:p w14:paraId="623FBFB9" w14:textId="77777777" w:rsidR="00420097" w:rsidRPr="00B568F3" w:rsidRDefault="00420097" w:rsidP="003766F9">
      <w:pPr>
        <w:spacing w:after="200" w:line="276" w:lineRule="auto"/>
        <w:ind w:left="567"/>
        <w:contextualSpacing/>
        <w:rPr>
          <w:rFonts w:ascii="Arial" w:eastAsia="Calibri" w:hAnsi="Arial" w:cs="Arial"/>
          <w:sz w:val="24"/>
          <w:szCs w:val="24"/>
          <w:lang w:eastAsia="en-GB"/>
        </w:rPr>
      </w:pPr>
    </w:p>
    <w:p w14:paraId="2F3E0785" w14:textId="14789D0B" w:rsidR="009F3AEC" w:rsidRPr="00B568F3" w:rsidRDefault="008E6951"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Some regions </w:t>
      </w:r>
      <w:r w:rsidR="00F57AC9" w:rsidRPr="00B568F3">
        <w:rPr>
          <w:rFonts w:ascii="Arial" w:eastAsia="Calibri" w:hAnsi="Arial" w:cs="Arial"/>
          <w:sz w:val="24"/>
          <w:szCs w:val="24"/>
          <w:lang w:eastAsia="en-GB"/>
        </w:rPr>
        <w:t xml:space="preserve">told us that </w:t>
      </w:r>
      <w:r w:rsidR="009F3AEC" w:rsidRPr="00B568F3">
        <w:rPr>
          <w:rFonts w:ascii="Arial" w:eastAsia="Calibri" w:hAnsi="Arial" w:cs="Arial"/>
          <w:sz w:val="24"/>
          <w:szCs w:val="24"/>
          <w:lang w:eastAsia="en-GB"/>
        </w:rPr>
        <w:t xml:space="preserve">when SCWWDP was </w:t>
      </w:r>
      <w:r w:rsidR="009E2FAD" w:rsidRPr="00B568F3">
        <w:rPr>
          <w:rFonts w:ascii="Arial" w:eastAsia="Calibri" w:hAnsi="Arial" w:cs="Arial"/>
          <w:sz w:val="24"/>
          <w:szCs w:val="24"/>
          <w:lang w:eastAsia="en-GB"/>
        </w:rPr>
        <w:t>linked</w:t>
      </w:r>
      <w:r w:rsidR="002572CD" w:rsidRPr="00B568F3">
        <w:rPr>
          <w:rFonts w:ascii="Arial" w:eastAsia="Calibri" w:hAnsi="Arial" w:cs="Arial"/>
          <w:sz w:val="24"/>
          <w:szCs w:val="24"/>
          <w:lang w:eastAsia="en-GB"/>
        </w:rPr>
        <w:t xml:space="preserve"> to the workforce strategy, workforce shape and supply became, or was seen to be an </w:t>
      </w:r>
      <w:r w:rsidR="001D0BC6" w:rsidRPr="00B568F3">
        <w:rPr>
          <w:rFonts w:ascii="Arial" w:eastAsia="Calibri" w:hAnsi="Arial" w:cs="Arial"/>
          <w:sz w:val="24"/>
          <w:szCs w:val="24"/>
          <w:lang w:eastAsia="en-GB"/>
        </w:rPr>
        <w:t xml:space="preserve">extra </w:t>
      </w:r>
      <w:r w:rsidR="002572CD" w:rsidRPr="00B568F3">
        <w:rPr>
          <w:rFonts w:ascii="Arial" w:eastAsia="Calibri" w:hAnsi="Arial" w:cs="Arial"/>
          <w:sz w:val="24"/>
          <w:szCs w:val="24"/>
          <w:lang w:eastAsia="en-GB"/>
        </w:rPr>
        <w:t xml:space="preserve">priority </w:t>
      </w:r>
      <w:r w:rsidR="00F57AC9" w:rsidRPr="00B568F3">
        <w:rPr>
          <w:rFonts w:ascii="Arial" w:eastAsia="Calibri" w:hAnsi="Arial" w:cs="Arial"/>
          <w:sz w:val="24"/>
          <w:szCs w:val="24"/>
          <w:lang w:eastAsia="en-GB"/>
        </w:rPr>
        <w:t xml:space="preserve">for SCWWDP, but </w:t>
      </w:r>
      <w:r w:rsidR="002572CD" w:rsidRPr="00B568F3">
        <w:rPr>
          <w:rFonts w:ascii="Arial" w:eastAsia="Calibri" w:hAnsi="Arial" w:cs="Arial"/>
          <w:sz w:val="24"/>
          <w:szCs w:val="24"/>
          <w:lang w:eastAsia="en-GB"/>
        </w:rPr>
        <w:t xml:space="preserve">without any </w:t>
      </w:r>
      <w:r w:rsidR="001D0BC6" w:rsidRPr="00B568F3">
        <w:rPr>
          <w:rFonts w:ascii="Arial" w:eastAsia="Calibri" w:hAnsi="Arial" w:cs="Arial"/>
          <w:sz w:val="24"/>
          <w:szCs w:val="24"/>
          <w:lang w:eastAsia="en-GB"/>
        </w:rPr>
        <w:t xml:space="preserve">extra </w:t>
      </w:r>
      <w:r w:rsidR="002572CD" w:rsidRPr="00B568F3">
        <w:rPr>
          <w:rFonts w:ascii="Arial" w:eastAsia="Calibri" w:hAnsi="Arial" w:cs="Arial"/>
          <w:sz w:val="24"/>
          <w:szCs w:val="24"/>
          <w:lang w:eastAsia="en-GB"/>
        </w:rPr>
        <w:t>funding</w:t>
      </w:r>
      <w:r w:rsidR="00C8010E" w:rsidRPr="00B568F3">
        <w:rPr>
          <w:rStyle w:val="FootnoteReference"/>
          <w:rFonts w:ascii="Arial" w:eastAsia="Calibri" w:hAnsi="Arial" w:cs="Arial"/>
          <w:sz w:val="24"/>
          <w:szCs w:val="24"/>
          <w:lang w:eastAsia="en-GB"/>
        </w:rPr>
        <w:footnoteReference w:id="2"/>
      </w:r>
      <w:r w:rsidR="00F57AC9" w:rsidRPr="00B568F3">
        <w:rPr>
          <w:rFonts w:ascii="Arial" w:eastAsia="Calibri" w:hAnsi="Arial" w:cs="Arial"/>
          <w:sz w:val="24"/>
          <w:szCs w:val="24"/>
          <w:lang w:eastAsia="en-GB"/>
        </w:rPr>
        <w:t xml:space="preserve">. </w:t>
      </w:r>
      <w:r w:rsidR="00165F57" w:rsidRPr="00B568F3">
        <w:rPr>
          <w:rFonts w:ascii="Arial" w:eastAsia="Calibri" w:hAnsi="Arial" w:cs="Arial"/>
          <w:sz w:val="24"/>
          <w:szCs w:val="24"/>
          <w:lang w:eastAsia="en-GB"/>
        </w:rPr>
        <w:t>So,</w:t>
      </w:r>
      <w:r w:rsidR="00EF228C" w:rsidRPr="00B568F3">
        <w:rPr>
          <w:rFonts w:ascii="Arial" w:eastAsia="Calibri" w:hAnsi="Arial" w:cs="Arial"/>
          <w:sz w:val="24"/>
          <w:szCs w:val="24"/>
          <w:lang w:eastAsia="en-GB"/>
        </w:rPr>
        <w:t xml:space="preserve"> </w:t>
      </w:r>
      <w:r w:rsidR="007F4BD2" w:rsidRPr="00B568F3">
        <w:rPr>
          <w:rFonts w:ascii="Arial" w:eastAsia="Calibri" w:hAnsi="Arial" w:cs="Arial"/>
          <w:sz w:val="24"/>
          <w:szCs w:val="24"/>
          <w:lang w:eastAsia="en-GB"/>
        </w:rPr>
        <w:t xml:space="preserve">some regions will always prioritise the other national priorities or </w:t>
      </w:r>
      <w:r w:rsidR="00211B3F" w:rsidRPr="00B568F3">
        <w:rPr>
          <w:rFonts w:ascii="Arial" w:eastAsia="Calibri" w:hAnsi="Arial" w:cs="Arial"/>
          <w:sz w:val="24"/>
          <w:szCs w:val="24"/>
          <w:lang w:eastAsia="en-GB"/>
        </w:rPr>
        <w:t xml:space="preserve">they </w:t>
      </w:r>
      <w:r w:rsidR="007F4BD2" w:rsidRPr="00B568F3">
        <w:rPr>
          <w:rFonts w:ascii="Arial" w:eastAsia="Calibri" w:hAnsi="Arial" w:cs="Arial"/>
          <w:sz w:val="24"/>
          <w:szCs w:val="24"/>
          <w:lang w:eastAsia="en-GB"/>
        </w:rPr>
        <w:t xml:space="preserve">would have to remove funding </w:t>
      </w:r>
      <w:r w:rsidR="000F614F" w:rsidRPr="00B568F3">
        <w:rPr>
          <w:rFonts w:ascii="Arial" w:eastAsia="Calibri" w:hAnsi="Arial" w:cs="Arial"/>
          <w:sz w:val="24"/>
          <w:szCs w:val="24"/>
          <w:lang w:eastAsia="en-GB"/>
        </w:rPr>
        <w:t xml:space="preserve">from another national priority to increase spend on workforce shape and supply. </w:t>
      </w:r>
    </w:p>
    <w:p w14:paraId="43FE211A" w14:textId="77777777" w:rsidR="009E1FFF" w:rsidRPr="00B568F3" w:rsidRDefault="009E1FFF" w:rsidP="003766F9">
      <w:pPr>
        <w:spacing w:after="200" w:line="276" w:lineRule="auto"/>
        <w:ind w:left="567"/>
        <w:contextualSpacing/>
        <w:rPr>
          <w:rFonts w:ascii="Arial" w:eastAsia="Calibri" w:hAnsi="Arial" w:cs="Arial"/>
          <w:sz w:val="24"/>
          <w:szCs w:val="24"/>
          <w:lang w:eastAsia="en-GB"/>
        </w:rPr>
      </w:pPr>
    </w:p>
    <w:p w14:paraId="682839FD" w14:textId="6F6E9437" w:rsidR="00F05885" w:rsidRPr="00B568F3" w:rsidRDefault="00A776E5"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There was a</w:t>
      </w:r>
      <w:r w:rsidR="00F15F41" w:rsidRPr="00B568F3">
        <w:rPr>
          <w:rFonts w:ascii="Arial" w:eastAsia="Calibri" w:hAnsi="Arial" w:cs="Arial"/>
          <w:sz w:val="24"/>
          <w:szCs w:val="24"/>
          <w:lang w:eastAsia="en-GB"/>
        </w:rPr>
        <w:t xml:space="preserve"> significant </w:t>
      </w:r>
      <w:r w:rsidR="00FB348D" w:rsidRPr="00B568F3">
        <w:rPr>
          <w:rFonts w:ascii="Arial" w:eastAsia="Calibri" w:hAnsi="Arial" w:cs="Arial"/>
          <w:sz w:val="24"/>
          <w:szCs w:val="24"/>
          <w:lang w:eastAsia="en-GB"/>
        </w:rPr>
        <w:t>increase</w:t>
      </w:r>
      <w:r w:rsidR="00C46D39" w:rsidRPr="00B568F3">
        <w:rPr>
          <w:rFonts w:ascii="Arial" w:eastAsia="Calibri" w:hAnsi="Arial" w:cs="Arial"/>
          <w:sz w:val="24"/>
          <w:szCs w:val="24"/>
          <w:lang w:eastAsia="en-GB"/>
        </w:rPr>
        <w:t xml:space="preserve"> of 71.9</w:t>
      </w:r>
      <w:r w:rsidR="001D0BC6" w:rsidRPr="00B568F3">
        <w:rPr>
          <w:rFonts w:ascii="Arial" w:eastAsia="Calibri" w:hAnsi="Arial" w:cs="Arial"/>
          <w:sz w:val="24"/>
          <w:szCs w:val="24"/>
          <w:lang w:eastAsia="en-GB"/>
        </w:rPr>
        <w:t xml:space="preserve"> per cent</w:t>
      </w:r>
      <w:r w:rsidRPr="00B568F3">
        <w:rPr>
          <w:rFonts w:ascii="Arial" w:eastAsia="Calibri" w:hAnsi="Arial" w:cs="Arial"/>
          <w:sz w:val="24"/>
          <w:szCs w:val="24"/>
          <w:lang w:eastAsia="en-GB"/>
        </w:rPr>
        <w:t xml:space="preserve"> in </w:t>
      </w:r>
      <w:r w:rsidR="001D0BC6" w:rsidRPr="00B568F3">
        <w:rPr>
          <w:rFonts w:ascii="Arial" w:eastAsia="Calibri" w:hAnsi="Arial" w:cs="Arial"/>
          <w:sz w:val="24"/>
          <w:szCs w:val="24"/>
          <w:lang w:eastAsia="en-GB"/>
        </w:rPr>
        <w:t>local authority</w:t>
      </w:r>
      <w:r w:rsidRPr="00B568F3">
        <w:rPr>
          <w:rFonts w:ascii="Arial" w:eastAsia="Calibri" w:hAnsi="Arial" w:cs="Arial"/>
          <w:sz w:val="24"/>
          <w:szCs w:val="24"/>
          <w:lang w:eastAsia="en-GB"/>
        </w:rPr>
        <w:t xml:space="preserve"> additional funding </w:t>
      </w:r>
      <w:r w:rsidR="00971D3C" w:rsidRPr="00B568F3">
        <w:rPr>
          <w:rFonts w:ascii="Arial" w:eastAsia="Calibri" w:hAnsi="Arial" w:cs="Arial"/>
          <w:sz w:val="24"/>
          <w:szCs w:val="24"/>
          <w:lang w:eastAsia="en-GB"/>
        </w:rPr>
        <w:t xml:space="preserve">spend on qualifying and post qualifying social work awards </w:t>
      </w:r>
      <w:r w:rsidR="00211B3F" w:rsidRPr="00B568F3">
        <w:rPr>
          <w:rFonts w:ascii="Arial" w:eastAsia="Calibri" w:hAnsi="Arial" w:cs="Arial"/>
          <w:sz w:val="24"/>
          <w:szCs w:val="24"/>
          <w:lang w:eastAsia="en-GB"/>
        </w:rPr>
        <w:t>compared</w:t>
      </w:r>
      <w:r w:rsidR="00971D3C" w:rsidRPr="00B568F3">
        <w:rPr>
          <w:rFonts w:ascii="Arial" w:eastAsia="Calibri" w:hAnsi="Arial" w:cs="Arial"/>
          <w:sz w:val="24"/>
          <w:szCs w:val="24"/>
          <w:lang w:eastAsia="en-GB"/>
        </w:rPr>
        <w:t xml:space="preserve"> to </w:t>
      </w:r>
      <w:r w:rsidR="008F59C0" w:rsidRPr="00B568F3">
        <w:rPr>
          <w:rFonts w:ascii="Arial" w:eastAsia="Calibri" w:hAnsi="Arial" w:cs="Arial"/>
          <w:sz w:val="24"/>
          <w:szCs w:val="24"/>
          <w:lang w:eastAsia="en-GB"/>
        </w:rPr>
        <w:t>2022</w:t>
      </w:r>
      <w:r w:rsidR="00926846" w:rsidRPr="00B568F3">
        <w:rPr>
          <w:rFonts w:ascii="Arial" w:eastAsia="Calibri" w:hAnsi="Arial" w:cs="Arial"/>
          <w:sz w:val="24"/>
          <w:szCs w:val="24"/>
          <w:lang w:eastAsia="en-GB"/>
        </w:rPr>
        <w:t xml:space="preserve"> to </w:t>
      </w:r>
      <w:r w:rsidR="008F59C0" w:rsidRPr="00B568F3">
        <w:rPr>
          <w:rFonts w:ascii="Arial" w:eastAsia="Calibri" w:hAnsi="Arial" w:cs="Arial"/>
          <w:sz w:val="24"/>
          <w:szCs w:val="24"/>
          <w:lang w:eastAsia="en-GB"/>
        </w:rPr>
        <w:t>2023</w:t>
      </w:r>
      <w:r w:rsidR="00566B7D" w:rsidRPr="00B568F3">
        <w:rPr>
          <w:rFonts w:ascii="Arial" w:eastAsia="Calibri" w:hAnsi="Arial" w:cs="Arial"/>
          <w:sz w:val="24"/>
          <w:szCs w:val="24"/>
          <w:lang w:eastAsia="en-GB"/>
        </w:rPr>
        <w:t xml:space="preserve">. </w:t>
      </w:r>
      <w:r w:rsidR="009A6619" w:rsidRPr="00B568F3">
        <w:rPr>
          <w:rFonts w:ascii="Arial" w:eastAsia="Calibri" w:hAnsi="Arial" w:cs="Arial"/>
          <w:sz w:val="24"/>
          <w:szCs w:val="24"/>
          <w:lang w:eastAsia="en-GB"/>
        </w:rPr>
        <w:t xml:space="preserve">Informally </w:t>
      </w:r>
      <w:r w:rsidR="00353E58" w:rsidRPr="00B568F3">
        <w:rPr>
          <w:rFonts w:ascii="Arial" w:eastAsia="Calibri" w:hAnsi="Arial" w:cs="Arial"/>
          <w:sz w:val="24"/>
          <w:szCs w:val="24"/>
          <w:lang w:eastAsia="en-GB"/>
        </w:rPr>
        <w:t xml:space="preserve">this increase is </w:t>
      </w:r>
      <w:r w:rsidR="00EC58F5" w:rsidRPr="00B568F3">
        <w:rPr>
          <w:rFonts w:ascii="Arial" w:eastAsia="Calibri" w:hAnsi="Arial" w:cs="Arial"/>
          <w:sz w:val="24"/>
          <w:szCs w:val="24"/>
          <w:lang w:eastAsia="en-GB"/>
        </w:rPr>
        <w:t>because of</w:t>
      </w:r>
      <w:r w:rsidR="00DF5D6D" w:rsidRPr="00B568F3">
        <w:rPr>
          <w:rFonts w:ascii="Arial" w:eastAsia="Calibri" w:hAnsi="Arial" w:cs="Arial"/>
          <w:sz w:val="24"/>
          <w:szCs w:val="24"/>
          <w:lang w:eastAsia="en-GB"/>
        </w:rPr>
        <w:t xml:space="preserve"> local authorities i</w:t>
      </w:r>
      <w:r w:rsidR="00353E58" w:rsidRPr="00B568F3">
        <w:rPr>
          <w:rFonts w:ascii="Arial" w:eastAsia="Calibri" w:hAnsi="Arial" w:cs="Arial"/>
          <w:sz w:val="24"/>
          <w:szCs w:val="24"/>
          <w:lang w:eastAsia="en-GB"/>
        </w:rPr>
        <w:t>nvesting more in their sponsored routes</w:t>
      </w:r>
      <w:r w:rsidR="00211B3F" w:rsidRPr="00B568F3">
        <w:rPr>
          <w:rFonts w:ascii="Arial" w:eastAsia="Calibri" w:hAnsi="Arial" w:cs="Arial"/>
          <w:sz w:val="24"/>
          <w:szCs w:val="24"/>
          <w:lang w:eastAsia="en-GB"/>
        </w:rPr>
        <w:t>,</w:t>
      </w:r>
      <w:r w:rsidR="005A58C5" w:rsidRPr="00B568F3">
        <w:rPr>
          <w:rFonts w:ascii="Arial" w:eastAsia="Calibri" w:hAnsi="Arial" w:cs="Arial"/>
          <w:sz w:val="24"/>
          <w:szCs w:val="24"/>
          <w:lang w:eastAsia="en-GB"/>
        </w:rPr>
        <w:t xml:space="preserve"> </w:t>
      </w:r>
      <w:r w:rsidR="00460D9D" w:rsidRPr="00B568F3">
        <w:rPr>
          <w:rFonts w:ascii="Arial" w:eastAsia="Calibri" w:hAnsi="Arial" w:cs="Arial"/>
          <w:sz w:val="24"/>
          <w:szCs w:val="24"/>
          <w:lang w:eastAsia="en-GB"/>
        </w:rPr>
        <w:t xml:space="preserve">where staff are sponsored to study for </w:t>
      </w:r>
      <w:r w:rsidR="00807AC7" w:rsidRPr="00B568F3">
        <w:rPr>
          <w:rFonts w:ascii="Arial" w:eastAsia="Calibri" w:hAnsi="Arial" w:cs="Arial"/>
          <w:sz w:val="24"/>
          <w:szCs w:val="24"/>
          <w:lang w:eastAsia="en-GB"/>
        </w:rPr>
        <w:t>s</w:t>
      </w:r>
      <w:r w:rsidR="00460D9D" w:rsidRPr="00B568F3">
        <w:rPr>
          <w:rFonts w:ascii="Arial" w:eastAsia="Calibri" w:hAnsi="Arial" w:cs="Arial"/>
          <w:sz w:val="24"/>
          <w:szCs w:val="24"/>
          <w:lang w:eastAsia="en-GB"/>
        </w:rPr>
        <w:t xml:space="preserve">ocial work </w:t>
      </w:r>
      <w:r w:rsidR="00807AC7" w:rsidRPr="00B568F3">
        <w:rPr>
          <w:rFonts w:ascii="Arial" w:eastAsia="Calibri" w:hAnsi="Arial" w:cs="Arial"/>
          <w:sz w:val="24"/>
          <w:szCs w:val="24"/>
          <w:lang w:eastAsia="en-GB"/>
        </w:rPr>
        <w:t>qualifications</w:t>
      </w:r>
      <w:r w:rsidR="00211B3F" w:rsidRPr="00B568F3">
        <w:rPr>
          <w:rFonts w:ascii="Arial" w:eastAsia="Calibri" w:hAnsi="Arial" w:cs="Arial"/>
          <w:sz w:val="24"/>
          <w:szCs w:val="24"/>
          <w:lang w:eastAsia="en-GB"/>
        </w:rPr>
        <w:t>,</w:t>
      </w:r>
      <w:r w:rsidR="005A58C5" w:rsidRPr="00B568F3">
        <w:rPr>
          <w:rFonts w:ascii="Arial" w:eastAsia="Calibri" w:hAnsi="Arial" w:cs="Arial"/>
          <w:sz w:val="24"/>
          <w:szCs w:val="24"/>
          <w:lang w:eastAsia="en-GB"/>
        </w:rPr>
        <w:t xml:space="preserve"> </w:t>
      </w:r>
      <w:r w:rsidR="007317F3" w:rsidRPr="00B568F3">
        <w:rPr>
          <w:rFonts w:ascii="Arial" w:eastAsia="Calibri" w:hAnsi="Arial" w:cs="Arial"/>
          <w:sz w:val="24"/>
          <w:szCs w:val="24"/>
          <w:lang w:eastAsia="en-GB"/>
        </w:rPr>
        <w:t>because it’s</w:t>
      </w:r>
      <w:r w:rsidR="005A58C5" w:rsidRPr="00B568F3">
        <w:rPr>
          <w:rFonts w:ascii="Arial" w:eastAsia="Calibri" w:hAnsi="Arial" w:cs="Arial"/>
          <w:sz w:val="24"/>
          <w:szCs w:val="24"/>
          <w:lang w:eastAsia="en-GB"/>
        </w:rPr>
        <w:t xml:space="preserve"> seen as an essential way to address social work vacancy levels and recruitment challenges.</w:t>
      </w:r>
    </w:p>
    <w:p w14:paraId="405ACCAE" w14:textId="77777777" w:rsidR="00F05885" w:rsidRPr="00B568F3" w:rsidRDefault="00F05885" w:rsidP="003766F9">
      <w:pPr>
        <w:spacing w:after="200" w:line="276" w:lineRule="auto"/>
        <w:ind w:left="567"/>
        <w:contextualSpacing/>
        <w:rPr>
          <w:rFonts w:ascii="Arial" w:eastAsia="Calibri" w:hAnsi="Arial" w:cs="Arial"/>
          <w:sz w:val="24"/>
          <w:szCs w:val="24"/>
          <w:lang w:eastAsia="en-GB"/>
        </w:rPr>
      </w:pPr>
    </w:p>
    <w:p w14:paraId="2320EE33" w14:textId="77CAAFE7" w:rsidR="00A776E5" w:rsidRPr="00B568F3" w:rsidRDefault="00566B7D"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The largest decline in </w:t>
      </w:r>
      <w:r w:rsidR="00BE05AC" w:rsidRPr="00B568F3">
        <w:rPr>
          <w:rFonts w:ascii="Arial" w:eastAsia="Calibri" w:hAnsi="Arial" w:cs="Arial"/>
          <w:sz w:val="24"/>
          <w:szCs w:val="24"/>
          <w:lang w:eastAsia="en-GB"/>
        </w:rPr>
        <w:t>local authorities</w:t>
      </w:r>
      <w:r w:rsidR="00211B3F" w:rsidRPr="00B568F3">
        <w:rPr>
          <w:rFonts w:ascii="Arial" w:eastAsia="Calibri" w:hAnsi="Arial" w:cs="Arial"/>
          <w:sz w:val="24"/>
          <w:szCs w:val="24"/>
          <w:lang w:eastAsia="en-GB"/>
        </w:rPr>
        <w:t>’</w:t>
      </w:r>
      <w:r w:rsidRPr="00B568F3">
        <w:rPr>
          <w:rFonts w:ascii="Arial" w:eastAsia="Calibri" w:hAnsi="Arial" w:cs="Arial"/>
          <w:sz w:val="24"/>
          <w:szCs w:val="24"/>
          <w:lang w:eastAsia="en-GB"/>
        </w:rPr>
        <w:t xml:space="preserve"> additional spend </w:t>
      </w:r>
      <w:r w:rsidR="00CF6AFB" w:rsidRPr="00B568F3">
        <w:rPr>
          <w:rFonts w:ascii="Arial" w:eastAsia="Calibri" w:hAnsi="Arial" w:cs="Arial"/>
          <w:sz w:val="24"/>
          <w:szCs w:val="24"/>
          <w:lang w:eastAsia="en-GB"/>
        </w:rPr>
        <w:t xml:space="preserve">was </w:t>
      </w:r>
      <w:r w:rsidRPr="00B568F3">
        <w:rPr>
          <w:rFonts w:ascii="Arial" w:eastAsia="Calibri" w:hAnsi="Arial" w:cs="Arial"/>
          <w:sz w:val="24"/>
          <w:szCs w:val="24"/>
          <w:lang w:eastAsia="en-GB"/>
        </w:rPr>
        <w:t>on leadership and succession, with a 68.0</w:t>
      </w:r>
      <w:r w:rsidR="009E3597" w:rsidRPr="00B568F3">
        <w:rPr>
          <w:rFonts w:ascii="Arial" w:eastAsia="Calibri" w:hAnsi="Arial" w:cs="Arial"/>
          <w:sz w:val="24"/>
          <w:szCs w:val="24"/>
          <w:lang w:eastAsia="en-GB"/>
        </w:rPr>
        <w:t xml:space="preserve"> per cent</w:t>
      </w:r>
      <w:r w:rsidRPr="00B568F3">
        <w:rPr>
          <w:rFonts w:ascii="Arial" w:eastAsia="Calibri" w:hAnsi="Arial" w:cs="Arial"/>
          <w:sz w:val="24"/>
          <w:szCs w:val="24"/>
          <w:lang w:eastAsia="en-GB"/>
        </w:rPr>
        <w:t xml:space="preserve"> decrease compared</w:t>
      </w:r>
      <w:r w:rsidR="008F59C0" w:rsidRPr="00B568F3">
        <w:rPr>
          <w:rFonts w:ascii="Arial" w:eastAsia="Calibri" w:hAnsi="Arial" w:cs="Arial"/>
          <w:sz w:val="24"/>
          <w:szCs w:val="24"/>
          <w:lang w:eastAsia="en-GB"/>
        </w:rPr>
        <w:t xml:space="preserve"> to 2022</w:t>
      </w:r>
      <w:r w:rsidR="009E3597" w:rsidRPr="00B568F3">
        <w:rPr>
          <w:rFonts w:ascii="Arial" w:eastAsia="Calibri" w:hAnsi="Arial" w:cs="Arial"/>
          <w:sz w:val="24"/>
          <w:szCs w:val="24"/>
          <w:lang w:eastAsia="en-GB"/>
        </w:rPr>
        <w:t xml:space="preserve"> to </w:t>
      </w:r>
      <w:r w:rsidR="008F59C0" w:rsidRPr="00B568F3">
        <w:rPr>
          <w:rFonts w:ascii="Arial" w:eastAsia="Calibri" w:hAnsi="Arial" w:cs="Arial"/>
          <w:sz w:val="24"/>
          <w:szCs w:val="24"/>
          <w:lang w:eastAsia="en-GB"/>
        </w:rPr>
        <w:t>2023</w:t>
      </w:r>
      <w:r w:rsidR="67268272" w:rsidRPr="00B568F3">
        <w:rPr>
          <w:rFonts w:ascii="Arial" w:eastAsia="Calibri" w:hAnsi="Arial" w:cs="Arial"/>
          <w:sz w:val="24"/>
          <w:szCs w:val="24"/>
          <w:lang w:eastAsia="en-GB"/>
        </w:rPr>
        <w:t>.</w:t>
      </w:r>
      <w:r w:rsidR="00C91F3B" w:rsidRPr="00B568F3">
        <w:rPr>
          <w:rFonts w:ascii="Arial" w:eastAsia="Calibri" w:hAnsi="Arial" w:cs="Arial"/>
          <w:sz w:val="24"/>
          <w:szCs w:val="24"/>
          <w:lang w:eastAsia="en-GB"/>
        </w:rPr>
        <w:t xml:space="preserve"> The </w:t>
      </w:r>
      <w:r w:rsidR="00C81AAA" w:rsidRPr="00B568F3">
        <w:rPr>
          <w:rFonts w:ascii="Arial" w:eastAsia="Calibri" w:hAnsi="Arial" w:cs="Arial"/>
          <w:sz w:val="24"/>
          <w:szCs w:val="24"/>
          <w:lang w:eastAsia="en-GB"/>
        </w:rPr>
        <w:t xml:space="preserve">point made </w:t>
      </w:r>
      <w:r w:rsidR="009602EE" w:rsidRPr="00B568F3">
        <w:rPr>
          <w:rFonts w:ascii="Arial" w:eastAsia="Calibri" w:hAnsi="Arial" w:cs="Arial"/>
          <w:sz w:val="24"/>
          <w:szCs w:val="24"/>
          <w:lang w:eastAsia="en-GB"/>
        </w:rPr>
        <w:t>above</w:t>
      </w:r>
      <w:r w:rsidR="00C31723" w:rsidRPr="00B568F3">
        <w:rPr>
          <w:rFonts w:ascii="Arial" w:eastAsia="Calibri" w:hAnsi="Arial" w:cs="Arial"/>
          <w:sz w:val="24"/>
          <w:szCs w:val="24"/>
          <w:lang w:eastAsia="en-GB"/>
        </w:rPr>
        <w:t>,</w:t>
      </w:r>
      <w:r w:rsidR="009602EE" w:rsidRPr="00B568F3">
        <w:rPr>
          <w:rFonts w:ascii="Arial" w:eastAsia="Calibri" w:hAnsi="Arial" w:cs="Arial"/>
          <w:sz w:val="24"/>
          <w:szCs w:val="24"/>
          <w:lang w:eastAsia="en-GB"/>
        </w:rPr>
        <w:t xml:space="preserve"> </w:t>
      </w:r>
      <w:r w:rsidR="00DE2190" w:rsidRPr="00B568F3">
        <w:rPr>
          <w:rFonts w:ascii="Arial" w:eastAsia="Calibri" w:hAnsi="Arial" w:cs="Arial"/>
          <w:sz w:val="24"/>
          <w:szCs w:val="24"/>
          <w:lang w:eastAsia="en-GB"/>
        </w:rPr>
        <w:t>w</w:t>
      </w:r>
      <w:r w:rsidR="00617377" w:rsidRPr="00B568F3">
        <w:rPr>
          <w:rFonts w:ascii="Arial" w:eastAsia="Calibri" w:hAnsi="Arial" w:cs="Arial"/>
          <w:sz w:val="24"/>
          <w:szCs w:val="24"/>
          <w:lang w:eastAsia="en-GB"/>
        </w:rPr>
        <w:t>here</w:t>
      </w:r>
      <w:r w:rsidR="00DE2190" w:rsidRPr="00B568F3">
        <w:rPr>
          <w:rFonts w:ascii="Arial" w:eastAsia="Calibri" w:hAnsi="Arial" w:cs="Arial"/>
          <w:sz w:val="24"/>
          <w:szCs w:val="24"/>
          <w:lang w:eastAsia="en-GB"/>
        </w:rPr>
        <w:t xml:space="preserve"> </w:t>
      </w:r>
      <w:r w:rsidR="00D603F5" w:rsidRPr="00B568F3">
        <w:rPr>
          <w:rFonts w:ascii="Arial" w:eastAsia="Calibri" w:hAnsi="Arial" w:cs="Arial"/>
          <w:sz w:val="24"/>
          <w:szCs w:val="24"/>
          <w:lang w:eastAsia="en-GB"/>
        </w:rPr>
        <w:t>regions cod</w:t>
      </w:r>
      <w:r w:rsidR="00617377" w:rsidRPr="00B568F3">
        <w:rPr>
          <w:rFonts w:ascii="Arial" w:eastAsia="Calibri" w:hAnsi="Arial" w:cs="Arial"/>
          <w:sz w:val="24"/>
          <w:szCs w:val="24"/>
          <w:lang w:eastAsia="en-GB"/>
        </w:rPr>
        <w:t>e</w:t>
      </w:r>
      <w:r w:rsidR="00D603F5" w:rsidRPr="00B568F3">
        <w:rPr>
          <w:rFonts w:ascii="Arial" w:eastAsia="Calibri" w:hAnsi="Arial" w:cs="Arial"/>
          <w:sz w:val="24"/>
          <w:szCs w:val="24"/>
          <w:lang w:eastAsia="en-GB"/>
        </w:rPr>
        <w:t xml:space="preserve"> spending against different national priorities</w:t>
      </w:r>
      <w:r w:rsidR="00C31723" w:rsidRPr="00B568F3">
        <w:rPr>
          <w:rFonts w:ascii="Arial" w:eastAsia="Calibri" w:hAnsi="Arial" w:cs="Arial"/>
          <w:sz w:val="24"/>
          <w:szCs w:val="24"/>
          <w:lang w:eastAsia="en-GB"/>
        </w:rPr>
        <w:t>,</w:t>
      </w:r>
      <w:r w:rsidR="00D603F5" w:rsidRPr="00B568F3">
        <w:rPr>
          <w:rFonts w:ascii="Arial" w:eastAsia="Calibri" w:hAnsi="Arial" w:cs="Arial"/>
          <w:sz w:val="24"/>
          <w:szCs w:val="24"/>
          <w:lang w:eastAsia="en-GB"/>
        </w:rPr>
        <w:t xml:space="preserve"> </w:t>
      </w:r>
      <w:r w:rsidR="00C81AAA" w:rsidRPr="00B568F3">
        <w:rPr>
          <w:rFonts w:ascii="Arial" w:eastAsia="Calibri" w:hAnsi="Arial" w:cs="Arial"/>
          <w:sz w:val="24"/>
          <w:szCs w:val="24"/>
          <w:lang w:eastAsia="en-GB"/>
        </w:rPr>
        <w:t>is</w:t>
      </w:r>
      <w:r w:rsidR="00D603F5" w:rsidRPr="00B568F3">
        <w:rPr>
          <w:rFonts w:ascii="Arial" w:eastAsia="Calibri" w:hAnsi="Arial" w:cs="Arial"/>
          <w:sz w:val="24"/>
          <w:szCs w:val="24"/>
          <w:lang w:eastAsia="en-GB"/>
        </w:rPr>
        <w:t xml:space="preserve"> a factor</w:t>
      </w:r>
      <w:r w:rsidR="008D0B61" w:rsidRPr="00B568F3">
        <w:rPr>
          <w:rFonts w:ascii="Arial" w:eastAsia="Calibri" w:hAnsi="Arial" w:cs="Arial"/>
          <w:sz w:val="24"/>
          <w:szCs w:val="24"/>
          <w:lang w:eastAsia="en-GB"/>
        </w:rPr>
        <w:t xml:space="preserve"> </w:t>
      </w:r>
      <w:r w:rsidR="00C81AAA" w:rsidRPr="00B568F3">
        <w:rPr>
          <w:rFonts w:ascii="Arial" w:eastAsia="Calibri" w:hAnsi="Arial" w:cs="Arial"/>
          <w:sz w:val="24"/>
          <w:szCs w:val="24"/>
          <w:lang w:eastAsia="en-GB"/>
        </w:rPr>
        <w:t>when considering th</w:t>
      </w:r>
      <w:r w:rsidR="002106EF" w:rsidRPr="00B568F3">
        <w:rPr>
          <w:rFonts w:ascii="Arial" w:eastAsia="Calibri" w:hAnsi="Arial" w:cs="Arial"/>
          <w:sz w:val="24"/>
          <w:szCs w:val="24"/>
          <w:lang w:eastAsia="en-GB"/>
        </w:rPr>
        <w:t xml:space="preserve">is </w:t>
      </w:r>
      <w:r w:rsidR="0029646E" w:rsidRPr="00B568F3">
        <w:rPr>
          <w:rFonts w:ascii="Arial" w:eastAsia="Calibri" w:hAnsi="Arial" w:cs="Arial"/>
          <w:sz w:val="24"/>
          <w:szCs w:val="24"/>
          <w:lang w:eastAsia="en-GB"/>
        </w:rPr>
        <w:t>decrease. Another factor to consider</w:t>
      </w:r>
      <w:r w:rsidR="00D64152" w:rsidRPr="00B568F3">
        <w:rPr>
          <w:rFonts w:ascii="Arial" w:eastAsia="Calibri" w:hAnsi="Arial" w:cs="Arial"/>
          <w:sz w:val="24"/>
          <w:szCs w:val="24"/>
          <w:lang w:eastAsia="en-GB"/>
        </w:rPr>
        <w:t xml:space="preserve"> is that some local authorities</w:t>
      </w:r>
      <w:r w:rsidR="000712A0" w:rsidRPr="00B568F3">
        <w:rPr>
          <w:rFonts w:ascii="Arial" w:eastAsia="Calibri" w:hAnsi="Arial" w:cs="Arial"/>
          <w:sz w:val="24"/>
          <w:szCs w:val="24"/>
          <w:lang w:eastAsia="en-GB"/>
        </w:rPr>
        <w:t xml:space="preserve"> reported they</w:t>
      </w:r>
      <w:r w:rsidR="00C31723" w:rsidRPr="00B568F3">
        <w:rPr>
          <w:rFonts w:ascii="Arial" w:eastAsia="Calibri" w:hAnsi="Arial" w:cs="Arial"/>
          <w:sz w:val="24"/>
          <w:szCs w:val="24"/>
          <w:lang w:eastAsia="en-GB"/>
        </w:rPr>
        <w:t>’re</w:t>
      </w:r>
      <w:r w:rsidR="000712A0" w:rsidRPr="00B568F3">
        <w:rPr>
          <w:rFonts w:ascii="Arial" w:eastAsia="Calibri" w:hAnsi="Arial" w:cs="Arial"/>
          <w:sz w:val="24"/>
          <w:szCs w:val="24"/>
          <w:lang w:eastAsia="en-GB"/>
        </w:rPr>
        <w:t xml:space="preserve"> </w:t>
      </w:r>
      <w:r w:rsidR="0076792A" w:rsidRPr="00B568F3">
        <w:rPr>
          <w:rFonts w:ascii="Arial" w:eastAsia="Calibri" w:hAnsi="Arial" w:cs="Arial"/>
          <w:sz w:val="24"/>
          <w:szCs w:val="24"/>
          <w:lang w:eastAsia="en-GB"/>
        </w:rPr>
        <w:t xml:space="preserve">using </w:t>
      </w:r>
      <w:r w:rsidR="00D74AC1" w:rsidRPr="00B568F3">
        <w:rPr>
          <w:rFonts w:ascii="Arial" w:eastAsia="Calibri" w:hAnsi="Arial" w:cs="Arial"/>
          <w:sz w:val="24"/>
          <w:szCs w:val="24"/>
          <w:lang w:eastAsia="en-GB"/>
        </w:rPr>
        <w:t xml:space="preserve">internal </w:t>
      </w:r>
      <w:r w:rsidR="0076792A" w:rsidRPr="00B568F3">
        <w:rPr>
          <w:rFonts w:ascii="Arial" w:eastAsia="Calibri" w:hAnsi="Arial" w:cs="Arial"/>
          <w:sz w:val="24"/>
          <w:szCs w:val="24"/>
          <w:lang w:eastAsia="en-GB"/>
        </w:rPr>
        <w:t>or</w:t>
      </w:r>
      <w:r w:rsidR="00D74AC1" w:rsidRPr="00B568F3">
        <w:rPr>
          <w:rFonts w:ascii="Arial" w:eastAsia="Calibri" w:hAnsi="Arial" w:cs="Arial"/>
          <w:sz w:val="24"/>
          <w:szCs w:val="24"/>
          <w:lang w:eastAsia="en-GB"/>
        </w:rPr>
        <w:t xml:space="preserve"> corporate leadership and management programmes rather than traditional national programmes </w:t>
      </w:r>
      <w:r w:rsidR="00C31723" w:rsidRPr="00B568F3">
        <w:rPr>
          <w:rFonts w:ascii="Arial" w:eastAsia="Calibri" w:hAnsi="Arial" w:cs="Arial"/>
          <w:sz w:val="24"/>
          <w:szCs w:val="24"/>
          <w:lang w:eastAsia="en-GB"/>
        </w:rPr>
        <w:t>such as</w:t>
      </w:r>
      <w:r w:rsidR="00D74AC1" w:rsidRPr="00B568F3" w:rsidDel="00C31723">
        <w:rPr>
          <w:rFonts w:ascii="Arial" w:eastAsia="Calibri" w:hAnsi="Arial" w:cs="Arial"/>
          <w:sz w:val="24"/>
          <w:szCs w:val="24"/>
          <w:lang w:eastAsia="en-GB"/>
        </w:rPr>
        <w:t xml:space="preserve"> </w:t>
      </w:r>
      <w:r w:rsidR="00D74AC1" w:rsidRPr="00B568F3">
        <w:rPr>
          <w:rFonts w:ascii="Arial" w:eastAsia="Calibri" w:hAnsi="Arial" w:cs="Arial"/>
          <w:sz w:val="24"/>
          <w:szCs w:val="24"/>
          <w:lang w:eastAsia="en-GB"/>
        </w:rPr>
        <w:t>TMDP</w:t>
      </w:r>
      <w:r w:rsidR="00D74AC1" w:rsidRPr="00B568F3" w:rsidDel="0071621E">
        <w:rPr>
          <w:rFonts w:ascii="Arial" w:eastAsia="Calibri" w:hAnsi="Arial" w:cs="Arial"/>
          <w:sz w:val="24"/>
          <w:szCs w:val="24"/>
          <w:lang w:eastAsia="en-GB"/>
        </w:rPr>
        <w:t xml:space="preserve"> to </w:t>
      </w:r>
      <w:r w:rsidR="0071621E" w:rsidRPr="00B568F3">
        <w:rPr>
          <w:rFonts w:ascii="Arial" w:eastAsia="Calibri" w:hAnsi="Arial" w:cs="Arial"/>
          <w:sz w:val="24"/>
          <w:szCs w:val="24"/>
          <w:lang w:eastAsia="en-GB"/>
        </w:rPr>
        <w:t>save on costs</w:t>
      </w:r>
      <w:r w:rsidR="00990581" w:rsidRPr="00B568F3">
        <w:rPr>
          <w:rFonts w:ascii="Arial" w:eastAsia="Calibri" w:hAnsi="Arial" w:cs="Arial"/>
          <w:sz w:val="24"/>
          <w:szCs w:val="24"/>
          <w:lang w:eastAsia="en-GB"/>
        </w:rPr>
        <w:t>.</w:t>
      </w:r>
    </w:p>
    <w:p w14:paraId="2CF96F6E" w14:textId="77777777" w:rsidR="008405B4" w:rsidRPr="00B568F3" w:rsidRDefault="008405B4" w:rsidP="00672562">
      <w:pPr>
        <w:spacing w:after="100" w:afterAutospacing="1" w:line="276" w:lineRule="auto"/>
        <w:ind w:left="709"/>
        <w:contextualSpacing/>
        <w:rPr>
          <w:rFonts w:ascii="Arial" w:eastAsia="Calibri" w:hAnsi="Arial" w:cs="Arial"/>
          <w:sz w:val="24"/>
          <w:szCs w:val="24"/>
          <w:lang w:eastAsia="en-GB"/>
        </w:rPr>
      </w:pPr>
    </w:p>
    <w:p w14:paraId="05F062DC" w14:textId="77777777" w:rsidR="00672562" w:rsidRPr="00B568F3" w:rsidRDefault="00672562" w:rsidP="00672562">
      <w:pPr>
        <w:spacing w:after="100" w:afterAutospacing="1" w:line="276" w:lineRule="auto"/>
        <w:ind w:left="709"/>
        <w:contextualSpacing/>
        <w:rPr>
          <w:rFonts w:ascii="Arial" w:eastAsia="Calibri" w:hAnsi="Arial" w:cs="Arial"/>
          <w:sz w:val="24"/>
          <w:szCs w:val="24"/>
          <w:lang w:eastAsia="en-GB"/>
        </w:rPr>
      </w:pPr>
    </w:p>
    <w:p w14:paraId="67601E00" w14:textId="77777777" w:rsidR="00C83861" w:rsidRPr="00B568F3" w:rsidRDefault="00C83861" w:rsidP="002E4C81">
      <w:pPr>
        <w:spacing w:after="0" w:line="240" w:lineRule="auto"/>
        <w:rPr>
          <w:rFonts w:ascii="Arial" w:eastAsia="Calibri" w:hAnsi="Arial" w:cs="Arial"/>
          <w:b/>
          <w:bCs/>
          <w:sz w:val="24"/>
          <w:szCs w:val="24"/>
          <w:lang w:eastAsia="en-GB"/>
        </w:rPr>
      </w:pPr>
    </w:p>
    <w:p w14:paraId="728E22BC" w14:textId="77777777" w:rsidR="00C83861" w:rsidRPr="00B568F3" w:rsidRDefault="00C83861" w:rsidP="002E4C81">
      <w:pPr>
        <w:spacing w:after="0" w:line="240" w:lineRule="auto"/>
        <w:rPr>
          <w:rFonts w:ascii="Arial" w:eastAsia="Calibri" w:hAnsi="Arial" w:cs="Arial"/>
          <w:b/>
          <w:bCs/>
          <w:sz w:val="24"/>
          <w:szCs w:val="24"/>
          <w:lang w:eastAsia="en-GB"/>
        </w:rPr>
      </w:pPr>
    </w:p>
    <w:p w14:paraId="4FA2B79B" w14:textId="77777777" w:rsidR="0058054E" w:rsidRPr="00B568F3" w:rsidRDefault="0058054E" w:rsidP="002E4C81">
      <w:pPr>
        <w:spacing w:after="0" w:line="240" w:lineRule="auto"/>
        <w:rPr>
          <w:rFonts w:ascii="Arial" w:eastAsia="Calibri" w:hAnsi="Arial" w:cs="Arial"/>
          <w:b/>
          <w:bCs/>
          <w:sz w:val="24"/>
          <w:szCs w:val="24"/>
          <w:lang w:eastAsia="en-GB"/>
        </w:rPr>
      </w:pPr>
    </w:p>
    <w:p w14:paraId="7345E6A0" w14:textId="77777777" w:rsidR="00411A56" w:rsidRPr="00B568F3" w:rsidRDefault="00411A56" w:rsidP="002E4C81">
      <w:pPr>
        <w:spacing w:after="0" w:line="240" w:lineRule="auto"/>
        <w:rPr>
          <w:rFonts w:ascii="Arial" w:eastAsia="Calibri" w:hAnsi="Arial" w:cs="Arial"/>
          <w:b/>
          <w:bCs/>
          <w:sz w:val="24"/>
          <w:szCs w:val="24"/>
          <w:lang w:eastAsia="en-GB"/>
        </w:rPr>
      </w:pPr>
    </w:p>
    <w:p w14:paraId="7F955E41" w14:textId="6FE57041" w:rsidR="002E4C81" w:rsidRPr="00B568F3" w:rsidRDefault="002E4C81" w:rsidP="002E4C81">
      <w:pPr>
        <w:spacing w:after="0" w:line="240" w:lineRule="auto"/>
        <w:rPr>
          <w:rFonts w:ascii="Arial" w:eastAsia="Calibri" w:hAnsi="Arial" w:cs="Arial"/>
          <w:b/>
          <w:bCs/>
          <w:sz w:val="24"/>
          <w:szCs w:val="24"/>
          <w:lang w:eastAsia="en-GB"/>
        </w:rPr>
      </w:pPr>
      <w:r w:rsidRPr="00B568F3">
        <w:rPr>
          <w:rFonts w:ascii="Arial" w:eastAsia="Calibri" w:hAnsi="Arial" w:cs="Arial"/>
          <w:b/>
          <w:bCs/>
          <w:sz w:val="24"/>
          <w:szCs w:val="24"/>
          <w:lang w:eastAsia="en-GB"/>
        </w:rPr>
        <w:t xml:space="preserve">Table 5: </w:t>
      </w:r>
      <w:r w:rsidRPr="00B568F3">
        <w:rPr>
          <w:rFonts w:ascii="Arial" w:eastAsia="Calibri" w:hAnsi="Arial" w:cs="Arial"/>
          <w:b/>
          <w:bCs/>
          <w:sz w:val="24"/>
          <w:szCs w:val="24"/>
        </w:rPr>
        <w:t xml:space="preserve">National, </w:t>
      </w:r>
      <w:r w:rsidR="008562CE" w:rsidRPr="00B568F3">
        <w:rPr>
          <w:rFonts w:ascii="Arial" w:eastAsia="Calibri" w:hAnsi="Arial" w:cs="Arial"/>
          <w:b/>
          <w:bCs/>
          <w:sz w:val="24"/>
          <w:szCs w:val="24"/>
        </w:rPr>
        <w:t>regional,</w:t>
      </w:r>
      <w:r w:rsidRPr="00B568F3">
        <w:rPr>
          <w:rFonts w:ascii="Arial" w:eastAsia="Calibri" w:hAnsi="Arial" w:cs="Arial"/>
          <w:b/>
          <w:bCs/>
          <w:sz w:val="24"/>
          <w:szCs w:val="24"/>
        </w:rPr>
        <w:t xml:space="preserve"> and local priorities spend</w:t>
      </w:r>
      <w:r w:rsidRPr="00B568F3">
        <w:rPr>
          <w:rFonts w:ascii="Arial" w:eastAsia="Calibri" w:hAnsi="Arial" w:cs="Arial"/>
          <w:b/>
          <w:bCs/>
          <w:sz w:val="24"/>
          <w:szCs w:val="24"/>
          <w:lang w:eastAsia="en-GB"/>
        </w:rPr>
        <w:t xml:space="preserve">, </w:t>
      </w:r>
      <w:r w:rsidR="0096338D" w:rsidRPr="00B568F3">
        <w:rPr>
          <w:rFonts w:ascii="Arial" w:eastAsia="Calibri" w:hAnsi="Arial" w:cs="Arial"/>
          <w:b/>
          <w:bCs/>
          <w:sz w:val="24"/>
          <w:szCs w:val="24"/>
          <w:lang w:eastAsia="en-GB"/>
        </w:rPr>
        <w:t xml:space="preserve">the </w:t>
      </w:r>
      <w:r w:rsidRPr="00B568F3">
        <w:rPr>
          <w:rFonts w:ascii="Arial" w:eastAsia="Calibri" w:hAnsi="Arial" w:cs="Arial"/>
          <w:b/>
          <w:bCs/>
          <w:sz w:val="24"/>
          <w:szCs w:val="24"/>
        </w:rPr>
        <w:t>two</w:t>
      </w:r>
      <w:r w:rsidR="00C31723" w:rsidRPr="00B568F3">
        <w:rPr>
          <w:rFonts w:ascii="Arial" w:eastAsia="Calibri" w:hAnsi="Arial" w:cs="Arial"/>
          <w:b/>
          <w:bCs/>
          <w:sz w:val="24"/>
          <w:szCs w:val="24"/>
        </w:rPr>
        <w:t>-year</w:t>
      </w:r>
      <w:r w:rsidRPr="00B568F3">
        <w:rPr>
          <w:rFonts w:ascii="Arial" w:eastAsia="Calibri" w:hAnsi="Arial" w:cs="Arial"/>
          <w:b/>
          <w:bCs/>
          <w:sz w:val="24"/>
          <w:szCs w:val="24"/>
        </w:rPr>
        <w:t xml:space="preserve"> trend</w:t>
      </w:r>
    </w:p>
    <w:p w14:paraId="204DD0F0" w14:textId="77777777" w:rsidR="002E4C81" w:rsidRPr="00B568F3" w:rsidRDefault="002E4C81" w:rsidP="002E4C81">
      <w:pPr>
        <w:pStyle w:val="ListParagraph"/>
        <w:spacing w:after="0" w:line="240" w:lineRule="auto"/>
        <w:ind w:left="1440"/>
        <w:rPr>
          <w:rFonts w:ascii="Arial" w:eastAsia="Calibri" w:hAnsi="Arial" w:cs="Arial"/>
          <w:color w:val="FF0000"/>
          <w:sz w:val="24"/>
          <w:szCs w:val="24"/>
          <w:lang w:eastAsia="en-GB"/>
        </w:rPr>
      </w:pPr>
    </w:p>
    <w:tbl>
      <w:tblPr>
        <w:tblStyle w:val="TableGrid"/>
        <w:tblW w:w="9935" w:type="dxa"/>
        <w:tblLook w:val="04A0" w:firstRow="1" w:lastRow="0" w:firstColumn="1" w:lastColumn="0" w:noHBand="0" w:noVBand="1"/>
      </w:tblPr>
      <w:tblGrid>
        <w:gridCol w:w="1524"/>
        <w:gridCol w:w="1531"/>
        <w:gridCol w:w="1320"/>
        <w:gridCol w:w="1032"/>
        <w:gridCol w:w="1755"/>
        <w:gridCol w:w="1757"/>
        <w:gridCol w:w="684"/>
        <w:gridCol w:w="332"/>
      </w:tblGrid>
      <w:tr w:rsidR="002E4C81" w:rsidRPr="00B568F3" w14:paraId="34CF5C65" w14:textId="77777777" w:rsidTr="00E976C7">
        <w:trPr>
          <w:gridAfter w:val="1"/>
          <w:wAfter w:w="332" w:type="dxa"/>
          <w:trHeight w:val="300"/>
        </w:trPr>
        <w:tc>
          <w:tcPr>
            <w:tcW w:w="9603" w:type="dxa"/>
            <w:gridSpan w:val="7"/>
            <w:tcBorders>
              <w:top w:val="nil"/>
              <w:left w:val="nil"/>
              <w:right w:val="nil"/>
            </w:tcBorders>
          </w:tcPr>
          <w:p w14:paraId="64553B43" w14:textId="77777777" w:rsidR="002E4C81" w:rsidRPr="00B568F3" w:rsidRDefault="002E4C81">
            <w:pPr>
              <w:pStyle w:val="ListParagraph"/>
              <w:ind w:left="0"/>
              <w:rPr>
                <w:rFonts w:ascii="Arial" w:eastAsia="Calibri" w:hAnsi="Arial" w:cs="Arial"/>
                <w:b/>
                <w:lang w:eastAsia="en-GB"/>
              </w:rPr>
            </w:pPr>
            <w:r w:rsidRPr="00B568F3">
              <w:rPr>
                <w:rFonts w:ascii="Arial" w:eastAsia="Calibri" w:hAnsi="Arial" w:cs="Arial"/>
                <w:b/>
                <w:lang w:eastAsia="en-GB"/>
              </w:rPr>
              <w:t>Build a digitally ready workforce</w:t>
            </w:r>
          </w:p>
        </w:tc>
      </w:tr>
      <w:tr w:rsidR="000B1078" w:rsidRPr="00B568F3" w14:paraId="443D647D" w14:textId="77777777" w:rsidTr="00E976C7">
        <w:trPr>
          <w:trHeight w:val="300"/>
        </w:trPr>
        <w:tc>
          <w:tcPr>
            <w:tcW w:w="1524" w:type="dxa"/>
          </w:tcPr>
          <w:p w14:paraId="12186D7B" w14:textId="77777777" w:rsidR="002E4C81" w:rsidRPr="00B568F3" w:rsidRDefault="002E4C81">
            <w:pPr>
              <w:pStyle w:val="ListParagraph"/>
              <w:ind w:left="0"/>
              <w:rPr>
                <w:rFonts w:ascii="Arial" w:eastAsia="Calibri" w:hAnsi="Arial" w:cs="Arial"/>
                <w:lang w:eastAsia="en-GB"/>
              </w:rPr>
            </w:pPr>
          </w:p>
        </w:tc>
        <w:tc>
          <w:tcPr>
            <w:tcW w:w="1531" w:type="dxa"/>
            <w:vAlign w:val="center"/>
          </w:tcPr>
          <w:p w14:paraId="4E2CB28B" w14:textId="77777777" w:rsidR="002E4C81" w:rsidRPr="00B568F3" w:rsidRDefault="002E4C81">
            <w:pPr>
              <w:pStyle w:val="ListParagraph"/>
              <w:ind w:left="0"/>
              <w:jc w:val="center"/>
              <w:rPr>
                <w:rFonts w:ascii="Arial" w:eastAsia="Calibri" w:hAnsi="Arial" w:cs="Arial"/>
                <w:b/>
                <w:bCs/>
                <w:lang w:eastAsia="en-GB"/>
              </w:rPr>
            </w:pPr>
            <w:r w:rsidRPr="00B568F3">
              <w:rPr>
                <w:rFonts w:ascii="Arial" w:eastAsia="Calibri" w:hAnsi="Arial" w:cs="Arial"/>
                <w:b/>
                <w:bCs/>
                <w:lang w:eastAsia="en-GB"/>
              </w:rPr>
              <w:t>SCWWDP grant spend</w:t>
            </w:r>
          </w:p>
        </w:tc>
        <w:tc>
          <w:tcPr>
            <w:tcW w:w="1320" w:type="dxa"/>
            <w:vAlign w:val="center"/>
          </w:tcPr>
          <w:p w14:paraId="23CA5471" w14:textId="77777777" w:rsidR="002E4C81" w:rsidRPr="00B568F3" w:rsidRDefault="002E4C81">
            <w:pPr>
              <w:pStyle w:val="ListParagraph"/>
              <w:ind w:left="0"/>
              <w:jc w:val="center"/>
              <w:rPr>
                <w:rFonts w:ascii="Arial" w:eastAsia="Calibri" w:hAnsi="Arial" w:cs="Arial"/>
                <w:b/>
                <w:bCs/>
                <w:lang w:eastAsia="en-GB"/>
              </w:rPr>
            </w:pPr>
            <w:r w:rsidRPr="00B568F3">
              <w:rPr>
                <w:rFonts w:ascii="Arial" w:eastAsia="Calibri" w:hAnsi="Arial" w:cs="Arial"/>
                <w:b/>
                <w:bCs/>
                <w:lang w:eastAsia="en-GB"/>
              </w:rPr>
              <w:t>% of SCWWDP grant</w:t>
            </w:r>
          </w:p>
        </w:tc>
        <w:tc>
          <w:tcPr>
            <w:tcW w:w="1032" w:type="dxa"/>
            <w:vAlign w:val="center"/>
          </w:tcPr>
          <w:p w14:paraId="241633A4" w14:textId="77777777" w:rsidR="002E4C81" w:rsidRPr="00B568F3" w:rsidRDefault="002E4C81">
            <w:pPr>
              <w:pStyle w:val="ListParagraph"/>
              <w:ind w:left="0"/>
              <w:jc w:val="center"/>
              <w:rPr>
                <w:rFonts w:ascii="Arial" w:eastAsia="Calibri" w:hAnsi="Arial" w:cs="Arial"/>
                <w:b/>
                <w:bCs/>
                <w:lang w:eastAsia="en-GB"/>
              </w:rPr>
            </w:pPr>
            <w:r w:rsidRPr="00B568F3">
              <w:rPr>
                <w:rFonts w:ascii="Arial" w:eastAsia="Calibri" w:hAnsi="Arial" w:cs="Arial"/>
                <w:b/>
                <w:bCs/>
                <w:lang w:eastAsia="en-GB"/>
              </w:rPr>
              <w:t>% change</w:t>
            </w:r>
          </w:p>
        </w:tc>
        <w:tc>
          <w:tcPr>
            <w:tcW w:w="1755" w:type="dxa"/>
            <w:vAlign w:val="center"/>
          </w:tcPr>
          <w:p w14:paraId="02C7E416" w14:textId="1CF6D7F5" w:rsidR="002E4C81" w:rsidRPr="00B568F3" w:rsidRDefault="002E4C81">
            <w:pPr>
              <w:pStyle w:val="ListParagraph"/>
              <w:ind w:left="0"/>
              <w:jc w:val="center"/>
              <w:rPr>
                <w:rFonts w:ascii="Arial" w:eastAsia="Calibri" w:hAnsi="Arial" w:cs="Arial"/>
                <w:b/>
                <w:bCs/>
                <w:lang w:eastAsia="en-GB"/>
              </w:rPr>
            </w:pPr>
            <w:r w:rsidRPr="00B568F3">
              <w:rPr>
                <w:rFonts w:ascii="Arial" w:eastAsia="Calibri" w:hAnsi="Arial" w:cs="Arial"/>
                <w:b/>
                <w:bCs/>
                <w:lang w:eastAsia="en-GB"/>
              </w:rPr>
              <w:t xml:space="preserve">Additional </w:t>
            </w:r>
            <w:r w:rsidR="0071621E" w:rsidRPr="00B568F3">
              <w:rPr>
                <w:rFonts w:ascii="Arial" w:eastAsia="Calibri" w:hAnsi="Arial" w:cs="Arial"/>
                <w:b/>
                <w:bCs/>
                <w:lang w:eastAsia="en-GB"/>
              </w:rPr>
              <w:t>local authority</w:t>
            </w:r>
            <w:r w:rsidRPr="00B568F3">
              <w:rPr>
                <w:rFonts w:ascii="Arial" w:eastAsia="Calibri" w:hAnsi="Arial" w:cs="Arial"/>
                <w:b/>
                <w:bCs/>
                <w:lang w:eastAsia="en-GB"/>
              </w:rPr>
              <w:t xml:space="preserve"> funding spend</w:t>
            </w:r>
          </w:p>
        </w:tc>
        <w:tc>
          <w:tcPr>
            <w:tcW w:w="1757" w:type="dxa"/>
            <w:vAlign w:val="center"/>
          </w:tcPr>
          <w:p w14:paraId="4985DABC" w14:textId="44C793A5" w:rsidR="002E4C81" w:rsidRPr="00B568F3" w:rsidRDefault="002E4C81">
            <w:pPr>
              <w:pStyle w:val="ListParagraph"/>
              <w:ind w:left="0"/>
              <w:jc w:val="center"/>
              <w:rPr>
                <w:rFonts w:ascii="Arial" w:eastAsia="Calibri" w:hAnsi="Arial" w:cs="Arial"/>
                <w:b/>
                <w:bCs/>
                <w:lang w:eastAsia="en-GB"/>
              </w:rPr>
            </w:pPr>
            <w:r w:rsidRPr="00B568F3">
              <w:rPr>
                <w:rFonts w:ascii="Arial" w:eastAsia="Calibri" w:hAnsi="Arial" w:cs="Arial"/>
                <w:b/>
                <w:bCs/>
                <w:lang w:eastAsia="en-GB"/>
              </w:rPr>
              <w:t xml:space="preserve">% of additional </w:t>
            </w:r>
            <w:r w:rsidR="0071621E" w:rsidRPr="00B568F3">
              <w:rPr>
                <w:rFonts w:ascii="Arial" w:eastAsia="Calibri" w:hAnsi="Arial" w:cs="Arial"/>
                <w:b/>
                <w:bCs/>
                <w:lang w:eastAsia="en-GB"/>
              </w:rPr>
              <w:t>local authority</w:t>
            </w:r>
            <w:r w:rsidRPr="00B568F3">
              <w:rPr>
                <w:rFonts w:ascii="Arial" w:eastAsia="Calibri" w:hAnsi="Arial" w:cs="Arial"/>
                <w:b/>
                <w:bCs/>
                <w:lang w:eastAsia="en-GB"/>
              </w:rPr>
              <w:t xml:space="preserve"> funding</w:t>
            </w:r>
          </w:p>
        </w:tc>
        <w:tc>
          <w:tcPr>
            <w:tcW w:w="1016" w:type="dxa"/>
            <w:gridSpan w:val="2"/>
            <w:vAlign w:val="center"/>
          </w:tcPr>
          <w:p w14:paraId="2F2547BA" w14:textId="77777777" w:rsidR="002E4C81" w:rsidRPr="00B568F3" w:rsidRDefault="002E4C81">
            <w:pPr>
              <w:pStyle w:val="ListParagraph"/>
              <w:ind w:left="0"/>
              <w:jc w:val="center"/>
              <w:rPr>
                <w:rFonts w:ascii="Arial" w:eastAsia="Calibri" w:hAnsi="Arial" w:cs="Arial"/>
                <w:b/>
                <w:bCs/>
                <w:lang w:eastAsia="en-GB"/>
              </w:rPr>
            </w:pPr>
            <w:r w:rsidRPr="00B568F3">
              <w:rPr>
                <w:rFonts w:ascii="Arial" w:eastAsia="Calibri" w:hAnsi="Arial" w:cs="Arial"/>
                <w:b/>
                <w:bCs/>
                <w:lang w:eastAsia="en-GB"/>
              </w:rPr>
              <w:t>% change</w:t>
            </w:r>
          </w:p>
        </w:tc>
      </w:tr>
      <w:tr w:rsidR="000B1078" w:rsidRPr="00B568F3" w14:paraId="684082DD" w14:textId="77777777" w:rsidTr="00E976C7">
        <w:trPr>
          <w:trHeight w:val="300"/>
        </w:trPr>
        <w:tc>
          <w:tcPr>
            <w:tcW w:w="1524" w:type="dxa"/>
            <w:vAlign w:val="center"/>
          </w:tcPr>
          <w:p w14:paraId="0244F8EA" w14:textId="77777777" w:rsidR="002E4C81" w:rsidRPr="00B568F3" w:rsidRDefault="002E4C81">
            <w:pPr>
              <w:pStyle w:val="ListParagraph"/>
              <w:ind w:left="0"/>
              <w:rPr>
                <w:rFonts w:ascii="Arial" w:eastAsia="Calibri" w:hAnsi="Arial" w:cs="Arial"/>
                <w:lang w:eastAsia="en-GB"/>
              </w:rPr>
            </w:pPr>
            <w:r w:rsidRPr="00B568F3">
              <w:rPr>
                <w:rFonts w:ascii="Arial" w:eastAsia="Calibri" w:hAnsi="Arial" w:cs="Arial"/>
                <w:b/>
                <w:bCs/>
                <w:lang w:eastAsia="en-GB"/>
              </w:rPr>
              <w:t>2023/2024</w:t>
            </w:r>
          </w:p>
        </w:tc>
        <w:tc>
          <w:tcPr>
            <w:tcW w:w="1531" w:type="dxa"/>
            <w:vAlign w:val="center"/>
          </w:tcPr>
          <w:p w14:paraId="2B0DD2E5"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£198,534</w:t>
            </w:r>
          </w:p>
        </w:tc>
        <w:tc>
          <w:tcPr>
            <w:tcW w:w="1320" w:type="dxa"/>
            <w:vAlign w:val="center"/>
          </w:tcPr>
          <w:p w14:paraId="4C606346"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1.8%</w:t>
            </w:r>
          </w:p>
        </w:tc>
        <w:tc>
          <w:tcPr>
            <w:tcW w:w="1032" w:type="dxa"/>
            <w:vAlign w:val="center"/>
          </w:tcPr>
          <w:p w14:paraId="28CD5B3C"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-5.3%</w:t>
            </w:r>
          </w:p>
        </w:tc>
        <w:tc>
          <w:tcPr>
            <w:tcW w:w="1755" w:type="dxa"/>
            <w:vAlign w:val="center"/>
          </w:tcPr>
          <w:p w14:paraId="6931C85D"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£17,464</w:t>
            </w:r>
          </w:p>
        </w:tc>
        <w:tc>
          <w:tcPr>
            <w:tcW w:w="1757" w:type="dxa"/>
            <w:vAlign w:val="center"/>
          </w:tcPr>
          <w:p w14:paraId="35E08123"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1.0%</w:t>
            </w:r>
          </w:p>
        </w:tc>
        <w:tc>
          <w:tcPr>
            <w:tcW w:w="1016" w:type="dxa"/>
            <w:gridSpan w:val="2"/>
            <w:vAlign w:val="center"/>
          </w:tcPr>
          <w:p w14:paraId="00C6DE08"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+12.7%</w:t>
            </w:r>
          </w:p>
        </w:tc>
      </w:tr>
      <w:tr w:rsidR="000B1078" w:rsidRPr="00B568F3" w14:paraId="1DC4E592" w14:textId="77777777" w:rsidTr="00E976C7">
        <w:trPr>
          <w:trHeight w:val="300"/>
        </w:trPr>
        <w:tc>
          <w:tcPr>
            <w:tcW w:w="1524" w:type="dxa"/>
            <w:vAlign w:val="center"/>
          </w:tcPr>
          <w:p w14:paraId="0DE94DB4" w14:textId="77777777" w:rsidR="002E4C81" w:rsidRPr="00B568F3" w:rsidRDefault="002E4C81">
            <w:pPr>
              <w:pStyle w:val="ListParagraph"/>
              <w:ind w:left="0"/>
              <w:rPr>
                <w:rFonts w:ascii="Arial" w:eastAsia="Calibri" w:hAnsi="Arial" w:cs="Arial"/>
                <w:lang w:eastAsia="en-GB"/>
              </w:rPr>
            </w:pPr>
            <w:r w:rsidRPr="00B568F3">
              <w:rPr>
                <w:rFonts w:ascii="Arial" w:eastAsia="Calibri" w:hAnsi="Arial" w:cs="Arial"/>
                <w:b/>
                <w:bCs/>
                <w:lang w:eastAsia="en-GB"/>
              </w:rPr>
              <w:t>2022/2023</w:t>
            </w:r>
          </w:p>
        </w:tc>
        <w:tc>
          <w:tcPr>
            <w:tcW w:w="1531" w:type="dxa"/>
            <w:vAlign w:val="center"/>
          </w:tcPr>
          <w:p w14:paraId="4A56A32B"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£209,710</w:t>
            </w:r>
          </w:p>
        </w:tc>
        <w:tc>
          <w:tcPr>
            <w:tcW w:w="1320" w:type="dxa"/>
            <w:vAlign w:val="center"/>
          </w:tcPr>
          <w:p w14:paraId="78BE8BF9"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2.1%</w:t>
            </w:r>
          </w:p>
        </w:tc>
        <w:tc>
          <w:tcPr>
            <w:tcW w:w="1032" w:type="dxa"/>
            <w:shd w:val="clear" w:color="auto" w:fill="BFBFBF" w:themeFill="background1" w:themeFillShade="BF"/>
            <w:vAlign w:val="center"/>
          </w:tcPr>
          <w:p w14:paraId="410CCA1D" w14:textId="77777777" w:rsidR="002E4C81" w:rsidRPr="00B568F3" w:rsidRDefault="002E4C81">
            <w:pPr>
              <w:pStyle w:val="ListParagraph"/>
              <w:ind w:left="0"/>
              <w:jc w:val="center"/>
              <w:rPr>
                <w:rFonts w:ascii="Arial" w:eastAsia="Calibri" w:hAnsi="Arial" w:cs="Arial"/>
                <w:lang w:eastAsia="en-GB"/>
              </w:rPr>
            </w:pPr>
          </w:p>
        </w:tc>
        <w:tc>
          <w:tcPr>
            <w:tcW w:w="1755" w:type="dxa"/>
            <w:vAlign w:val="center"/>
          </w:tcPr>
          <w:p w14:paraId="22B2A1B7"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£15,500</w:t>
            </w:r>
          </w:p>
        </w:tc>
        <w:tc>
          <w:tcPr>
            <w:tcW w:w="1757" w:type="dxa"/>
            <w:vAlign w:val="center"/>
          </w:tcPr>
          <w:p w14:paraId="39F2A187"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0.7%</w:t>
            </w:r>
          </w:p>
        </w:tc>
        <w:tc>
          <w:tcPr>
            <w:tcW w:w="1016" w:type="dxa"/>
            <w:gridSpan w:val="2"/>
            <w:shd w:val="clear" w:color="auto" w:fill="BFBFBF" w:themeFill="background1" w:themeFillShade="BF"/>
            <w:vAlign w:val="center"/>
          </w:tcPr>
          <w:p w14:paraId="2C2B8CCA" w14:textId="77777777" w:rsidR="002E4C81" w:rsidRPr="00B568F3" w:rsidRDefault="002E4C81">
            <w:pPr>
              <w:pStyle w:val="ListParagraph"/>
              <w:ind w:left="0"/>
              <w:jc w:val="center"/>
              <w:rPr>
                <w:rFonts w:ascii="Arial" w:eastAsia="Calibri" w:hAnsi="Arial" w:cs="Arial"/>
                <w:lang w:eastAsia="en-GB"/>
              </w:rPr>
            </w:pPr>
          </w:p>
        </w:tc>
      </w:tr>
      <w:tr w:rsidR="002E4C81" w:rsidRPr="00B568F3" w14:paraId="3200573A" w14:textId="77777777" w:rsidTr="00E976C7">
        <w:trPr>
          <w:gridAfter w:val="1"/>
          <w:wAfter w:w="332" w:type="dxa"/>
          <w:trHeight w:val="300"/>
        </w:trPr>
        <w:tc>
          <w:tcPr>
            <w:tcW w:w="9603" w:type="dxa"/>
            <w:gridSpan w:val="7"/>
            <w:tcBorders>
              <w:left w:val="nil"/>
              <w:bottom w:val="nil"/>
              <w:right w:val="nil"/>
            </w:tcBorders>
            <w:vAlign w:val="center"/>
          </w:tcPr>
          <w:p w14:paraId="25A7D0C2" w14:textId="77777777" w:rsidR="002E4C81" w:rsidRPr="00B568F3" w:rsidRDefault="002E4C81">
            <w:pPr>
              <w:pStyle w:val="ListParagraph"/>
              <w:ind w:left="0"/>
              <w:jc w:val="center"/>
              <w:rPr>
                <w:rFonts w:ascii="Arial" w:eastAsia="Calibri" w:hAnsi="Arial" w:cs="Arial"/>
                <w:lang w:eastAsia="en-GB"/>
              </w:rPr>
            </w:pPr>
          </w:p>
        </w:tc>
      </w:tr>
      <w:tr w:rsidR="002E4C81" w:rsidRPr="00B568F3" w14:paraId="0F463599" w14:textId="77777777" w:rsidTr="00E976C7">
        <w:trPr>
          <w:gridAfter w:val="1"/>
          <w:wAfter w:w="332" w:type="dxa"/>
          <w:trHeight w:val="300"/>
        </w:trPr>
        <w:tc>
          <w:tcPr>
            <w:tcW w:w="9603" w:type="dxa"/>
            <w:gridSpan w:val="7"/>
            <w:tcBorders>
              <w:top w:val="nil"/>
              <w:left w:val="nil"/>
              <w:right w:val="nil"/>
            </w:tcBorders>
            <w:vAlign w:val="center"/>
          </w:tcPr>
          <w:p w14:paraId="521F211D" w14:textId="77777777" w:rsidR="002E4C81" w:rsidRPr="00B568F3" w:rsidRDefault="002E4C81">
            <w:pPr>
              <w:pStyle w:val="ListParagraph"/>
              <w:ind w:left="0"/>
              <w:rPr>
                <w:rFonts w:ascii="Arial" w:eastAsia="Calibri" w:hAnsi="Arial" w:cs="Arial"/>
                <w:lang w:eastAsia="en-GB"/>
              </w:rPr>
            </w:pPr>
            <w:r w:rsidRPr="00B568F3">
              <w:rPr>
                <w:rFonts w:ascii="Arial" w:eastAsia="Calibri" w:hAnsi="Arial" w:cs="Arial"/>
                <w:b/>
                <w:lang w:eastAsia="en-GB"/>
              </w:rPr>
              <w:t>Excellent education and learning</w:t>
            </w:r>
          </w:p>
        </w:tc>
      </w:tr>
      <w:tr w:rsidR="000B1078" w:rsidRPr="00B568F3" w14:paraId="3FA61105" w14:textId="77777777" w:rsidTr="00E976C7">
        <w:trPr>
          <w:trHeight w:val="300"/>
        </w:trPr>
        <w:tc>
          <w:tcPr>
            <w:tcW w:w="1524" w:type="dxa"/>
          </w:tcPr>
          <w:p w14:paraId="1382DCD1" w14:textId="77777777" w:rsidR="002E4C81" w:rsidRPr="00B568F3" w:rsidRDefault="002E4C81">
            <w:pPr>
              <w:pStyle w:val="ListParagraph"/>
              <w:ind w:left="0"/>
              <w:rPr>
                <w:rFonts w:ascii="Arial" w:eastAsia="Calibri" w:hAnsi="Arial" w:cs="Arial"/>
                <w:lang w:eastAsia="en-GB"/>
              </w:rPr>
            </w:pPr>
          </w:p>
        </w:tc>
        <w:tc>
          <w:tcPr>
            <w:tcW w:w="1531" w:type="dxa"/>
            <w:vAlign w:val="center"/>
          </w:tcPr>
          <w:p w14:paraId="1E5DF42D"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SCWWDP grant spend</w:t>
            </w:r>
          </w:p>
        </w:tc>
        <w:tc>
          <w:tcPr>
            <w:tcW w:w="1320" w:type="dxa"/>
            <w:vAlign w:val="center"/>
          </w:tcPr>
          <w:p w14:paraId="156D294F"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of SCWWDP grant</w:t>
            </w:r>
          </w:p>
        </w:tc>
        <w:tc>
          <w:tcPr>
            <w:tcW w:w="1032" w:type="dxa"/>
            <w:vAlign w:val="center"/>
          </w:tcPr>
          <w:p w14:paraId="17D66FB4"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change</w:t>
            </w:r>
          </w:p>
        </w:tc>
        <w:tc>
          <w:tcPr>
            <w:tcW w:w="1755" w:type="dxa"/>
            <w:vAlign w:val="center"/>
          </w:tcPr>
          <w:p w14:paraId="1888021E" w14:textId="3777EFEB"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xml:space="preserve">Additional </w:t>
            </w:r>
            <w:r w:rsidR="00480EC6" w:rsidRPr="00B568F3">
              <w:rPr>
                <w:rFonts w:ascii="Arial" w:eastAsia="Calibri" w:hAnsi="Arial" w:cs="Arial"/>
                <w:b/>
                <w:bCs/>
                <w:lang w:eastAsia="en-GB"/>
              </w:rPr>
              <w:t>local authority</w:t>
            </w:r>
            <w:r w:rsidRPr="00B568F3">
              <w:rPr>
                <w:rFonts w:ascii="Arial" w:eastAsia="Calibri" w:hAnsi="Arial" w:cs="Arial"/>
                <w:b/>
                <w:bCs/>
                <w:lang w:eastAsia="en-GB"/>
              </w:rPr>
              <w:t xml:space="preserve"> funding spend</w:t>
            </w:r>
          </w:p>
        </w:tc>
        <w:tc>
          <w:tcPr>
            <w:tcW w:w="1757" w:type="dxa"/>
            <w:vAlign w:val="center"/>
          </w:tcPr>
          <w:p w14:paraId="34C5F571" w14:textId="0F3BCF15"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xml:space="preserve">% of additional </w:t>
            </w:r>
            <w:r w:rsidR="00480EC6" w:rsidRPr="00B568F3">
              <w:rPr>
                <w:rFonts w:ascii="Arial" w:eastAsia="Calibri" w:hAnsi="Arial" w:cs="Arial"/>
                <w:b/>
                <w:bCs/>
                <w:lang w:eastAsia="en-GB"/>
              </w:rPr>
              <w:t>local authority</w:t>
            </w:r>
            <w:r w:rsidRPr="00B568F3">
              <w:rPr>
                <w:rFonts w:ascii="Arial" w:eastAsia="Calibri" w:hAnsi="Arial" w:cs="Arial"/>
                <w:b/>
                <w:bCs/>
                <w:lang w:eastAsia="en-GB"/>
              </w:rPr>
              <w:t xml:space="preserve"> funding</w:t>
            </w:r>
          </w:p>
        </w:tc>
        <w:tc>
          <w:tcPr>
            <w:tcW w:w="1016" w:type="dxa"/>
            <w:gridSpan w:val="2"/>
            <w:vAlign w:val="center"/>
          </w:tcPr>
          <w:p w14:paraId="2965C0E6"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change</w:t>
            </w:r>
          </w:p>
        </w:tc>
      </w:tr>
      <w:tr w:rsidR="000B1078" w:rsidRPr="00B568F3" w14:paraId="61757007" w14:textId="77777777" w:rsidTr="00E976C7">
        <w:trPr>
          <w:trHeight w:val="300"/>
        </w:trPr>
        <w:tc>
          <w:tcPr>
            <w:tcW w:w="1524" w:type="dxa"/>
          </w:tcPr>
          <w:p w14:paraId="60E7C202" w14:textId="77777777" w:rsidR="002E4C81" w:rsidRPr="00B568F3" w:rsidRDefault="002E4C81">
            <w:pPr>
              <w:pStyle w:val="ListParagraph"/>
              <w:ind w:left="0"/>
              <w:rPr>
                <w:rFonts w:ascii="Arial" w:eastAsia="Calibri" w:hAnsi="Arial" w:cs="Arial"/>
                <w:lang w:eastAsia="en-GB"/>
              </w:rPr>
            </w:pPr>
            <w:r w:rsidRPr="00B568F3">
              <w:rPr>
                <w:rFonts w:ascii="Arial" w:eastAsia="Calibri" w:hAnsi="Arial" w:cs="Arial"/>
                <w:b/>
                <w:bCs/>
                <w:lang w:eastAsia="en-GB"/>
              </w:rPr>
              <w:t>2023/2024</w:t>
            </w:r>
          </w:p>
        </w:tc>
        <w:tc>
          <w:tcPr>
            <w:tcW w:w="1531" w:type="dxa"/>
          </w:tcPr>
          <w:p w14:paraId="360AB4B9"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£1,397,797</w:t>
            </w:r>
          </w:p>
        </w:tc>
        <w:tc>
          <w:tcPr>
            <w:tcW w:w="1320" w:type="dxa"/>
          </w:tcPr>
          <w:p w14:paraId="53C3E98F"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12.8%</w:t>
            </w:r>
          </w:p>
        </w:tc>
        <w:tc>
          <w:tcPr>
            <w:tcW w:w="1032" w:type="dxa"/>
          </w:tcPr>
          <w:p w14:paraId="1DE3F050"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+17.8%</w:t>
            </w:r>
          </w:p>
        </w:tc>
        <w:tc>
          <w:tcPr>
            <w:tcW w:w="1755" w:type="dxa"/>
          </w:tcPr>
          <w:p w14:paraId="4C86ECFA"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£266,321</w:t>
            </w:r>
          </w:p>
        </w:tc>
        <w:tc>
          <w:tcPr>
            <w:tcW w:w="1757" w:type="dxa"/>
          </w:tcPr>
          <w:p w14:paraId="6F3E0A56"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15.0%</w:t>
            </w:r>
          </w:p>
        </w:tc>
        <w:tc>
          <w:tcPr>
            <w:tcW w:w="1016" w:type="dxa"/>
            <w:gridSpan w:val="2"/>
          </w:tcPr>
          <w:p w14:paraId="3A1F6513"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-28.4%</w:t>
            </w:r>
          </w:p>
        </w:tc>
      </w:tr>
      <w:tr w:rsidR="000B1078" w:rsidRPr="00B568F3" w14:paraId="57FE48AA" w14:textId="77777777" w:rsidTr="00E976C7">
        <w:trPr>
          <w:trHeight w:val="300"/>
        </w:trPr>
        <w:tc>
          <w:tcPr>
            <w:tcW w:w="1524" w:type="dxa"/>
          </w:tcPr>
          <w:p w14:paraId="7157AC7C" w14:textId="77777777" w:rsidR="002E4C81" w:rsidRPr="00B568F3" w:rsidRDefault="002E4C81">
            <w:pPr>
              <w:pStyle w:val="ListParagraph"/>
              <w:ind w:left="0"/>
              <w:rPr>
                <w:rFonts w:ascii="Arial" w:eastAsia="Calibri" w:hAnsi="Arial" w:cs="Arial"/>
                <w:lang w:eastAsia="en-GB"/>
              </w:rPr>
            </w:pPr>
            <w:r w:rsidRPr="00B568F3">
              <w:rPr>
                <w:rFonts w:ascii="Arial" w:eastAsia="Calibri" w:hAnsi="Arial" w:cs="Arial"/>
                <w:b/>
                <w:bCs/>
                <w:lang w:eastAsia="en-GB"/>
              </w:rPr>
              <w:t>2022/2023</w:t>
            </w:r>
          </w:p>
        </w:tc>
        <w:tc>
          <w:tcPr>
            <w:tcW w:w="1531" w:type="dxa"/>
          </w:tcPr>
          <w:p w14:paraId="4B80F91F"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£1,186,963</w:t>
            </w:r>
          </w:p>
        </w:tc>
        <w:tc>
          <w:tcPr>
            <w:tcW w:w="1320" w:type="dxa"/>
          </w:tcPr>
          <w:p w14:paraId="2DE1FFA4"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11.6%</w:t>
            </w:r>
          </w:p>
        </w:tc>
        <w:tc>
          <w:tcPr>
            <w:tcW w:w="1032" w:type="dxa"/>
            <w:shd w:val="clear" w:color="auto" w:fill="BFBFBF" w:themeFill="background1" w:themeFillShade="BF"/>
          </w:tcPr>
          <w:p w14:paraId="52190733" w14:textId="77777777" w:rsidR="002E4C81" w:rsidRPr="00B568F3" w:rsidRDefault="002E4C81">
            <w:pPr>
              <w:pStyle w:val="ListParagraph"/>
              <w:ind w:left="0"/>
              <w:jc w:val="center"/>
              <w:rPr>
                <w:rFonts w:ascii="Arial" w:eastAsia="Calibri" w:hAnsi="Arial" w:cs="Arial"/>
                <w:lang w:eastAsia="en-GB"/>
              </w:rPr>
            </w:pPr>
          </w:p>
        </w:tc>
        <w:tc>
          <w:tcPr>
            <w:tcW w:w="1755" w:type="dxa"/>
          </w:tcPr>
          <w:p w14:paraId="25361A74"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£371,891</w:t>
            </w:r>
          </w:p>
        </w:tc>
        <w:tc>
          <w:tcPr>
            <w:tcW w:w="1757" w:type="dxa"/>
          </w:tcPr>
          <w:p w14:paraId="27A18F56"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16.4%</w:t>
            </w:r>
          </w:p>
        </w:tc>
        <w:tc>
          <w:tcPr>
            <w:tcW w:w="1016" w:type="dxa"/>
            <w:gridSpan w:val="2"/>
            <w:shd w:val="clear" w:color="auto" w:fill="BFBFBF" w:themeFill="background1" w:themeFillShade="BF"/>
          </w:tcPr>
          <w:p w14:paraId="7C049CBF" w14:textId="77777777" w:rsidR="002E4C81" w:rsidRPr="00B568F3" w:rsidRDefault="002E4C81">
            <w:pPr>
              <w:pStyle w:val="ListParagraph"/>
              <w:ind w:left="0"/>
              <w:jc w:val="center"/>
              <w:rPr>
                <w:rFonts w:ascii="Arial" w:eastAsia="Calibri" w:hAnsi="Arial" w:cs="Arial"/>
                <w:lang w:eastAsia="en-GB"/>
              </w:rPr>
            </w:pPr>
          </w:p>
        </w:tc>
      </w:tr>
      <w:tr w:rsidR="002E4C81" w:rsidRPr="00B568F3" w14:paraId="363B3FB3" w14:textId="77777777" w:rsidTr="00E976C7">
        <w:trPr>
          <w:gridAfter w:val="1"/>
          <w:wAfter w:w="332" w:type="dxa"/>
          <w:trHeight w:val="300"/>
        </w:trPr>
        <w:tc>
          <w:tcPr>
            <w:tcW w:w="9603" w:type="dxa"/>
            <w:gridSpan w:val="7"/>
            <w:tcBorders>
              <w:left w:val="nil"/>
              <w:bottom w:val="nil"/>
              <w:right w:val="nil"/>
            </w:tcBorders>
            <w:vAlign w:val="center"/>
          </w:tcPr>
          <w:p w14:paraId="51369692" w14:textId="77777777" w:rsidR="002E4C81" w:rsidRPr="00B568F3" w:rsidRDefault="002E4C81">
            <w:pPr>
              <w:pStyle w:val="ListParagraph"/>
              <w:ind w:left="0"/>
              <w:jc w:val="center"/>
              <w:rPr>
                <w:rFonts w:ascii="Arial" w:eastAsia="Calibri" w:hAnsi="Arial" w:cs="Arial"/>
                <w:lang w:eastAsia="en-GB"/>
              </w:rPr>
            </w:pPr>
          </w:p>
        </w:tc>
      </w:tr>
      <w:tr w:rsidR="002E4C81" w:rsidRPr="00B568F3" w14:paraId="2B38F696" w14:textId="77777777" w:rsidTr="00E976C7">
        <w:trPr>
          <w:gridAfter w:val="1"/>
          <w:wAfter w:w="332" w:type="dxa"/>
          <w:trHeight w:val="300"/>
        </w:trPr>
        <w:tc>
          <w:tcPr>
            <w:tcW w:w="9603" w:type="dxa"/>
            <w:gridSpan w:val="7"/>
            <w:tcBorders>
              <w:top w:val="nil"/>
              <w:left w:val="nil"/>
              <w:right w:val="nil"/>
            </w:tcBorders>
            <w:vAlign w:val="center"/>
          </w:tcPr>
          <w:p w14:paraId="1A0775A5" w14:textId="05742F76" w:rsidR="002E4C81" w:rsidRPr="00B568F3" w:rsidRDefault="002E4C81">
            <w:pPr>
              <w:pStyle w:val="ListParagraph"/>
              <w:ind w:left="0"/>
              <w:rPr>
                <w:rFonts w:ascii="Arial" w:eastAsia="Calibri" w:hAnsi="Arial" w:cs="Arial"/>
                <w:lang w:eastAsia="en-GB"/>
              </w:rPr>
            </w:pPr>
            <w:r w:rsidRPr="00B568F3">
              <w:rPr>
                <w:rFonts w:ascii="Arial" w:eastAsia="Calibri" w:hAnsi="Arial" w:cs="Arial"/>
                <w:b/>
                <w:bCs/>
                <w:lang w:eastAsia="en-GB"/>
              </w:rPr>
              <w:t xml:space="preserve">Qualifying and </w:t>
            </w:r>
            <w:r w:rsidR="00A92597" w:rsidRPr="00B568F3">
              <w:rPr>
                <w:rFonts w:ascii="Arial" w:eastAsia="Calibri" w:hAnsi="Arial" w:cs="Arial"/>
                <w:b/>
                <w:bCs/>
                <w:lang w:eastAsia="en-GB"/>
              </w:rPr>
              <w:t>p</w:t>
            </w:r>
            <w:r w:rsidRPr="00B568F3">
              <w:rPr>
                <w:rFonts w:ascii="Arial" w:eastAsia="Calibri" w:hAnsi="Arial" w:cs="Arial"/>
                <w:b/>
                <w:bCs/>
                <w:lang w:eastAsia="en-GB"/>
              </w:rPr>
              <w:t xml:space="preserve">ost </w:t>
            </w:r>
            <w:r w:rsidR="00A92597" w:rsidRPr="00B568F3">
              <w:rPr>
                <w:rFonts w:ascii="Arial" w:eastAsia="Calibri" w:hAnsi="Arial" w:cs="Arial"/>
                <w:b/>
                <w:bCs/>
                <w:lang w:eastAsia="en-GB"/>
              </w:rPr>
              <w:t>q</w:t>
            </w:r>
            <w:r w:rsidRPr="00B568F3">
              <w:rPr>
                <w:rFonts w:ascii="Arial" w:eastAsia="Calibri" w:hAnsi="Arial" w:cs="Arial"/>
                <w:b/>
                <w:bCs/>
                <w:lang w:eastAsia="en-GB"/>
              </w:rPr>
              <w:t xml:space="preserve">ualifying </w:t>
            </w:r>
            <w:r w:rsidR="00A92597" w:rsidRPr="00B568F3">
              <w:rPr>
                <w:rFonts w:ascii="Arial" w:eastAsia="Calibri" w:hAnsi="Arial" w:cs="Arial"/>
                <w:b/>
                <w:bCs/>
                <w:lang w:eastAsia="en-GB"/>
              </w:rPr>
              <w:t>s</w:t>
            </w:r>
            <w:r w:rsidRPr="00B568F3">
              <w:rPr>
                <w:rFonts w:ascii="Arial" w:eastAsia="Calibri" w:hAnsi="Arial" w:cs="Arial"/>
                <w:b/>
                <w:bCs/>
                <w:lang w:eastAsia="en-GB"/>
              </w:rPr>
              <w:t xml:space="preserve">ocial </w:t>
            </w:r>
            <w:r w:rsidR="00A92597" w:rsidRPr="00B568F3">
              <w:rPr>
                <w:rFonts w:ascii="Arial" w:eastAsia="Calibri" w:hAnsi="Arial" w:cs="Arial"/>
                <w:b/>
                <w:bCs/>
                <w:lang w:eastAsia="en-GB"/>
              </w:rPr>
              <w:t>w</w:t>
            </w:r>
            <w:r w:rsidRPr="00B568F3">
              <w:rPr>
                <w:rFonts w:ascii="Arial" w:eastAsia="Calibri" w:hAnsi="Arial" w:cs="Arial"/>
                <w:b/>
                <w:bCs/>
                <w:lang w:eastAsia="en-GB"/>
              </w:rPr>
              <w:t xml:space="preserve">ork </w:t>
            </w:r>
            <w:r w:rsidR="00A92597" w:rsidRPr="00B568F3">
              <w:rPr>
                <w:rFonts w:ascii="Arial" w:eastAsia="Calibri" w:hAnsi="Arial" w:cs="Arial"/>
                <w:b/>
                <w:bCs/>
                <w:lang w:eastAsia="en-GB"/>
              </w:rPr>
              <w:t>a</w:t>
            </w:r>
            <w:r w:rsidRPr="00B568F3">
              <w:rPr>
                <w:rFonts w:ascii="Arial" w:eastAsia="Calibri" w:hAnsi="Arial" w:cs="Arial"/>
                <w:b/>
                <w:bCs/>
                <w:lang w:eastAsia="en-GB"/>
              </w:rPr>
              <w:t>wards</w:t>
            </w:r>
          </w:p>
        </w:tc>
      </w:tr>
      <w:tr w:rsidR="000B1078" w:rsidRPr="00B568F3" w14:paraId="5DC3D5AE" w14:textId="77777777" w:rsidTr="00E976C7">
        <w:trPr>
          <w:trHeight w:val="300"/>
        </w:trPr>
        <w:tc>
          <w:tcPr>
            <w:tcW w:w="1524" w:type="dxa"/>
          </w:tcPr>
          <w:p w14:paraId="4358A272" w14:textId="77777777" w:rsidR="002E4C81" w:rsidRPr="00B568F3" w:rsidRDefault="002E4C81">
            <w:pPr>
              <w:pStyle w:val="ListParagraph"/>
              <w:ind w:left="0"/>
              <w:rPr>
                <w:rFonts w:ascii="Arial" w:eastAsia="Calibri" w:hAnsi="Arial" w:cs="Arial"/>
                <w:lang w:eastAsia="en-GB"/>
              </w:rPr>
            </w:pPr>
          </w:p>
        </w:tc>
        <w:tc>
          <w:tcPr>
            <w:tcW w:w="1531" w:type="dxa"/>
            <w:vAlign w:val="center"/>
          </w:tcPr>
          <w:p w14:paraId="3A5CD3F8"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SCWWDP grant spend</w:t>
            </w:r>
          </w:p>
        </w:tc>
        <w:tc>
          <w:tcPr>
            <w:tcW w:w="1320" w:type="dxa"/>
            <w:vAlign w:val="center"/>
          </w:tcPr>
          <w:p w14:paraId="163CA1CB"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of SCWWDP grant</w:t>
            </w:r>
          </w:p>
        </w:tc>
        <w:tc>
          <w:tcPr>
            <w:tcW w:w="1032" w:type="dxa"/>
            <w:vAlign w:val="center"/>
          </w:tcPr>
          <w:p w14:paraId="2F17B446"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change</w:t>
            </w:r>
          </w:p>
        </w:tc>
        <w:tc>
          <w:tcPr>
            <w:tcW w:w="1755" w:type="dxa"/>
            <w:vAlign w:val="center"/>
          </w:tcPr>
          <w:p w14:paraId="3B6BBEDE" w14:textId="554D65D5"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xml:space="preserve">Additional </w:t>
            </w:r>
            <w:r w:rsidR="00A92597" w:rsidRPr="00B568F3">
              <w:rPr>
                <w:rFonts w:ascii="Arial" w:eastAsia="Calibri" w:hAnsi="Arial" w:cs="Arial"/>
                <w:b/>
                <w:bCs/>
                <w:lang w:eastAsia="en-GB"/>
              </w:rPr>
              <w:t>local authority</w:t>
            </w:r>
            <w:r w:rsidRPr="00B568F3">
              <w:rPr>
                <w:rFonts w:ascii="Arial" w:eastAsia="Calibri" w:hAnsi="Arial" w:cs="Arial"/>
                <w:b/>
                <w:bCs/>
                <w:lang w:eastAsia="en-GB"/>
              </w:rPr>
              <w:t xml:space="preserve"> funding spend</w:t>
            </w:r>
          </w:p>
        </w:tc>
        <w:tc>
          <w:tcPr>
            <w:tcW w:w="1757" w:type="dxa"/>
            <w:vAlign w:val="center"/>
          </w:tcPr>
          <w:p w14:paraId="2F861188" w14:textId="15487D6A"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xml:space="preserve">% of additional </w:t>
            </w:r>
            <w:r w:rsidR="002364D0" w:rsidRPr="00B568F3">
              <w:rPr>
                <w:rFonts w:ascii="Arial" w:eastAsia="Calibri" w:hAnsi="Arial" w:cs="Arial"/>
                <w:b/>
                <w:bCs/>
                <w:lang w:eastAsia="en-GB"/>
              </w:rPr>
              <w:t>local authority</w:t>
            </w:r>
            <w:r w:rsidRPr="00B568F3">
              <w:rPr>
                <w:rFonts w:ascii="Arial" w:eastAsia="Calibri" w:hAnsi="Arial" w:cs="Arial"/>
                <w:b/>
                <w:bCs/>
                <w:lang w:eastAsia="en-GB"/>
              </w:rPr>
              <w:t xml:space="preserve"> funding</w:t>
            </w:r>
          </w:p>
        </w:tc>
        <w:tc>
          <w:tcPr>
            <w:tcW w:w="1016" w:type="dxa"/>
            <w:gridSpan w:val="2"/>
            <w:vAlign w:val="center"/>
          </w:tcPr>
          <w:p w14:paraId="455B61CD"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change</w:t>
            </w:r>
          </w:p>
        </w:tc>
      </w:tr>
      <w:tr w:rsidR="000B1078" w:rsidRPr="00B568F3" w14:paraId="76C3F28D" w14:textId="77777777" w:rsidTr="00E976C7">
        <w:trPr>
          <w:trHeight w:val="300"/>
        </w:trPr>
        <w:tc>
          <w:tcPr>
            <w:tcW w:w="1524" w:type="dxa"/>
          </w:tcPr>
          <w:p w14:paraId="3CE956BE" w14:textId="77777777" w:rsidR="002E4C81" w:rsidRPr="00B568F3" w:rsidRDefault="002E4C81">
            <w:pPr>
              <w:pStyle w:val="ListParagraph"/>
              <w:ind w:left="0"/>
              <w:rPr>
                <w:rFonts w:ascii="Arial" w:eastAsia="Calibri" w:hAnsi="Arial" w:cs="Arial"/>
                <w:lang w:eastAsia="en-GB"/>
              </w:rPr>
            </w:pPr>
            <w:r w:rsidRPr="00B568F3">
              <w:rPr>
                <w:rFonts w:ascii="Arial" w:eastAsia="Calibri" w:hAnsi="Arial" w:cs="Arial"/>
                <w:b/>
                <w:bCs/>
                <w:lang w:eastAsia="en-GB"/>
              </w:rPr>
              <w:t>2023/2024</w:t>
            </w:r>
          </w:p>
        </w:tc>
        <w:tc>
          <w:tcPr>
            <w:tcW w:w="1531" w:type="dxa"/>
          </w:tcPr>
          <w:p w14:paraId="5EB18B64"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£1,146,467</w:t>
            </w:r>
          </w:p>
        </w:tc>
        <w:tc>
          <w:tcPr>
            <w:tcW w:w="1320" w:type="dxa"/>
          </w:tcPr>
          <w:p w14:paraId="5C3D6965"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10.5%</w:t>
            </w:r>
          </w:p>
        </w:tc>
        <w:tc>
          <w:tcPr>
            <w:tcW w:w="1032" w:type="dxa"/>
          </w:tcPr>
          <w:p w14:paraId="3B014160"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+21.0%</w:t>
            </w:r>
          </w:p>
        </w:tc>
        <w:tc>
          <w:tcPr>
            <w:tcW w:w="1755" w:type="dxa"/>
          </w:tcPr>
          <w:p w14:paraId="3A35D91E"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£229,677</w:t>
            </w:r>
          </w:p>
        </w:tc>
        <w:tc>
          <w:tcPr>
            <w:tcW w:w="1757" w:type="dxa"/>
          </w:tcPr>
          <w:p w14:paraId="3ED71430"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12.9%</w:t>
            </w:r>
          </w:p>
        </w:tc>
        <w:tc>
          <w:tcPr>
            <w:tcW w:w="1016" w:type="dxa"/>
            <w:gridSpan w:val="2"/>
          </w:tcPr>
          <w:p w14:paraId="5C2E496E"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+71.9%</w:t>
            </w:r>
          </w:p>
        </w:tc>
      </w:tr>
      <w:tr w:rsidR="000B1078" w:rsidRPr="00B568F3" w14:paraId="540527EF" w14:textId="77777777" w:rsidTr="00E976C7">
        <w:trPr>
          <w:trHeight w:val="300"/>
        </w:trPr>
        <w:tc>
          <w:tcPr>
            <w:tcW w:w="1524" w:type="dxa"/>
          </w:tcPr>
          <w:p w14:paraId="563CF326" w14:textId="77777777" w:rsidR="002E4C81" w:rsidRPr="00B568F3" w:rsidRDefault="002E4C81">
            <w:pPr>
              <w:pStyle w:val="ListParagraph"/>
              <w:ind w:left="0"/>
              <w:rPr>
                <w:rFonts w:ascii="Arial" w:eastAsia="Calibri" w:hAnsi="Arial" w:cs="Arial"/>
                <w:lang w:eastAsia="en-GB"/>
              </w:rPr>
            </w:pPr>
            <w:r w:rsidRPr="00B568F3">
              <w:rPr>
                <w:rFonts w:ascii="Arial" w:eastAsia="Calibri" w:hAnsi="Arial" w:cs="Arial"/>
                <w:b/>
                <w:bCs/>
                <w:lang w:eastAsia="en-GB"/>
              </w:rPr>
              <w:t>2022/2023</w:t>
            </w:r>
          </w:p>
        </w:tc>
        <w:tc>
          <w:tcPr>
            <w:tcW w:w="1531" w:type="dxa"/>
          </w:tcPr>
          <w:p w14:paraId="7B48D03E"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£947,860</w:t>
            </w:r>
          </w:p>
        </w:tc>
        <w:tc>
          <w:tcPr>
            <w:tcW w:w="1320" w:type="dxa"/>
          </w:tcPr>
          <w:p w14:paraId="3369D9C1"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9.3%</w:t>
            </w:r>
          </w:p>
        </w:tc>
        <w:tc>
          <w:tcPr>
            <w:tcW w:w="1032" w:type="dxa"/>
            <w:shd w:val="clear" w:color="auto" w:fill="BFBFBF" w:themeFill="background1" w:themeFillShade="BF"/>
          </w:tcPr>
          <w:p w14:paraId="7ED38512" w14:textId="77777777" w:rsidR="002E4C81" w:rsidRPr="00B568F3" w:rsidRDefault="002E4C81">
            <w:pPr>
              <w:pStyle w:val="ListParagraph"/>
              <w:ind w:left="0"/>
              <w:jc w:val="center"/>
              <w:rPr>
                <w:rFonts w:ascii="Arial" w:eastAsia="Calibri" w:hAnsi="Arial" w:cs="Arial"/>
                <w:lang w:eastAsia="en-GB"/>
              </w:rPr>
            </w:pPr>
          </w:p>
        </w:tc>
        <w:tc>
          <w:tcPr>
            <w:tcW w:w="1755" w:type="dxa"/>
          </w:tcPr>
          <w:p w14:paraId="13A4FA14"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£133,585</w:t>
            </w:r>
          </w:p>
        </w:tc>
        <w:tc>
          <w:tcPr>
            <w:tcW w:w="1757" w:type="dxa"/>
          </w:tcPr>
          <w:p w14:paraId="3B1A9287"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5.9%</w:t>
            </w:r>
          </w:p>
        </w:tc>
        <w:tc>
          <w:tcPr>
            <w:tcW w:w="1016" w:type="dxa"/>
            <w:gridSpan w:val="2"/>
            <w:shd w:val="clear" w:color="auto" w:fill="BFBFBF" w:themeFill="background1" w:themeFillShade="BF"/>
          </w:tcPr>
          <w:p w14:paraId="057426E7" w14:textId="77777777" w:rsidR="002E4C81" w:rsidRPr="00B568F3" w:rsidRDefault="002E4C81">
            <w:pPr>
              <w:pStyle w:val="ListParagraph"/>
              <w:ind w:left="0"/>
              <w:jc w:val="center"/>
              <w:rPr>
                <w:rFonts w:ascii="Arial" w:eastAsia="Calibri" w:hAnsi="Arial" w:cs="Arial"/>
                <w:lang w:eastAsia="en-GB"/>
              </w:rPr>
            </w:pPr>
          </w:p>
        </w:tc>
      </w:tr>
      <w:tr w:rsidR="002E4C81" w:rsidRPr="00B568F3" w14:paraId="16BDEBB7" w14:textId="77777777" w:rsidTr="00E976C7">
        <w:trPr>
          <w:gridAfter w:val="1"/>
          <w:wAfter w:w="332" w:type="dxa"/>
          <w:trHeight w:val="300"/>
        </w:trPr>
        <w:tc>
          <w:tcPr>
            <w:tcW w:w="9603" w:type="dxa"/>
            <w:gridSpan w:val="7"/>
            <w:tcBorders>
              <w:left w:val="nil"/>
              <w:bottom w:val="nil"/>
              <w:right w:val="nil"/>
            </w:tcBorders>
            <w:vAlign w:val="center"/>
          </w:tcPr>
          <w:p w14:paraId="64D9E89E" w14:textId="77777777" w:rsidR="002E4C81" w:rsidRPr="00B568F3" w:rsidRDefault="002E4C81">
            <w:pPr>
              <w:pStyle w:val="ListParagraph"/>
              <w:ind w:left="0"/>
              <w:jc w:val="center"/>
              <w:rPr>
                <w:rFonts w:ascii="Arial" w:eastAsia="Calibri" w:hAnsi="Arial" w:cs="Arial"/>
                <w:lang w:eastAsia="en-GB"/>
              </w:rPr>
            </w:pPr>
          </w:p>
        </w:tc>
      </w:tr>
      <w:tr w:rsidR="002E4C81" w:rsidRPr="00B568F3" w14:paraId="52E47B38" w14:textId="77777777" w:rsidTr="00E976C7">
        <w:trPr>
          <w:gridAfter w:val="1"/>
          <w:wAfter w:w="332" w:type="dxa"/>
          <w:trHeight w:val="300"/>
        </w:trPr>
        <w:tc>
          <w:tcPr>
            <w:tcW w:w="9603" w:type="dxa"/>
            <w:gridSpan w:val="7"/>
            <w:tcBorders>
              <w:top w:val="nil"/>
              <w:left w:val="nil"/>
              <w:right w:val="nil"/>
            </w:tcBorders>
            <w:vAlign w:val="center"/>
          </w:tcPr>
          <w:p w14:paraId="0F0877B1" w14:textId="77777777" w:rsidR="002E4C81" w:rsidRPr="00B568F3" w:rsidRDefault="002E4C81">
            <w:pPr>
              <w:pStyle w:val="ListParagraph"/>
              <w:ind w:left="0"/>
              <w:rPr>
                <w:rFonts w:ascii="Arial" w:eastAsia="Calibri" w:hAnsi="Arial" w:cs="Arial"/>
                <w:lang w:eastAsia="en-GB"/>
              </w:rPr>
            </w:pPr>
            <w:r w:rsidRPr="00B568F3">
              <w:rPr>
                <w:rFonts w:ascii="Arial" w:eastAsia="Calibri" w:hAnsi="Arial" w:cs="Arial"/>
                <w:b/>
                <w:bCs/>
                <w:lang w:eastAsia="en-GB"/>
              </w:rPr>
              <w:t>Leadership and succession</w:t>
            </w:r>
          </w:p>
        </w:tc>
      </w:tr>
      <w:tr w:rsidR="000B1078" w:rsidRPr="00B568F3" w14:paraId="33A45057" w14:textId="77777777" w:rsidTr="00E976C7">
        <w:trPr>
          <w:trHeight w:val="300"/>
        </w:trPr>
        <w:tc>
          <w:tcPr>
            <w:tcW w:w="1524" w:type="dxa"/>
          </w:tcPr>
          <w:p w14:paraId="2257FCD8" w14:textId="77777777" w:rsidR="002E4C81" w:rsidRPr="00B568F3" w:rsidRDefault="002E4C81">
            <w:pPr>
              <w:pStyle w:val="ListParagraph"/>
              <w:ind w:left="0"/>
              <w:rPr>
                <w:rFonts w:ascii="Arial" w:eastAsia="Calibri" w:hAnsi="Arial" w:cs="Arial"/>
                <w:lang w:eastAsia="en-GB"/>
              </w:rPr>
            </w:pPr>
          </w:p>
        </w:tc>
        <w:tc>
          <w:tcPr>
            <w:tcW w:w="1531" w:type="dxa"/>
            <w:vAlign w:val="center"/>
          </w:tcPr>
          <w:p w14:paraId="248BBAB8"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SCWWDP grant spend</w:t>
            </w:r>
          </w:p>
        </w:tc>
        <w:tc>
          <w:tcPr>
            <w:tcW w:w="1320" w:type="dxa"/>
            <w:vAlign w:val="center"/>
          </w:tcPr>
          <w:p w14:paraId="1F86ECED"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of SCWWDP grant</w:t>
            </w:r>
          </w:p>
        </w:tc>
        <w:tc>
          <w:tcPr>
            <w:tcW w:w="1032" w:type="dxa"/>
            <w:vAlign w:val="center"/>
          </w:tcPr>
          <w:p w14:paraId="163C0FE6"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change</w:t>
            </w:r>
          </w:p>
        </w:tc>
        <w:tc>
          <w:tcPr>
            <w:tcW w:w="1755" w:type="dxa"/>
            <w:vAlign w:val="center"/>
          </w:tcPr>
          <w:p w14:paraId="193AAF31" w14:textId="1900079A"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xml:space="preserve">Additional </w:t>
            </w:r>
            <w:r w:rsidR="002364D0" w:rsidRPr="00B568F3">
              <w:rPr>
                <w:rFonts w:ascii="Arial" w:eastAsia="Calibri" w:hAnsi="Arial" w:cs="Arial"/>
                <w:b/>
                <w:bCs/>
                <w:lang w:eastAsia="en-GB"/>
              </w:rPr>
              <w:t>local authority</w:t>
            </w:r>
            <w:r w:rsidRPr="00B568F3">
              <w:rPr>
                <w:rFonts w:ascii="Arial" w:eastAsia="Calibri" w:hAnsi="Arial" w:cs="Arial"/>
                <w:b/>
                <w:bCs/>
                <w:lang w:eastAsia="en-GB"/>
              </w:rPr>
              <w:t xml:space="preserve"> funding spend</w:t>
            </w:r>
          </w:p>
        </w:tc>
        <w:tc>
          <w:tcPr>
            <w:tcW w:w="1757" w:type="dxa"/>
            <w:vAlign w:val="center"/>
          </w:tcPr>
          <w:p w14:paraId="7B5FACF6" w14:textId="31306C59"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xml:space="preserve">% of additional </w:t>
            </w:r>
            <w:r w:rsidR="002364D0" w:rsidRPr="00B568F3">
              <w:rPr>
                <w:rFonts w:ascii="Arial" w:eastAsia="Calibri" w:hAnsi="Arial" w:cs="Arial"/>
                <w:b/>
                <w:bCs/>
                <w:lang w:eastAsia="en-GB"/>
              </w:rPr>
              <w:t>local authority</w:t>
            </w:r>
            <w:r w:rsidRPr="00B568F3">
              <w:rPr>
                <w:rFonts w:ascii="Arial" w:eastAsia="Calibri" w:hAnsi="Arial" w:cs="Arial"/>
                <w:b/>
                <w:bCs/>
                <w:lang w:eastAsia="en-GB"/>
              </w:rPr>
              <w:t xml:space="preserve"> funding</w:t>
            </w:r>
          </w:p>
        </w:tc>
        <w:tc>
          <w:tcPr>
            <w:tcW w:w="1016" w:type="dxa"/>
            <w:gridSpan w:val="2"/>
            <w:vAlign w:val="center"/>
          </w:tcPr>
          <w:p w14:paraId="207B421F"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change</w:t>
            </w:r>
          </w:p>
        </w:tc>
      </w:tr>
      <w:tr w:rsidR="000B1078" w:rsidRPr="00B568F3" w14:paraId="2B0399F0" w14:textId="77777777" w:rsidTr="00E976C7">
        <w:trPr>
          <w:trHeight w:val="300"/>
        </w:trPr>
        <w:tc>
          <w:tcPr>
            <w:tcW w:w="1524" w:type="dxa"/>
          </w:tcPr>
          <w:p w14:paraId="41AAF278" w14:textId="77777777" w:rsidR="002E4C81" w:rsidRPr="00B568F3" w:rsidRDefault="002E4C81">
            <w:pPr>
              <w:pStyle w:val="ListParagraph"/>
              <w:ind w:left="0"/>
              <w:rPr>
                <w:rFonts w:ascii="Arial" w:eastAsia="Calibri" w:hAnsi="Arial" w:cs="Arial"/>
                <w:lang w:eastAsia="en-GB"/>
              </w:rPr>
            </w:pPr>
            <w:r w:rsidRPr="00B568F3">
              <w:rPr>
                <w:rFonts w:ascii="Arial" w:eastAsia="Calibri" w:hAnsi="Arial" w:cs="Arial"/>
                <w:b/>
                <w:bCs/>
                <w:lang w:eastAsia="en-GB"/>
              </w:rPr>
              <w:t>2023/2024</w:t>
            </w:r>
          </w:p>
        </w:tc>
        <w:tc>
          <w:tcPr>
            <w:tcW w:w="1531" w:type="dxa"/>
          </w:tcPr>
          <w:p w14:paraId="5624CFC4"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£194,489</w:t>
            </w:r>
          </w:p>
        </w:tc>
        <w:tc>
          <w:tcPr>
            <w:tcW w:w="1320" w:type="dxa"/>
          </w:tcPr>
          <w:p w14:paraId="5D437ACD"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1.8%</w:t>
            </w:r>
          </w:p>
        </w:tc>
        <w:tc>
          <w:tcPr>
            <w:tcW w:w="1032" w:type="dxa"/>
          </w:tcPr>
          <w:p w14:paraId="00CAFA32"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-2.8%</w:t>
            </w:r>
          </w:p>
        </w:tc>
        <w:tc>
          <w:tcPr>
            <w:tcW w:w="1755" w:type="dxa"/>
          </w:tcPr>
          <w:p w14:paraId="05ECFCFA"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£14,974</w:t>
            </w:r>
          </w:p>
        </w:tc>
        <w:tc>
          <w:tcPr>
            <w:tcW w:w="1757" w:type="dxa"/>
          </w:tcPr>
          <w:p w14:paraId="6FB1A7C2"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0.8%</w:t>
            </w:r>
          </w:p>
        </w:tc>
        <w:tc>
          <w:tcPr>
            <w:tcW w:w="1016" w:type="dxa"/>
            <w:gridSpan w:val="2"/>
          </w:tcPr>
          <w:p w14:paraId="0D7DB7DF"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-68.0%</w:t>
            </w:r>
          </w:p>
        </w:tc>
      </w:tr>
      <w:tr w:rsidR="000B1078" w:rsidRPr="00B568F3" w14:paraId="0804E0EC" w14:textId="77777777" w:rsidTr="00E976C7">
        <w:trPr>
          <w:trHeight w:val="300"/>
        </w:trPr>
        <w:tc>
          <w:tcPr>
            <w:tcW w:w="1524" w:type="dxa"/>
          </w:tcPr>
          <w:p w14:paraId="4435614E" w14:textId="77777777" w:rsidR="002E4C81" w:rsidRPr="00B568F3" w:rsidRDefault="002E4C81">
            <w:pPr>
              <w:pStyle w:val="ListParagraph"/>
              <w:ind w:left="0"/>
              <w:rPr>
                <w:rFonts w:ascii="Arial" w:eastAsia="Calibri" w:hAnsi="Arial" w:cs="Arial"/>
                <w:lang w:eastAsia="en-GB"/>
              </w:rPr>
            </w:pPr>
            <w:r w:rsidRPr="00B568F3">
              <w:rPr>
                <w:rFonts w:ascii="Arial" w:eastAsia="Calibri" w:hAnsi="Arial" w:cs="Arial"/>
                <w:b/>
                <w:bCs/>
                <w:lang w:eastAsia="en-GB"/>
              </w:rPr>
              <w:t>2022/2023</w:t>
            </w:r>
          </w:p>
        </w:tc>
        <w:tc>
          <w:tcPr>
            <w:tcW w:w="1531" w:type="dxa"/>
          </w:tcPr>
          <w:p w14:paraId="4EE2D45D"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£200,177</w:t>
            </w:r>
          </w:p>
        </w:tc>
        <w:tc>
          <w:tcPr>
            <w:tcW w:w="1320" w:type="dxa"/>
          </w:tcPr>
          <w:p w14:paraId="6EF9C441"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2.0%</w:t>
            </w:r>
          </w:p>
        </w:tc>
        <w:tc>
          <w:tcPr>
            <w:tcW w:w="1032" w:type="dxa"/>
            <w:shd w:val="clear" w:color="auto" w:fill="BFBFBF" w:themeFill="background1" w:themeFillShade="BF"/>
          </w:tcPr>
          <w:p w14:paraId="7EEAF4F6" w14:textId="77777777" w:rsidR="002E4C81" w:rsidRPr="00B568F3" w:rsidRDefault="002E4C81">
            <w:pPr>
              <w:pStyle w:val="ListParagraph"/>
              <w:ind w:left="0"/>
              <w:jc w:val="center"/>
              <w:rPr>
                <w:rFonts w:ascii="Arial" w:eastAsia="Calibri" w:hAnsi="Arial" w:cs="Arial"/>
                <w:lang w:eastAsia="en-GB"/>
              </w:rPr>
            </w:pPr>
          </w:p>
        </w:tc>
        <w:tc>
          <w:tcPr>
            <w:tcW w:w="1755" w:type="dxa"/>
          </w:tcPr>
          <w:p w14:paraId="16C46B3E"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£46,822</w:t>
            </w:r>
          </w:p>
        </w:tc>
        <w:tc>
          <w:tcPr>
            <w:tcW w:w="1757" w:type="dxa"/>
          </w:tcPr>
          <w:p w14:paraId="0852F654"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2.1%</w:t>
            </w:r>
          </w:p>
        </w:tc>
        <w:tc>
          <w:tcPr>
            <w:tcW w:w="1016" w:type="dxa"/>
            <w:gridSpan w:val="2"/>
            <w:shd w:val="clear" w:color="auto" w:fill="BFBFBF" w:themeFill="background1" w:themeFillShade="BF"/>
          </w:tcPr>
          <w:p w14:paraId="71C0AEF5" w14:textId="77777777" w:rsidR="002E4C81" w:rsidRPr="00B568F3" w:rsidRDefault="002E4C81">
            <w:pPr>
              <w:pStyle w:val="ListParagraph"/>
              <w:ind w:left="0"/>
              <w:jc w:val="center"/>
              <w:rPr>
                <w:rFonts w:ascii="Arial" w:eastAsia="Calibri" w:hAnsi="Arial" w:cs="Arial"/>
                <w:lang w:eastAsia="en-GB"/>
              </w:rPr>
            </w:pPr>
          </w:p>
        </w:tc>
      </w:tr>
      <w:tr w:rsidR="002E4C81" w:rsidRPr="00B568F3" w14:paraId="2344F64B" w14:textId="77777777" w:rsidTr="00E976C7">
        <w:trPr>
          <w:gridAfter w:val="1"/>
          <w:wAfter w:w="332" w:type="dxa"/>
          <w:trHeight w:val="300"/>
        </w:trPr>
        <w:tc>
          <w:tcPr>
            <w:tcW w:w="9603" w:type="dxa"/>
            <w:gridSpan w:val="7"/>
            <w:tcBorders>
              <w:left w:val="nil"/>
              <w:bottom w:val="nil"/>
              <w:right w:val="nil"/>
            </w:tcBorders>
            <w:vAlign w:val="center"/>
          </w:tcPr>
          <w:p w14:paraId="3E357136" w14:textId="77777777" w:rsidR="002E4C81" w:rsidRPr="00B568F3" w:rsidRDefault="002E4C81">
            <w:pPr>
              <w:pStyle w:val="ListParagraph"/>
              <w:ind w:left="0"/>
              <w:jc w:val="center"/>
              <w:rPr>
                <w:rFonts w:ascii="Arial" w:eastAsia="Calibri" w:hAnsi="Arial" w:cs="Arial"/>
                <w:lang w:eastAsia="en-GB"/>
              </w:rPr>
            </w:pPr>
          </w:p>
        </w:tc>
      </w:tr>
      <w:tr w:rsidR="002E4C81" w:rsidRPr="00B568F3" w14:paraId="252CA1A8" w14:textId="77777777" w:rsidTr="00E976C7">
        <w:trPr>
          <w:gridAfter w:val="1"/>
          <w:wAfter w:w="332" w:type="dxa"/>
          <w:trHeight w:val="300"/>
        </w:trPr>
        <w:tc>
          <w:tcPr>
            <w:tcW w:w="9603" w:type="dxa"/>
            <w:gridSpan w:val="7"/>
            <w:tcBorders>
              <w:top w:val="nil"/>
              <w:left w:val="nil"/>
              <w:right w:val="nil"/>
            </w:tcBorders>
            <w:vAlign w:val="center"/>
          </w:tcPr>
          <w:p w14:paraId="27A94E46" w14:textId="77777777" w:rsidR="002E4C81" w:rsidRPr="00B568F3" w:rsidRDefault="002E4C81">
            <w:pPr>
              <w:pStyle w:val="ListParagraph"/>
              <w:ind w:left="0"/>
              <w:rPr>
                <w:rFonts w:ascii="Arial" w:eastAsia="Calibri" w:hAnsi="Arial" w:cs="Arial"/>
                <w:lang w:eastAsia="en-GB"/>
              </w:rPr>
            </w:pPr>
            <w:r w:rsidRPr="00B568F3">
              <w:rPr>
                <w:rFonts w:ascii="Arial" w:eastAsia="Calibri" w:hAnsi="Arial" w:cs="Arial"/>
                <w:b/>
                <w:bCs/>
                <w:lang w:eastAsia="en-GB"/>
              </w:rPr>
              <w:t>Workforce shape and supply</w:t>
            </w:r>
          </w:p>
        </w:tc>
      </w:tr>
      <w:tr w:rsidR="000B1078" w:rsidRPr="00B568F3" w14:paraId="5913D227" w14:textId="77777777" w:rsidTr="00E976C7">
        <w:trPr>
          <w:trHeight w:val="300"/>
        </w:trPr>
        <w:tc>
          <w:tcPr>
            <w:tcW w:w="1524" w:type="dxa"/>
          </w:tcPr>
          <w:p w14:paraId="3C4275C9" w14:textId="77777777" w:rsidR="002E4C81" w:rsidRPr="00B568F3" w:rsidRDefault="002E4C81">
            <w:pPr>
              <w:pStyle w:val="ListParagraph"/>
              <w:ind w:left="0"/>
              <w:rPr>
                <w:rFonts w:ascii="Arial" w:eastAsia="Calibri" w:hAnsi="Arial" w:cs="Arial"/>
                <w:lang w:eastAsia="en-GB"/>
              </w:rPr>
            </w:pPr>
          </w:p>
        </w:tc>
        <w:tc>
          <w:tcPr>
            <w:tcW w:w="1531" w:type="dxa"/>
            <w:vAlign w:val="center"/>
          </w:tcPr>
          <w:p w14:paraId="5CAD6BFF"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SCWWDP grant spend</w:t>
            </w:r>
          </w:p>
        </w:tc>
        <w:tc>
          <w:tcPr>
            <w:tcW w:w="1320" w:type="dxa"/>
            <w:vAlign w:val="center"/>
          </w:tcPr>
          <w:p w14:paraId="0414F686"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of SCWWDP grant</w:t>
            </w:r>
          </w:p>
        </w:tc>
        <w:tc>
          <w:tcPr>
            <w:tcW w:w="1032" w:type="dxa"/>
            <w:vAlign w:val="center"/>
          </w:tcPr>
          <w:p w14:paraId="334220D6"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change</w:t>
            </w:r>
          </w:p>
        </w:tc>
        <w:tc>
          <w:tcPr>
            <w:tcW w:w="1755" w:type="dxa"/>
            <w:vAlign w:val="center"/>
          </w:tcPr>
          <w:p w14:paraId="0AF28764" w14:textId="29B95E29"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xml:space="preserve">Additional </w:t>
            </w:r>
            <w:r w:rsidR="002364D0" w:rsidRPr="00B568F3">
              <w:rPr>
                <w:rFonts w:ascii="Arial" w:eastAsia="Calibri" w:hAnsi="Arial" w:cs="Arial"/>
                <w:b/>
                <w:bCs/>
                <w:lang w:eastAsia="en-GB"/>
              </w:rPr>
              <w:t>local a</w:t>
            </w:r>
            <w:r w:rsidR="00BF1A99" w:rsidRPr="00B568F3">
              <w:rPr>
                <w:rFonts w:ascii="Arial" w:eastAsia="Calibri" w:hAnsi="Arial" w:cs="Arial"/>
                <w:b/>
                <w:bCs/>
                <w:lang w:eastAsia="en-GB"/>
              </w:rPr>
              <w:t>uthority</w:t>
            </w:r>
            <w:r w:rsidRPr="00B568F3">
              <w:rPr>
                <w:rFonts w:ascii="Arial" w:eastAsia="Calibri" w:hAnsi="Arial" w:cs="Arial"/>
                <w:b/>
                <w:bCs/>
                <w:lang w:eastAsia="en-GB"/>
              </w:rPr>
              <w:t xml:space="preserve"> funding spend</w:t>
            </w:r>
          </w:p>
        </w:tc>
        <w:tc>
          <w:tcPr>
            <w:tcW w:w="1757" w:type="dxa"/>
            <w:vAlign w:val="center"/>
          </w:tcPr>
          <w:p w14:paraId="1540AC0C" w14:textId="475E1DD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xml:space="preserve">% of additional </w:t>
            </w:r>
            <w:r w:rsidR="00BF1A99" w:rsidRPr="00B568F3">
              <w:rPr>
                <w:rFonts w:ascii="Arial" w:eastAsia="Calibri" w:hAnsi="Arial" w:cs="Arial"/>
                <w:b/>
                <w:bCs/>
                <w:lang w:eastAsia="en-GB"/>
              </w:rPr>
              <w:t>local authority</w:t>
            </w:r>
            <w:r w:rsidRPr="00B568F3">
              <w:rPr>
                <w:rFonts w:ascii="Arial" w:eastAsia="Calibri" w:hAnsi="Arial" w:cs="Arial"/>
                <w:b/>
                <w:bCs/>
                <w:lang w:eastAsia="en-GB"/>
              </w:rPr>
              <w:t xml:space="preserve"> funding</w:t>
            </w:r>
          </w:p>
        </w:tc>
        <w:tc>
          <w:tcPr>
            <w:tcW w:w="1016" w:type="dxa"/>
            <w:gridSpan w:val="2"/>
            <w:vAlign w:val="center"/>
          </w:tcPr>
          <w:p w14:paraId="6D14FBFC"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change</w:t>
            </w:r>
          </w:p>
        </w:tc>
      </w:tr>
      <w:tr w:rsidR="000B1078" w:rsidRPr="00B568F3" w14:paraId="0DEECCA4" w14:textId="77777777" w:rsidTr="00E976C7">
        <w:trPr>
          <w:trHeight w:val="300"/>
        </w:trPr>
        <w:tc>
          <w:tcPr>
            <w:tcW w:w="1524" w:type="dxa"/>
          </w:tcPr>
          <w:p w14:paraId="687219AD" w14:textId="77777777" w:rsidR="002E4C81" w:rsidRPr="00B568F3" w:rsidRDefault="002E4C81">
            <w:pPr>
              <w:pStyle w:val="ListParagraph"/>
              <w:ind w:left="0"/>
              <w:rPr>
                <w:rFonts w:ascii="Arial" w:eastAsia="Calibri" w:hAnsi="Arial" w:cs="Arial"/>
                <w:lang w:eastAsia="en-GB"/>
              </w:rPr>
            </w:pPr>
            <w:r w:rsidRPr="00B568F3">
              <w:rPr>
                <w:rFonts w:ascii="Arial" w:eastAsia="Calibri" w:hAnsi="Arial" w:cs="Arial"/>
                <w:b/>
                <w:bCs/>
                <w:lang w:eastAsia="en-GB"/>
              </w:rPr>
              <w:t>2023/2024</w:t>
            </w:r>
          </w:p>
        </w:tc>
        <w:tc>
          <w:tcPr>
            <w:tcW w:w="1531" w:type="dxa"/>
          </w:tcPr>
          <w:p w14:paraId="7C4FF72F"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£119,191</w:t>
            </w:r>
          </w:p>
        </w:tc>
        <w:tc>
          <w:tcPr>
            <w:tcW w:w="1320" w:type="dxa"/>
          </w:tcPr>
          <w:p w14:paraId="22CAB126"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1.1%</w:t>
            </w:r>
          </w:p>
        </w:tc>
        <w:tc>
          <w:tcPr>
            <w:tcW w:w="1032" w:type="dxa"/>
          </w:tcPr>
          <w:p w14:paraId="54FAC802"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-25.4%</w:t>
            </w:r>
          </w:p>
        </w:tc>
        <w:tc>
          <w:tcPr>
            <w:tcW w:w="1755" w:type="dxa"/>
          </w:tcPr>
          <w:p w14:paraId="33D7E053"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£19,294</w:t>
            </w:r>
          </w:p>
        </w:tc>
        <w:tc>
          <w:tcPr>
            <w:tcW w:w="1757" w:type="dxa"/>
          </w:tcPr>
          <w:p w14:paraId="7BC5A3B2"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1.1%</w:t>
            </w:r>
          </w:p>
        </w:tc>
        <w:tc>
          <w:tcPr>
            <w:tcW w:w="1016" w:type="dxa"/>
            <w:gridSpan w:val="2"/>
          </w:tcPr>
          <w:p w14:paraId="6825D1CE"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-30.4%</w:t>
            </w:r>
          </w:p>
        </w:tc>
      </w:tr>
      <w:tr w:rsidR="000B1078" w:rsidRPr="00B568F3" w14:paraId="15C2B519" w14:textId="77777777" w:rsidTr="00E976C7">
        <w:trPr>
          <w:trHeight w:val="300"/>
        </w:trPr>
        <w:tc>
          <w:tcPr>
            <w:tcW w:w="1524" w:type="dxa"/>
          </w:tcPr>
          <w:p w14:paraId="1D2D6C46" w14:textId="77777777" w:rsidR="002E4C81" w:rsidRPr="00B568F3" w:rsidRDefault="002E4C81">
            <w:pPr>
              <w:pStyle w:val="ListParagraph"/>
              <w:ind w:left="0"/>
              <w:rPr>
                <w:rFonts w:ascii="Arial" w:eastAsia="Calibri" w:hAnsi="Arial" w:cs="Arial"/>
                <w:lang w:eastAsia="en-GB"/>
              </w:rPr>
            </w:pPr>
            <w:r w:rsidRPr="00B568F3">
              <w:rPr>
                <w:rFonts w:ascii="Arial" w:eastAsia="Calibri" w:hAnsi="Arial" w:cs="Arial"/>
                <w:b/>
                <w:bCs/>
                <w:lang w:eastAsia="en-GB"/>
              </w:rPr>
              <w:t>2022/2023</w:t>
            </w:r>
          </w:p>
        </w:tc>
        <w:tc>
          <w:tcPr>
            <w:tcW w:w="1531" w:type="dxa"/>
          </w:tcPr>
          <w:p w14:paraId="729F71D9"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£159,820</w:t>
            </w:r>
          </w:p>
        </w:tc>
        <w:tc>
          <w:tcPr>
            <w:tcW w:w="1320" w:type="dxa"/>
          </w:tcPr>
          <w:p w14:paraId="69DF896A"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1.6%</w:t>
            </w:r>
          </w:p>
        </w:tc>
        <w:tc>
          <w:tcPr>
            <w:tcW w:w="1032" w:type="dxa"/>
            <w:shd w:val="clear" w:color="auto" w:fill="BFBFBF" w:themeFill="background1" w:themeFillShade="BF"/>
          </w:tcPr>
          <w:p w14:paraId="3FA7A3D0" w14:textId="77777777" w:rsidR="002E4C81" w:rsidRPr="00B568F3" w:rsidRDefault="002E4C81">
            <w:pPr>
              <w:pStyle w:val="ListParagraph"/>
              <w:ind w:left="0"/>
              <w:jc w:val="center"/>
              <w:rPr>
                <w:rFonts w:ascii="Arial" w:eastAsia="Calibri" w:hAnsi="Arial" w:cs="Arial"/>
                <w:lang w:eastAsia="en-GB"/>
              </w:rPr>
            </w:pPr>
          </w:p>
        </w:tc>
        <w:tc>
          <w:tcPr>
            <w:tcW w:w="1755" w:type="dxa"/>
          </w:tcPr>
          <w:p w14:paraId="1D444984"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£27,702</w:t>
            </w:r>
          </w:p>
        </w:tc>
        <w:tc>
          <w:tcPr>
            <w:tcW w:w="1757" w:type="dxa"/>
          </w:tcPr>
          <w:p w14:paraId="5FC51675"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1.2%</w:t>
            </w:r>
          </w:p>
        </w:tc>
        <w:tc>
          <w:tcPr>
            <w:tcW w:w="1016" w:type="dxa"/>
            <w:gridSpan w:val="2"/>
            <w:shd w:val="clear" w:color="auto" w:fill="BFBFBF" w:themeFill="background1" w:themeFillShade="BF"/>
          </w:tcPr>
          <w:p w14:paraId="26FB679D" w14:textId="77777777" w:rsidR="002E4C81" w:rsidRPr="00B568F3" w:rsidRDefault="002E4C81">
            <w:pPr>
              <w:pStyle w:val="ListParagraph"/>
              <w:ind w:left="0"/>
              <w:jc w:val="center"/>
              <w:rPr>
                <w:rFonts w:ascii="Arial" w:eastAsia="Calibri" w:hAnsi="Arial" w:cs="Arial"/>
                <w:lang w:eastAsia="en-GB"/>
              </w:rPr>
            </w:pPr>
          </w:p>
        </w:tc>
      </w:tr>
      <w:tr w:rsidR="002E4C81" w:rsidRPr="00B568F3" w14:paraId="44CD40FD" w14:textId="77777777" w:rsidTr="00E976C7">
        <w:trPr>
          <w:gridAfter w:val="1"/>
          <w:wAfter w:w="332" w:type="dxa"/>
          <w:trHeight w:val="300"/>
        </w:trPr>
        <w:tc>
          <w:tcPr>
            <w:tcW w:w="9603" w:type="dxa"/>
            <w:gridSpan w:val="7"/>
            <w:tcBorders>
              <w:left w:val="nil"/>
              <w:bottom w:val="nil"/>
              <w:right w:val="nil"/>
            </w:tcBorders>
            <w:vAlign w:val="center"/>
          </w:tcPr>
          <w:p w14:paraId="69AA495C" w14:textId="77777777" w:rsidR="002E4C81" w:rsidRPr="00B568F3" w:rsidRDefault="002E4C81">
            <w:pPr>
              <w:pStyle w:val="ListParagraph"/>
              <w:ind w:left="0"/>
              <w:jc w:val="center"/>
              <w:rPr>
                <w:rFonts w:ascii="Arial" w:eastAsia="Calibri" w:hAnsi="Arial" w:cs="Arial"/>
                <w:lang w:eastAsia="en-GB"/>
              </w:rPr>
            </w:pPr>
          </w:p>
        </w:tc>
      </w:tr>
      <w:tr w:rsidR="002E4C81" w:rsidRPr="00B568F3" w14:paraId="51642066" w14:textId="77777777" w:rsidTr="00E976C7">
        <w:trPr>
          <w:gridAfter w:val="1"/>
          <w:wAfter w:w="332" w:type="dxa"/>
          <w:trHeight w:val="300"/>
        </w:trPr>
        <w:tc>
          <w:tcPr>
            <w:tcW w:w="9603" w:type="dxa"/>
            <w:gridSpan w:val="7"/>
            <w:tcBorders>
              <w:top w:val="nil"/>
              <w:left w:val="nil"/>
              <w:right w:val="nil"/>
            </w:tcBorders>
            <w:vAlign w:val="center"/>
          </w:tcPr>
          <w:p w14:paraId="1142F956" w14:textId="77777777" w:rsidR="002E4C81" w:rsidRPr="00B568F3" w:rsidRDefault="002E4C81">
            <w:pPr>
              <w:pStyle w:val="ListParagraph"/>
              <w:ind w:left="0"/>
              <w:rPr>
                <w:rFonts w:ascii="Arial" w:eastAsia="Calibri" w:hAnsi="Arial" w:cs="Arial"/>
                <w:lang w:eastAsia="en-GB"/>
              </w:rPr>
            </w:pPr>
            <w:r w:rsidRPr="00B568F3">
              <w:rPr>
                <w:rFonts w:ascii="Arial" w:eastAsia="Calibri" w:hAnsi="Arial" w:cs="Arial"/>
                <w:b/>
                <w:bCs/>
                <w:lang w:eastAsia="en-GB"/>
              </w:rPr>
              <w:t>Other priorities</w:t>
            </w:r>
          </w:p>
        </w:tc>
      </w:tr>
      <w:tr w:rsidR="000B1078" w:rsidRPr="00B568F3" w14:paraId="2A4B334A" w14:textId="77777777" w:rsidTr="00E976C7">
        <w:trPr>
          <w:trHeight w:val="300"/>
        </w:trPr>
        <w:tc>
          <w:tcPr>
            <w:tcW w:w="1524" w:type="dxa"/>
          </w:tcPr>
          <w:p w14:paraId="093BBFD3" w14:textId="77777777" w:rsidR="002E4C81" w:rsidRPr="00B568F3" w:rsidRDefault="002E4C81">
            <w:pPr>
              <w:pStyle w:val="ListParagraph"/>
              <w:ind w:left="0"/>
              <w:rPr>
                <w:rFonts w:ascii="Arial" w:eastAsia="Calibri" w:hAnsi="Arial" w:cs="Arial"/>
                <w:lang w:eastAsia="en-GB"/>
              </w:rPr>
            </w:pPr>
          </w:p>
        </w:tc>
        <w:tc>
          <w:tcPr>
            <w:tcW w:w="1531" w:type="dxa"/>
            <w:vAlign w:val="center"/>
          </w:tcPr>
          <w:p w14:paraId="543AC22A"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SCWWDP grant spend</w:t>
            </w:r>
          </w:p>
        </w:tc>
        <w:tc>
          <w:tcPr>
            <w:tcW w:w="1320" w:type="dxa"/>
            <w:vAlign w:val="center"/>
          </w:tcPr>
          <w:p w14:paraId="6D37AE28"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of SCWWDP grant</w:t>
            </w:r>
          </w:p>
        </w:tc>
        <w:tc>
          <w:tcPr>
            <w:tcW w:w="1032" w:type="dxa"/>
            <w:vAlign w:val="center"/>
          </w:tcPr>
          <w:p w14:paraId="0C2119C3"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change</w:t>
            </w:r>
          </w:p>
        </w:tc>
        <w:tc>
          <w:tcPr>
            <w:tcW w:w="1755" w:type="dxa"/>
            <w:vAlign w:val="center"/>
          </w:tcPr>
          <w:p w14:paraId="6CE61099" w14:textId="00AB9DDF"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xml:space="preserve">Additional </w:t>
            </w:r>
            <w:r w:rsidR="00BF1A99" w:rsidRPr="00B568F3">
              <w:rPr>
                <w:rFonts w:ascii="Arial" w:eastAsia="Calibri" w:hAnsi="Arial" w:cs="Arial"/>
                <w:b/>
                <w:bCs/>
                <w:lang w:eastAsia="en-GB"/>
              </w:rPr>
              <w:t>local authority</w:t>
            </w:r>
            <w:r w:rsidRPr="00B568F3">
              <w:rPr>
                <w:rFonts w:ascii="Arial" w:eastAsia="Calibri" w:hAnsi="Arial" w:cs="Arial"/>
                <w:b/>
                <w:bCs/>
                <w:lang w:eastAsia="en-GB"/>
              </w:rPr>
              <w:t xml:space="preserve"> funding spend</w:t>
            </w:r>
          </w:p>
        </w:tc>
        <w:tc>
          <w:tcPr>
            <w:tcW w:w="1757" w:type="dxa"/>
            <w:vAlign w:val="center"/>
          </w:tcPr>
          <w:p w14:paraId="5117B7B7" w14:textId="52D4228B"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xml:space="preserve">% of additional </w:t>
            </w:r>
            <w:r w:rsidR="00BF1A99" w:rsidRPr="00B568F3">
              <w:rPr>
                <w:rFonts w:ascii="Arial" w:eastAsia="Calibri" w:hAnsi="Arial" w:cs="Arial"/>
                <w:b/>
                <w:bCs/>
                <w:lang w:eastAsia="en-GB"/>
              </w:rPr>
              <w:t>local authority</w:t>
            </w:r>
            <w:r w:rsidRPr="00B568F3">
              <w:rPr>
                <w:rFonts w:ascii="Arial" w:eastAsia="Calibri" w:hAnsi="Arial" w:cs="Arial"/>
                <w:b/>
                <w:bCs/>
                <w:lang w:eastAsia="en-GB"/>
              </w:rPr>
              <w:t xml:space="preserve"> funding</w:t>
            </w:r>
          </w:p>
        </w:tc>
        <w:tc>
          <w:tcPr>
            <w:tcW w:w="1016" w:type="dxa"/>
            <w:gridSpan w:val="2"/>
            <w:vAlign w:val="center"/>
          </w:tcPr>
          <w:p w14:paraId="15EFC452" w14:textId="77777777" w:rsidR="002E4C81" w:rsidRPr="00B568F3" w:rsidRDefault="002E4C81" w:rsidP="000B1078">
            <w:pPr>
              <w:pStyle w:val="ListParagraph"/>
              <w:ind w:left="0"/>
              <w:jc w:val="center"/>
              <w:rPr>
                <w:rFonts w:ascii="Arial" w:eastAsia="Calibri" w:hAnsi="Arial" w:cs="Arial"/>
                <w:b/>
                <w:bCs/>
                <w:lang w:eastAsia="en-GB"/>
              </w:rPr>
            </w:pPr>
            <w:r w:rsidRPr="00B568F3">
              <w:rPr>
                <w:rFonts w:ascii="Arial" w:eastAsia="Calibri" w:hAnsi="Arial" w:cs="Arial"/>
                <w:b/>
                <w:bCs/>
                <w:lang w:eastAsia="en-GB"/>
              </w:rPr>
              <w:t>% change</w:t>
            </w:r>
          </w:p>
        </w:tc>
      </w:tr>
      <w:tr w:rsidR="000B1078" w:rsidRPr="00B568F3" w14:paraId="4A24BF21" w14:textId="77777777" w:rsidTr="00E976C7">
        <w:trPr>
          <w:trHeight w:val="300"/>
        </w:trPr>
        <w:tc>
          <w:tcPr>
            <w:tcW w:w="1524" w:type="dxa"/>
          </w:tcPr>
          <w:p w14:paraId="21FB6BE3" w14:textId="77777777" w:rsidR="002E4C81" w:rsidRPr="00B568F3" w:rsidRDefault="002E4C81">
            <w:pPr>
              <w:pStyle w:val="ListParagraph"/>
              <w:ind w:left="0"/>
              <w:rPr>
                <w:rFonts w:ascii="Arial" w:eastAsia="Calibri" w:hAnsi="Arial" w:cs="Arial"/>
                <w:lang w:eastAsia="en-GB"/>
              </w:rPr>
            </w:pPr>
            <w:r w:rsidRPr="00B568F3">
              <w:rPr>
                <w:rFonts w:ascii="Arial" w:eastAsia="Calibri" w:hAnsi="Arial" w:cs="Arial"/>
                <w:b/>
                <w:bCs/>
                <w:lang w:eastAsia="en-GB"/>
              </w:rPr>
              <w:t>2023/2024</w:t>
            </w:r>
          </w:p>
        </w:tc>
        <w:tc>
          <w:tcPr>
            <w:tcW w:w="1531" w:type="dxa"/>
          </w:tcPr>
          <w:p w14:paraId="45669A50"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£170,770</w:t>
            </w:r>
          </w:p>
        </w:tc>
        <w:tc>
          <w:tcPr>
            <w:tcW w:w="1320" w:type="dxa"/>
          </w:tcPr>
          <w:p w14:paraId="0C3AC768"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1.6%</w:t>
            </w:r>
          </w:p>
        </w:tc>
        <w:tc>
          <w:tcPr>
            <w:tcW w:w="1032" w:type="dxa"/>
          </w:tcPr>
          <w:p w14:paraId="46009A2D"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-21.6%</w:t>
            </w:r>
          </w:p>
        </w:tc>
        <w:tc>
          <w:tcPr>
            <w:tcW w:w="1755" w:type="dxa"/>
          </w:tcPr>
          <w:p w14:paraId="20278F6F"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£243,997</w:t>
            </w:r>
          </w:p>
        </w:tc>
        <w:tc>
          <w:tcPr>
            <w:tcW w:w="1757" w:type="dxa"/>
          </w:tcPr>
          <w:p w14:paraId="28B65C0F"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13.7%</w:t>
            </w:r>
          </w:p>
        </w:tc>
        <w:tc>
          <w:tcPr>
            <w:tcW w:w="1016" w:type="dxa"/>
            <w:gridSpan w:val="2"/>
          </w:tcPr>
          <w:p w14:paraId="76F670E8"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-36.4%</w:t>
            </w:r>
          </w:p>
        </w:tc>
      </w:tr>
      <w:tr w:rsidR="000B1078" w:rsidRPr="00B568F3" w14:paraId="6350584D" w14:textId="77777777" w:rsidTr="00E976C7">
        <w:trPr>
          <w:trHeight w:val="300"/>
        </w:trPr>
        <w:tc>
          <w:tcPr>
            <w:tcW w:w="1524" w:type="dxa"/>
          </w:tcPr>
          <w:p w14:paraId="773053DD" w14:textId="77777777" w:rsidR="002E4C81" w:rsidRPr="00B568F3" w:rsidRDefault="002E4C81">
            <w:pPr>
              <w:pStyle w:val="ListParagraph"/>
              <w:ind w:left="0"/>
              <w:rPr>
                <w:rFonts w:ascii="Arial" w:eastAsia="Calibri" w:hAnsi="Arial" w:cs="Arial"/>
                <w:lang w:eastAsia="en-GB"/>
              </w:rPr>
            </w:pPr>
            <w:r w:rsidRPr="00B568F3">
              <w:rPr>
                <w:rFonts w:ascii="Arial" w:eastAsia="Calibri" w:hAnsi="Arial" w:cs="Arial"/>
                <w:b/>
                <w:bCs/>
                <w:lang w:eastAsia="en-GB"/>
              </w:rPr>
              <w:t>2022/2023</w:t>
            </w:r>
          </w:p>
        </w:tc>
        <w:tc>
          <w:tcPr>
            <w:tcW w:w="1531" w:type="dxa"/>
          </w:tcPr>
          <w:p w14:paraId="140E2EA3"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£217,973</w:t>
            </w:r>
          </w:p>
        </w:tc>
        <w:tc>
          <w:tcPr>
            <w:tcW w:w="1320" w:type="dxa"/>
          </w:tcPr>
          <w:p w14:paraId="7F1FE5AC"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2.1%</w:t>
            </w:r>
          </w:p>
        </w:tc>
        <w:tc>
          <w:tcPr>
            <w:tcW w:w="1032" w:type="dxa"/>
            <w:shd w:val="clear" w:color="auto" w:fill="BFBFBF" w:themeFill="background1" w:themeFillShade="BF"/>
          </w:tcPr>
          <w:p w14:paraId="05BAFC1D" w14:textId="77777777" w:rsidR="002E4C81" w:rsidRPr="00B568F3" w:rsidRDefault="002E4C81">
            <w:pPr>
              <w:pStyle w:val="ListParagraph"/>
              <w:ind w:left="0"/>
              <w:jc w:val="center"/>
              <w:rPr>
                <w:rFonts w:ascii="Arial" w:eastAsia="Calibri" w:hAnsi="Arial" w:cs="Arial"/>
                <w:lang w:eastAsia="en-GB"/>
              </w:rPr>
            </w:pPr>
          </w:p>
        </w:tc>
        <w:tc>
          <w:tcPr>
            <w:tcW w:w="1755" w:type="dxa"/>
          </w:tcPr>
          <w:p w14:paraId="71668520"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£383,447</w:t>
            </w:r>
          </w:p>
        </w:tc>
        <w:tc>
          <w:tcPr>
            <w:tcW w:w="1757" w:type="dxa"/>
          </w:tcPr>
          <w:p w14:paraId="050E1D5B" w14:textId="77777777" w:rsidR="002E4C81" w:rsidRPr="00B568F3" w:rsidRDefault="002E4C81">
            <w:pPr>
              <w:pStyle w:val="ListParagraph"/>
              <w:ind w:left="0"/>
              <w:jc w:val="center"/>
              <w:rPr>
                <w:rFonts w:ascii="Arial" w:eastAsia="Calibri" w:hAnsi="Arial" w:cs="Arial"/>
                <w:lang w:eastAsia="en-GB"/>
              </w:rPr>
            </w:pPr>
            <w:r w:rsidRPr="00B568F3">
              <w:rPr>
                <w:rFonts w:ascii="Arial" w:eastAsia="Calibri" w:hAnsi="Arial" w:cs="Arial"/>
                <w:lang w:eastAsia="en-GB"/>
              </w:rPr>
              <w:t>17.0%</w:t>
            </w:r>
          </w:p>
        </w:tc>
        <w:tc>
          <w:tcPr>
            <w:tcW w:w="1016" w:type="dxa"/>
            <w:gridSpan w:val="2"/>
            <w:shd w:val="clear" w:color="auto" w:fill="BFBFBF" w:themeFill="background1" w:themeFillShade="BF"/>
          </w:tcPr>
          <w:p w14:paraId="0988E1F0" w14:textId="77777777" w:rsidR="002E4C81" w:rsidRPr="00B568F3" w:rsidRDefault="002E4C81">
            <w:pPr>
              <w:pStyle w:val="ListParagraph"/>
              <w:ind w:left="0"/>
              <w:jc w:val="center"/>
              <w:rPr>
                <w:rFonts w:ascii="Arial" w:eastAsia="Calibri" w:hAnsi="Arial" w:cs="Arial"/>
                <w:lang w:eastAsia="en-GB"/>
              </w:rPr>
            </w:pPr>
          </w:p>
        </w:tc>
      </w:tr>
    </w:tbl>
    <w:p w14:paraId="11EF02F0" w14:textId="09EA65A7" w:rsidR="002D1B1F" w:rsidRPr="000C06A7" w:rsidRDefault="18BF9A30" w:rsidP="000C06A7">
      <w:pPr>
        <w:pStyle w:val="Heading3"/>
        <w:rPr>
          <w:lang w:eastAsia="en-GB"/>
        </w:rPr>
      </w:pPr>
      <w:bookmarkStart w:id="10" w:name="_Toc179481630"/>
      <w:r w:rsidRPr="000C06A7">
        <w:rPr>
          <w:lang w:eastAsia="en-GB"/>
        </w:rPr>
        <w:t>T</w:t>
      </w:r>
      <w:r w:rsidR="002D1B1F" w:rsidRPr="000C06A7">
        <w:rPr>
          <w:lang w:eastAsia="en-GB"/>
        </w:rPr>
        <w:t xml:space="preserve">raining </w:t>
      </w:r>
      <w:r w:rsidR="00033CD4" w:rsidRPr="000C06A7">
        <w:rPr>
          <w:lang w:eastAsia="en-GB"/>
        </w:rPr>
        <w:t xml:space="preserve">places </w:t>
      </w:r>
      <w:r w:rsidR="00BF1A99" w:rsidRPr="000C06A7">
        <w:rPr>
          <w:bCs/>
          <w:lang w:eastAsia="en-GB"/>
        </w:rPr>
        <w:t>and</w:t>
      </w:r>
      <w:r w:rsidR="00033CD4" w:rsidRPr="000C06A7">
        <w:rPr>
          <w:lang w:eastAsia="en-GB"/>
        </w:rPr>
        <w:t xml:space="preserve"> </w:t>
      </w:r>
      <w:r w:rsidR="002D1B1F" w:rsidRPr="000C06A7">
        <w:rPr>
          <w:lang w:eastAsia="en-GB"/>
        </w:rPr>
        <w:t>attendance</w:t>
      </w:r>
      <w:bookmarkEnd w:id="10"/>
    </w:p>
    <w:p w14:paraId="195062B8" w14:textId="77777777" w:rsidR="002D1B1F" w:rsidRPr="000C06A7" w:rsidRDefault="002D1B1F" w:rsidP="00E976C7">
      <w:pPr>
        <w:spacing w:after="0"/>
        <w:rPr>
          <w:rFonts w:ascii="Arial" w:hAnsi="Arial" w:cs="Arial"/>
          <w:lang w:eastAsia="en-GB"/>
        </w:rPr>
      </w:pPr>
    </w:p>
    <w:p w14:paraId="2AE5ADB2" w14:textId="1329524F" w:rsidR="00701656" w:rsidRPr="00B568F3" w:rsidRDefault="00BF7910"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Table </w:t>
      </w:r>
      <w:r w:rsidR="00187732" w:rsidRPr="00B568F3">
        <w:rPr>
          <w:rFonts w:ascii="Arial" w:eastAsia="Calibri" w:hAnsi="Arial" w:cs="Arial"/>
          <w:sz w:val="24"/>
          <w:szCs w:val="24"/>
          <w:lang w:eastAsia="en-GB"/>
        </w:rPr>
        <w:t xml:space="preserve">6 </w:t>
      </w:r>
      <w:r w:rsidR="00DA5862" w:rsidRPr="00B568F3">
        <w:rPr>
          <w:rFonts w:ascii="Arial" w:eastAsia="Calibri" w:hAnsi="Arial" w:cs="Arial"/>
          <w:sz w:val="24"/>
          <w:szCs w:val="24"/>
          <w:lang w:eastAsia="en-GB"/>
        </w:rPr>
        <w:t xml:space="preserve">shows </w:t>
      </w:r>
      <w:r w:rsidR="00535CED" w:rsidRPr="00B568F3">
        <w:rPr>
          <w:rFonts w:ascii="Arial" w:eastAsia="Calibri" w:hAnsi="Arial" w:cs="Arial"/>
          <w:sz w:val="24"/>
          <w:szCs w:val="24"/>
          <w:lang w:eastAsia="en-GB"/>
        </w:rPr>
        <w:t xml:space="preserve">a </w:t>
      </w:r>
      <w:r w:rsidR="000F29AD" w:rsidRPr="00B568F3">
        <w:rPr>
          <w:rFonts w:ascii="Arial" w:eastAsia="Calibri" w:hAnsi="Arial" w:cs="Arial"/>
          <w:sz w:val="24"/>
          <w:szCs w:val="24"/>
          <w:lang w:eastAsia="en-GB"/>
        </w:rPr>
        <w:t>decrease in 2023</w:t>
      </w:r>
      <w:r w:rsidR="005D5E43" w:rsidRPr="00B568F3">
        <w:rPr>
          <w:rFonts w:ascii="Arial" w:eastAsia="Calibri" w:hAnsi="Arial" w:cs="Arial"/>
          <w:sz w:val="24"/>
          <w:szCs w:val="24"/>
          <w:lang w:eastAsia="en-GB"/>
        </w:rPr>
        <w:t xml:space="preserve"> to </w:t>
      </w:r>
      <w:r w:rsidR="000F29AD" w:rsidRPr="00B568F3">
        <w:rPr>
          <w:rFonts w:ascii="Arial" w:eastAsia="Calibri" w:hAnsi="Arial" w:cs="Arial"/>
          <w:sz w:val="24"/>
          <w:szCs w:val="24"/>
          <w:lang w:eastAsia="en-GB"/>
        </w:rPr>
        <w:t xml:space="preserve">2024 in the </w:t>
      </w:r>
      <w:r w:rsidR="00D56181" w:rsidRPr="00B568F3">
        <w:rPr>
          <w:rFonts w:ascii="Arial" w:eastAsia="Calibri" w:hAnsi="Arial" w:cs="Arial"/>
          <w:sz w:val="24"/>
          <w:szCs w:val="24"/>
          <w:lang w:eastAsia="en-GB"/>
        </w:rPr>
        <w:t>number of training places book</w:t>
      </w:r>
      <w:r w:rsidR="00701656" w:rsidRPr="00B568F3">
        <w:rPr>
          <w:rFonts w:ascii="Arial" w:eastAsia="Calibri" w:hAnsi="Arial" w:cs="Arial"/>
          <w:sz w:val="24"/>
          <w:szCs w:val="24"/>
          <w:lang w:eastAsia="en-GB"/>
        </w:rPr>
        <w:t>ed</w:t>
      </w:r>
      <w:r w:rsidR="00D56181" w:rsidRPr="00B568F3">
        <w:rPr>
          <w:rFonts w:ascii="Arial" w:eastAsia="Calibri" w:hAnsi="Arial" w:cs="Arial"/>
          <w:sz w:val="24"/>
          <w:szCs w:val="24"/>
          <w:lang w:eastAsia="en-GB"/>
        </w:rPr>
        <w:t xml:space="preserve"> </w:t>
      </w:r>
      <w:r w:rsidR="000F29AD" w:rsidRPr="00B568F3">
        <w:rPr>
          <w:rFonts w:ascii="Arial" w:eastAsia="Calibri" w:hAnsi="Arial" w:cs="Arial"/>
          <w:sz w:val="24"/>
          <w:szCs w:val="24"/>
          <w:lang w:eastAsia="en-GB"/>
        </w:rPr>
        <w:t>(</w:t>
      </w:r>
      <w:r w:rsidR="00397323" w:rsidRPr="00B568F3">
        <w:rPr>
          <w:rFonts w:ascii="Arial" w:eastAsia="Calibri" w:hAnsi="Arial" w:cs="Arial"/>
          <w:sz w:val="24"/>
          <w:szCs w:val="24"/>
          <w:lang w:eastAsia="en-GB"/>
        </w:rPr>
        <w:t>-</w:t>
      </w:r>
      <w:r w:rsidR="000F29AD" w:rsidRPr="00B568F3">
        <w:rPr>
          <w:rFonts w:ascii="Arial" w:eastAsia="Calibri" w:hAnsi="Arial" w:cs="Arial"/>
          <w:sz w:val="24"/>
          <w:szCs w:val="24"/>
          <w:lang w:eastAsia="en-GB"/>
        </w:rPr>
        <w:t>15.8</w:t>
      </w:r>
      <w:r w:rsidR="005D5E43" w:rsidRPr="00B568F3">
        <w:rPr>
          <w:rFonts w:ascii="Arial" w:eastAsia="Calibri" w:hAnsi="Arial" w:cs="Arial"/>
          <w:sz w:val="24"/>
          <w:szCs w:val="24"/>
          <w:lang w:eastAsia="en-GB"/>
        </w:rPr>
        <w:t xml:space="preserve"> per cent</w:t>
      </w:r>
      <w:r w:rsidR="000F29AD" w:rsidRPr="00B568F3">
        <w:rPr>
          <w:rFonts w:ascii="Arial" w:eastAsia="Calibri" w:hAnsi="Arial" w:cs="Arial"/>
          <w:sz w:val="24"/>
          <w:szCs w:val="24"/>
          <w:lang w:eastAsia="en-GB"/>
        </w:rPr>
        <w:t xml:space="preserve">) </w:t>
      </w:r>
      <w:r w:rsidR="00D56181" w:rsidRPr="00B568F3">
        <w:rPr>
          <w:rFonts w:ascii="Arial" w:eastAsia="Calibri" w:hAnsi="Arial" w:cs="Arial"/>
          <w:sz w:val="24"/>
          <w:szCs w:val="24"/>
          <w:lang w:eastAsia="en-GB"/>
        </w:rPr>
        <w:t>and the number of people attending</w:t>
      </w:r>
      <w:r w:rsidR="000F29AD" w:rsidRPr="00B568F3">
        <w:rPr>
          <w:rFonts w:ascii="Arial" w:eastAsia="Calibri" w:hAnsi="Arial" w:cs="Arial"/>
          <w:sz w:val="24"/>
          <w:szCs w:val="24"/>
          <w:lang w:eastAsia="en-GB"/>
        </w:rPr>
        <w:t xml:space="preserve"> (</w:t>
      </w:r>
      <w:r w:rsidR="00397323" w:rsidRPr="00B568F3">
        <w:rPr>
          <w:rFonts w:ascii="Arial" w:eastAsia="Calibri" w:hAnsi="Arial" w:cs="Arial"/>
          <w:sz w:val="24"/>
          <w:szCs w:val="24"/>
          <w:lang w:eastAsia="en-GB"/>
        </w:rPr>
        <w:t>-</w:t>
      </w:r>
      <w:r w:rsidR="00700A07" w:rsidRPr="00B568F3">
        <w:rPr>
          <w:rFonts w:ascii="Arial" w:eastAsia="Calibri" w:hAnsi="Arial" w:cs="Arial"/>
          <w:sz w:val="24"/>
          <w:szCs w:val="24"/>
          <w:lang w:eastAsia="en-GB"/>
        </w:rPr>
        <w:t>18.5</w:t>
      </w:r>
      <w:r w:rsidR="005D5E43" w:rsidRPr="00B568F3">
        <w:rPr>
          <w:rFonts w:ascii="Arial" w:eastAsia="Calibri" w:hAnsi="Arial" w:cs="Arial"/>
          <w:sz w:val="24"/>
          <w:szCs w:val="24"/>
          <w:lang w:eastAsia="en-GB"/>
        </w:rPr>
        <w:t xml:space="preserve"> per cent</w:t>
      </w:r>
      <w:r w:rsidR="00700A07" w:rsidRPr="00B568F3">
        <w:rPr>
          <w:rFonts w:ascii="Arial" w:eastAsia="Calibri" w:hAnsi="Arial" w:cs="Arial"/>
          <w:sz w:val="24"/>
          <w:szCs w:val="24"/>
          <w:lang w:eastAsia="en-GB"/>
        </w:rPr>
        <w:t>)</w:t>
      </w:r>
      <w:r w:rsidR="00535CED" w:rsidRPr="00B568F3">
        <w:rPr>
          <w:rFonts w:ascii="Arial" w:eastAsia="Calibri" w:hAnsi="Arial" w:cs="Arial"/>
          <w:sz w:val="24"/>
          <w:szCs w:val="24"/>
          <w:lang w:eastAsia="en-GB"/>
        </w:rPr>
        <w:t xml:space="preserve"> compared to 2022</w:t>
      </w:r>
      <w:r w:rsidR="005D5E43" w:rsidRPr="00B568F3">
        <w:rPr>
          <w:rFonts w:ascii="Arial" w:eastAsia="Calibri" w:hAnsi="Arial" w:cs="Arial"/>
          <w:sz w:val="24"/>
          <w:szCs w:val="24"/>
          <w:lang w:eastAsia="en-GB"/>
        </w:rPr>
        <w:t xml:space="preserve"> to </w:t>
      </w:r>
      <w:r w:rsidR="00535CED" w:rsidRPr="00B568F3">
        <w:rPr>
          <w:rFonts w:ascii="Arial" w:eastAsia="Calibri" w:hAnsi="Arial" w:cs="Arial"/>
          <w:sz w:val="24"/>
          <w:szCs w:val="24"/>
          <w:lang w:eastAsia="en-GB"/>
        </w:rPr>
        <w:t>2023</w:t>
      </w:r>
      <w:r w:rsidR="00815D33" w:rsidRPr="00B568F3">
        <w:rPr>
          <w:rFonts w:ascii="Arial" w:eastAsia="Calibri" w:hAnsi="Arial" w:cs="Arial"/>
          <w:sz w:val="24"/>
          <w:szCs w:val="24"/>
          <w:lang w:eastAsia="en-GB"/>
        </w:rPr>
        <w:t xml:space="preserve">. </w:t>
      </w:r>
    </w:p>
    <w:p w14:paraId="3B6B64E3" w14:textId="77777777" w:rsidR="003D5735" w:rsidRPr="00B568F3" w:rsidRDefault="003D5735" w:rsidP="00EB1A13">
      <w:pPr>
        <w:spacing w:after="200" w:line="276" w:lineRule="auto"/>
        <w:ind w:left="567"/>
        <w:contextualSpacing/>
        <w:rPr>
          <w:rFonts w:ascii="Arial" w:eastAsia="Calibri" w:hAnsi="Arial" w:cs="Arial"/>
          <w:sz w:val="24"/>
          <w:szCs w:val="24"/>
          <w:lang w:eastAsia="en-GB"/>
        </w:rPr>
      </w:pPr>
    </w:p>
    <w:p w14:paraId="5BA3DFC2" w14:textId="32592E21" w:rsidR="00AE2CF5" w:rsidRPr="00B568F3" w:rsidRDefault="003D5735"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This decrease </w:t>
      </w:r>
      <w:r w:rsidR="00C533EE" w:rsidRPr="00B568F3">
        <w:rPr>
          <w:rFonts w:ascii="Arial" w:eastAsia="Calibri" w:hAnsi="Arial" w:cs="Arial"/>
          <w:sz w:val="24"/>
          <w:szCs w:val="24"/>
          <w:lang w:eastAsia="en-GB"/>
        </w:rPr>
        <w:t>could be seen in all</w:t>
      </w:r>
      <w:r w:rsidRPr="00B568F3">
        <w:rPr>
          <w:rFonts w:ascii="Arial" w:eastAsia="Calibri" w:hAnsi="Arial" w:cs="Arial"/>
          <w:sz w:val="24"/>
          <w:szCs w:val="24"/>
          <w:lang w:eastAsia="en-GB"/>
        </w:rPr>
        <w:t xml:space="preserve"> areas of the sector apart from </w:t>
      </w:r>
      <w:r w:rsidR="00560B20" w:rsidRPr="00B568F3">
        <w:rPr>
          <w:rFonts w:ascii="Arial" w:eastAsia="Calibri" w:hAnsi="Arial" w:cs="Arial"/>
          <w:sz w:val="24"/>
          <w:szCs w:val="24"/>
          <w:lang w:eastAsia="en-GB"/>
        </w:rPr>
        <w:t>‘</w:t>
      </w:r>
      <w:r w:rsidRPr="00B568F3">
        <w:rPr>
          <w:rFonts w:ascii="Arial" w:eastAsia="Calibri" w:hAnsi="Arial" w:cs="Arial"/>
          <w:sz w:val="24"/>
          <w:szCs w:val="24"/>
          <w:lang w:eastAsia="en-GB"/>
        </w:rPr>
        <w:t>other services</w:t>
      </w:r>
      <w:r w:rsidR="008562CE" w:rsidRPr="00B568F3">
        <w:rPr>
          <w:rFonts w:ascii="Arial" w:eastAsia="Calibri" w:hAnsi="Arial" w:cs="Arial"/>
          <w:sz w:val="24"/>
          <w:szCs w:val="24"/>
          <w:lang w:eastAsia="en-GB"/>
        </w:rPr>
        <w:t>.’</w:t>
      </w:r>
      <w:r w:rsidRPr="00B568F3">
        <w:rPr>
          <w:rFonts w:ascii="Arial" w:eastAsia="Calibri" w:hAnsi="Arial" w:cs="Arial"/>
          <w:sz w:val="24"/>
          <w:szCs w:val="24"/>
          <w:lang w:eastAsia="en-GB"/>
        </w:rPr>
        <w:t xml:space="preserve"> </w:t>
      </w:r>
      <w:r w:rsidR="00AE2CF5" w:rsidRPr="00B568F3">
        <w:rPr>
          <w:rFonts w:ascii="Arial" w:eastAsia="Calibri" w:hAnsi="Arial" w:cs="Arial"/>
          <w:sz w:val="24"/>
          <w:szCs w:val="24"/>
          <w:lang w:eastAsia="en-GB"/>
        </w:rPr>
        <w:t>‘Other services’ include</w:t>
      </w:r>
      <w:r w:rsidR="00033C5B" w:rsidRPr="00B568F3">
        <w:rPr>
          <w:rFonts w:ascii="Arial" w:eastAsia="Calibri" w:hAnsi="Arial" w:cs="Arial"/>
          <w:sz w:val="24"/>
          <w:szCs w:val="24"/>
          <w:lang w:eastAsia="en-GB"/>
        </w:rPr>
        <w:t>s</w:t>
      </w:r>
      <w:r w:rsidR="00AE2CF5" w:rsidRPr="00B568F3">
        <w:rPr>
          <w:rFonts w:ascii="Arial" w:eastAsia="Calibri" w:hAnsi="Arial" w:cs="Arial"/>
          <w:sz w:val="24"/>
          <w:szCs w:val="24"/>
          <w:lang w:eastAsia="en-GB"/>
        </w:rPr>
        <w:t xml:space="preserve"> any services outside of the statutory, private and voluntary services and could include health, police, education, unpaid carers and volunteers.</w:t>
      </w:r>
    </w:p>
    <w:p w14:paraId="1B215B81" w14:textId="77777777" w:rsidR="00017423" w:rsidRPr="00B568F3" w:rsidRDefault="00017423" w:rsidP="00017423">
      <w:pPr>
        <w:rPr>
          <w:rFonts w:ascii="Arial" w:eastAsia="Calibri" w:hAnsi="Arial" w:cs="Arial"/>
          <w:sz w:val="24"/>
          <w:szCs w:val="24"/>
          <w:lang w:eastAsia="en-GB"/>
        </w:rPr>
      </w:pPr>
    </w:p>
    <w:p w14:paraId="5A6C8A22" w14:textId="0633302B" w:rsidR="003D5735" w:rsidRPr="00B568F3" w:rsidRDefault="003D5735"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For other services, the number of training places booked increased by 26.4</w:t>
      </w:r>
      <w:r w:rsidR="007D0B6D" w:rsidRPr="00B568F3">
        <w:rPr>
          <w:rFonts w:ascii="Arial" w:eastAsia="Calibri" w:hAnsi="Arial" w:cs="Arial"/>
          <w:sz w:val="24"/>
          <w:szCs w:val="24"/>
          <w:lang w:eastAsia="en-GB"/>
        </w:rPr>
        <w:t xml:space="preserve"> per cent</w:t>
      </w:r>
      <w:r w:rsidRPr="00B568F3">
        <w:rPr>
          <w:rFonts w:ascii="Arial" w:eastAsia="Calibri" w:hAnsi="Arial" w:cs="Arial"/>
          <w:sz w:val="24"/>
          <w:szCs w:val="24"/>
          <w:lang w:eastAsia="en-GB"/>
        </w:rPr>
        <w:t xml:space="preserve"> whil</w:t>
      </w:r>
      <w:r w:rsidR="007D0B6D" w:rsidRPr="00B568F3">
        <w:rPr>
          <w:rFonts w:ascii="Arial" w:eastAsia="Calibri" w:hAnsi="Arial" w:cs="Arial"/>
          <w:sz w:val="24"/>
          <w:szCs w:val="24"/>
          <w:lang w:eastAsia="en-GB"/>
        </w:rPr>
        <w:t>e</w:t>
      </w:r>
      <w:r w:rsidRPr="00B568F3">
        <w:rPr>
          <w:rFonts w:ascii="Arial" w:eastAsia="Calibri" w:hAnsi="Arial" w:cs="Arial"/>
          <w:sz w:val="24"/>
          <w:szCs w:val="24"/>
          <w:lang w:eastAsia="en-GB"/>
        </w:rPr>
        <w:t xml:space="preserve"> the number of people attending </w:t>
      </w:r>
      <w:r w:rsidR="008F1592" w:rsidRPr="00B568F3">
        <w:rPr>
          <w:rFonts w:ascii="Arial" w:eastAsia="Calibri" w:hAnsi="Arial" w:cs="Arial"/>
          <w:sz w:val="24"/>
          <w:szCs w:val="24"/>
          <w:lang w:eastAsia="en-GB"/>
        </w:rPr>
        <w:t xml:space="preserve">training </w:t>
      </w:r>
      <w:r w:rsidRPr="00B568F3">
        <w:rPr>
          <w:rFonts w:ascii="Arial" w:eastAsia="Calibri" w:hAnsi="Arial" w:cs="Arial"/>
          <w:sz w:val="24"/>
          <w:szCs w:val="24"/>
          <w:lang w:eastAsia="en-GB"/>
        </w:rPr>
        <w:t>increased by 28.2</w:t>
      </w:r>
      <w:r w:rsidR="008F1592" w:rsidRPr="00B568F3">
        <w:rPr>
          <w:rFonts w:ascii="Arial" w:eastAsia="Calibri" w:hAnsi="Arial" w:cs="Arial"/>
          <w:sz w:val="24"/>
          <w:szCs w:val="24"/>
          <w:lang w:eastAsia="en-GB"/>
        </w:rPr>
        <w:t xml:space="preserve"> per cent.</w:t>
      </w:r>
    </w:p>
    <w:p w14:paraId="39329891" w14:textId="77777777" w:rsidR="00E013F4" w:rsidRPr="00B568F3" w:rsidRDefault="00E013F4" w:rsidP="00E013F4">
      <w:pPr>
        <w:spacing w:after="200" w:line="276" w:lineRule="auto"/>
        <w:ind w:left="709"/>
        <w:contextualSpacing/>
        <w:rPr>
          <w:rFonts w:ascii="Arial" w:eastAsia="Calibri" w:hAnsi="Arial" w:cs="Arial"/>
          <w:sz w:val="24"/>
          <w:szCs w:val="24"/>
          <w:lang w:eastAsia="en-GB"/>
        </w:rPr>
      </w:pPr>
    </w:p>
    <w:p w14:paraId="5B1E434A" w14:textId="436B3780" w:rsidR="00E013F4" w:rsidRPr="00B568F3" w:rsidRDefault="00E013F4" w:rsidP="00E013F4">
      <w:pPr>
        <w:spacing w:after="0" w:line="240" w:lineRule="auto"/>
        <w:rPr>
          <w:rFonts w:ascii="Arial" w:eastAsia="Calibri" w:hAnsi="Arial" w:cs="Arial"/>
          <w:b/>
          <w:bCs/>
          <w:sz w:val="24"/>
          <w:szCs w:val="24"/>
          <w:lang w:eastAsia="en-GB"/>
        </w:rPr>
      </w:pPr>
      <w:r w:rsidRPr="00B568F3">
        <w:rPr>
          <w:rFonts w:ascii="Arial" w:eastAsia="Calibri" w:hAnsi="Arial" w:cs="Arial"/>
          <w:b/>
          <w:bCs/>
          <w:sz w:val="24"/>
          <w:szCs w:val="24"/>
          <w:lang w:eastAsia="en-GB"/>
        </w:rPr>
        <w:t xml:space="preserve">Table </w:t>
      </w:r>
      <w:r w:rsidR="00187732" w:rsidRPr="00B568F3">
        <w:rPr>
          <w:rFonts w:ascii="Arial" w:eastAsia="Calibri" w:hAnsi="Arial" w:cs="Arial"/>
          <w:b/>
          <w:bCs/>
          <w:sz w:val="24"/>
          <w:szCs w:val="24"/>
          <w:lang w:eastAsia="en-GB"/>
        </w:rPr>
        <w:t>6</w:t>
      </w:r>
      <w:r w:rsidRPr="00B568F3">
        <w:rPr>
          <w:rFonts w:ascii="Arial" w:eastAsia="Calibri" w:hAnsi="Arial" w:cs="Arial"/>
          <w:b/>
          <w:bCs/>
          <w:sz w:val="24"/>
          <w:szCs w:val="24"/>
          <w:lang w:eastAsia="en-GB"/>
        </w:rPr>
        <w:t xml:space="preserve">: Training places </w:t>
      </w:r>
      <w:r w:rsidR="008F1592" w:rsidRPr="00B568F3">
        <w:rPr>
          <w:rFonts w:ascii="Arial" w:eastAsia="Calibri" w:hAnsi="Arial" w:cs="Arial"/>
          <w:b/>
          <w:bCs/>
          <w:sz w:val="24"/>
          <w:szCs w:val="24"/>
          <w:lang w:eastAsia="en-GB"/>
        </w:rPr>
        <w:t>and</w:t>
      </w:r>
      <w:r w:rsidRPr="00B568F3">
        <w:rPr>
          <w:rFonts w:ascii="Arial" w:eastAsia="Calibri" w:hAnsi="Arial" w:cs="Arial"/>
          <w:b/>
          <w:bCs/>
          <w:sz w:val="24"/>
          <w:szCs w:val="24"/>
          <w:lang w:eastAsia="en-GB"/>
        </w:rPr>
        <w:t xml:space="preserve"> attendance levels, 2023</w:t>
      </w:r>
      <w:r w:rsidR="008F1592" w:rsidRPr="00B568F3">
        <w:rPr>
          <w:rFonts w:ascii="Arial" w:eastAsia="Calibri" w:hAnsi="Arial" w:cs="Arial"/>
          <w:b/>
          <w:bCs/>
          <w:sz w:val="24"/>
          <w:szCs w:val="24"/>
          <w:lang w:eastAsia="en-GB"/>
        </w:rPr>
        <w:t xml:space="preserve"> to </w:t>
      </w:r>
      <w:r w:rsidRPr="00B568F3">
        <w:rPr>
          <w:rFonts w:ascii="Arial" w:eastAsia="Calibri" w:hAnsi="Arial" w:cs="Arial"/>
          <w:b/>
          <w:bCs/>
          <w:sz w:val="24"/>
          <w:szCs w:val="24"/>
          <w:lang w:eastAsia="en-GB"/>
        </w:rPr>
        <w:t>2024</w:t>
      </w:r>
    </w:p>
    <w:p w14:paraId="63DBE607" w14:textId="77777777" w:rsidR="00E013F4" w:rsidRPr="00B568F3" w:rsidRDefault="00E013F4" w:rsidP="00E013F4">
      <w:pPr>
        <w:spacing w:after="0" w:line="276" w:lineRule="auto"/>
        <w:contextualSpacing/>
        <w:rPr>
          <w:rFonts w:ascii="Arial" w:eastAsia="Calibri" w:hAnsi="Arial" w:cs="Arial"/>
          <w:sz w:val="24"/>
          <w:szCs w:val="24"/>
          <w:lang w:eastAsia="en-GB"/>
        </w:rPr>
      </w:pP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1730"/>
        <w:gridCol w:w="1841"/>
        <w:gridCol w:w="1581"/>
        <w:gridCol w:w="1821"/>
      </w:tblGrid>
      <w:tr w:rsidR="00E013F4" w:rsidRPr="00B568F3" w14:paraId="0D3CEAA9" w14:textId="77777777" w:rsidTr="00C827EE">
        <w:trPr>
          <w:jc w:val="center"/>
        </w:trPr>
        <w:tc>
          <w:tcPr>
            <w:tcW w:w="1816" w:type="dxa"/>
            <w:tcBorders>
              <w:right w:val="single" w:sz="4" w:space="0" w:color="auto"/>
            </w:tcBorders>
          </w:tcPr>
          <w:p w14:paraId="06147DAD" w14:textId="77777777" w:rsidR="00E013F4" w:rsidRPr="000C06A7" w:rsidRDefault="00E013F4" w:rsidP="00FC716F">
            <w:pPr>
              <w:spacing w:after="200" w:line="276" w:lineRule="auto"/>
              <w:contextualSpacing/>
              <w:rPr>
                <w:rFonts w:ascii="Arial" w:eastAsia="Calibri" w:hAnsi="Arial" w:cs="Arial"/>
                <w:sz w:val="24"/>
                <w:szCs w:val="24"/>
                <w:lang w:eastAsia="en-GB"/>
              </w:rPr>
            </w:pPr>
          </w:p>
        </w:tc>
        <w:tc>
          <w:tcPr>
            <w:tcW w:w="3571" w:type="dxa"/>
            <w:gridSpan w:val="2"/>
            <w:tcBorders>
              <w:top w:val="single" w:sz="4" w:space="0" w:color="auto"/>
              <w:left w:val="single" w:sz="4" w:space="0" w:color="auto"/>
              <w:bottom w:val="single" w:sz="4" w:space="0" w:color="auto"/>
              <w:right w:val="single" w:sz="4" w:space="0" w:color="auto"/>
            </w:tcBorders>
          </w:tcPr>
          <w:p w14:paraId="5B26153C" w14:textId="77777777" w:rsidR="00E013F4" w:rsidRPr="000C06A7" w:rsidRDefault="00E013F4" w:rsidP="00FC716F">
            <w:pPr>
              <w:spacing w:after="200" w:line="276" w:lineRule="auto"/>
              <w:contextualSpacing/>
              <w:jc w:val="center"/>
              <w:rPr>
                <w:rFonts w:ascii="Arial" w:eastAsia="Calibri" w:hAnsi="Arial" w:cs="Arial"/>
                <w:b/>
                <w:bCs/>
                <w:sz w:val="24"/>
                <w:szCs w:val="24"/>
                <w:lang w:eastAsia="en-GB"/>
              </w:rPr>
            </w:pPr>
            <w:r w:rsidRPr="000C06A7">
              <w:rPr>
                <w:rFonts w:ascii="Arial" w:eastAsia="Calibri" w:hAnsi="Arial" w:cs="Arial"/>
                <w:b/>
                <w:bCs/>
                <w:sz w:val="24"/>
                <w:szCs w:val="24"/>
                <w:lang w:eastAsia="en-GB"/>
              </w:rPr>
              <w:t>Training places booked</w:t>
            </w:r>
          </w:p>
        </w:tc>
        <w:tc>
          <w:tcPr>
            <w:tcW w:w="3402" w:type="dxa"/>
            <w:gridSpan w:val="2"/>
            <w:tcBorders>
              <w:top w:val="single" w:sz="4" w:space="0" w:color="auto"/>
              <w:left w:val="single" w:sz="4" w:space="0" w:color="auto"/>
              <w:bottom w:val="single" w:sz="4" w:space="0" w:color="auto"/>
              <w:right w:val="single" w:sz="4" w:space="0" w:color="auto"/>
            </w:tcBorders>
          </w:tcPr>
          <w:p w14:paraId="5F099243" w14:textId="77777777" w:rsidR="00E013F4" w:rsidRPr="000C06A7" w:rsidRDefault="00E013F4" w:rsidP="00FC716F">
            <w:pPr>
              <w:spacing w:after="200" w:line="276" w:lineRule="auto"/>
              <w:contextualSpacing/>
              <w:jc w:val="center"/>
              <w:rPr>
                <w:rFonts w:ascii="Arial" w:eastAsia="Calibri" w:hAnsi="Arial" w:cs="Arial"/>
                <w:b/>
                <w:bCs/>
                <w:sz w:val="24"/>
                <w:szCs w:val="24"/>
                <w:lang w:eastAsia="en-GB"/>
              </w:rPr>
            </w:pPr>
            <w:r w:rsidRPr="000C06A7">
              <w:rPr>
                <w:rFonts w:ascii="Arial" w:eastAsia="Calibri" w:hAnsi="Arial" w:cs="Arial"/>
                <w:b/>
                <w:bCs/>
                <w:sz w:val="24"/>
                <w:szCs w:val="24"/>
                <w:lang w:eastAsia="en-GB"/>
              </w:rPr>
              <w:t>People attending</w:t>
            </w:r>
          </w:p>
        </w:tc>
      </w:tr>
      <w:tr w:rsidR="00E013F4" w:rsidRPr="00B568F3" w14:paraId="4BFB03E2" w14:textId="77777777" w:rsidTr="00C827EE">
        <w:trPr>
          <w:jc w:val="center"/>
        </w:trPr>
        <w:tc>
          <w:tcPr>
            <w:tcW w:w="1816" w:type="dxa"/>
            <w:tcBorders>
              <w:bottom w:val="single" w:sz="4" w:space="0" w:color="auto"/>
              <w:right w:val="single" w:sz="4" w:space="0" w:color="auto"/>
            </w:tcBorders>
          </w:tcPr>
          <w:p w14:paraId="75031275" w14:textId="77777777" w:rsidR="00E013F4" w:rsidRPr="000C06A7" w:rsidRDefault="00E013F4" w:rsidP="00FC716F">
            <w:pPr>
              <w:spacing w:after="200" w:line="276" w:lineRule="auto"/>
              <w:contextualSpacing/>
              <w:rPr>
                <w:rFonts w:ascii="Arial" w:eastAsia="Calibri" w:hAnsi="Arial" w:cs="Arial"/>
                <w:sz w:val="24"/>
                <w:szCs w:val="24"/>
                <w:lang w:eastAsia="en-GB"/>
              </w:rPr>
            </w:pPr>
          </w:p>
        </w:tc>
        <w:tc>
          <w:tcPr>
            <w:tcW w:w="1730" w:type="dxa"/>
            <w:tcBorders>
              <w:top w:val="single" w:sz="4" w:space="0" w:color="auto"/>
              <w:left w:val="single" w:sz="4" w:space="0" w:color="auto"/>
              <w:bottom w:val="single" w:sz="4" w:space="0" w:color="auto"/>
            </w:tcBorders>
          </w:tcPr>
          <w:p w14:paraId="11E81422" w14:textId="77777777" w:rsidR="00E013F4" w:rsidRPr="000C06A7" w:rsidRDefault="00E013F4" w:rsidP="00FC716F">
            <w:pPr>
              <w:spacing w:after="200" w:line="276" w:lineRule="auto"/>
              <w:contextualSpacing/>
              <w:jc w:val="center"/>
              <w:rPr>
                <w:rFonts w:ascii="Arial" w:eastAsia="Calibri" w:hAnsi="Arial" w:cs="Arial"/>
                <w:b/>
                <w:bCs/>
                <w:sz w:val="24"/>
                <w:szCs w:val="24"/>
                <w:lang w:eastAsia="en-GB"/>
              </w:rPr>
            </w:pPr>
            <w:r w:rsidRPr="000C06A7">
              <w:rPr>
                <w:rFonts w:ascii="Arial" w:eastAsia="Calibri" w:hAnsi="Arial" w:cs="Arial"/>
                <w:b/>
                <w:bCs/>
                <w:sz w:val="24"/>
                <w:szCs w:val="24"/>
                <w:lang w:eastAsia="en-GB"/>
              </w:rPr>
              <w:t>Number</w:t>
            </w:r>
          </w:p>
        </w:tc>
        <w:tc>
          <w:tcPr>
            <w:tcW w:w="1841" w:type="dxa"/>
            <w:tcBorders>
              <w:top w:val="single" w:sz="4" w:space="0" w:color="auto"/>
              <w:bottom w:val="single" w:sz="4" w:space="0" w:color="auto"/>
              <w:right w:val="single" w:sz="4" w:space="0" w:color="auto"/>
            </w:tcBorders>
          </w:tcPr>
          <w:p w14:paraId="0F59191F" w14:textId="0F5D76F8" w:rsidR="00E013F4" w:rsidRPr="000C06A7" w:rsidRDefault="00E013F4" w:rsidP="00FC716F">
            <w:pPr>
              <w:spacing w:after="200" w:line="276" w:lineRule="auto"/>
              <w:contextualSpacing/>
              <w:jc w:val="center"/>
              <w:rPr>
                <w:rFonts w:ascii="Arial" w:eastAsia="Calibri" w:hAnsi="Arial" w:cs="Arial"/>
                <w:b/>
                <w:bCs/>
                <w:sz w:val="24"/>
                <w:szCs w:val="24"/>
                <w:lang w:eastAsia="en-GB"/>
              </w:rPr>
            </w:pPr>
            <w:r w:rsidRPr="000C06A7">
              <w:rPr>
                <w:rFonts w:ascii="Arial" w:eastAsia="Calibri" w:hAnsi="Arial" w:cs="Arial"/>
                <w:b/>
                <w:bCs/>
                <w:sz w:val="24"/>
                <w:szCs w:val="24"/>
                <w:lang w:eastAsia="en-GB"/>
              </w:rPr>
              <w:t>% change</w:t>
            </w:r>
            <w:r w:rsidR="00C827EE" w:rsidRPr="000C06A7">
              <w:rPr>
                <w:rFonts w:ascii="Arial" w:eastAsia="Calibri" w:hAnsi="Arial" w:cs="Arial"/>
                <w:b/>
                <w:bCs/>
                <w:sz w:val="24"/>
                <w:szCs w:val="24"/>
                <w:lang w:eastAsia="en-GB"/>
              </w:rPr>
              <w:t xml:space="preserve"> to previous year</w:t>
            </w:r>
          </w:p>
        </w:tc>
        <w:tc>
          <w:tcPr>
            <w:tcW w:w="1581" w:type="dxa"/>
            <w:tcBorders>
              <w:top w:val="single" w:sz="4" w:space="0" w:color="auto"/>
              <w:left w:val="single" w:sz="4" w:space="0" w:color="auto"/>
              <w:bottom w:val="single" w:sz="4" w:space="0" w:color="auto"/>
            </w:tcBorders>
          </w:tcPr>
          <w:p w14:paraId="682579A6" w14:textId="77777777" w:rsidR="00E013F4" w:rsidRPr="000C06A7" w:rsidRDefault="00E013F4" w:rsidP="00FC716F">
            <w:pPr>
              <w:spacing w:after="200" w:line="276" w:lineRule="auto"/>
              <w:contextualSpacing/>
              <w:jc w:val="center"/>
              <w:rPr>
                <w:rFonts w:ascii="Arial" w:eastAsia="Calibri" w:hAnsi="Arial" w:cs="Arial"/>
                <w:b/>
                <w:bCs/>
                <w:sz w:val="24"/>
                <w:szCs w:val="24"/>
                <w:lang w:eastAsia="en-GB"/>
              </w:rPr>
            </w:pPr>
            <w:r w:rsidRPr="000C06A7">
              <w:rPr>
                <w:rFonts w:ascii="Arial" w:eastAsia="Calibri" w:hAnsi="Arial" w:cs="Arial"/>
                <w:b/>
                <w:bCs/>
                <w:sz w:val="24"/>
                <w:szCs w:val="24"/>
                <w:lang w:eastAsia="en-GB"/>
              </w:rPr>
              <w:t>Number</w:t>
            </w:r>
          </w:p>
        </w:tc>
        <w:tc>
          <w:tcPr>
            <w:tcW w:w="1821" w:type="dxa"/>
            <w:tcBorders>
              <w:top w:val="single" w:sz="4" w:space="0" w:color="auto"/>
              <w:bottom w:val="single" w:sz="4" w:space="0" w:color="auto"/>
              <w:right w:val="single" w:sz="4" w:space="0" w:color="auto"/>
            </w:tcBorders>
          </w:tcPr>
          <w:p w14:paraId="00B8C8C6" w14:textId="67361F8A" w:rsidR="00E013F4" w:rsidRPr="000C06A7" w:rsidRDefault="00E013F4" w:rsidP="00FC716F">
            <w:pPr>
              <w:spacing w:after="200" w:line="276" w:lineRule="auto"/>
              <w:contextualSpacing/>
              <w:jc w:val="center"/>
              <w:rPr>
                <w:rFonts w:ascii="Arial" w:eastAsia="Calibri" w:hAnsi="Arial" w:cs="Arial"/>
                <w:b/>
                <w:bCs/>
                <w:sz w:val="24"/>
                <w:szCs w:val="24"/>
                <w:lang w:eastAsia="en-GB"/>
              </w:rPr>
            </w:pPr>
            <w:r w:rsidRPr="000C06A7">
              <w:rPr>
                <w:rFonts w:ascii="Arial" w:eastAsia="Calibri" w:hAnsi="Arial" w:cs="Arial"/>
                <w:b/>
                <w:bCs/>
                <w:sz w:val="24"/>
                <w:szCs w:val="24"/>
                <w:lang w:eastAsia="en-GB"/>
              </w:rPr>
              <w:t>% change</w:t>
            </w:r>
            <w:r w:rsidR="00C827EE" w:rsidRPr="000C06A7">
              <w:rPr>
                <w:rFonts w:ascii="Arial" w:eastAsia="Calibri" w:hAnsi="Arial" w:cs="Arial"/>
                <w:b/>
                <w:bCs/>
                <w:sz w:val="24"/>
                <w:szCs w:val="24"/>
                <w:lang w:eastAsia="en-GB"/>
              </w:rPr>
              <w:t xml:space="preserve"> to previous year</w:t>
            </w:r>
          </w:p>
        </w:tc>
      </w:tr>
      <w:tr w:rsidR="00E013F4" w:rsidRPr="00B568F3" w14:paraId="270101CE" w14:textId="77777777" w:rsidTr="00C827EE">
        <w:trPr>
          <w:jc w:val="center"/>
        </w:trPr>
        <w:tc>
          <w:tcPr>
            <w:tcW w:w="1816" w:type="dxa"/>
            <w:tcBorders>
              <w:top w:val="single" w:sz="4" w:space="0" w:color="auto"/>
              <w:left w:val="single" w:sz="4" w:space="0" w:color="auto"/>
              <w:right w:val="single" w:sz="4" w:space="0" w:color="auto"/>
            </w:tcBorders>
          </w:tcPr>
          <w:p w14:paraId="77D0D888" w14:textId="77777777" w:rsidR="00E013F4" w:rsidRPr="000C06A7" w:rsidRDefault="00E013F4" w:rsidP="00FC716F">
            <w:pPr>
              <w:spacing w:after="200" w:line="276" w:lineRule="auto"/>
              <w:contextualSpacing/>
              <w:rPr>
                <w:rFonts w:ascii="Arial" w:eastAsia="Calibri" w:hAnsi="Arial" w:cs="Arial"/>
                <w:sz w:val="24"/>
                <w:szCs w:val="24"/>
                <w:lang w:eastAsia="en-GB"/>
              </w:rPr>
            </w:pPr>
            <w:r w:rsidRPr="000C06A7">
              <w:rPr>
                <w:rFonts w:ascii="Arial" w:eastAsia="Calibri" w:hAnsi="Arial" w:cs="Arial"/>
                <w:sz w:val="24"/>
                <w:szCs w:val="24"/>
                <w:lang w:eastAsia="en-GB"/>
              </w:rPr>
              <w:t>Statutory</w:t>
            </w:r>
          </w:p>
        </w:tc>
        <w:tc>
          <w:tcPr>
            <w:tcW w:w="1730" w:type="dxa"/>
            <w:tcBorders>
              <w:top w:val="single" w:sz="4" w:space="0" w:color="auto"/>
              <w:left w:val="single" w:sz="4" w:space="0" w:color="auto"/>
            </w:tcBorders>
            <w:vAlign w:val="center"/>
          </w:tcPr>
          <w:p w14:paraId="220FC023" w14:textId="77777777" w:rsidR="00E013F4" w:rsidRPr="000C06A7" w:rsidRDefault="00E013F4" w:rsidP="00FC716F">
            <w:pPr>
              <w:spacing w:after="200" w:line="276" w:lineRule="auto"/>
              <w:contextualSpacing/>
              <w:jc w:val="center"/>
              <w:rPr>
                <w:rFonts w:ascii="Arial" w:eastAsia="Calibri" w:hAnsi="Arial" w:cs="Arial"/>
                <w:sz w:val="24"/>
                <w:szCs w:val="24"/>
                <w:lang w:eastAsia="en-GB"/>
              </w:rPr>
            </w:pPr>
            <w:r w:rsidRPr="000C06A7">
              <w:rPr>
                <w:rFonts w:ascii="Arial" w:hAnsi="Arial" w:cs="Arial"/>
                <w:sz w:val="24"/>
                <w:szCs w:val="24"/>
              </w:rPr>
              <w:t>102,907</w:t>
            </w:r>
          </w:p>
        </w:tc>
        <w:tc>
          <w:tcPr>
            <w:tcW w:w="1841" w:type="dxa"/>
            <w:tcBorders>
              <w:top w:val="single" w:sz="4" w:space="0" w:color="auto"/>
              <w:right w:val="single" w:sz="4" w:space="0" w:color="auto"/>
            </w:tcBorders>
            <w:vAlign w:val="center"/>
          </w:tcPr>
          <w:p w14:paraId="514AB364" w14:textId="77777777" w:rsidR="00E013F4" w:rsidRPr="000C06A7" w:rsidRDefault="00E013F4" w:rsidP="00FC716F">
            <w:pPr>
              <w:spacing w:after="200" w:line="276" w:lineRule="auto"/>
              <w:contextualSpacing/>
              <w:jc w:val="center"/>
              <w:rPr>
                <w:rFonts w:ascii="Arial" w:eastAsia="Calibri" w:hAnsi="Arial" w:cs="Arial"/>
                <w:sz w:val="24"/>
                <w:szCs w:val="24"/>
                <w:lang w:eastAsia="en-GB"/>
              </w:rPr>
            </w:pPr>
            <w:r w:rsidRPr="000C06A7">
              <w:rPr>
                <w:rFonts w:ascii="Arial" w:hAnsi="Arial" w:cs="Arial"/>
                <w:sz w:val="24"/>
                <w:szCs w:val="24"/>
              </w:rPr>
              <w:t>-17.2%</w:t>
            </w:r>
          </w:p>
        </w:tc>
        <w:tc>
          <w:tcPr>
            <w:tcW w:w="1581" w:type="dxa"/>
            <w:tcBorders>
              <w:top w:val="single" w:sz="4" w:space="0" w:color="auto"/>
              <w:left w:val="single" w:sz="4" w:space="0" w:color="auto"/>
            </w:tcBorders>
            <w:vAlign w:val="center"/>
          </w:tcPr>
          <w:p w14:paraId="39D0D167" w14:textId="77777777" w:rsidR="00E013F4" w:rsidRPr="000C06A7" w:rsidRDefault="00E013F4" w:rsidP="00FC716F">
            <w:pPr>
              <w:spacing w:after="200" w:line="276" w:lineRule="auto"/>
              <w:contextualSpacing/>
              <w:jc w:val="center"/>
              <w:rPr>
                <w:rFonts w:ascii="Arial" w:eastAsia="Calibri" w:hAnsi="Arial" w:cs="Arial"/>
                <w:sz w:val="24"/>
                <w:szCs w:val="24"/>
                <w:lang w:eastAsia="en-GB"/>
              </w:rPr>
            </w:pPr>
            <w:r w:rsidRPr="000C06A7">
              <w:rPr>
                <w:rFonts w:ascii="Arial" w:hAnsi="Arial" w:cs="Arial"/>
                <w:sz w:val="24"/>
                <w:szCs w:val="24"/>
              </w:rPr>
              <w:t>87,017</w:t>
            </w:r>
          </w:p>
        </w:tc>
        <w:tc>
          <w:tcPr>
            <w:tcW w:w="1821" w:type="dxa"/>
            <w:tcBorders>
              <w:top w:val="single" w:sz="4" w:space="0" w:color="auto"/>
              <w:right w:val="single" w:sz="4" w:space="0" w:color="auto"/>
            </w:tcBorders>
            <w:vAlign w:val="center"/>
          </w:tcPr>
          <w:p w14:paraId="1AFE409A" w14:textId="77777777" w:rsidR="00E013F4" w:rsidRPr="000C06A7" w:rsidRDefault="00E013F4" w:rsidP="00FC716F">
            <w:pPr>
              <w:spacing w:after="200" w:line="276" w:lineRule="auto"/>
              <w:contextualSpacing/>
              <w:jc w:val="center"/>
              <w:rPr>
                <w:rFonts w:ascii="Arial" w:eastAsia="Calibri" w:hAnsi="Arial" w:cs="Arial"/>
                <w:sz w:val="24"/>
                <w:szCs w:val="24"/>
                <w:lang w:eastAsia="en-GB"/>
              </w:rPr>
            </w:pPr>
            <w:r w:rsidRPr="000C06A7">
              <w:rPr>
                <w:rFonts w:ascii="Arial" w:hAnsi="Arial" w:cs="Arial"/>
                <w:sz w:val="24"/>
                <w:szCs w:val="24"/>
              </w:rPr>
              <w:t>-19.7%</w:t>
            </w:r>
          </w:p>
        </w:tc>
      </w:tr>
      <w:tr w:rsidR="00E013F4" w:rsidRPr="00B568F3" w14:paraId="3394D69D" w14:textId="77777777" w:rsidTr="00C827EE">
        <w:trPr>
          <w:jc w:val="center"/>
        </w:trPr>
        <w:tc>
          <w:tcPr>
            <w:tcW w:w="1816" w:type="dxa"/>
            <w:tcBorders>
              <w:left w:val="single" w:sz="4" w:space="0" w:color="auto"/>
              <w:right w:val="single" w:sz="4" w:space="0" w:color="auto"/>
            </w:tcBorders>
          </w:tcPr>
          <w:p w14:paraId="6CAEF59A" w14:textId="77777777" w:rsidR="00E013F4" w:rsidRPr="000C06A7" w:rsidRDefault="00E013F4" w:rsidP="00FC716F">
            <w:pPr>
              <w:spacing w:after="200" w:line="276" w:lineRule="auto"/>
              <w:contextualSpacing/>
              <w:rPr>
                <w:rFonts w:ascii="Arial" w:eastAsia="Calibri" w:hAnsi="Arial" w:cs="Arial"/>
                <w:sz w:val="24"/>
                <w:szCs w:val="24"/>
                <w:lang w:eastAsia="en-GB"/>
              </w:rPr>
            </w:pPr>
            <w:r w:rsidRPr="000C06A7">
              <w:rPr>
                <w:rFonts w:ascii="Arial" w:eastAsia="Calibri" w:hAnsi="Arial" w:cs="Arial"/>
                <w:sz w:val="24"/>
                <w:szCs w:val="24"/>
                <w:lang w:eastAsia="en-GB"/>
              </w:rPr>
              <w:t>Voluntary</w:t>
            </w:r>
          </w:p>
        </w:tc>
        <w:tc>
          <w:tcPr>
            <w:tcW w:w="1730" w:type="dxa"/>
            <w:tcBorders>
              <w:left w:val="single" w:sz="4" w:space="0" w:color="auto"/>
            </w:tcBorders>
            <w:vAlign w:val="center"/>
          </w:tcPr>
          <w:p w14:paraId="0F1116E0" w14:textId="77777777" w:rsidR="00E013F4" w:rsidRPr="000C06A7" w:rsidRDefault="00E013F4" w:rsidP="00FC716F">
            <w:pPr>
              <w:spacing w:after="200" w:line="276" w:lineRule="auto"/>
              <w:contextualSpacing/>
              <w:jc w:val="center"/>
              <w:rPr>
                <w:rFonts w:ascii="Arial" w:eastAsia="Calibri" w:hAnsi="Arial" w:cs="Arial"/>
                <w:sz w:val="24"/>
                <w:szCs w:val="24"/>
                <w:lang w:eastAsia="en-GB"/>
              </w:rPr>
            </w:pPr>
            <w:r w:rsidRPr="000C06A7">
              <w:rPr>
                <w:rFonts w:ascii="Arial" w:hAnsi="Arial" w:cs="Arial"/>
                <w:sz w:val="24"/>
                <w:szCs w:val="24"/>
              </w:rPr>
              <w:t>2,510</w:t>
            </w:r>
          </w:p>
        </w:tc>
        <w:tc>
          <w:tcPr>
            <w:tcW w:w="1841" w:type="dxa"/>
            <w:tcBorders>
              <w:right w:val="single" w:sz="4" w:space="0" w:color="auto"/>
            </w:tcBorders>
            <w:vAlign w:val="center"/>
          </w:tcPr>
          <w:p w14:paraId="1DA741A8" w14:textId="77777777" w:rsidR="00E013F4" w:rsidRPr="000C06A7" w:rsidRDefault="00E013F4" w:rsidP="00FC716F">
            <w:pPr>
              <w:spacing w:after="200" w:line="276" w:lineRule="auto"/>
              <w:contextualSpacing/>
              <w:jc w:val="center"/>
              <w:rPr>
                <w:rFonts w:ascii="Arial" w:eastAsia="Calibri" w:hAnsi="Arial" w:cs="Arial"/>
                <w:sz w:val="24"/>
                <w:szCs w:val="24"/>
                <w:lang w:eastAsia="en-GB"/>
              </w:rPr>
            </w:pPr>
            <w:r w:rsidRPr="000C06A7">
              <w:rPr>
                <w:rFonts w:ascii="Arial" w:hAnsi="Arial" w:cs="Arial"/>
                <w:sz w:val="24"/>
                <w:szCs w:val="24"/>
              </w:rPr>
              <w:t>-12.5%</w:t>
            </w:r>
          </w:p>
        </w:tc>
        <w:tc>
          <w:tcPr>
            <w:tcW w:w="1581" w:type="dxa"/>
            <w:tcBorders>
              <w:left w:val="single" w:sz="4" w:space="0" w:color="auto"/>
            </w:tcBorders>
            <w:vAlign w:val="center"/>
          </w:tcPr>
          <w:p w14:paraId="348E78F0" w14:textId="77777777" w:rsidR="00E013F4" w:rsidRPr="000C06A7" w:rsidRDefault="00E013F4" w:rsidP="00FC716F">
            <w:pPr>
              <w:spacing w:after="200" w:line="276" w:lineRule="auto"/>
              <w:contextualSpacing/>
              <w:jc w:val="center"/>
              <w:rPr>
                <w:rFonts w:ascii="Arial" w:eastAsia="Calibri" w:hAnsi="Arial" w:cs="Arial"/>
                <w:sz w:val="24"/>
                <w:szCs w:val="24"/>
                <w:lang w:eastAsia="en-GB"/>
              </w:rPr>
            </w:pPr>
            <w:r w:rsidRPr="000C06A7">
              <w:rPr>
                <w:rFonts w:ascii="Arial" w:hAnsi="Arial" w:cs="Arial"/>
                <w:sz w:val="24"/>
                <w:szCs w:val="24"/>
              </w:rPr>
              <w:t>2,025</w:t>
            </w:r>
          </w:p>
        </w:tc>
        <w:tc>
          <w:tcPr>
            <w:tcW w:w="1821" w:type="dxa"/>
            <w:tcBorders>
              <w:right w:val="single" w:sz="4" w:space="0" w:color="auto"/>
            </w:tcBorders>
            <w:vAlign w:val="center"/>
          </w:tcPr>
          <w:p w14:paraId="58C25DC9" w14:textId="77777777" w:rsidR="00E013F4" w:rsidRPr="000C06A7" w:rsidRDefault="00E013F4" w:rsidP="00FC716F">
            <w:pPr>
              <w:spacing w:after="200" w:line="276" w:lineRule="auto"/>
              <w:contextualSpacing/>
              <w:jc w:val="center"/>
              <w:rPr>
                <w:rFonts w:ascii="Arial" w:eastAsia="Calibri" w:hAnsi="Arial" w:cs="Arial"/>
                <w:sz w:val="24"/>
                <w:szCs w:val="24"/>
                <w:lang w:eastAsia="en-GB"/>
              </w:rPr>
            </w:pPr>
            <w:r w:rsidRPr="000C06A7">
              <w:rPr>
                <w:rFonts w:ascii="Arial" w:hAnsi="Arial" w:cs="Arial"/>
                <w:sz w:val="24"/>
                <w:szCs w:val="24"/>
              </w:rPr>
              <w:t>-7.8%</w:t>
            </w:r>
          </w:p>
        </w:tc>
      </w:tr>
      <w:tr w:rsidR="00E013F4" w:rsidRPr="00B568F3" w14:paraId="4E3541EB" w14:textId="77777777" w:rsidTr="00C827EE">
        <w:trPr>
          <w:jc w:val="center"/>
        </w:trPr>
        <w:tc>
          <w:tcPr>
            <w:tcW w:w="1816" w:type="dxa"/>
            <w:tcBorders>
              <w:left w:val="single" w:sz="4" w:space="0" w:color="auto"/>
              <w:right w:val="single" w:sz="4" w:space="0" w:color="auto"/>
            </w:tcBorders>
          </w:tcPr>
          <w:p w14:paraId="6FFA22C5" w14:textId="77777777" w:rsidR="00E013F4" w:rsidRPr="000C06A7" w:rsidRDefault="00E013F4" w:rsidP="00FC716F">
            <w:pPr>
              <w:spacing w:after="200" w:line="276" w:lineRule="auto"/>
              <w:contextualSpacing/>
              <w:rPr>
                <w:rFonts w:ascii="Arial" w:eastAsia="Calibri" w:hAnsi="Arial" w:cs="Arial"/>
                <w:sz w:val="24"/>
                <w:szCs w:val="24"/>
                <w:lang w:eastAsia="en-GB"/>
              </w:rPr>
            </w:pPr>
            <w:r w:rsidRPr="000C06A7">
              <w:rPr>
                <w:rFonts w:ascii="Arial" w:eastAsia="Calibri" w:hAnsi="Arial" w:cs="Arial"/>
                <w:sz w:val="24"/>
                <w:szCs w:val="24"/>
                <w:lang w:eastAsia="en-GB"/>
              </w:rPr>
              <w:t>Private</w:t>
            </w:r>
          </w:p>
        </w:tc>
        <w:tc>
          <w:tcPr>
            <w:tcW w:w="1730" w:type="dxa"/>
            <w:tcBorders>
              <w:left w:val="single" w:sz="4" w:space="0" w:color="auto"/>
            </w:tcBorders>
            <w:vAlign w:val="center"/>
          </w:tcPr>
          <w:p w14:paraId="6A14C252" w14:textId="77777777" w:rsidR="00E013F4" w:rsidRPr="000C06A7" w:rsidRDefault="00E013F4" w:rsidP="00FC716F">
            <w:pPr>
              <w:spacing w:after="200" w:line="276" w:lineRule="auto"/>
              <w:contextualSpacing/>
              <w:jc w:val="center"/>
              <w:rPr>
                <w:rFonts w:ascii="Arial" w:eastAsia="Calibri" w:hAnsi="Arial" w:cs="Arial"/>
                <w:sz w:val="24"/>
                <w:szCs w:val="24"/>
                <w:lang w:eastAsia="en-GB"/>
              </w:rPr>
            </w:pPr>
            <w:r w:rsidRPr="000C06A7">
              <w:rPr>
                <w:rFonts w:ascii="Arial" w:hAnsi="Arial" w:cs="Arial"/>
                <w:sz w:val="24"/>
                <w:szCs w:val="24"/>
              </w:rPr>
              <w:t>19,416</w:t>
            </w:r>
          </w:p>
        </w:tc>
        <w:tc>
          <w:tcPr>
            <w:tcW w:w="1841" w:type="dxa"/>
            <w:tcBorders>
              <w:right w:val="single" w:sz="4" w:space="0" w:color="auto"/>
            </w:tcBorders>
            <w:vAlign w:val="center"/>
          </w:tcPr>
          <w:p w14:paraId="396FAD37" w14:textId="77777777" w:rsidR="00E013F4" w:rsidRPr="000C06A7" w:rsidRDefault="00E013F4" w:rsidP="00FC716F">
            <w:pPr>
              <w:spacing w:after="200" w:line="276" w:lineRule="auto"/>
              <w:contextualSpacing/>
              <w:jc w:val="center"/>
              <w:rPr>
                <w:rFonts w:ascii="Arial" w:eastAsia="Calibri" w:hAnsi="Arial" w:cs="Arial"/>
                <w:sz w:val="24"/>
                <w:szCs w:val="24"/>
                <w:lang w:eastAsia="en-GB"/>
              </w:rPr>
            </w:pPr>
            <w:r w:rsidRPr="000C06A7">
              <w:rPr>
                <w:rFonts w:ascii="Arial" w:hAnsi="Arial" w:cs="Arial"/>
                <w:sz w:val="24"/>
                <w:szCs w:val="24"/>
              </w:rPr>
              <w:t>-22.9%</w:t>
            </w:r>
          </w:p>
        </w:tc>
        <w:tc>
          <w:tcPr>
            <w:tcW w:w="1581" w:type="dxa"/>
            <w:tcBorders>
              <w:left w:val="single" w:sz="4" w:space="0" w:color="auto"/>
            </w:tcBorders>
            <w:vAlign w:val="center"/>
          </w:tcPr>
          <w:p w14:paraId="0C54E044" w14:textId="77777777" w:rsidR="00E013F4" w:rsidRPr="000C06A7" w:rsidRDefault="00E013F4" w:rsidP="00FC716F">
            <w:pPr>
              <w:spacing w:after="200" w:line="276" w:lineRule="auto"/>
              <w:contextualSpacing/>
              <w:jc w:val="center"/>
              <w:rPr>
                <w:rFonts w:ascii="Arial" w:eastAsia="Calibri" w:hAnsi="Arial" w:cs="Arial"/>
                <w:sz w:val="24"/>
                <w:szCs w:val="24"/>
                <w:lang w:eastAsia="en-GB"/>
              </w:rPr>
            </w:pPr>
            <w:r w:rsidRPr="000C06A7">
              <w:rPr>
                <w:rFonts w:ascii="Arial" w:hAnsi="Arial" w:cs="Arial"/>
                <w:sz w:val="24"/>
                <w:szCs w:val="24"/>
              </w:rPr>
              <w:t>14,202</w:t>
            </w:r>
          </w:p>
        </w:tc>
        <w:tc>
          <w:tcPr>
            <w:tcW w:w="1821" w:type="dxa"/>
            <w:tcBorders>
              <w:right w:val="single" w:sz="4" w:space="0" w:color="auto"/>
            </w:tcBorders>
            <w:vAlign w:val="center"/>
          </w:tcPr>
          <w:p w14:paraId="2F2C368B" w14:textId="77777777" w:rsidR="00E013F4" w:rsidRPr="000C06A7" w:rsidRDefault="00E013F4" w:rsidP="00FC716F">
            <w:pPr>
              <w:spacing w:after="200" w:line="276" w:lineRule="auto"/>
              <w:contextualSpacing/>
              <w:jc w:val="center"/>
              <w:rPr>
                <w:rFonts w:ascii="Arial" w:eastAsia="Calibri" w:hAnsi="Arial" w:cs="Arial"/>
                <w:sz w:val="24"/>
                <w:szCs w:val="24"/>
                <w:lang w:eastAsia="en-GB"/>
              </w:rPr>
            </w:pPr>
            <w:r w:rsidRPr="000C06A7">
              <w:rPr>
                <w:rFonts w:ascii="Arial" w:hAnsi="Arial" w:cs="Arial"/>
                <w:sz w:val="24"/>
                <w:szCs w:val="24"/>
              </w:rPr>
              <w:t>-28.8%</w:t>
            </w:r>
          </w:p>
        </w:tc>
      </w:tr>
      <w:tr w:rsidR="00E013F4" w:rsidRPr="00B568F3" w14:paraId="000FA796" w14:textId="77777777" w:rsidTr="00C827EE">
        <w:trPr>
          <w:jc w:val="center"/>
        </w:trPr>
        <w:tc>
          <w:tcPr>
            <w:tcW w:w="1816" w:type="dxa"/>
            <w:tcBorders>
              <w:left w:val="single" w:sz="4" w:space="0" w:color="auto"/>
              <w:bottom w:val="single" w:sz="4" w:space="0" w:color="auto"/>
              <w:right w:val="single" w:sz="4" w:space="0" w:color="auto"/>
            </w:tcBorders>
          </w:tcPr>
          <w:p w14:paraId="6C2EC2E3" w14:textId="77777777" w:rsidR="00E013F4" w:rsidRPr="000C06A7" w:rsidRDefault="00E013F4" w:rsidP="00FC716F">
            <w:pPr>
              <w:spacing w:after="200" w:line="276" w:lineRule="auto"/>
              <w:contextualSpacing/>
              <w:rPr>
                <w:rFonts w:ascii="Arial" w:eastAsia="Calibri" w:hAnsi="Arial" w:cs="Arial"/>
                <w:sz w:val="24"/>
                <w:szCs w:val="24"/>
                <w:lang w:eastAsia="en-GB"/>
              </w:rPr>
            </w:pPr>
            <w:r w:rsidRPr="000C06A7">
              <w:rPr>
                <w:rFonts w:ascii="Arial" w:eastAsia="Calibri" w:hAnsi="Arial" w:cs="Arial"/>
                <w:sz w:val="24"/>
                <w:szCs w:val="24"/>
                <w:lang w:eastAsia="en-GB"/>
              </w:rPr>
              <w:t>Other</w:t>
            </w:r>
          </w:p>
        </w:tc>
        <w:tc>
          <w:tcPr>
            <w:tcW w:w="1730" w:type="dxa"/>
            <w:tcBorders>
              <w:left w:val="single" w:sz="4" w:space="0" w:color="auto"/>
              <w:bottom w:val="single" w:sz="4" w:space="0" w:color="auto"/>
            </w:tcBorders>
            <w:vAlign w:val="center"/>
          </w:tcPr>
          <w:p w14:paraId="58F77B98" w14:textId="77777777" w:rsidR="00E013F4" w:rsidRPr="000C06A7" w:rsidRDefault="00E013F4" w:rsidP="00FC716F">
            <w:pPr>
              <w:spacing w:after="200" w:line="276" w:lineRule="auto"/>
              <w:contextualSpacing/>
              <w:jc w:val="center"/>
              <w:rPr>
                <w:rFonts w:ascii="Arial" w:eastAsia="Calibri" w:hAnsi="Arial" w:cs="Arial"/>
                <w:sz w:val="24"/>
                <w:szCs w:val="24"/>
                <w:lang w:eastAsia="en-GB"/>
              </w:rPr>
            </w:pPr>
            <w:r w:rsidRPr="000C06A7">
              <w:rPr>
                <w:rFonts w:ascii="Arial" w:hAnsi="Arial" w:cs="Arial"/>
                <w:sz w:val="24"/>
                <w:szCs w:val="24"/>
              </w:rPr>
              <w:t>10,336</w:t>
            </w:r>
          </w:p>
        </w:tc>
        <w:tc>
          <w:tcPr>
            <w:tcW w:w="1841" w:type="dxa"/>
            <w:tcBorders>
              <w:bottom w:val="single" w:sz="4" w:space="0" w:color="auto"/>
              <w:right w:val="single" w:sz="4" w:space="0" w:color="auto"/>
            </w:tcBorders>
            <w:vAlign w:val="center"/>
          </w:tcPr>
          <w:p w14:paraId="294D5D3F" w14:textId="77777777" w:rsidR="00E013F4" w:rsidRPr="000C06A7" w:rsidRDefault="00E013F4" w:rsidP="00FC716F">
            <w:pPr>
              <w:spacing w:after="200" w:line="276" w:lineRule="auto"/>
              <w:contextualSpacing/>
              <w:jc w:val="center"/>
              <w:rPr>
                <w:rFonts w:ascii="Arial" w:eastAsia="Calibri" w:hAnsi="Arial" w:cs="Arial"/>
                <w:sz w:val="24"/>
                <w:szCs w:val="24"/>
                <w:lang w:eastAsia="en-GB"/>
              </w:rPr>
            </w:pPr>
            <w:r w:rsidRPr="000C06A7">
              <w:rPr>
                <w:rFonts w:ascii="Arial" w:hAnsi="Arial" w:cs="Arial"/>
                <w:sz w:val="24"/>
                <w:szCs w:val="24"/>
              </w:rPr>
              <w:t>26.4%</w:t>
            </w:r>
          </w:p>
        </w:tc>
        <w:tc>
          <w:tcPr>
            <w:tcW w:w="1581" w:type="dxa"/>
            <w:tcBorders>
              <w:left w:val="single" w:sz="4" w:space="0" w:color="auto"/>
              <w:bottom w:val="single" w:sz="4" w:space="0" w:color="auto"/>
            </w:tcBorders>
            <w:vAlign w:val="center"/>
          </w:tcPr>
          <w:p w14:paraId="17FF0A5D" w14:textId="77777777" w:rsidR="00E013F4" w:rsidRPr="000C06A7" w:rsidRDefault="00E013F4" w:rsidP="00FC716F">
            <w:pPr>
              <w:spacing w:after="200" w:line="276" w:lineRule="auto"/>
              <w:contextualSpacing/>
              <w:jc w:val="center"/>
              <w:rPr>
                <w:rFonts w:ascii="Arial" w:eastAsia="Calibri" w:hAnsi="Arial" w:cs="Arial"/>
                <w:sz w:val="24"/>
                <w:szCs w:val="24"/>
                <w:lang w:eastAsia="en-GB"/>
              </w:rPr>
            </w:pPr>
            <w:r w:rsidRPr="000C06A7">
              <w:rPr>
                <w:rFonts w:ascii="Arial" w:hAnsi="Arial" w:cs="Arial"/>
                <w:sz w:val="24"/>
                <w:szCs w:val="24"/>
              </w:rPr>
              <w:t>8,699</w:t>
            </w:r>
          </w:p>
        </w:tc>
        <w:tc>
          <w:tcPr>
            <w:tcW w:w="1821" w:type="dxa"/>
            <w:tcBorders>
              <w:bottom w:val="single" w:sz="4" w:space="0" w:color="auto"/>
              <w:right w:val="single" w:sz="4" w:space="0" w:color="auto"/>
            </w:tcBorders>
            <w:vAlign w:val="center"/>
          </w:tcPr>
          <w:p w14:paraId="2E3D4869" w14:textId="77777777" w:rsidR="00E013F4" w:rsidRPr="000C06A7" w:rsidRDefault="00E013F4" w:rsidP="00FC716F">
            <w:pPr>
              <w:spacing w:after="200" w:line="276" w:lineRule="auto"/>
              <w:contextualSpacing/>
              <w:jc w:val="center"/>
              <w:rPr>
                <w:rFonts w:ascii="Arial" w:eastAsia="Calibri" w:hAnsi="Arial" w:cs="Arial"/>
                <w:sz w:val="24"/>
                <w:szCs w:val="24"/>
                <w:lang w:eastAsia="en-GB"/>
              </w:rPr>
            </w:pPr>
            <w:r w:rsidRPr="000C06A7">
              <w:rPr>
                <w:rFonts w:ascii="Arial" w:hAnsi="Arial" w:cs="Arial"/>
                <w:sz w:val="24"/>
                <w:szCs w:val="24"/>
              </w:rPr>
              <w:t>28.2%</w:t>
            </w:r>
          </w:p>
        </w:tc>
      </w:tr>
      <w:tr w:rsidR="00E013F4" w:rsidRPr="00B568F3" w14:paraId="19428CFC" w14:textId="77777777" w:rsidTr="00C827EE">
        <w:trPr>
          <w:jc w:val="center"/>
        </w:trPr>
        <w:tc>
          <w:tcPr>
            <w:tcW w:w="1816" w:type="dxa"/>
            <w:tcBorders>
              <w:top w:val="single" w:sz="4" w:space="0" w:color="auto"/>
              <w:left w:val="single" w:sz="4" w:space="0" w:color="auto"/>
              <w:bottom w:val="single" w:sz="4" w:space="0" w:color="auto"/>
              <w:right w:val="single" w:sz="4" w:space="0" w:color="auto"/>
            </w:tcBorders>
          </w:tcPr>
          <w:p w14:paraId="739CC4E2" w14:textId="77777777" w:rsidR="00E013F4" w:rsidRPr="000C06A7" w:rsidRDefault="00E013F4" w:rsidP="00FC716F">
            <w:pPr>
              <w:spacing w:after="200" w:line="276" w:lineRule="auto"/>
              <w:contextualSpacing/>
              <w:rPr>
                <w:rFonts w:ascii="Arial" w:eastAsia="Calibri" w:hAnsi="Arial" w:cs="Arial"/>
                <w:b/>
                <w:bCs/>
                <w:sz w:val="24"/>
                <w:szCs w:val="24"/>
                <w:lang w:eastAsia="en-GB"/>
              </w:rPr>
            </w:pPr>
            <w:r w:rsidRPr="000C06A7">
              <w:rPr>
                <w:rFonts w:ascii="Arial" w:eastAsia="Calibri" w:hAnsi="Arial" w:cs="Arial"/>
                <w:b/>
                <w:bCs/>
                <w:sz w:val="24"/>
                <w:szCs w:val="24"/>
                <w:lang w:eastAsia="en-GB"/>
              </w:rPr>
              <w:t>Total</w:t>
            </w:r>
          </w:p>
        </w:tc>
        <w:tc>
          <w:tcPr>
            <w:tcW w:w="1730" w:type="dxa"/>
            <w:tcBorders>
              <w:top w:val="single" w:sz="4" w:space="0" w:color="auto"/>
              <w:left w:val="single" w:sz="4" w:space="0" w:color="auto"/>
              <w:bottom w:val="single" w:sz="4" w:space="0" w:color="auto"/>
            </w:tcBorders>
            <w:vAlign w:val="center"/>
          </w:tcPr>
          <w:p w14:paraId="603A166D" w14:textId="77777777" w:rsidR="00E013F4" w:rsidRPr="000C06A7" w:rsidRDefault="00E013F4" w:rsidP="00FC716F">
            <w:pPr>
              <w:spacing w:after="200" w:line="276" w:lineRule="auto"/>
              <w:contextualSpacing/>
              <w:jc w:val="center"/>
              <w:rPr>
                <w:rFonts w:ascii="Arial" w:eastAsia="Calibri" w:hAnsi="Arial" w:cs="Arial"/>
                <w:b/>
                <w:bCs/>
                <w:sz w:val="24"/>
                <w:szCs w:val="24"/>
                <w:lang w:eastAsia="en-GB"/>
              </w:rPr>
            </w:pPr>
            <w:r w:rsidRPr="000C06A7">
              <w:rPr>
                <w:rFonts w:ascii="Arial" w:hAnsi="Arial" w:cs="Arial"/>
                <w:b/>
                <w:bCs/>
                <w:sz w:val="24"/>
                <w:szCs w:val="24"/>
              </w:rPr>
              <w:t>135,169</w:t>
            </w:r>
          </w:p>
        </w:tc>
        <w:tc>
          <w:tcPr>
            <w:tcW w:w="1841" w:type="dxa"/>
            <w:tcBorders>
              <w:top w:val="single" w:sz="4" w:space="0" w:color="auto"/>
              <w:bottom w:val="single" w:sz="4" w:space="0" w:color="auto"/>
              <w:right w:val="single" w:sz="4" w:space="0" w:color="auto"/>
            </w:tcBorders>
            <w:vAlign w:val="center"/>
          </w:tcPr>
          <w:p w14:paraId="2F7B32AF" w14:textId="77777777" w:rsidR="00E013F4" w:rsidRPr="000C06A7" w:rsidRDefault="00E013F4" w:rsidP="00FC716F">
            <w:pPr>
              <w:spacing w:after="200" w:line="276" w:lineRule="auto"/>
              <w:contextualSpacing/>
              <w:jc w:val="center"/>
              <w:rPr>
                <w:rFonts w:ascii="Arial" w:eastAsia="Calibri" w:hAnsi="Arial" w:cs="Arial"/>
                <w:b/>
                <w:bCs/>
                <w:sz w:val="24"/>
                <w:szCs w:val="24"/>
                <w:lang w:eastAsia="en-GB"/>
              </w:rPr>
            </w:pPr>
            <w:r w:rsidRPr="000C06A7">
              <w:rPr>
                <w:rFonts w:ascii="Arial" w:hAnsi="Arial" w:cs="Arial"/>
                <w:b/>
                <w:bCs/>
                <w:sz w:val="24"/>
                <w:szCs w:val="24"/>
              </w:rPr>
              <w:t>-15.8%</w:t>
            </w:r>
          </w:p>
        </w:tc>
        <w:tc>
          <w:tcPr>
            <w:tcW w:w="1581" w:type="dxa"/>
            <w:tcBorders>
              <w:top w:val="single" w:sz="4" w:space="0" w:color="auto"/>
              <w:left w:val="single" w:sz="4" w:space="0" w:color="auto"/>
              <w:bottom w:val="single" w:sz="4" w:space="0" w:color="auto"/>
            </w:tcBorders>
            <w:vAlign w:val="center"/>
          </w:tcPr>
          <w:p w14:paraId="24542A4F" w14:textId="77777777" w:rsidR="00E013F4" w:rsidRPr="000C06A7" w:rsidRDefault="00E013F4" w:rsidP="00FC716F">
            <w:pPr>
              <w:spacing w:after="200" w:line="276" w:lineRule="auto"/>
              <w:contextualSpacing/>
              <w:jc w:val="center"/>
              <w:rPr>
                <w:rFonts w:ascii="Arial" w:eastAsia="Calibri" w:hAnsi="Arial" w:cs="Arial"/>
                <w:b/>
                <w:bCs/>
                <w:sz w:val="24"/>
                <w:szCs w:val="24"/>
                <w:lang w:eastAsia="en-GB"/>
              </w:rPr>
            </w:pPr>
            <w:r w:rsidRPr="000C06A7">
              <w:rPr>
                <w:rFonts w:ascii="Arial" w:hAnsi="Arial" w:cs="Arial"/>
                <w:b/>
                <w:bCs/>
                <w:sz w:val="24"/>
                <w:szCs w:val="24"/>
              </w:rPr>
              <w:t>111,943</w:t>
            </w:r>
          </w:p>
        </w:tc>
        <w:tc>
          <w:tcPr>
            <w:tcW w:w="1821" w:type="dxa"/>
            <w:tcBorders>
              <w:top w:val="single" w:sz="4" w:space="0" w:color="auto"/>
              <w:bottom w:val="single" w:sz="4" w:space="0" w:color="auto"/>
              <w:right w:val="single" w:sz="4" w:space="0" w:color="auto"/>
            </w:tcBorders>
            <w:vAlign w:val="center"/>
          </w:tcPr>
          <w:p w14:paraId="4BE7DE28" w14:textId="77777777" w:rsidR="00E013F4" w:rsidRPr="000C06A7" w:rsidRDefault="00E013F4" w:rsidP="00FC716F">
            <w:pPr>
              <w:spacing w:after="200" w:line="276" w:lineRule="auto"/>
              <w:contextualSpacing/>
              <w:jc w:val="center"/>
              <w:rPr>
                <w:rFonts w:ascii="Arial" w:eastAsia="Calibri" w:hAnsi="Arial" w:cs="Arial"/>
                <w:b/>
                <w:bCs/>
                <w:sz w:val="24"/>
                <w:szCs w:val="24"/>
                <w:lang w:eastAsia="en-GB"/>
              </w:rPr>
            </w:pPr>
            <w:r w:rsidRPr="000C06A7">
              <w:rPr>
                <w:rFonts w:ascii="Arial" w:hAnsi="Arial" w:cs="Arial"/>
                <w:b/>
                <w:bCs/>
                <w:sz w:val="24"/>
                <w:szCs w:val="24"/>
              </w:rPr>
              <w:t>-18.5%</w:t>
            </w:r>
          </w:p>
        </w:tc>
      </w:tr>
    </w:tbl>
    <w:p w14:paraId="5EFF6952" w14:textId="77777777" w:rsidR="00E013F4" w:rsidRPr="00B568F3" w:rsidRDefault="00E013F4" w:rsidP="00E013F4">
      <w:pPr>
        <w:spacing w:after="200" w:line="276" w:lineRule="auto"/>
        <w:ind w:left="709"/>
        <w:contextualSpacing/>
        <w:rPr>
          <w:rFonts w:ascii="Arial" w:eastAsia="Calibri" w:hAnsi="Arial" w:cs="Arial"/>
          <w:sz w:val="24"/>
          <w:szCs w:val="24"/>
          <w:lang w:eastAsia="en-GB"/>
        </w:rPr>
      </w:pPr>
    </w:p>
    <w:p w14:paraId="45F1A318" w14:textId="432E314E" w:rsidR="00A210CD" w:rsidRPr="00B568F3" w:rsidRDefault="000A4359" w:rsidP="00E976C7">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Th</w:t>
      </w:r>
      <w:r w:rsidR="00B57139" w:rsidRPr="00B568F3">
        <w:rPr>
          <w:rFonts w:ascii="Arial" w:eastAsia="Calibri" w:hAnsi="Arial" w:cs="Arial"/>
          <w:sz w:val="24"/>
          <w:szCs w:val="24"/>
          <w:lang w:eastAsia="en-GB"/>
        </w:rPr>
        <w:t xml:space="preserve">is </w:t>
      </w:r>
      <w:r w:rsidR="008F1592" w:rsidRPr="00B568F3">
        <w:rPr>
          <w:rFonts w:ascii="Arial" w:eastAsia="Calibri" w:hAnsi="Arial" w:cs="Arial"/>
          <w:sz w:val="24"/>
          <w:szCs w:val="24"/>
          <w:lang w:eastAsia="en-GB"/>
        </w:rPr>
        <w:t>isn’t the</w:t>
      </w:r>
      <w:r w:rsidR="00B57139" w:rsidRPr="00B568F3">
        <w:rPr>
          <w:rFonts w:ascii="Arial" w:eastAsia="Calibri" w:hAnsi="Arial" w:cs="Arial"/>
          <w:sz w:val="24"/>
          <w:szCs w:val="24"/>
          <w:lang w:eastAsia="en-GB"/>
        </w:rPr>
        <w:t xml:space="preserve"> </w:t>
      </w:r>
      <w:r w:rsidR="002F0250" w:rsidRPr="00B568F3">
        <w:rPr>
          <w:rFonts w:ascii="Arial" w:eastAsia="Calibri" w:hAnsi="Arial" w:cs="Arial"/>
          <w:sz w:val="24"/>
          <w:szCs w:val="24"/>
          <w:lang w:eastAsia="en-GB"/>
        </w:rPr>
        <w:t>trend at</w:t>
      </w:r>
      <w:r w:rsidR="008F1592" w:rsidRPr="00B568F3">
        <w:rPr>
          <w:rFonts w:ascii="Arial" w:eastAsia="Calibri" w:hAnsi="Arial" w:cs="Arial"/>
          <w:sz w:val="24"/>
          <w:szCs w:val="24"/>
          <w:lang w:eastAsia="en-GB"/>
        </w:rPr>
        <w:t xml:space="preserve"> </w:t>
      </w:r>
      <w:r w:rsidR="006E1678" w:rsidRPr="00B568F3">
        <w:rPr>
          <w:rFonts w:ascii="Arial" w:eastAsia="Calibri" w:hAnsi="Arial" w:cs="Arial"/>
          <w:sz w:val="24"/>
          <w:szCs w:val="24"/>
          <w:lang w:eastAsia="en-GB"/>
        </w:rPr>
        <w:t>all local authorities in Wales</w:t>
      </w:r>
      <w:r w:rsidR="005E3313" w:rsidRPr="00B568F3">
        <w:rPr>
          <w:rFonts w:ascii="Arial" w:eastAsia="Calibri" w:hAnsi="Arial" w:cs="Arial"/>
          <w:sz w:val="24"/>
          <w:szCs w:val="24"/>
          <w:lang w:eastAsia="en-GB"/>
        </w:rPr>
        <w:t xml:space="preserve">, as seen in Table </w:t>
      </w:r>
      <w:r w:rsidR="00187732" w:rsidRPr="00B568F3">
        <w:rPr>
          <w:rFonts w:ascii="Arial" w:eastAsia="Calibri" w:hAnsi="Arial" w:cs="Arial"/>
          <w:sz w:val="24"/>
          <w:szCs w:val="24"/>
          <w:lang w:eastAsia="en-GB"/>
        </w:rPr>
        <w:t>7</w:t>
      </w:r>
      <w:r w:rsidR="005E3313" w:rsidRPr="00B568F3">
        <w:rPr>
          <w:rFonts w:ascii="Arial" w:eastAsia="Calibri" w:hAnsi="Arial" w:cs="Arial"/>
          <w:sz w:val="24"/>
          <w:szCs w:val="24"/>
          <w:lang w:eastAsia="en-GB"/>
        </w:rPr>
        <w:t xml:space="preserve">. </w:t>
      </w:r>
      <w:r w:rsidR="00697F9B" w:rsidRPr="00B568F3">
        <w:rPr>
          <w:rFonts w:ascii="Arial" w:eastAsia="Calibri" w:hAnsi="Arial" w:cs="Arial"/>
          <w:sz w:val="24"/>
          <w:szCs w:val="24"/>
          <w:lang w:eastAsia="en-GB"/>
        </w:rPr>
        <w:t xml:space="preserve">Half </w:t>
      </w:r>
      <w:r w:rsidR="00DA690A" w:rsidRPr="00B568F3">
        <w:rPr>
          <w:rFonts w:ascii="Arial" w:eastAsia="Calibri" w:hAnsi="Arial" w:cs="Arial"/>
          <w:sz w:val="24"/>
          <w:szCs w:val="24"/>
          <w:lang w:eastAsia="en-GB"/>
        </w:rPr>
        <w:t>(50</w:t>
      </w:r>
      <w:r w:rsidR="008F1592" w:rsidRPr="00B568F3">
        <w:rPr>
          <w:rFonts w:ascii="Arial" w:eastAsia="Calibri" w:hAnsi="Arial" w:cs="Arial"/>
          <w:sz w:val="24"/>
          <w:szCs w:val="24"/>
          <w:lang w:eastAsia="en-GB"/>
        </w:rPr>
        <w:t xml:space="preserve"> per cent</w:t>
      </w:r>
      <w:r w:rsidR="00DA690A" w:rsidRPr="00B568F3">
        <w:rPr>
          <w:rFonts w:ascii="Arial" w:eastAsia="Calibri" w:hAnsi="Arial" w:cs="Arial"/>
          <w:sz w:val="24"/>
          <w:szCs w:val="24"/>
          <w:lang w:eastAsia="en-GB"/>
        </w:rPr>
        <w:t>)</w:t>
      </w:r>
      <w:r w:rsidR="00316745" w:rsidRPr="00B568F3">
        <w:rPr>
          <w:rFonts w:ascii="Arial" w:eastAsia="Calibri" w:hAnsi="Arial" w:cs="Arial"/>
          <w:sz w:val="24"/>
          <w:szCs w:val="24"/>
          <w:lang w:eastAsia="en-GB"/>
        </w:rPr>
        <w:t xml:space="preserve"> </w:t>
      </w:r>
      <w:r w:rsidR="00697F9B" w:rsidRPr="00B568F3">
        <w:rPr>
          <w:rFonts w:ascii="Arial" w:eastAsia="Calibri" w:hAnsi="Arial" w:cs="Arial"/>
          <w:sz w:val="24"/>
          <w:szCs w:val="24"/>
          <w:lang w:eastAsia="en-GB"/>
        </w:rPr>
        <w:t>of the local authorities in Wales increase</w:t>
      </w:r>
      <w:r w:rsidR="00363B5A" w:rsidRPr="00B568F3">
        <w:rPr>
          <w:rFonts w:ascii="Arial" w:eastAsia="Calibri" w:hAnsi="Arial" w:cs="Arial"/>
          <w:sz w:val="24"/>
          <w:szCs w:val="24"/>
          <w:lang w:eastAsia="en-GB"/>
        </w:rPr>
        <w:t>d</w:t>
      </w:r>
      <w:r w:rsidR="00697F9B" w:rsidRPr="00B568F3">
        <w:rPr>
          <w:rFonts w:ascii="Arial" w:eastAsia="Calibri" w:hAnsi="Arial" w:cs="Arial"/>
          <w:sz w:val="24"/>
          <w:szCs w:val="24"/>
          <w:lang w:eastAsia="en-GB"/>
        </w:rPr>
        <w:t xml:space="preserve"> the number of training places booked</w:t>
      </w:r>
      <w:r w:rsidR="00D563FF" w:rsidRPr="00B568F3">
        <w:rPr>
          <w:rFonts w:ascii="Arial" w:eastAsia="Calibri" w:hAnsi="Arial" w:cs="Arial"/>
          <w:sz w:val="24"/>
          <w:szCs w:val="24"/>
          <w:lang w:eastAsia="en-GB"/>
        </w:rPr>
        <w:t xml:space="preserve"> </w:t>
      </w:r>
      <w:r w:rsidR="00316745" w:rsidRPr="00B568F3">
        <w:rPr>
          <w:rFonts w:ascii="Arial" w:eastAsia="Calibri" w:hAnsi="Arial" w:cs="Arial"/>
          <w:sz w:val="24"/>
          <w:szCs w:val="24"/>
          <w:lang w:eastAsia="en-GB"/>
        </w:rPr>
        <w:t>whil</w:t>
      </w:r>
      <w:r w:rsidR="00363B5A" w:rsidRPr="00B568F3">
        <w:rPr>
          <w:rFonts w:ascii="Arial" w:eastAsia="Calibri" w:hAnsi="Arial" w:cs="Arial"/>
          <w:sz w:val="24"/>
          <w:szCs w:val="24"/>
          <w:lang w:eastAsia="en-GB"/>
        </w:rPr>
        <w:t>e</w:t>
      </w:r>
      <w:r w:rsidR="00316745" w:rsidRPr="00B568F3">
        <w:rPr>
          <w:rFonts w:ascii="Arial" w:eastAsia="Calibri" w:hAnsi="Arial" w:cs="Arial"/>
          <w:sz w:val="24"/>
          <w:szCs w:val="24"/>
          <w:lang w:eastAsia="en-GB"/>
        </w:rPr>
        <w:t xml:space="preserve"> 45.5</w:t>
      </w:r>
      <w:r w:rsidR="008F1592" w:rsidRPr="00B568F3">
        <w:rPr>
          <w:rFonts w:ascii="Arial" w:eastAsia="Calibri" w:hAnsi="Arial" w:cs="Arial"/>
          <w:sz w:val="24"/>
          <w:szCs w:val="24"/>
          <w:lang w:eastAsia="en-GB"/>
        </w:rPr>
        <w:t xml:space="preserve"> per cent</w:t>
      </w:r>
      <w:r w:rsidR="00316745" w:rsidRPr="00B568F3">
        <w:rPr>
          <w:rFonts w:ascii="Arial" w:eastAsia="Calibri" w:hAnsi="Arial" w:cs="Arial"/>
          <w:sz w:val="24"/>
          <w:szCs w:val="24"/>
          <w:lang w:eastAsia="en-GB"/>
        </w:rPr>
        <w:t xml:space="preserve"> also</w:t>
      </w:r>
      <w:r w:rsidR="00316745" w:rsidRPr="00B568F3" w:rsidDel="008F1592">
        <w:rPr>
          <w:rFonts w:ascii="Arial" w:eastAsia="Calibri" w:hAnsi="Arial" w:cs="Arial"/>
          <w:sz w:val="24"/>
          <w:szCs w:val="24"/>
          <w:lang w:eastAsia="en-GB"/>
        </w:rPr>
        <w:t xml:space="preserve"> </w:t>
      </w:r>
      <w:r w:rsidR="008F1592" w:rsidRPr="00B568F3">
        <w:rPr>
          <w:rFonts w:ascii="Arial" w:eastAsia="Calibri" w:hAnsi="Arial" w:cs="Arial"/>
          <w:sz w:val="24"/>
          <w:szCs w:val="24"/>
          <w:lang w:eastAsia="en-GB"/>
        </w:rPr>
        <w:t xml:space="preserve">saw </w:t>
      </w:r>
      <w:r w:rsidR="00316745" w:rsidRPr="00B568F3">
        <w:rPr>
          <w:rFonts w:ascii="Arial" w:eastAsia="Calibri" w:hAnsi="Arial" w:cs="Arial"/>
          <w:sz w:val="24"/>
          <w:szCs w:val="24"/>
          <w:lang w:eastAsia="en-GB"/>
        </w:rPr>
        <w:t>an increase in the number of people attending training compared to the previous year.</w:t>
      </w:r>
    </w:p>
    <w:p w14:paraId="55A2F0FC" w14:textId="77777777" w:rsidR="00452878" w:rsidRPr="00B568F3" w:rsidRDefault="00452878" w:rsidP="00A8509F">
      <w:pPr>
        <w:spacing w:after="200" w:line="276" w:lineRule="auto"/>
        <w:ind w:left="709"/>
        <w:contextualSpacing/>
        <w:rPr>
          <w:rFonts w:ascii="Arial" w:eastAsia="Calibri" w:hAnsi="Arial" w:cs="Arial"/>
          <w:sz w:val="24"/>
          <w:szCs w:val="24"/>
          <w:lang w:eastAsia="en-GB"/>
        </w:rPr>
      </w:pPr>
    </w:p>
    <w:p w14:paraId="31AAA349" w14:textId="6CAB5BB5" w:rsidR="00E013F4" w:rsidRPr="00B568F3" w:rsidRDefault="00A210CD" w:rsidP="00452878">
      <w:pPr>
        <w:spacing w:after="0" w:line="240" w:lineRule="auto"/>
        <w:rPr>
          <w:rFonts w:ascii="Arial" w:eastAsia="Calibri" w:hAnsi="Arial" w:cs="Arial"/>
          <w:b/>
          <w:bCs/>
          <w:sz w:val="24"/>
          <w:szCs w:val="24"/>
          <w:lang w:eastAsia="en-GB"/>
        </w:rPr>
      </w:pPr>
      <w:r w:rsidRPr="00B568F3">
        <w:rPr>
          <w:rFonts w:ascii="Arial" w:eastAsia="Calibri" w:hAnsi="Arial" w:cs="Arial"/>
          <w:b/>
          <w:bCs/>
          <w:sz w:val="24"/>
          <w:szCs w:val="24"/>
          <w:lang w:eastAsia="en-GB"/>
        </w:rPr>
        <w:t xml:space="preserve">Table </w:t>
      </w:r>
      <w:r w:rsidR="00187732" w:rsidRPr="00B568F3">
        <w:rPr>
          <w:rFonts w:ascii="Arial" w:eastAsia="Calibri" w:hAnsi="Arial" w:cs="Arial"/>
          <w:b/>
          <w:bCs/>
          <w:sz w:val="24"/>
          <w:szCs w:val="24"/>
          <w:lang w:eastAsia="en-GB"/>
        </w:rPr>
        <w:t>7</w:t>
      </w:r>
      <w:r w:rsidRPr="00B568F3">
        <w:rPr>
          <w:rFonts w:ascii="Arial" w:eastAsia="Calibri" w:hAnsi="Arial" w:cs="Arial"/>
          <w:b/>
          <w:bCs/>
          <w:sz w:val="24"/>
          <w:szCs w:val="24"/>
          <w:lang w:eastAsia="en-GB"/>
        </w:rPr>
        <w:t xml:space="preserve">: </w:t>
      </w:r>
      <w:r w:rsidR="008F1592" w:rsidRPr="00B568F3">
        <w:rPr>
          <w:rFonts w:ascii="Arial" w:eastAsia="Calibri" w:hAnsi="Arial" w:cs="Arial"/>
          <w:b/>
          <w:bCs/>
          <w:sz w:val="24"/>
          <w:szCs w:val="24"/>
          <w:lang w:eastAsia="en-GB"/>
        </w:rPr>
        <w:t xml:space="preserve">Local authorities </w:t>
      </w:r>
      <w:r w:rsidRPr="00B568F3">
        <w:rPr>
          <w:rFonts w:ascii="Arial" w:eastAsia="Calibri" w:hAnsi="Arial" w:cs="Arial"/>
          <w:b/>
          <w:bCs/>
          <w:sz w:val="24"/>
          <w:szCs w:val="24"/>
          <w:lang w:eastAsia="en-GB"/>
        </w:rPr>
        <w:t>experiencing</w:t>
      </w:r>
      <w:r w:rsidR="007475FF" w:rsidRPr="00B568F3">
        <w:rPr>
          <w:rFonts w:ascii="Arial" w:eastAsia="Calibri" w:hAnsi="Arial" w:cs="Arial"/>
          <w:b/>
          <w:bCs/>
          <w:sz w:val="24"/>
          <w:szCs w:val="24"/>
          <w:lang w:eastAsia="en-GB"/>
        </w:rPr>
        <w:t xml:space="preserve"> an</w:t>
      </w:r>
      <w:r w:rsidRPr="00B568F3">
        <w:rPr>
          <w:rFonts w:ascii="Arial" w:eastAsia="Calibri" w:hAnsi="Arial" w:cs="Arial"/>
          <w:b/>
          <w:bCs/>
          <w:sz w:val="24"/>
          <w:szCs w:val="24"/>
          <w:lang w:eastAsia="en-GB"/>
        </w:rPr>
        <w:t xml:space="preserve"> increase</w:t>
      </w:r>
      <w:r w:rsidR="005E3313" w:rsidRPr="00B568F3">
        <w:rPr>
          <w:rFonts w:ascii="Arial" w:eastAsia="Calibri" w:hAnsi="Arial" w:cs="Arial"/>
          <w:b/>
          <w:bCs/>
          <w:sz w:val="24"/>
          <w:szCs w:val="24"/>
          <w:lang w:eastAsia="en-GB"/>
        </w:rPr>
        <w:t xml:space="preserve"> in t</w:t>
      </w:r>
      <w:r w:rsidRPr="00B568F3">
        <w:rPr>
          <w:rFonts w:ascii="Arial" w:eastAsia="Calibri" w:hAnsi="Arial" w:cs="Arial"/>
          <w:b/>
          <w:bCs/>
          <w:sz w:val="24"/>
          <w:szCs w:val="24"/>
          <w:lang w:eastAsia="en-GB"/>
        </w:rPr>
        <w:t xml:space="preserve">raining places </w:t>
      </w:r>
      <w:r w:rsidR="008F1592" w:rsidRPr="00B568F3">
        <w:rPr>
          <w:rFonts w:ascii="Arial" w:eastAsia="Calibri" w:hAnsi="Arial" w:cs="Arial"/>
          <w:b/>
          <w:bCs/>
          <w:sz w:val="24"/>
          <w:szCs w:val="24"/>
          <w:lang w:eastAsia="en-GB"/>
        </w:rPr>
        <w:t>and</w:t>
      </w:r>
      <w:r w:rsidRPr="00B568F3">
        <w:rPr>
          <w:rFonts w:ascii="Arial" w:eastAsia="Calibri" w:hAnsi="Arial" w:cs="Arial"/>
          <w:b/>
          <w:bCs/>
          <w:sz w:val="24"/>
          <w:szCs w:val="24"/>
          <w:lang w:eastAsia="en-GB"/>
        </w:rPr>
        <w:t xml:space="preserve"> attendance levels, 2023</w:t>
      </w:r>
      <w:r w:rsidR="00247ADF" w:rsidRPr="00B568F3">
        <w:rPr>
          <w:rFonts w:ascii="Arial" w:eastAsia="Calibri" w:hAnsi="Arial" w:cs="Arial"/>
          <w:b/>
          <w:bCs/>
          <w:sz w:val="24"/>
          <w:szCs w:val="24"/>
          <w:lang w:eastAsia="en-GB"/>
        </w:rPr>
        <w:t xml:space="preserve"> to </w:t>
      </w:r>
      <w:r w:rsidRPr="00B568F3">
        <w:rPr>
          <w:rFonts w:ascii="Arial" w:eastAsia="Calibri" w:hAnsi="Arial" w:cs="Arial"/>
          <w:b/>
          <w:bCs/>
          <w:sz w:val="24"/>
          <w:szCs w:val="24"/>
          <w:lang w:eastAsia="en-GB"/>
        </w:rPr>
        <w:t>2024</w:t>
      </w:r>
    </w:p>
    <w:p w14:paraId="1D6F6F2C" w14:textId="77777777" w:rsidR="001770A7" w:rsidRPr="00B568F3" w:rsidRDefault="001770A7" w:rsidP="00452878">
      <w:pPr>
        <w:spacing w:after="0" w:line="240" w:lineRule="auto"/>
        <w:rPr>
          <w:rFonts w:ascii="Arial" w:eastAsia="Calibri" w:hAnsi="Arial" w:cs="Arial"/>
          <w:sz w:val="24"/>
          <w:szCs w:val="24"/>
          <w:lang w:eastAsia="en-GB"/>
        </w:rPr>
      </w:pPr>
    </w:p>
    <w:tbl>
      <w:tblPr>
        <w:tblStyle w:val="TableGrid"/>
        <w:tblW w:w="86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1730"/>
        <w:gridCol w:w="1678"/>
        <w:gridCol w:w="1744"/>
        <w:gridCol w:w="1678"/>
      </w:tblGrid>
      <w:tr w:rsidR="007475FF" w:rsidRPr="00B568F3" w14:paraId="081E15D9" w14:textId="77777777" w:rsidTr="00FC716F">
        <w:trPr>
          <w:jc w:val="center"/>
        </w:trPr>
        <w:tc>
          <w:tcPr>
            <w:tcW w:w="1816" w:type="dxa"/>
            <w:tcBorders>
              <w:right w:val="single" w:sz="4" w:space="0" w:color="auto"/>
            </w:tcBorders>
          </w:tcPr>
          <w:p w14:paraId="3C456434" w14:textId="77777777" w:rsidR="00E013F4" w:rsidRPr="000C06A7" w:rsidRDefault="00E013F4" w:rsidP="00FC716F">
            <w:pPr>
              <w:spacing w:after="200" w:line="276" w:lineRule="auto"/>
              <w:contextualSpacing/>
              <w:rPr>
                <w:rFonts w:ascii="Arial" w:eastAsia="Calibri" w:hAnsi="Arial" w:cs="Arial"/>
                <w:sz w:val="24"/>
                <w:szCs w:val="24"/>
                <w:lang w:eastAsia="en-GB"/>
              </w:rPr>
            </w:pPr>
          </w:p>
        </w:tc>
        <w:tc>
          <w:tcPr>
            <w:tcW w:w="3408" w:type="dxa"/>
            <w:gridSpan w:val="2"/>
            <w:tcBorders>
              <w:top w:val="single" w:sz="4" w:space="0" w:color="auto"/>
              <w:left w:val="single" w:sz="4" w:space="0" w:color="auto"/>
              <w:bottom w:val="single" w:sz="4" w:space="0" w:color="auto"/>
              <w:right w:val="single" w:sz="4" w:space="0" w:color="auto"/>
            </w:tcBorders>
          </w:tcPr>
          <w:p w14:paraId="4D21F9B4" w14:textId="41C3EC4D" w:rsidR="00E013F4" w:rsidRPr="000C06A7" w:rsidRDefault="00937E65" w:rsidP="00FC716F">
            <w:pPr>
              <w:spacing w:after="200" w:line="276" w:lineRule="auto"/>
              <w:contextualSpacing/>
              <w:jc w:val="center"/>
              <w:rPr>
                <w:rFonts w:ascii="Arial" w:eastAsia="Calibri" w:hAnsi="Arial" w:cs="Arial"/>
                <w:b/>
                <w:bCs/>
                <w:sz w:val="24"/>
                <w:szCs w:val="24"/>
                <w:lang w:eastAsia="en-GB"/>
              </w:rPr>
            </w:pPr>
            <w:r w:rsidRPr="000C06A7">
              <w:rPr>
                <w:rFonts w:ascii="Arial" w:eastAsia="Calibri" w:hAnsi="Arial" w:cs="Arial"/>
                <w:b/>
                <w:bCs/>
                <w:sz w:val="24"/>
                <w:szCs w:val="24"/>
                <w:lang w:eastAsia="en-GB"/>
              </w:rPr>
              <w:t>Increase in t</w:t>
            </w:r>
            <w:r w:rsidR="00E013F4" w:rsidRPr="000C06A7">
              <w:rPr>
                <w:rFonts w:ascii="Arial" w:eastAsia="Calibri" w:hAnsi="Arial" w:cs="Arial"/>
                <w:b/>
                <w:bCs/>
                <w:sz w:val="24"/>
                <w:szCs w:val="24"/>
                <w:lang w:eastAsia="en-GB"/>
              </w:rPr>
              <w:t>raining places booked</w:t>
            </w:r>
          </w:p>
        </w:tc>
        <w:tc>
          <w:tcPr>
            <w:tcW w:w="3422" w:type="dxa"/>
            <w:gridSpan w:val="2"/>
            <w:tcBorders>
              <w:top w:val="single" w:sz="4" w:space="0" w:color="auto"/>
              <w:left w:val="single" w:sz="4" w:space="0" w:color="auto"/>
              <w:bottom w:val="single" w:sz="4" w:space="0" w:color="auto"/>
              <w:right w:val="single" w:sz="4" w:space="0" w:color="auto"/>
            </w:tcBorders>
          </w:tcPr>
          <w:p w14:paraId="2B754DED" w14:textId="38541620" w:rsidR="00E013F4" w:rsidRPr="000C06A7" w:rsidRDefault="00937E65" w:rsidP="00FC716F">
            <w:pPr>
              <w:spacing w:after="200" w:line="276" w:lineRule="auto"/>
              <w:contextualSpacing/>
              <w:jc w:val="center"/>
              <w:rPr>
                <w:rFonts w:ascii="Arial" w:eastAsia="Calibri" w:hAnsi="Arial" w:cs="Arial"/>
                <w:b/>
                <w:bCs/>
                <w:sz w:val="24"/>
                <w:szCs w:val="24"/>
                <w:lang w:eastAsia="en-GB"/>
              </w:rPr>
            </w:pPr>
            <w:r w:rsidRPr="000C06A7">
              <w:rPr>
                <w:rFonts w:ascii="Arial" w:eastAsia="Calibri" w:hAnsi="Arial" w:cs="Arial"/>
                <w:b/>
                <w:bCs/>
                <w:sz w:val="24"/>
                <w:szCs w:val="24"/>
                <w:lang w:eastAsia="en-GB"/>
              </w:rPr>
              <w:t>Increase in p</w:t>
            </w:r>
            <w:r w:rsidR="00E013F4" w:rsidRPr="000C06A7">
              <w:rPr>
                <w:rFonts w:ascii="Arial" w:eastAsia="Calibri" w:hAnsi="Arial" w:cs="Arial"/>
                <w:b/>
                <w:bCs/>
                <w:sz w:val="24"/>
                <w:szCs w:val="24"/>
                <w:lang w:eastAsia="en-GB"/>
              </w:rPr>
              <w:t>eople attending</w:t>
            </w:r>
          </w:p>
        </w:tc>
      </w:tr>
      <w:tr w:rsidR="00A210CD" w:rsidRPr="00B568F3" w14:paraId="3AC00C49" w14:textId="77777777" w:rsidTr="00A8509F">
        <w:trPr>
          <w:jc w:val="center"/>
        </w:trPr>
        <w:tc>
          <w:tcPr>
            <w:tcW w:w="1816" w:type="dxa"/>
            <w:tcBorders>
              <w:bottom w:val="single" w:sz="4" w:space="0" w:color="auto"/>
              <w:right w:val="single" w:sz="4" w:space="0" w:color="auto"/>
            </w:tcBorders>
          </w:tcPr>
          <w:p w14:paraId="532A41E3" w14:textId="77777777" w:rsidR="00A210CD" w:rsidRPr="000C06A7" w:rsidRDefault="00A210CD" w:rsidP="00A210CD">
            <w:pPr>
              <w:spacing w:after="200" w:line="276" w:lineRule="auto"/>
              <w:contextualSpacing/>
              <w:rPr>
                <w:rFonts w:ascii="Arial" w:eastAsia="Calibri" w:hAnsi="Arial" w:cs="Arial"/>
                <w:sz w:val="24"/>
                <w:szCs w:val="24"/>
                <w:lang w:eastAsia="en-GB"/>
              </w:rPr>
            </w:pPr>
          </w:p>
        </w:tc>
        <w:tc>
          <w:tcPr>
            <w:tcW w:w="1730" w:type="dxa"/>
            <w:tcBorders>
              <w:top w:val="single" w:sz="4" w:space="0" w:color="auto"/>
              <w:left w:val="single" w:sz="4" w:space="0" w:color="auto"/>
              <w:bottom w:val="single" w:sz="4" w:space="0" w:color="auto"/>
            </w:tcBorders>
            <w:vAlign w:val="center"/>
          </w:tcPr>
          <w:p w14:paraId="172E8C2A" w14:textId="04EA1EB3" w:rsidR="00A210CD" w:rsidRPr="000C06A7" w:rsidRDefault="00A210CD" w:rsidP="007475FF">
            <w:pPr>
              <w:spacing w:after="200" w:line="276" w:lineRule="auto"/>
              <w:contextualSpacing/>
              <w:jc w:val="center"/>
              <w:rPr>
                <w:rFonts w:ascii="Arial" w:eastAsia="Calibri" w:hAnsi="Arial" w:cs="Arial"/>
                <w:b/>
                <w:bCs/>
                <w:sz w:val="24"/>
                <w:szCs w:val="24"/>
                <w:lang w:eastAsia="en-GB"/>
              </w:rPr>
            </w:pPr>
            <w:r w:rsidRPr="000C06A7">
              <w:rPr>
                <w:rFonts w:ascii="Arial" w:eastAsia="Calibri" w:hAnsi="Arial" w:cs="Arial"/>
                <w:b/>
                <w:bCs/>
                <w:sz w:val="24"/>
                <w:szCs w:val="24"/>
                <w:lang w:eastAsia="en-GB"/>
              </w:rPr>
              <w:t xml:space="preserve">Number of </w:t>
            </w:r>
            <w:r w:rsidR="00247ADF" w:rsidRPr="000C06A7">
              <w:rPr>
                <w:rFonts w:ascii="Arial" w:eastAsia="Calibri" w:hAnsi="Arial" w:cs="Arial"/>
                <w:b/>
                <w:bCs/>
                <w:sz w:val="24"/>
                <w:szCs w:val="24"/>
                <w:lang w:eastAsia="en-GB"/>
              </w:rPr>
              <w:t>local authorities</w:t>
            </w:r>
          </w:p>
        </w:tc>
        <w:tc>
          <w:tcPr>
            <w:tcW w:w="1678" w:type="dxa"/>
            <w:tcBorders>
              <w:top w:val="single" w:sz="4" w:space="0" w:color="auto"/>
              <w:bottom w:val="single" w:sz="4" w:space="0" w:color="auto"/>
              <w:right w:val="single" w:sz="4" w:space="0" w:color="auto"/>
            </w:tcBorders>
            <w:vAlign w:val="center"/>
          </w:tcPr>
          <w:p w14:paraId="6FC3F3E8" w14:textId="24A87AE4" w:rsidR="00A210CD" w:rsidRPr="000C06A7" w:rsidRDefault="00A210CD" w:rsidP="007475FF">
            <w:pPr>
              <w:spacing w:after="200" w:line="276" w:lineRule="auto"/>
              <w:contextualSpacing/>
              <w:jc w:val="center"/>
              <w:rPr>
                <w:rFonts w:ascii="Arial" w:eastAsia="Calibri" w:hAnsi="Arial" w:cs="Arial"/>
                <w:b/>
                <w:bCs/>
                <w:sz w:val="24"/>
                <w:szCs w:val="24"/>
                <w:lang w:eastAsia="en-GB"/>
              </w:rPr>
            </w:pPr>
            <w:r w:rsidRPr="000C06A7">
              <w:rPr>
                <w:rFonts w:ascii="Arial" w:eastAsia="Calibri" w:hAnsi="Arial" w:cs="Arial"/>
                <w:b/>
                <w:bCs/>
                <w:sz w:val="24"/>
                <w:szCs w:val="24"/>
                <w:lang w:eastAsia="en-GB"/>
              </w:rPr>
              <w:t xml:space="preserve">% of </w:t>
            </w:r>
            <w:r w:rsidR="00247ADF" w:rsidRPr="000C06A7">
              <w:rPr>
                <w:rFonts w:ascii="Arial" w:eastAsia="Calibri" w:hAnsi="Arial" w:cs="Arial"/>
                <w:b/>
                <w:bCs/>
                <w:sz w:val="24"/>
                <w:szCs w:val="24"/>
                <w:lang w:eastAsia="en-GB"/>
              </w:rPr>
              <w:t>local authorities</w:t>
            </w:r>
          </w:p>
        </w:tc>
        <w:tc>
          <w:tcPr>
            <w:tcW w:w="1744" w:type="dxa"/>
            <w:tcBorders>
              <w:top w:val="single" w:sz="4" w:space="0" w:color="auto"/>
              <w:left w:val="single" w:sz="4" w:space="0" w:color="auto"/>
              <w:bottom w:val="single" w:sz="4" w:space="0" w:color="auto"/>
            </w:tcBorders>
            <w:vAlign w:val="center"/>
          </w:tcPr>
          <w:p w14:paraId="4B710484" w14:textId="6E7F49B4" w:rsidR="00A210CD" w:rsidRPr="000C06A7" w:rsidRDefault="00A210CD" w:rsidP="007475FF">
            <w:pPr>
              <w:spacing w:after="200" w:line="276" w:lineRule="auto"/>
              <w:contextualSpacing/>
              <w:jc w:val="center"/>
              <w:rPr>
                <w:rFonts w:ascii="Arial" w:eastAsia="Calibri" w:hAnsi="Arial" w:cs="Arial"/>
                <w:b/>
                <w:bCs/>
                <w:sz w:val="24"/>
                <w:szCs w:val="24"/>
                <w:lang w:eastAsia="en-GB"/>
              </w:rPr>
            </w:pPr>
            <w:r w:rsidRPr="000C06A7">
              <w:rPr>
                <w:rFonts w:ascii="Arial" w:eastAsia="Calibri" w:hAnsi="Arial" w:cs="Arial"/>
                <w:b/>
                <w:bCs/>
                <w:sz w:val="24"/>
                <w:szCs w:val="24"/>
                <w:lang w:eastAsia="en-GB"/>
              </w:rPr>
              <w:t xml:space="preserve">Number of </w:t>
            </w:r>
            <w:r w:rsidR="00247ADF" w:rsidRPr="000C06A7">
              <w:rPr>
                <w:rFonts w:ascii="Arial" w:eastAsia="Calibri" w:hAnsi="Arial" w:cs="Arial"/>
                <w:b/>
                <w:bCs/>
                <w:sz w:val="24"/>
                <w:szCs w:val="24"/>
                <w:lang w:eastAsia="en-GB"/>
              </w:rPr>
              <w:t>local authorities</w:t>
            </w:r>
          </w:p>
        </w:tc>
        <w:tc>
          <w:tcPr>
            <w:tcW w:w="1678" w:type="dxa"/>
            <w:tcBorders>
              <w:top w:val="single" w:sz="4" w:space="0" w:color="auto"/>
              <w:bottom w:val="single" w:sz="4" w:space="0" w:color="auto"/>
              <w:right w:val="single" w:sz="4" w:space="0" w:color="auto"/>
            </w:tcBorders>
            <w:vAlign w:val="center"/>
          </w:tcPr>
          <w:p w14:paraId="49C711E5" w14:textId="243B662B" w:rsidR="00A210CD" w:rsidRPr="000C06A7" w:rsidRDefault="00A210CD" w:rsidP="007475FF">
            <w:pPr>
              <w:spacing w:after="200" w:line="276" w:lineRule="auto"/>
              <w:contextualSpacing/>
              <w:jc w:val="center"/>
              <w:rPr>
                <w:rFonts w:ascii="Arial" w:eastAsia="Calibri" w:hAnsi="Arial" w:cs="Arial"/>
                <w:b/>
                <w:bCs/>
                <w:sz w:val="24"/>
                <w:szCs w:val="24"/>
                <w:lang w:eastAsia="en-GB"/>
              </w:rPr>
            </w:pPr>
            <w:r w:rsidRPr="000C06A7">
              <w:rPr>
                <w:rFonts w:ascii="Arial" w:eastAsia="Calibri" w:hAnsi="Arial" w:cs="Arial"/>
                <w:b/>
                <w:bCs/>
                <w:sz w:val="24"/>
                <w:szCs w:val="24"/>
                <w:lang w:eastAsia="en-GB"/>
              </w:rPr>
              <w:t xml:space="preserve">% of </w:t>
            </w:r>
            <w:r w:rsidR="00247ADF" w:rsidRPr="000C06A7">
              <w:rPr>
                <w:rFonts w:ascii="Arial" w:eastAsia="Calibri" w:hAnsi="Arial" w:cs="Arial"/>
                <w:b/>
                <w:bCs/>
                <w:sz w:val="24"/>
                <w:szCs w:val="24"/>
                <w:lang w:eastAsia="en-GB"/>
              </w:rPr>
              <w:t>local authorities</w:t>
            </w:r>
          </w:p>
        </w:tc>
      </w:tr>
      <w:tr w:rsidR="007475FF" w:rsidRPr="00B568F3" w14:paraId="7C822C4A" w14:textId="77777777" w:rsidTr="00FC716F">
        <w:trPr>
          <w:jc w:val="center"/>
        </w:trPr>
        <w:tc>
          <w:tcPr>
            <w:tcW w:w="1816" w:type="dxa"/>
            <w:tcBorders>
              <w:top w:val="single" w:sz="4" w:space="0" w:color="auto"/>
              <w:left w:val="single" w:sz="4" w:space="0" w:color="auto"/>
              <w:right w:val="single" w:sz="4" w:space="0" w:color="auto"/>
            </w:tcBorders>
          </w:tcPr>
          <w:p w14:paraId="116305F3" w14:textId="77777777" w:rsidR="007475FF" w:rsidRPr="000C06A7" w:rsidRDefault="007475FF" w:rsidP="007475FF">
            <w:pPr>
              <w:spacing w:after="200" w:line="276" w:lineRule="auto"/>
              <w:contextualSpacing/>
              <w:rPr>
                <w:rFonts w:ascii="Arial" w:eastAsia="Calibri" w:hAnsi="Arial" w:cs="Arial"/>
                <w:sz w:val="24"/>
                <w:szCs w:val="24"/>
                <w:lang w:eastAsia="en-GB"/>
              </w:rPr>
            </w:pPr>
            <w:r w:rsidRPr="000C06A7">
              <w:rPr>
                <w:rFonts w:ascii="Arial" w:eastAsia="Calibri" w:hAnsi="Arial" w:cs="Arial"/>
                <w:sz w:val="24"/>
                <w:szCs w:val="24"/>
                <w:lang w:eastAsia="en-GB"/>
              </w:rPr>
              <w:t>Statutory</w:t>
            </w:r>
          </w:p>
        </w:tc>
        <w:tc>
          <w:tcPr>
            <w:tcW w:w="1730" w:type="dxa"/>
            <w:tcBorders>
              <w:top w:val="single" w:sz="4" w:space="0" w:color="auto"/>
              <w:left w:val="single" w:sz="4" w:space="0" w:color="auto"/>
            </w:tcBorders>
            <w:vAlign w:val="center"/>
          </w:tcPr>
          <w:p w14:paraId="1EE7F619" w14:textId="74932918" w:rsidR="007475FF" w:rsidRPr="000C06A7" w:rsidRDefault="007475FF" w:rsidP="007475FF">
            <w:pPr>
              <w:spacing w:after="200" w:line="276" w:lineRule="auto"/>
              <w:contextualSpacing/>
              <w:jc w:val="center"/>
              <w:rPr>
                <w:rFonts w:ascii="Arial" w:eastAsia="Calibri" w:hAnsi="Arial" w:cs="Arial"/>
                <w:sz w:val="24"/>
                <w:szCs w:val="24"/>
                <w:lang w:eastAsia="en-GB"/>
              </w:rPr>
            </w:pPr>
            <w:r w:rsidRPr="000C06A7">
              <w:rPr>
                <w:rFonts w:ascii="Arial" w:eastAsia="Calibri" w:hAnsi="Arial" w:cs="Arial"/>
                <w:sz w:val="24"/>
                <w:szCs w:val="24"/>
                <w:lang w:eastAsia="en-GB"/>
              </w:rPr>
              <w:t>9</w:t>
            </w:r>
          </w:p>
        </w:tc>
        <w:tc>
          <w:tcPr>
            <w:tcW w:w="1678" w:type="dxa"/>
            <w:tcBorders>
              <w:top w:val="single" w:sz="4" w:space="0" w:color="auto"/>
              <w:right w:val="single" w:sz="4" w:space="0" w:color="auto"/>
            </w:tcBorders>
            <w:vAlign w:val="center"/>
          </w:tcPr>
          <w:p w14:paraId="43D8E71C" w14:textId="689845A7" w:rsidR="007475FF" w:rsidRPr="000C06A7" w:rsidRDefault="007475FF" w:rsidP="007475FF">
            <w:pPr>
              <w:spacing w:after="200" w:line="276" w:lineRule="auto"/>
              <w:contextualSpacing/>
              <w:jc w:val="center"/>
              <w:rPr>
                <w:rFonts w:ascii="Arial" w:eastAsia="Calibri" w:hAnsi="Arial" w:cs="Arial"/>
                <w:sz w:val="24"/>
                <w:szCs w:val="24"/>
                <w:lang w:eastAsia="en-GB"/>
              </w:rPr>
            </w:pPr>
            <w:r w:rsidRPr="00B568F3">
              <w:rPr>
                <w:rFonts w:ascii="Arial" w:hAnsi="Arial" w:cs="Arial"/>
                <w:color w:val="000000"/>
                <w:sz w:val="24"/>
                <w:szCs w:val="24"/>
              </w:rPr>
              <w:t>40.9%</w:t>
            </w:r>
          </w:p>
        </w:tc>
        <w:tc>
          <w:tcPr>
            <w:tcW w:w="1744" w:type="dxa"/>
            <w:tcBorders>
              <w:top w:val="single" w:sz="4" w:space="0" w:color="auto"/>
              <w:left w:val="single" w:sz="4" w:space="0" w:color="auto"/>
            </w:tcBorders>
            <w:vAlign w:val="center"/>
          </w:tcPr>
          <w:p w14:paraId="732708B1" w14:textId="6E4AF34E" w:rsidR="007475FF" w:rsidRPr="000C06A7" w:rsidRDefault="007475FF" w:rsidP="007475FF">
            <w:pPr>
              <w:spacing w:after="200" w:line="276" w:lineRule="auto"/>
              <w:contextualSpacing/>
              <w:jc w:val="center"/>
              <w:rPr>
                <w:rFonts w:ascii="Arial" w:eastAsia="Calibri" w:hAnsi="Arial" w:cs="Arial"/>
                <w:sz w:val="24"/>
                <w:szCs w:val="24"/>
                <w:lang w:eastAsia="en-GB"/>
              </w:rPr>
            </w:pPr>
            <w:r w:rsidRPr="000C06A7">
              <w:rPr>
                <w:rFonts w:ascii="Arial" w:eastAsia="Calibri" w:hAnsi="Arial" w:cs="Arial"/>
                <w:sz w:val="24"/>
                <w:szCs w:val="24"/>
                <w:lang w:eastAsia="en-GB"/>
              </w:rPr>
              <w:t>9</w:t>
            </w:r>
          </w:p>
        </w:tc>
        <w:tc>
          <w:tcPr>
            <w:tcW w:w="1678" w:type="dxa"/>
            <w:tcBorders>
              <w:top w:val="single" w:sz="4" w:space="0" w:color="auto"/>
              <w:right w:val="single" w:sz="4" w:space="0" w:color="auto"/>
            </w:tcBorders>
            <w:vAlign w:val="center"/>
          </w:tcPr>
          <w:p w14:paraId="3B85613E" w14:textId="3D87F2A1" w:rsidR="007475FF" w:rsidRPr="000C06A7" w:rsidRDefault="007475FF" w:rsidP="007475FF">
            <w:pPr>
              <w:spacing w:after="200" w:line="276" w:lineRule="auto"/>
              <w:contextualSpacing/>
              <w:jc w:val="center"/>
              <w:rPr>
                <w:rFonts w:ascii="Arial" w:eastAsia="Calibri" w:hAnsi="Arial" w:cs="Arial"/>
                <w:sz w:val="24"/>
                <w:szCs w:val="24"/>
                <w:lang w:eastAsia="en-GB"/>
              </w:rPr>
            </w:pPr>
            <w:r w:rsidRPr="00B568F3">
              <w:rPr>
                <w:rFonts w:ascii="Arial" w:hAnsi="Arial" w:cs="Arial"/>
                <w:color w:val="000000"/>
                <w:sz w:val="24"/>
                <w:szCs w:val="24"/>
              </w:rPr>
              <w:t>40.9%</w:t>
            </w:r>
          </w:p>
        </w:tc>
      </w:tr>
      <w:tr w:rsidR="007475FF" w:rsidRPr="00B568F3" w14:paraId="5769E07F" w14:textId="77777777" w:rsidTr="00FC716F">
        <w:trPr>
          <w:jc w:val="center"/>
        </w:trPr>
        <w:tc>
          <w:tcPr>
            <w:tcW w:w="1816" w:type="dxa"/>
            <w:tcBorders>
              <w:left w:val="single" w:sz="4" w:space="0" w:color="auto"/>
              <w:right w:val="single" w:sz="4" w:space="0" w:color="auto"/>
            </w:tcBorders>
          </w:tcPr>
          <w:p w14:paraId="4CC31641" w14:textId="77777777" w:rsidR="007475FF" w:rsidRPr="000C06A7" w:rsidRDefault="007475FF" w:rsidP="007475FF">
            <w:pPr>
              <w:spacing w:after="200" w:line="276" w:lineRule="auto"/>
              <w:contextualSpacing/>
              <w:rPr>
                <w:rFonts w:ascii="Arial" w:eastAsia="Calibri" w:hAnsi="Arial" w:cs="Arial"/>
                <w:sz w:val="24"/>
                <w:szCs w:val="24"/>
                <w:lang w:eastAsia="en-GB"/>
              </w:rPr>
            </w:pPr>
            <w:r w:rsidRPr="000C06A7">
              <w:rPr>
                <w:rFonts w:ascii="Arial" w:eastAsia="Calibri" w:hAnsi="Arial" w:cs="Arial"/>
                <w:sz w:val="24"/>
                <w:szCs w:val="24"/>
                <w:lang w:eastAsia="en-GB"/>
              </w:rPr>
              <w:t>Voluntary</w:t>
            </w:r>
          </w:p>
        </w:tc>
        <w:tc>
          <w:tcPr>
            <w:tcW w:w="1730" w:type="dxa"/>
            <w:tcBorders>
              <w:left w:val="single" w:sz="4" w:space="0" w:color="auto"/>
            </w:tcBorders>
            <w:vAlign w:val="center"/>
          </w:tcPr>
          <w:p w14:paraId="73398C02" w14:textId="453A4932" w:rsidR="007475FF" w:rsidRPr="000C06A7" w:rsidRDefault="007475FF" w:rsidP="007475FF">
            <w:pPr>
              <w:spacing w:after="200" w:line="276" w:lineRule="auto"/>
              <w:contextualSpacing/>
              <w:jc w:val="center"/>
              <w:rPr>
                <w:rFonts w:ascii="Arial" w:eastAsia="Calibri" w:hAnsi="Arial" w:cs="Arial"/>
                <w:sz w:val="24"/>
                <w:szCs w:val="24"/>
                <w:lang w:eastAsia="en-GB"/>
              </w:rPr>
            </w:pPr>
            <w:r w:rsidRPr="000C06A7">
              <w:rPr>
                <w:rFonts w:ascii="Arial" w:eastAsia="Calibri" w:hAnsi="Arial" w:cs="Arial"/>
                <w:sz w:val="24"/>
                <w:szCs w:val="24"/>
                <w:lang w:eastAsia="en-GB"/>
              </w:rPr>
              <w:t>6</w:t>
            </w:r>
          </w:p>
        </w:tc>
        <w:tc>
          <w:tcPr>
            <w:tcW w:w="1678" w:type="dxa"/>
            <w:tcBorders>
              <w:right w:val="single" w:sz="4" w:space="0" w:color="auto"/>
            </w:tcBorders>
            <w:vAlign w:val="center"/>
          </w:tcPr>
          <w:p w14:paraId="01BD251D" w14:textId="34B4F900" w:rsidR="007475FF" w:rsidRPr="000C06A7" w:rsidRDefault="007475FF" w:rsidP="007475FF">
            <w:pPr>
              <w:spacing w:after="200" w:line="276" w:lineRule="auto"/>
              <w:contextualSpacing/>
              <w:jc w:val="center"/>
              <w:rPr>
                <w:rFonts w:ascii="Arial" w:eastAsia="Calibri" w:hAnsi="Arial" w:cs="Arial"/>
                <w:sz w:val="24"/>
                <w:szCs w:val="24"/>
                <w:lang w:eastAsia="en-GB"/>
              </w:rPr>
            </w:pPr>
            <w:r w:rsidRPr="00B568F3">
              <w:rPr>
                <w:rFonts w:ascii="Arial" w:hAnsi="Arial" w:cs="Arial"/>
                <w:color w:val="000000"/>
                <w:sz w:val="24"/>
                <w:szCs w:val="24"/>
              </w:rPr>
              <w:t>27.3%</w:t>
            </w:r>
          </w:p>
        </w:tc>
        <w:tc>
          <w:tcPr>
            <w:tcW w:w="1744" w:type="dxa"/>
            <w:tcBorders>
              <w:left w:val="single" w:sz="4" w:space="0" w:color="auto"/>
            </w:tcBorders>
            <w:vAlign w:val="center"/>
          </w:tcPr>
          <w:p w14:paraId="50456ABA" w14:textId="45721E6B" w:rsidR="007475FF" w:rsidRPr="000C06A7" w:rsidRDefault="007475FF" w:rsidP="007475FF">
            <w:pPr>
              <w:spacing w:after="200" w:line="276" w:lineRule="auto"/>
              <w:contextualSpacing/>
              <w:jc w:val="center"/>
              <w:rPr>
                <w:rFonts w:ascii="Arial" w:eastAsia="Calibri" w:hAnsi="Arial" w:cs="Arial"/>
                <w:sz w:val="24"/>
                <w:szCs w:val="24"/>
                <w:lang w:eastAsia="en-GB"/>
              </w:rPr>
            </w:pPr>
            <w:r w:rsidRPr="000C06A7">
              <w:rPr>
                <w:rFonts w:ascii="Arial" w:eastAsia="Calibri" w:hAnsi="Arial" w:cs="Arial"/>
                <w:sz w:val="24"/>
                <w:szCs w:val="24"/>
                <w:lang w:eastAsia="en-GB"/>
              </w:rPr>
              <w:t>8</w:t>
            </w:r>
          </w:p>
        </w:tc>
        <w:tc>
          <w:tcPr>
            <w:tcW w:w="1678" w:type="dxa"/>
            <w:tcBorders>
              <w:right w:val="single" w:sz="4" w:space="0" w:color="auto"/>
            </w:tcBorders>
            <w:vAlign w:val="center"/>
          </w:tcPr>
          <w:p w14:paraId="121C4D53" w14:textId="2373E348" w:rsidR="007475FF" w:rsidRPr="000C06A7" w:rsidRDefault="007475FF" w:rsidP="007475FF">
            <w:pPr>
              <w:spacing w:after="200" w:line="276" w:lineRule="auto"/>
              <w:contextualSpacing/>
              <w:jc w:val="center"/>
              <w:rPr>
                <w:rFonts w:ascii="Arial" w:eastAsia="Calibri" w:hAnsi="Arial" w:cs="Arial"/>
                <w:sz w:val="24"/>
                <w:szCs w:val="24"/>
                <w:lang w:eastAsia="en-GB"/>
              </w:rPr>
            </w:pPr>
            <w:r w:rsidRPr="00B568F3">
              <w:rPr>
                <w:rFonts w:ascii="Arial" w:hAnsi="Arial" w:cs="Arial"/>
                <w:color w:val="000000"/>
                <w:sz w:val="24"/>
                <w:szCs w:val="24"/>
              </w:rPr>
              <w:t>36.4%</w:t>
            </w:r>
          </w:p>
        </w:tc>
      </w:tr>
      <w:tr w:rsidR="007475FF" w:rsidRPr="00B568F3" w14:paraId="187FD7CD" w14:textId="77777777" w:rsidTr="00A8509F">
        <w:trPr>
          <w:jc w:val="center"/>
        </w:trPr>
        <w:tc>
          <w:tcPr>
            <w:tcW w:w="1816" w:type="dxa"/>
            <w:tcBorders>
              <w:left w:val="single" w:sz="4" w:space="0" w:color="auto"/>
              <w:right w:val="single" w:sz="4" w:space="0" w:color="auto"/>
            </w:tcBorders>
          </w:tcPr>
          <w:p w14:paraId="3D620B7B" w14:textId="77777777" w:rsidR="007475FF" w:rsidRPr="000C06A7" w:rsidRDefault="007475FF" w:rsidP="007475FF">
            <w:pPr>
              <w:spacing w:after="200" w:line="276" w:lineRule="auto"/>
              <w:contextualSpacing/>
              <w:rPr>
                <w:rFonts w:ascii="Arial" w:eastAsia="Calibri" w:hAnsi="Arial" w:cs="Arial"/>
                <w:sz w:val="24"/>
                <w:szCs w:val="24"/>
                <w:lang w:eastAsia="en-GB"/>
              </w:rPr>
            </w:pPr>
            <w:r w:rsidRPr="000C06A7">
              <w:rPr>
                <w:rFonts w:ascii="Arial" w:eastAsia="Calibri" w:hAnsi="Arial" w:cs="Arial"/>
                <w:sz w:val="24"/>
                <w:szCs w:val="24"/>
                <w:lang w:eastAsia="en-GB"/>
              </w:rPr>
              <w:t>Private</w:t>
            </w:r>
          </w:p>
        </w:tc>
        <w:tc>
          <w:tcPr>
            <w:tcW w:w="1730" w:type="dxa"/>
            <w:tcBorders>
              <w:left w:val="single" w:sz="4" w:space="0" w:color="auto"/>
            </w:tcBorders>
            <w:vAlign w:val="center"/>
          </w:tcPr>
          <w:p w14:paraId="755F498B" w14:textId="06C2982D" w:rsidR="007475FF" w:rsidRPr="000C06A7" w:rsidRDefault="007475FF" w:rsidP="007475FF">
            <w:pPr>
              <w:spacing w:after="200" w:line="276" w:lineRule="auto"/>
              <w:contextualSpacing/>
              <w:jc w:val="center"/>
              <w:rPr>
                <w:rFonts w:ascii="Arial" w:eastAsia="Calibri" w:hAnsi="Arial" w:cs="Arial"/>
                <w:sz w:val="24"/>
                <w:szCs w:val="24"/>
                <w:lang w:eastAsia="en-GB"/>
              </w:rPr>
            </w:pPr>
            <w:r w:rsidRPr="000C06A7">
              <w:rPr>
                <w:rFonts w:ascii="Arial" w:eastAsia="Calibri" w:hAnsi="Arial" w:cs="Arial"/>
                <w:sz w:val="24"/>
                <w:szCs w:val="24"/>
                <w:lang w:eastAsia="en-GB"/>
              </w:rPr>
              <w:t>10</w:t>
            </w:r>
          </w:p>
        </w:tc>
        <w:tc>
          <w:tcPr>
            <w:tcW w:w="1678" w:type="dxa"/>
            <w:tcBorders>
              <w:right w:val="single" w:sz="4" w:space="0" w:color="auto"/>
            </w:tcBorders>
            <w:vAlign w:val="center"/>
          </w:tcPr>
          <w:p w14:paraId="63954DDC" w14:textId="1DC14CF8" w:rsidR="007475FF" w:rsidRPr="000C06A7" w:rsidRDefault="007475FF" w:rsidP="007475FF">
            <w:pPr>
              <w:spacing w:after="200" w:line="276" w:lineRule="auto"/>
              <w:contextualSpacing/>
              <w:jc w:val="center"/>
              <w:rPr>
                <w:rFonts w:ascii="Arial" w:eastAsia="Calibri" w:hAnsi="Arial" w:cs="Arial"/>
                <w:sz w:val="24"/>
                <w:szCs w:val="24"/>
                <w:lang w:eastAsia="en-GB"/>
              </w:rPr>
            </w:pPr>
            <w:r w:rsidRPr="00B568F3">
              <w:rPr>
                <w:rFonts w:ascii="Arial" w:hAnsi="Arial" w:cs="Arial"/>
                <w:color w:val="000000"/>
                <w:sz w:val="24"/>
                <w:szCs w:val="24"/>
              </w:rPr>
              <w:t>45.5%</w:t>
            </w:r>
          </w:p>
        </w:tc>
        <w:tc>
          <w:tcPr>
            <w:tcW w:w="1744" w:type="dxa"/>
            <w:tcBorders>
              <w:left w:val="single" w:sz="4" w:space="0" w:color="auto"/>
            </w:tcBorders>
            <w:vAlign w:val="center"/>
          </w:tcPr>
          <w:p w14:paraId="71D8CE34" w14:textId="283115C4" w:rsidR="007475FF" w:rsidRPr="000C06A7" w:rsidRDefault="007475FF" w:rsidP="007475FF">
            <w:pPr>
              <w:spacing w:after="200" w:line="276" w:lineRule="auto"/>
              <w:contextualSpacing/>
              <w:jc w:val="center"/>
              <w:rPr>
                <w:rFonts w:ascii="Arial" w:eastAsia="Calibri" w:hAnsi="Arial" w:cs="Arial"/>
                <w:sz w:val="24"/>
                <w:szCs w:val="24"/>
                <w:lang w:eastAsia="en-GB"/>
              </w:rPr>
            </w:pPr>
            <w:r w:rsidRPr="000C06A7">
              <w:rPr>
                <w:rFonts w:ascii="Arial" w:eastAsia="Calibri" w:hAnsi="Arial" w:cs="Arial"/>
                <w:sz w:val="24"/>
                <w:szCs w:val="24"/>
                <w:lang w:eastAsia="en-GB"/>
              </w:rPr>
              <w:t>11</w:t>
            </w:r>
          </w:p>
        </w:tc>
        <w:tc>
          <w:tcPr>
            <w:tcW w:w="1678" w:type="dxa"/>
            <w:tcBorders>
              <w:right w:val="single" w:sz="4" w:space="0" w:color="auto"/>
            </w:tcBorders>
            <w:vAlign w:val="center"/>
          </w:tcPr>
          <w:p w14:paraId="256BA691" w14:textId="2FE2FE00" w:rsidR="007475FF" w:rsidRPr="000C06A7" w:rsidRDefault="007475FF" w:rsidP="007475FF">
            <w:pPr>
              <w:spacing w:after="200" w:line="276" w:lineRule="auto"/>
              <w:contextualSpacing/>
              <w:jc w:val="center"/>
              <w:rPr>
                <w:rFonts w:ascii="Arial" w:eastAsia="Calibri" w:hAnsi="Arial" w:cs="Arial"/>
                <w:sz w:val="24"/>
                <w:szCs w:val="24"/>
                <w:lang w:eastAsia="en-GB"/>
              </w:rPr>
            </w:pPr>
            <w:r w:rsidRPr="00B568F3">
              <w:rPr>
                <w:rFonts w:ascii="Arial" w:hAnsi="Arial" w:cs="Arial"/>
                <w:color w:val="000000"/>
                <w:sz w:val="24"/>
                <w:szCs w:val="24"/>
              </w:rPr>
              <w:t>50.0%</w:t>
            </w:r>
          </w:p>
        </w:tc>
      </w:tr>
      <w:tr w:rsidR="007475FF" w:rsidRPr="00B568F3" w14:paraId="67AE204D" w14:textId="77777777" w:rsidTr="00A8509F">
        <w:trPr>
          <w:jc w:val="center"/>
        </w:trPr>
        <w:tc>
          <w:tcPr>
            <w:tcW w:w="1816" w:type="dxa"/>
            <w:tcBorders>
              <w:left w:val="single" w:sz="4" w:space="0" w:color="auto"/>
              <w:bottom w:val="single" w:sz="4" w:space="0" w:color="auto"/>
              <w:right w:val="single" w:sz="4" w:space="0" w:color="auto"/>
            </w:tcBorders>
          </w:tcPr>
          <w:p w14:paraId="4840F2BC" w14:textId="77777777" w:rsidR="007475FF" w:rsidRPr="000C06A7" w:rsidRDefault="007475FF" w:rsidP="007475FF">
            <w:pPr>
              <w:spacing w:after="200" w:line="276" w:lineRule="auto"/>
              <w:contextualSpacing/>
              <w:rPr>
                <w:rFonts w:ascii="Arial" w:eastAsia="Calibri" w:hAnsi="Arial" w:cs="Arial"/>
                <w:sz w:val="24"/>
                <w:szCs w:val="24"/>
                <w:lang w:eastAsia="en-GB"/>
              </w:rPr>
            </w:pPr>
            <w:r w:rsidRPr="000C06A7">
              <w:rPr>
                <w:rFonts w:ascii="Arial" w:eastAsia="Calibri" w:hAnsi="Arial" w:cs="Arial"/>
                <w:sz w:val="24"/>
                <w:szCs w:val="24"/>
                <w:lang w:eastAsia="en-GB"/>
              </w:rPr>
              <w:t>Other</w:t>
            </w:r>
          </w:p>
        </w:tc>
        <w:tc>
          <w:tcPr>
            <w:tcW w:w="1730" w:type="dxa"/>
            <w:tcBorders>
              <w:left w:val="single" w:sz="4" w:space="0" w:color="auto"/>
              <w:bottom w:val="single" w:sz="4" w:space="0" w:color="auto"/>
            </w:tcBorders>
            <w:vAlign w:val="center"/>
          </w:tcPr>
          <w:p w14:paraId="7EACFFDE" w14:textId="00532067" w:rsidR="007475FF" w:rsidRPr="000C06A7" w:rsidRDefault="007475FF" w:rsidP="007475FF">
            <w:pPr>
              <w:spacing w:after="200" w:line="276" w:lineRule="auto"/>
              <w:contextualSpacing/>
              <w:jc w:val="center"/>
              <w:rPr>
                <w:rFonts w:ascii="Arial" w:eastAsia="Calibri" w:hAnsi="Arial" w:cs="Arial"/>
                <w:sz w:val="24"/>
                <w:szCs w:val="24"/>
                <w:lang w:eastAsia="en-GB"/>
              </w:rPr>
            </w:pPr>
            <w:r w:rsidRPr="000C06A7">
              <w:rPr>
                <w:rFonts w:ascii="Arial" w:eastAsia="Calibri" w:hAnsi="Arial" w:cs="Arial"/>
                <w:sz w:val="24"/>
                <w:szCs w:val="24"/>
                <w:lang w:eastAsia="en-GB"/>
              </w:rPr>
              <w:t>14</w:t>
            </w:r>
          </w:p>
        </w:tc>
        <w:tc>
          <w:tcPr>
            <w:tcW w:w="1678" w:type="dxa"/>
            <w:tcBorders>
              <w:bottom w:val="single" w:sz="4" w:space="0" w:color="auto"/>
              <w:right w:val="single" w:sz="4" w:space="0" w:color="auto"/>
            </w:tcBorders>
            <w:vAlign w:val="center"/>
          </w:tcPr>
          <w:p w14:paraId="4DE0E53A" w14:textId="1BB28303" w:rsidR="007475FF" w:rsidRPr="000C06A7" w:rsidRDefault="007475FF" w:rsidP="007475FF">
            <w:pPr>
              <w:spacing w:after="200" w:line="276" w:lineRule="auto"/>
              <w:contextualSpacing/>
              <w:jc w:val="center"/>
              <w:rPr>
                <w:rFonts w:ascii="Arial" w:eastAsia="Calibri" w:hAnsi="Arial" w:cs="Arial"/>
                <w:sz w:val="24"/>
                <w:szCs w:val="24"/>
                <w:lang w:eastAsia="en-GB"/>
              </w:rPr>
            </w:pPr>
            <w:r w:rsidRPr="00B568F3">
              <w:rPr>
                <w:rFonts w:ascii="Arial" w:hAnsi="Arial" w:cs="Arial"/>
                <w:color w:val="000000"/>
                <w:sz w:val="24"/>
                <w:szCs w:val="24"/>
              </w:rPr>
              <w:t>63.6%</w:t>
            </w:r>
          </w:p>
        </w:tc>
        <w:tc>
          <w:tcPr>
            <w:tcW w:w="1744" w:type="dxa"/>
            <w:tcBorders>
              <w:left w:val="single" w:sz="4" w:space="0" w:color="auto"/>
              <w:bottom w:val="single" w:sz="4" w:space="0" w:color="auto"/>
            </w:tcBorders>
            <w:vAlign w:val="center"/>
          </w:tcPr>
          <w:p w14:paraId="47C6CC65" w14:textId="69E62F36" w:rsidR="007475FF" w:rsidRPr="000C06A7" w:rsidRDefault="007475FF" w:rsidP="007475FF">
            <w:pPr>
              <w:spacing w:after="200" w:line="276" w:lineRule="auto"/>
              <w:contextualSpacing/>
              <w:jc w:val="center"/>
              <w:rPr>
                <w:rFonts w:ascii="Arial" w:eastAsia="Calibri" w:hAnsi="Arial" w:cs="Arial"/>
                <w:sz w:val="24"/>
                <w:szCs w:val="24"/>
                <w:lang w:eastAsia="en-GB"/>
              </w:rPr>
            </w:pPr>
            <w:r w:rsidRPr="000C06A7">
              <w:rPr>
                <w:rFonts w:ascii="Arial" w:eastAsia="Calibri" w:hAnsi="Arial" w:cs="Arial"/>
                <w:sz w:val="24"/>
                <w:szCs w:val="24"/>
                <w:lang w:eastAsia="en-GB"/>
              </w:rPr>
              <w:t>12</w:t>
            </w:r>
          </w:p>
        </w:tc>
        <w:tc>
          <w:tcPr>
            <w:tcW w:w="1678" w:type="dxa"/>
            <w:tcBorders>
              <w:bottom w:val="single" w:sz="4" w:space="0" w:color="auto"/>
              <w:right w:val="single" w:sz="4" w:space="0" w:color="auto"/>
            </w:tcBorders>
            <w:vAlign w:val="center"/>
          </w:tcPr>
          <w:p w14:paraId="309C0EDE" w14:textId="32370C5C" w:rsidR="007475FF" w:rsidRPr="000C06A7" w:rsidRDefault="007475FF" w:rsidP="007475FF">
            <w:pPr>
              <w:spacing w:after="200" w:line="276" w:lineRule="auto"/>
              <w:contextualSpacing/>
              <w:jc w:val="center"/>
              <w:rPr>
                <w:rFonts w:ascii="Arial" w:eastAsia="Calibri" w:hAnsi="Arial" w:cs="Arial"/>
                <w:sz w:val="24"/>
                <w:szCs w:val="24"/>
                <w:lang w:eastAsia="en-GB"/>
              </w:rPr>
            </w:pPr>
            <w:r w:rsidRPr="00B568F3">
              <w:rPr>
                <w:rFonts w:ascii="Arial" w:hAnsi="Arial" w:cs="Arial"/>
                <w:color w:val="000000"/>
                <w:sz w:val="24"/>
                <w:szCs w:val="24"/>
              </w:rPr>
              <w:t>54.5%</w:t>
            </w:r>
          </w:p>
        </w:tc>
      </w:tr>
      <w:tr w:rsidR="0052249F" w:rsidRPr="00B568F3" w14:paraId="057E2EA7" w14:textId="77777777" w:rsidTr="00A8509F">
        <w:trPr>
          <w:jc w:val="center"/>
        </w:trPr>
        <w:tc>
          <w:tcPr>
            <w:tcW w:w="1816" w:type="dxa"/>
            <w:tcBorders>
              <w:top w:val="single" w:sz="4" w:space="0" w:color="auto"/>
              <w:left w:val="single" w:sz="4" w:space="0" w:color="auto"/>
              <w:bottom w:val="single" w:sz="4" w:space="0" w:color="auto"/>
              <w:right w:val="single" w:sz="4" w:space="0" w:color="auto"/>
            </w:tcBorders>
          </w:tcPr>
          <w:p w14:paraId="43500AD2" w14:textId="1ECC5834" w:rsidR="0052249F" w:rsidRPr="000C06A7" w:rsidRDefault="0052249F" w:rsidP="0052249F">
            <w:pPr>
              <w:spacing w:after="200" w:line="276" w:lineRule="auto"/>
              <w:contextualSpacing/>
              <w:rPr>
                <w:rFonts w:ascii="Arial" w:eastAsia="Calibri" w:hAnsi="Arial" w:cs="Arial"/>
                <w:b/>
                <w:bCs/>
                <w:sz w:val="24"/>
                <w:szCs w:val="24"/>
                <w:lang w:eastAsia="en-GB"/>
              </w:rPr>
            </w:pPr>
            <w:r w:rsidRPr="000C06A7">
              <w:rPr>
                <w:rFonts w:ascii="Arial" w:eastAsia="Calibri" w:hAnsi="Arial" w:cs="Arial"/>
                <w:b/>
                <w:bCs/>
                <w:sz w:val="24"/>
                <w:szCs w:val="24"/>
                <w:lang w:eastAsia="en-GB"/>
              </w:rPr>
              <w:t>Total</w:t>
            </w:r>
          </w:p>
        </w:tc>
        <w:tc>
          <w:tcPr>
            <w:tcW w:w="1730" w:type="dxa"/>
            <w:tcBorders>
              <w:top w:val="single" w:sz="4" w:space="0" w:color="auto"/>
              <w:left w:val="single" w:sz="4" w:space="0" w:color="auto"/>
              <w:bottom w:val="single" w:sz="4" w:space="0" w:color="auto"/>
            </w:tcBorders>
            <w:vAlign w:val="center"/>
          </w:tcPr>
          <w:p w14:paraId="70BBF8D9" w14:textId="6CC12E70" w:rsidR="0052249F" w:rsidRPr="000C06A7" w:rsidRDefault="0052249F" w:rsidP="0052249F">
            <w:pPr>
              <w:spacing w:after="200" w:line="276" w:lineRule="auto"/>
              <w:contextualSpacing/>
              <w:jc w:val="center"/>
              <w:rPr>
                <w:rFonts w:ascii="Arial" w:eastAsia="Calibri" w:hAnsi="Arial" w:cs="Arial"/>
                <w:b/>
                <w:bCs/>
                <w:sz w:val="24"/>
                <w:szCs w:val="24"/>
                <w:lang w:eastAsia="en-GB"/>
              </w:rPr>
            </w:pPr>
            <w:r w:rsidRPr="000C06A7">
              <w:rPr>
                <w:rFonts w:ascii="Arial" w:hAnsi="Arial" w:cs="Arial"/>
                <w:b/>
                <w:bCs/>
                <w:sz w:val="24"/>
                <w:szCs w:val="24"/>
              </w:rPr>
              <w:t>11</w:t>
            </w:r>
          </w:p>
        </w:tc>
        <w:tc>
          <w:tcPr>
            <w:tcW w:w="1678" w:type="dxa"/>
            <w:tcBorders>
              <w:top w:val="single" w:sz="4" w:space="0" w:color="auto"/>
              <w:bottom w:val="single" w:sz="4" w:space="0" w:color="auto"/>
              <w:right w:val="single" w:sz="4" w:space="0" w:color="auto"/>
            </w:tcBorders>
            <w:vAlign w:val="center"/>
          </w:tcPr>
          <w:p w14:paraId="76467F82" w14:textId="6A1E7DAA" w:rsidR="0052249F" w:rsidRPr="00B568F3" w:rsidRDefault="0052249F" w:rsidP="0052249F">
            <w:pPr>
              <w:spacing w:after="200" w:line="276" w:lineRule="auto"/>
              <w:contextualSpacing/>
              <w:jc w:val="center"/>
              <w:rPr>
                <w:rFonts w:ascii="Arial" w:hAnsi="Arial" w:cs="Arial"/>
                <w:b/>
                <w:bCs/>
                <w:sz w:val="24"/>
                <w:szCs w:val="24"/>
              </w:rPr>
            </w:pPr>
            <w:r w:rsidRPr="00B568F3">
              <w:rPr>
                <w:rFonts w:ascii="Arial" w:hAnsi="Arial" w:cs="Arial"/>
                <w:b/>
                <w:bCs/>
                <w:sz w:val="24"/>
                <w:szCs w:val="24"/>
              </w:rPr>
              <w:t>50%</w:t>
            </w:r>
          </w:p>
        </w:tc>
        <w:tc>
          <w:tcPr>
            <w:tcW w:w="1744" w:type="dxa"/>
            <w:tcBorders>
              <w:top w:val="single" w:sz="4" w:space="0" w:color="auto"/>
              <w:left w:val="single" w:sz="4" w:space="0" w:color="auto"/>
              <w:bottom w:val="single" w:sz="4" w:space="0" w:color="auto"/>
            </w:tcBorders>
            <w:vAlign w:val="center"/>
          </w:tcPr>
          <w:p w14:paraId="0996A6F9" w14:textId="256D9055" w:rsidR="0052249F" w:rsidRPr="000C06A7" w:rsidRDefault="00DA690A" w:rsidP="0052249F">
            <w:pPr>
              <w:spacing w:after="200" w:line="276" w:lineRule="auto"/>
              <w:contextualSpacing/>
              <w:jc w:val="center"/>
              <w:rPr>
                <w:rFonts w:ascii="Arial" w:eastAsia="Calibri" w:hAnsi="Arial" w:cs="Arial"/>
                <w:b/>
                <w:bCs/>
                <w:sz w:val="24"/>
                <w:szCs w:val="24"/>
                <w:lang w:eastAsia="en-GB"/>
              </w:rPr>
            </w:pPr>
            <w:r w:rsidRPr="000C06A7">
              <w:rPr>
                <w:rFonts w:ascii="Arial" w:eastAsia="Calibri" w:hAnsi="Arial" w:cs="Arial"/>
                <w:b/>
                <w:bCs/>
                <w:sz w:val="24"/>
                <w:szCs w:val="24"/>
                <w:lang w:eastAsia="en-GB"/>
              </w:rPr>
              <w:t>10</w:t>
            </w:r>
          </w:p>
        </w:tc>
        <w:tc>
          <w:tcPr>
            <w:tcW w:w="1678" w:type="dxa"/>
            <w:tcBorders>
              <w:top w:val="single" w:sz="4" w:space="0" w:color="auto"/>
              <w:bottom w:val="single" w:sz="4" w:space="0" w:color="auto"/>
              <w:right w:val="single" w:sz="4" w:space="0" w:color="auto"/>
            </w:tcBorders>
            <w:vAlign w:val="center"/>
          </w:tcPr>
          <w:p w14:paraId="739064F6" w14:textId="3A2C7E81" w:rsidR="0052249F" w:rsidRPr="00B568F3" w:rsidRDefault="00DA690A" w:rsidP="0052249F">
            <w:pPr>
              <w:spacing w:after="200" w:line="276" w:lineRule="auto"/>
              <w:contextualSpacing/>
              <w:jc w:val="center"/>
              <w:rPr>
                <w:rFonts w:ascii="Arial" w:hAnsi="Arial" w:cs="Arial"/>
                <w:b/>
                <w:bCs/>
                <w:sz w:val="24"/>
                <w:szCs w:val="24"/>
              </w:rPr>
            </w:pPr>
            <w:r w:rsidRPr="00B568F3">
              <w:rPr>
                <w:rFonts w:ascii="Arial" w:hAnsi="Arial" w:cs="Arial"/>
                <w:b/>
                <w:bCs/>
                <w:sz w:val="24"/>
                <w:szCs w:val="24"/>
              </w:rPr>
              <w:t>45.5%</w:t>
            </w:r>
          </w:p>
        </w:tc>
      </w:tr>
    </w:tbl>
    <w:p w14:paraId="354EC0B2" w14:textId="111F6B99" w:rsidR="00C87615" w:rsidRPr="00B568F3" w:rsidRDefault="00EB2326"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Informal </w:t>
      </w:r>
      <w:r w:rsidR="00B8366A" w:rsidRPr="00B568F3">
        <w:rPr>
          <w:rFonts w:ascii="Arial" w:eastAsia="Calibri" w:hAnsi="Arial" w:cs="Arial"/>
          <w:sz w:val="24"/>
          <w:szCs w:val="24"/>
          <w:lang w:eastAsia="en-GB"/>
        </w:rPr>
        <w:t xml:space="preserve">evidence from the </w:t>
      </w:r>
      <w:r w:rsidR="0053566C" w:rsidRPr="00B568F3">
        <w:rPr>
          <w:rFonts w:ascii="Arial" w:eastAsia="Calibri" w:hAnsi="Arial" w:cs="Arial"/>
          <w:sz w:val="24"/>
          <w:szCs w:val="24"/>
          <w:lang w:eastAsia="en-GB"/>
        </w:rPr>
        <w:t xml:space="preserve">local authorities </w:t>
      </w:r>
      <w:r w:rsidR="00616F22" w:rsidRPr="00B568F3">
        <w:rPr>
          <w:rFonts w:ascii="Arial" w:eastAsia="Calibri" w:hAnsi="Arial" w:cs="Arial"/>
          <w:sz w:val="24"/>
          <w:szCs w:val="24"/>
          <w:lang w:eastAsia="en-GB"/>
        </w:rPr>
        <w:t>said</w:t>
      </w:r>
      <w:r w:rsidR="0021296F" w:rsidRPr="00B568F3">
        <w:rPr>
          <w:rFonts w:ascii="Arial" w:eastAsia="Calibri" w:hAnsi="Arial" w:cs="Arial"/>
          <w:sz w:val="24"/>
          <w:szCs w:val="24"/>
          <w:lang w:eastAsia="en-GB"/>
        </w:rPr>
        <w:t xml:space="preserve"> that there was a </w:t>
      </w:r>
      <w:r w:rsidR="0053566C" w:rsidRPr="00B568F3">
        <w:rPr>
          <w:rFonts w:ascii="Arial" w:eastAsia="Calibri" w:hAnsi="Arial" w:cs="Arial"/>
          <w:sz w:val="24"/>
          <w:szCs w:val="24"/>
          <w:lang w:eastAsia="en-GB"/>
        </w:rPr>
        <w:t xml:space="preserve">decline </w:t>
      </w:r>
      <w:r w:rsidR="00F45873" w:rsidRPr="00B568F3">
        <w:rPr>
          <w:rFonts w:ascii="Arial" w:eastAsia="Calibri" w:hAnsi="Arial" w:cs="Arial"/>
          <w:sz w:val="24"/>
          <w:szCs w:val="24"/>
          <w:lang w:eastAsia="en-GB"/>
        </w:rPr>
        <w:t xml:space="preserve">in training places booked and training attendance </w:t>
      </w:r>
      <w:r w:rsidR="00B46B40" w:rsidRPr="00B568F3">
        <w:rPr>
          <w:rFonts w:ascii="Arial" w:eastAsia="Calibri" w:hAnsi="Arial" w:cs="Arial"/>
          <w:sz w:val="24"/>
          <w:szCs w:val="24"/>
          <w:lang w:eastAsia="en-GB"/>
        </w:rPr>
        <w:t xml:space="preserve">because </w:t>
      </w:r>
      <w:r w:rsidR="00786CFE" w:rsidRPr="00B568F3">
        <w:rPr>
          <w:rFonts w:ascii="Arial" w:eastAsia="Calibri" w:hAnsi="Arial" w:cs="Arial"/>
          <w:sz w:val="24"/>
          <w:szCs w:val="24"/>
          <w:lang w:eastAsia="en-GB"/>
        </w:rPr>
        <w:t>of</w:t>
      </w:r>
      <w:r w:rsidR="00B46B40" w:rsidRPr="00B568F3">
        <w:rPr>
          <w:rFonts w:ascii="Arial" w:eastAsia="Calibri" w:hAnsi="Arial" w:cs="Arial"/>
          <w:sz w:val="24"/>
          <w:szCs w:val="24"/>
          <w:lang w:eastAsia="en-GB"/>
        </w:rPr>
        <w:t xml:space="preserve"> </w:t>
      </w:r>
      <w:r w:rsidR="004256B6" w:rsidRPr="00B568F3">
        <w:rPr>
          <w:rFonts w:ascii="Arial" w:eastAsia="Calibri" w:hAnsi="Arial" w:cs="Arial"/>
          <w:sz w:val="24"/>
          <w:szCs w:val="24"/>
          <w:lang w:eastAsia="en-GB"/>
        </w:rPr>
        <w:t xml:space="preserve">the </w:t>
      </w:r>
      <w:r w:rsidR="0053566C" w:rsidRPr="00B568F3">
        <w:rPr>
          <w:rFonts w:ascii="Arial" w:eastAsia="Calibri" w:hAnsi="Arial" w:cs="Arial"/>
          <w:sz w:val="24"/>
          <w:szCs w:val="24"/>
          <w:lang w:eastAsia="en-GB"/>
        </w:rPr>
        <w:t>following</w:t>
      </w:r>
      <w:r w:rsidR="001352AE" w:rsidRPr="00B568F3">
        <w:rPr>
          <w:rFonts w:ascii="Arial" w:eastAsia="Calibri" w:hAnsi="Arial" w:cs="Arial"/>
          <w:sz w:val="24"/>
          <w:szCs w:val="24"/>
          <w:lang w:eastAsia="en-GB"/>
        </w:rPr>
        <w:t xml:space="preserve"> reasons:</w:t>
      </w:r>
    </w:p>
    <w:p w14:paraId="327B214F" w14:textId="77777777" w:rsidR="00936CF4" w:rsidRPr="00B568F3" w:rsidRDefault="00936CF4" w:rsidP="00936CF4">
      <w:pPr>
        <w:spacing w:after="200" w:line="276" w:lineRule="auto"/>
        <w:ind w:left="709"/>
        <w:contextualSpacing/>
        <w:rPr>
          <w:rFonts w:ascii="Arial" w:eastAsia="Calibri" w:hAnsi="Arial" w:cs="Arial"/>
          <w:sz w:val="24"/>
          <w:szCs w:val="24"/>
          <w:lang w:eastAsia="en-GB"/>
        </w:rPr>
      </w:pPr>
    </w:p>
    <w:p w14:paraId="0A942713" w14:textId="2B335D8C" w:rsidR="000B0232" w:rsidRPr="00B568F3" w:rsidRDefault="006662BB" w:rsidP="00632461">
      <w:pPr>
        <w:numPr>
          <w:ilvl w:val="0"/>
          <w:numId w:val="13"/>
        </w:numPr>
        <w:spacing w:after="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t</w:t>
      </w:r>
      <w:r w:rsidR="00F01860" w:rsidRPr="00B568F3">
        <w:rPr>
          <w:rFonts w:ascii="Arial" w:eastAsia="Calibri" w:hAnsi="Arial" w:cs="Arial"/>
          <w:sz w:val="24"/>
          <w:szCs w:val="24"/>
          <w:lang w:eastAsia="en-GB"/>
        </w:rPr>
        <w:t>he m</w:t>
      </w:r>
      <w:r w:rsidR="00AA5364" w:rsidRPr="00B568F3">
        <w:rPr>
          <w:rFonts w:ascii="Arial" w:eastAsia="Calibri" w:hAnsi="Arial" w:cs="Arial"/>
          <w:sz w:val="24"/>
          <w:szCs w:val="24"/>
          <w:lang w:eastAsia="en-GB"/>
        </w:rPr>
        <w:t>ost</w:t>
      </w:r>
      <w:r w:rsidR="00A42566" w:rsidRPr="00B568F3">
        <w:rPr>
          <w:rFonts w:ascii="Arial" w:eastAsia="Calibri" w:hAnsi="Arial" w:cs="Arial"/>
          <w:sz w:val="24"/>
          <w:szCs w:val="24"/>
          <w:lang w:eastAsia="en-GB"/>
        </w:rPr>
        <w:t xml:space="preserve"> noted</w:t>
      </w:r>
      <w:r w:rsidR="00AA5364" w:rsidRPr="00B568F3">
        <w:rPr>
          <w:rFonts w:ascii="Arial" w:eastAsia="Calibri" w:hAnsi="Arial" w:cs="Arial"/>
          <w:sz w:val="24"/>
          <w:szCs w:val="24"/>
          <w:lang w:eastAsia="en-GB"/>
        </w:rPr>
        <w:t xml:space="preserve"> reason for </w:t>
      </w:r>
      <w:r w:rsidR="009B11B2" w:rsidRPr="00B568F3">
        <w:rPr>
          <w:rFonts w:ascii="Arial" w:eastAsia="Calibri" w:hAnsi="Arial" w:cs="Arial"/>
          <w:sz w:val="24"/>
          <w:szCs w:val="24"/>
          <w:lang w:eastAsia="en-GB"/>
        </w:rPr>
        <w:t xml:space="preserve">being unable to attend </w:t>
      </w:r>
      <w:r w:rsidR="00906B58" w:rsidRPr="00B568F3">
        <w:rPr>
          <w:rFonts w:ascii="Arial" w:eastAsia="Calibri" w:hAnsi="Arial" w:cs="Arial"/>
          <w:sz w:val="24"/>
          <w:szCs w:val="24"/>
          <w:lang w:eastAsia="en-GB"/>
        </w:rPr>
        <w:t>were because of</w:t>
      </w:r>
      <w:r w:rsidR="009B11B2" w:rsidRPr="00B568F3">
        <w:rPr>
          <w:rFonts w:ascii="Arial" w:eastAsia="Calibri" w:hAnsi="Arial" w:cs="Arial"/>
          <w:sz w:val="24"/>
          <w:szCs w:val="24"/>
          <w:lang w:eastAsia="en-GB"/>
        </w:rPr>
        <w:t xml:space="preserve"> service pressures</w:t>
      </w:r>
      <w:r w:rsidR="000B0232" w:rsidRPr="00B568F3">
        <w:rPr>
          <w:rFonts w:ascii="Arial" w:eastAsia="Calibri" w:hAnsi="Arial" w:cs="Arial"/>
          <w:sz w:val="24"/>
          <w:szCs w:val="24"/>
          <w:lang w:eastAsia="en-GB"/>
        </w:rPr>
        <w:t xml:space="preserve"> </w:t>
      </w:r>
      <w:r w:rsidR="00AA5364" w:rsidRPr="00B568F3">
        <w:rPr>
          <w:rFonts w:ascii="Arial" w:eastAsia="Calibri" w:hAnsi="Arial" w:cs="Arial"/>
          <w:sz w:val="24"/>
          <w:szCs w:val="24"/>
          <w:lang w:eastAsia="en-GB"/>
        </w:rPr>
        <w:t xml:space="preserve">and </w:t>
      </w:r>
      <w:r w:rsidR="000B0232" w:rsidRPr="00B568F3">
        <w:rPr>
          <w:rFonts w:ascii="Arial" w:eastAsia="Calibri" w:hAnsi="Arial" w:cs="Arial"/>
          <w:sz w:val="24"/>
          <w:szCs w:val="24"/>
          <w:lang w:eastAsia="en-GB"/>
        </w:rPr>
        <w:t>difficulties around releasing staff to attend training, above the mandatory level needed.</w:t>
      </w:r>
      <w:r w:rsidR="00AA5364" w:rsidRPr="00B568F3">
        <w:rPr>
          <w:rFonts w:ascii="Arial" w:eastAsia="Calibri" w:hAnsi="Arial" w:cs="Arial"/>
          <w:sz w:val="24"/>
          <w:szCs w:val="24"/>
          <w:lang w:eastAsia="en-GB"/>
        </w:rPr>
        <w:t xml:space="preserve"> This </w:t>
      </w:r>
      <w:r w:rsidR="00906B58" w:rsidRPr="00B568F3">
        <w:rPr>
          <w:rFonts w:ascii="Arial" w:eastAsia="Calibri" w:hAnsi="Arial" w:cs="Arial"/>
          <w:sz w:val="24"/>
          <w:szCs w:val="24"/>
          <w:lang w:eastAsia="en-GB"/>
        </w:rPr>
        <w:t xml:space="preserve">also </w:t>
      </w:r>
      <w:r w:rsidR="00AA5364" w:rsidRPr="00B568F3">
        <w:rPr>
          <w:rFonts w:ascii="Arial" w:eastAsia="Calibri" w:hAnsi="Arial" w:cs="Arial"/>
          <w:sz w:val="24"/>
          <w:szCs w:val="24"/>
          <w:lang w:eastAsia="en-GB"/>
        </w:rPr>
        <w:t xml:space="preserve">reflects the recruitment and retention challenges </w:t>
      </w:r>
      <w:r w:rsidR="00C3443E" w:rsidRPr="00B568F3">
        <w:rPr>
          <w:rFonts w:ascii="Arial" w:eastAsia="Calibri" w:hAnsi="Arial" w:cs="Arial"/>
          <w:sz w:val="24"/>
          <w:szCs w:val="24"/>
          <w:lang w:eastAsia="en-GB"/>
        </w:rPr>
        <w:t xml:space="preserve">that are seen </w:t>
      </w:r>
      <w:r w:rsidR="00AA5364" w:rsidRPr="00B568F3">
        <w:rPr>
          <w:rFonts w:ascii="Arial" w:eastAsia="Calibri" w:hAnsi="Arial" w:cs="Arial"/>
          <w:sz w:val="24"/>
          <w:szCs w:val="24"/>
          <w:lang w:eastAsia="en-GB"/>
        </w:rPr>
        <w:t>across social care</w:t>
      </w:r>
    </w:p>
    <w:p w14:paraId="6EDBEF44" w14:textId="77777777" w:rsidR="00936CF4" w:rsidRPr="00B568F3" w:rsidRDefault="00936CF4" w:rsidP="00936CF4">
      <w:pPr>
        <w:spacing w:after="0" w:line="276" w:lineRule="auto"/>
        <w:ind w:left="2160"/>
        <w:contextualSpacing/>
        <w:rPr>
          <w:rFonts w:ascii="Arial" w:eastAsia="Calibri" w:hAnsi="Arial" w:cs="Arial"/>
          <w:sz w:val="24"/>
          <w:szCs w:val="24"/>
          <w:lang w:eastAsia="en-GB"/>
        </w:rPr>
      </w:pPr>
    </w:p>
    <w:p w14:paraId="63313D91" w14:textId="653B2342" w:rsidR="00E013F4" w:rsidRPr="00B568F3" w:rsidRDefault="00116E2E" w:rsidP="00632461">
      <w:pPr>
        <w:numPr>
          <w:ilvl w:val="0"/>
          <w:numId w:val="13"/>
        </w:numPr>
        <w:spacing w:after="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m</w:t>
      </w:r>
      <w:r w:rsidR="008F3C83" w:rsidRPr="00B568F3">
        <w:rPr>
          <w:rFonts w:ascii="Arial" w:eastAsia="Calibri" w:hAnsi="Arial" w:cs="Arial"/>
          <w:sz w:val="24"/>
          <w:szCs w:val="24"/>
          <w:lang w:eastAsia="en-GB"/>
        </w:rPr>
        <w:t>ore training is moving to e-learning</w:t>
      </w:r>
      <w:r w:rsidR="002F11E3" w:rsidRPr="00B568F3">
        <w:rPr>
          <w:rFonts w:ascii="Arial" w:eastAsia="Calibri" w:hAnsi="Arial" w:cs="Arial"/>
          <w:sz w:val="24"/>
          <w:szCs w:val="24"/>
          <w:lang w:eastAsia="en-GB"/>
        </w:rPr>
        <w:t>,</w:t>
      </w:r>
      <w:r w:rsidR="008F3C83" w:rsidRPr="00B568F3">
        <w:rPr>
          <w:rFonts w:ascii="Arial" w:eastAsia="Calibri" w:hAnsi="Arial" w:cs="Arial"/>
          <w:sz w:val="24"/>
          <w:szCs w:val="24"/>
          <w:lang w:eastAsia="en-GB"/>
        </w:rPr>
        <w:t xml:space="preserve"> </w:t>
      </w:r>
      <w:r w:rsidR="00E25961" w:rsidRPr="00B568F3">
        <w:rPr>
          <w:rFonts w:ascii="Arial" w:eastAsia="Calibri" w:hAnsi="Arial" w:cs="Arial"/>
          <w:sz w:val="24"/>
          <w:szCs w:val="24"/>
          <w:lang w:eastAsia="en-GB"/>
        </w:rPr>
        <w:t xml:space="preserve">but </w:t>
      </w:r>
      <w:r w:rsidR="000B65BB" w:rsidRPr="00B568F3">
        <w:rPr>
          <w:rFonts w:ascii="Arial" w:eastAsia="Calibri" w:hAnsi="Arial" w:cs="Arial"/>
          <w:sz w:val="24"/>
          <w:szCs w:val="24"/>
          <w:lang w:eastAsia="en-GB"/>
        </w:rPr>
        <w:t xml:space="preserve">workforce development teams </w:t>
      </w:r>
      <w:r w:rsidR="00C00F12" w:rsidRPr="00B568F3">
        <w:rPr>
          <w:rFonts w:ascii="Arial" w:eastAsia="Calibri" w:hAnsi="Arial" w:cs="Arial"/>
          <w:sz w:val="24"/>
          <w:szCs w:val="24"/>
          <w:lang w:eastAsia="en-GB"/>
        </w:rPr>
        <w:t xml:space="preserve">won’t always know </w:t>
      </w:r>
      <w:r w:rsidR="00E25961" w:rsidRPr="00B568F3">
        <w:rPr>
          <w:rFonts w:ascii="Arial" w:eastAsia="Calibri" w:hAnsi="Arial" w:cs="Arial"/>
          <w:sz w:val="24"/>
          <w:szCs w:val="24"/>
          <w:lang w:eastAsia="en-GB"/>
        </w:rPr>
        <w:t>when training</w:t>
      </w:r>
      <w:r w:rsidR="00994C8B" w:rsidRPr="00B568F3">
        <w:rPr>
          <w:rFonts w:ascii="Arial" w:eastAsia="Calibri" w:hAnsi="Arial" w:cs="Arial"/>
          <w:sz w:val="24"/>
          <w:szCs w:val="24"/>
          <w:lang w:eastAsia="en-GB"/>
        </w:rPr>
        <w:t xml:space="preserve"> ha</w:t>
      </w:r>
      <w:r w:rsidR="00F71DE2" w:rsidRPr="00B568F3">
        <w:rPr>
          <w:rFonts w:ascii="Arial" w:eastAsia="Calibri" w:hAnsi="Arial" w:cs="Arial"/>
          <w:sz w:val="24"/>
          <w:szCs w:val="24"/>
          <w:lang w:eastAsia="en-GB"/>
        </w:rPr>
        <w:t>s</w:t>
      </w:r>
      <w:r w:rsidR="00994C8B" w:rsidRPr="00B568F3">
        <w:rPr>
          <w:rFonts w:ascii="Arial" w:eastAsia="Calibri" w:hAnsi="Arial" w:cs="Arial"/>
          <w:sz w:val="24"/>
          <w:szCs w:val="24"/>
          <w:lang w:eastAsia="en-GB"/>
        </w:rPr>
        <w:t xml:space="preserve"> been completed</w:t>
      </w:r>
      <w:r w:rsidRPr="00B568F3">
        <w:rPr>
          <w:rFonts w:ascii="Arial" w:eastAsia="Calibri" w:hAnsi="Arial" w:cs="Arial"/>
          <w:sz w:val="24"/>
          <w:szCs w:val="24"/>
          <w:lang w:eastAsia="en-GB"/>
        </w:rPr>
        <w:t>, such as</w:t>
      </w:r>
      <w:r w:rsidR="00C00F12" w:rsidRPr="00B568F3">
        <w:rPr>
          <w:rFonts w:ascii="Arial" w:eastAsia="Calibri" w:hAnsi="Arial" w:cs="Arial"/>
          <w:sz w:val="24"/>
          <w:szCs w:val="24"/>
          <w:lang w:eastAsia="en-GB"/>
        </w:rPr>
        <w:t xml:space="preserve"> </w:t>
      </w:r>
      <w:r w:rsidR="00490438" w:rsidRPr="00B568F3">
        <w:rPr>
          <w:rFonts w:ascii="Arial" w:eastAsia="Calibri" w:hAnsi="Arial" w:cs="Arial"/>
          <w:sz w:val="24"/>
          <w:szCs w:val="24"/>
          <w:lang w:eastAsia="en-GB"/>
        </w:rPr>
        <w:t>staff</w:t>
      </w:r>
      <w:r w:rsidR="00033701" w:rsidRPr="00B568F3">
        <w:rPr>
          <w:rFonts w:ascii="Arial" w:eastAsia="Calibri" w:hAnsi="Arial" w:cs="Arial"/>
          <w:sz w:val="24"/>
          <w:szCs w:val="24"/>
          <w:lang w:eastAsia="en-GB"/>
        </w:rPr>
        <w:t xml:space="preserve"> who complete our</w:t>
      </w:r>
      <w:r w:rsidR="00EE4F8E" w:rsidRPr="00B568F3">
        <w:rPr>
          <w:rFonts w:ascii="Arial" w:eastAsia="Calibri" w:hAnsi="Arial" w:cs="Arial"/>
          <w:sz w:val="24"/>
          <w:szCs w:val="24"/>
          <w:lang w:eastAsia="en-GB"/>
        </w:rPr>
        <w:t xml:space="preserve"> learning modules </w:t>
      </w:r>
      <w:r w:rsidR="00327DDB" w:rsidRPr="00B568F3">
        <w:rPr>
          <w:rFonts w:ascii="Arial" w:eastAsia="Calibri" w:hAnsi="Arial" w:cs="Arial"/>
          <w:sz w:val="24"/>
          <w:szCs w:val="24"/>
          <w:lang w:eastAsia="en-GB"/>
        </w:rPr>
        <w:t>or</w:t>
      </w:r>
      <w:r w:rsidR="00AE3D33" w:rsidRPr="00B568F3">
        <w:rPr>
          <w:rFonts w:ascii="Arial" w:eastAsia="Calibri" w:hAnsi="Arial" w:cs="Arial"/>
          <w:sz w:val="24"/>
          <w:szCs w:val="24"/>
          <w:lang w:eastAsia="en-GB"/>
        </w:rPr>
        <w:t xml:space="preserve"> on</w:t>
      </w:r>
      <w:r w:rsidR="00327DDB" w:rsidRPr="00B568F3">
        <w:rPr>
          <w:rFonts w:ascii="Arial" w:eastAsia="Calibri" w:hAnsi="Arial" w:cs="Arial"/>
          <w:sz w:val="24"/>
          <w:szCs w:val="24"/>
          <w:lang w:eastAsia="en-GB"/>
        </w:rPr>
        <w:t xml:space="preserve"> </w:t>
      </w:r>
      <w:r w:rsidR="00C130BE" w:rsidRPr="00B568F3">
        <w:rPr>
          <w:rFonts w:ascii="Arial" w:eastAsia="Calibri" w:hAnsi="Arial" w:cs="Arial"/>
          <w:sz w:val="24"/>
          <w:szCs w:val="24"/>
          <w:lang w:eastAsia="en-GB"/>
        </w:rPr>
        <w:t>HEIW</w:t>
      </w:r>
      <w:r w:rsidR="00327DDB" w:rsidRPr="00B568F3">
        <w:rPr>
          <w:rFonts w:ascii="Arial" w:eastAsia="Calibri" w:hAnsi="Arial" w:cs="Arial"/>
          <w:sz w:val="24"/>
          <w:szCs w:val="24"/>
          <w:lang w:eastAsia="en-GB"/>
        </w:rPr>
        <w:t>’s Ty Dysgu</w:t>
      </w:r>
      <w:r w:rsidR="00C130BE" w:rsidRPr="00B568F3">
        <w:rPr>
          <w:rFonts w:ascii="Arial" w:eastAsia="Calibri" w:hAnsi="Arial" w:cs="Arial"/>
          <w:sz w:val="24"/>
          <w:szCs w:val="24"/>
          <w:lang w:eastAsia="en-GB"/>
        </w:rPr>
        <w:t xml:space="preserve"> e-learning</w:t>
      </w:r>
      <w:r w:rsidR="0079232A" w:rsidRPr="00B568F3">
        <w:rPr>
          <w:rFonts w:ascii="Arial" w:eastAsia="Calibri" w:hAnsi="Arial" w:cs="Arial"/>
          <w:sz w:val="24"/>
          <w:szCs w:val="24"/>
          <w:lang w:eastAsia="en-GB"/>
        </w:rPr>
        <w:t xml:space="preserve"> platform</w:t>
      </w:r>
    </w:p>
    <w:p w14:paraId="408450C7" w14:textId="77777777" w:rsidR="00936CF4" w:rsidRPr="00B568F3" w:rsidRDefault="00936CF4" w:rsidP="00936CF4">
      <w:pPr>
        <w:pStyle w:val="ListParagraph"/>
        <w:rPr>
          <w:rFonts w:ascii="Arial" w:eastAsia="Calibri" w:hAnsi="Arial" w:cs="Arial"/>
          <w:sz w:val="24"/>
          <w:szCs w:val="24"/>
          <w:lang w:eastAsia="en-GB"/>
        </w:rPr>
      </w:pPr>
    </w:p>
    <w:p w14:paraId="3FD733DF" w14:textId="63B713C8" w:rsidR="009B11B2" w:rsidRPr="00B568F3" w:rsidRDefault="00E12670" w:rsidP="00632461">
      <w:pPr>
        <w:numPr>
          <w:ilvl w:val="0"/>
          <w:numId w:val="13"/>
        </w:numPr>
        <w:spacing w:after="20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s</w:t>
      </w:r>
      <w:r w:rsidR="00DA7690" w:rsidRPr="00B568F3">
        <w:rPr>
          <w:rFonts w:ascii="Arial" w:eastAsia="Calibri" w:hAnsi="Arial" w:cs="Arial"/>
          <w:sz w:val="24"/>
          <w:szCs w:val="24"/>
          <w:lang w:eastAsia="en-GB"/>
        </w:rPr>
        <w:t>ome</w:t>
      </w:r>
      <w:r w:rsidR="007D2401" w:rsidRPr="00B568F3">
        <w:rPr>
          <w:rFonts w:ascii="Arial" w:eastAsia="Calibri" w:hAnsi="Arial" w:cs="Arial"/>
          <w:sz w:val="24"/>
          <w:szCs w:val="24"/>
          <w:lang w:eastAsia="en-GB"/>
        </w:rPr>
        <w:t xml:space="preserve"> providers </w:t>
      </w:r>
      <w:r w:rsidR="00285B71" w:rsidRPr="00B568F3">
        <w:rPr>
          <w:rFonts w:ascii="Arial" w:eastAsia="Calibri" w:hAnsi="Arial" w:cs="Arial"/>
          <w:sz w:val="24"/>
          <w:szCs w:val="24"/>
          <w:lang w:eastAsia="en-GB"/>
        </w:rPr>
        <w:t>use</w:t>
      </w:r>
      <w:r w:rsidR="007D2401" w:rsidRPr="00B568F3">
        <w:rPr>
          <w:rFonts w:ascii="Arial" w:eastAsia="Calibri" w:hAnsi="Arial" w:cs="Arial"/>
          <w:sz w:val="24"/>
          <w:szCs w:val="24"/>
          <w:lang w:eastAsia="en-GB"/>
        </w:rPr>
        <w:t xml:space="preserve"> digital alternatives</w:t>
      </w:r>
      <w:r w:rsidRPr="00B568F3">
        <w:rPr>
          <w:rFonts w:ascii="Arial" w:eastAsia="Calibri" w:hAnsi="Arial" w:cs="Arial"/>
          <w:sz w:val="24"/>
          <w:szCs w:val="24"/>
          <w:lang w:eastAsia="en-GB"/>
        </w:rPr>
        <w:t xml:space="preserve"> which they’ve </w:t>
      </w:r>
      <w:r w:rsidR="007D2401" w:rsidRPr="00B568F3">
        <w:rPr>
          <w:rFonts w:ascii="Arial" w:eastAsia="Calibri" w:hAnsi="Arial" w:cs="Arial"/>
          <w:sz w:val="24"/>
          <w:szCs w:val="24"/>
          <w:lang w:eastAsia="en-GB"/>
        </w:rPr>
        <w:t>sourced and manage</w:t>
      </w:r>
    </w:p>
    <w:p w14:paraId="3D77FC87" w14:textId="77777777" w:rsidR="00936CF4" w:rsidRPr="00B568F3" w:rsidRDefault="00936CF4" w:rsidP="00936CF4">
      <w:pPr>
        <w:spacing w:after="0" w:line="276" w:lineRule="auto"/>
        <w:ind w:left="2160"/>
        <w:contextualSpacing/>
        <w:rPr>
          <w:rFonts w:ascii="Arial" w:eastAsia="Calibri" w:hAnsi="Arial" w:cs="Arial"/>
          <w:sz w:val="24"/>
          <w:szCs w:val="24"/>
          <w:lang w:eastAsia="en-GB"/>
        </w:rPr>
      </w:pPr>
    </w:p>
    <w:p w14:paraId="497C4168" w14:textId="16F6638F" w:rsidR="0029470F" w:rsidRPr="00B568F3" w:rsidRDefault="00E12670" w:rsidP="00632461">
      <w:pPr>
        <w:numPr>
          <w:ilvl w:val="0"/>
          <w:numId w:val="13"/>
        </w:numPr>
        <w:spacing w:after="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s</w:t>
      </w:r>
      <w:r w:rsidR="0029470F" w:rsidRPr="00B568F3">
        <w:rPr>
          <w:rFonts w:ascii="Arial" w:eastAsia="Calibri" w:hAnsi="Arial" w:cs="Arial"/>
          <w:sz w:val="24"/>
          <w:szCs w:val="24"/>
          <w:lang w:eastAsia="en-GB"/>
        </w:rPr>
        <w:t>ome</w:t>
      </w:r>
      <w:r w:rsidR="0029470F" w:rsidRPr="00B568F3" w:rsidDel="00DA41F3">
        <w:rPr>
          <w:rFonts w:ascii="Arial" w:eastAsia="Calibri" w:hAnsi="Arial" w:cs="Arial"/>
          <w:sz w:val="24"/>
          <w:szCs w:val="24"/>
          <w:lang w:eastAsia="en-GB"/>
        </w:rPr>
        <w:t xml:space="preserve"> </w:t>
      </w:r>
      <w:r w:rsidR="0029470F" w:rsidRPr="00B568F3">
        <w:rPr>
          <w:rFonts w:ascii="Arial" w:eastAsia="Calibri" w:hAnsi="Arial" w:cs="Arial"/>
          <w:sz w:val="24"/>
          <w:szCs w:val="24"/>
          <w:lang w:eastAsia="en-GB"/>
        </w:rPr>
        <w:t>larger</w:t>
      </w:r>
      <w:r w:rsidR="00DA41F3" w:rsidRPr="00B568F3">
        <w:rPr>
          <w:rFonts w:ascii="Arial" w:eastAsia="Calibri" w:hAnsi="Arial" w:cs="Arial"/>
          <w:sz w:val="24"/>
          <w:szCs w:val="24"/>
          <w:lang w:eastAsia="en-GB"/>
        </w:rPr>
        <w:t>,</w:t>
      </w:r>
      <w:r w:rsidR="0029470F" w:rsidRPr="00B568F3">
        <w:rPr>
          <w:rFonts w:ascii="Arial" w:eastAsia="Calibri" w:hAnsi="Arial" w:cs="Arial"/>
          <w:sz w:val="24"/>
          <w:szCs w:val="24"/>
          <w:lang w:eastAsia="en-GB"/>
        </w:rPr>
        <w:t xml:space="preserve"> </w:t>
      </w:r>
      <w:r w:rsidR="00C05DEA" w:rsidRPr="00B568F3">
        <w:rPr>
          <w:rFonts w:ascii="Arial" w:eastAsia="Calibri" w:hAnsi="Arial" w:cs="Arial"/>
          <w:sz w:val="24"/>
          <w:szCs w:val="24"/>
          <w:lang w:eastAsia="en-GB"/>
        </w:rPr>
        <w:t xml:space="preserve">private </w:t>
      </w:r>
      <w:r w:rsidR="0029470F" w:rsidRPr="00B568F3">
        <w:rPr>
          <w:rFonts w:ascii="Arial" w:eastAsia="Calibri" w:hAnsi="Arial" w:cs="Arial"/>
          <w:sz w:val="24"/>
          <w:szCs w:val="24"/>
          <w:lang w:eastAsia="en-GB"/>
        </w:rPr>
        <w:t xml:space="preserve">providers have their own training </w:t>
      </w:r>
      <w:r w:rsidR="00D12499" w:rsidRPr="00B568F3">
        <w:rPr>
          <w:rFonts w:ascii="Arial" w:eastAsia="Calibri" w:hAnsi="Arial" w:cs="Arial"/>
          <w:sz w:val="24"/>
          <w:szCs w:val="24"/>
          <w:lang w:eastAsia="en-GB"/>
        </w:rPr>
        <w:t>departments</w:t>
      </w:r>
      <w:r w:rsidRPr="00B568F3">
        <w:rPr>
          <w:rFonts w:ascii="Arial" w:eastAsia="Calibri" w:hAnsi="Arial" w:cs="Arial"/>
          <w:sz w:val="24"/>
          <w:szCs w:val="24"/>
          <w:lang w:eastAsia="en-GB"/>
        </w:rPr>
        <w:t xml:space="preserve"> and </w:t>
      </w:r>
      <w:r w:rsidR="00D12499" w:rsidRPr="00B568F3">
        <w:rPr>
          <w:rFonts w:ascii="Arial" w:eastAsia="Calibri" w:hAnsi="Arial" w:cs="Arial"/>
          <w:sz w:val="24"/>
          <w:szCs w:val="24"/>
          <w:lang w:eastAsia="en-GB"/>
        </w:rPr>
        <w:t>facilities</w:t>
      </w:r>
      <w:r w:rsidRPr="00B568F3">
        <w:rPr>
          <w:rFonts w:ascii="Arial" w:eastAsia="Calibri" w:hAnsi="Arial" w:cs="Arial"/>
          <w:sz w:val="24"/>
          <w:szCs w:val="24"/>
          <w:lang w:eastAsia="en-GB"/>
        </w:rPr>
        <w:t>,</w:t>
      </w:r>
      <w:r w:rsidR="0029470F" w:rsidRPr="00B568F3">
        <w:rPr>
          <w:rFonts w:ascii="Arial" w:eastAsia="Calibri" w:hAnsi="Arial" w:cs="Arial"/>
          <w:sz w:val="24"/>
          <w:szCs w:val="24"/>
          <w:lang w:eastAsia="en-GB"/>
        </w:rPr>
        <w:t xml:space="preserve"> so don</w:t>
      </w:r>
      <w:r w:rsidRPr="00B568F3">
        <w:rPr>
          <w:rFonts w:ascii="Arial" w:eastAsia="Calibri" w:hAnsi="Arial" w:cs="Arial"/>
          <w:sz w:val="24"/>
          <w:szCs w:val="24"/>
          <w:lang w:eastAsia="en-GB"/>
        </w:rPr>
        <w:t>’</w:t>
      </w:r>
      <w:r w:rsidR="0029470F" w:rsidRPr="00B568F3">
        <w:rPr>
          <w:rFonts w:ascii="Arial" w:eastAsia="Calibri" w:hAnsi="Arial" w:cs="Arial"/>
          <w:sz w:val="24"/>
          <w:szCs w:val="24"/>
          <w:lang w:eastAsia="en-GB"/>
        </w:rPr>
        <w:t xml:space="preserve">t rely on their </w:t>
      </w:r>
      <w:r w:rsidR="00EB6648" w:rsidRPr="00B568F3">
        <w:rPr>
          <w:rFonts w:ascii="Arial" w:eastAsia="Calibri" w:hAnsi="Arial" w:cs="Arial"/>
          <w:sz w:val="24"/>
          <w:szCs w:val="24"/>
          <w:lang w:eastAsia="en-GB"/>
        </w:rPr>
        <w:t>work</w:t>
      </w:r>
      <w:r w:rsidR="009C527C" w:rsidRPr="00B568F3">
        <w:rPr>
          <w:rFonts w:ascii="Arial" w:eastAsia="Calibri" w:hAnsi="Arial" w:cs="Arial"/>
          <w:sz w:val="24"/>
          <w:szCs w:val="24"/>
          <w:lang w:eastAsia="en-GB"/>
        </w:rPr>
        <w:t>ers</w:t>
      </w:r>
      <w:r w:rsidR="00EB6648" w:rsidRPr="00B568F3">
        <w:rPr>
          <w:rFonts w:ascii="Arial" w:eastAsia="Calibri" w:hAnsi="Arial" w:cs="Arial"/>
          <w:sz w:val="24"/>
          <w:szCs w:val="24"/>
          <w:lang w:eastAsia="en-GB"/>
        </w:rPr>
        <w:t xml:space="preserve"> </w:t>
      </w:r>
      <w:r w:rsidR="0029470F" w:rsidRPr="00B568F3">
        <w:rPr>
          <w:rFonts w:ascii="Arial" w:eastAsia="Calibri" w:hAnsi="Arial" w:cs="Arial"/>
          <w:sz w:val="24"/>
          <w:szCs w:val="24"/>
          <w:lang w:eastAsia="en-GB"/>
        </w:rPr>
        <w:t>accessing</w:t>
      </w:r>
      <w:r w:rsidR="00EB6648" w:rsidRPr="00B568F3">
        <w:rPr>
          <w:rFonts w:ascii="Arial" w:eastAsia="Calibri" w:hAnsi="Arial" w:cs="Arial"/>
          <w:sz w:val="24"/>
          <w:szCs w:val="24"/>
          <w:lang w:eastAsia="en-GB"/>
        </w:rPr>
        <w:t xml:space="preserve"> training through the </w:t>
      </w:r>
      <w:r w:rsidR="00AA4F68" w:rsidRPr="00B568F3">
        <w:rPr>
          <w:rFonts w:ascii="Arial" w:eastAsia="Calibri" w:hAnsi="Arial" w:cs="Arial"/>
          <w:sz w:val="24"/>
          <w:szCs w:val="24"/>
          <w:lang w:eastAsia="en-GB"/>
        </w:rPr>
        <w:t>workforce development teams</w:t>
      </w:r>
    </w:p>
    <w:p w14:paraId="7F899CF5" w14:textId="77777777" w:rsidR="00936CF4" w:rsidRPr="00B568F3" w:rsidRDefault="00936CF4" w:rsidP="00936CF4">
      <w:pPr>
        <w:spacing w:after="0" w:line="276" w:lineRule="auto"/>
        <w:ind w:left="2160"/>
        <w:contextualSpacing/>
        <w:rPr>
          <w:rFonts w:ascii="Arial" w:eastAsia="Calibri" w:hAnsi="Arial" w:cs="Arial"/>
          <w:sz w:val="24"/>
          <w:szCs w:val="24"/>
          <w:lang w:eastAsia="en-GB"/>
        </w:rPr>
      </w:pPr>
    </w:p>
    <w:p w14:paraId="6C5FC81D" w14:textId="56CE5D76" w:rsidR="00881ED4" w:rsidRPr="00B568F3" w:rsidRDefault="000D2EA3" w:rsidP="00632461">
      <w:pPr>
        <w:numPr>
          <w:ilvl w:val="0"/>
          <w:numId w:val="13"/>
        </w:numPr>
        <w:spacing w:after="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i</w:t>
      </w:r>
      <w:r w:rsidR="008A6228" w:rsidRPr="00B568F3">
        <w:rPr>
          <w:rFonts w:ascii="Arial" w:eastAsia="Calibri" w:hAnsi="Arial" w:cs="Arial"/>
          <w:sz w:val="24"/>
          <w:szCs w:val="24"/>
          <w:lang w:eastAsia="en-GB"/>
        </w:rPr>
        <w:t>n</w:t>
      </w:r>
      <w:r w:rsidR="00881ED4" w:rsidRPr="00B568F3">
        <w:rPr>
          <w:rFonts w:ascii="Arial" w:eastAsia="Calibri" w:hAnsi="Arial" w:cs="Arial"/>
          <w:sz w:val="24"/>
          <w:szCs w:val="24"/>
          <w:lang w:eastAsia="en-GB"/>
        </w:rPr>
        <w:t xml:space="preserve"> statutory services in particular</w:t>
      </w:r>
      <w:r w:rsidR="0079232A" w:rsidRPr="00B568F3">
        <w:rPr>
          <w:rFonts w:ascii="Arial" w:eastAsia="Calibri" w:hAnsi="Arial" w:cs="Arial"/>
          <w:sz w:val="24"/>
          <w:szCs w:val="24"/>
          <w:lang w:eastAsia="en-GB"/>
        </w:rPr>
        <w:t>,</w:t>
      </w:r>
      <w:r w:rsidR="00881ED4" w:rsidRPr="00B568F3">
        <w:rPr>
          <w:rFonts w:ascii="Arial" w:eastAsia="Calibri" w:hAnsi="Arial" w:cs="Arial"/>
          <w:sz w:val="24"/>
          <w:szCs w:val="24"/>
          <w:lang w:eastAsia="en-GB"/>
        </w:rPr>
        <w:t xml:space="preserve"> </w:t>
      </w:r>
      <w:r w:rsidR="0037368B" w:rsidRPr="00B568F3">
        <w:rPr>
          <w:rFonts w:ascii="Arial" w:eastAsia="Calibri" w:hAnsi="Arial" w:cs="Arial"/>
          <w:sz w:val="24"/>
          <w:szCs w:val="24"/>
          <w:lang w:eastAsia="en-GB"/>
        </w:rPr>
        <w:t>some workers access learning and development that has moved to being</w:t>
      </w:r>
      <w:r w:rsidR="002A2ECA" w:rsidRPr="00B568F3">
        <w:rPr>
          <w:rFonts w:ascii="Arial" w:eastAsia="Calibri" w:hAnsi="Arial" w:cs="Arial"/>
          <w:sz w:val="24"/>
          <w:szCs w:val="24"/>
          <w:lang w:eastAsia="en-GB"/>
        </w:rPr>
        <w:t xml:space="preserve"> a corporate responsibility</w:t>
      </w:r>
      <w:r w:rsidR="004A451F" w:rsidRPr="00B568F3">
        <w:rPr>
          <w:rFonts w:ascii="Arial" w:eastAsia="Calibri" w:hAnsi="Arial" w:cs="Arial"/>
          <w:sz w:val="24"/>
          <w:szCs w:val="24"/>
          <w:lang w:eastAsia="en-GB"/>
        </w:rPr>
        <w:t>,</w:t>
      </w:r>
      <w:r w:rsidR="002A2ECA" w:rsidRPr="00B568F3">
        <w:rPr>
          <w:rFonts w:ascii="Arial" w:eastAsia="Calibri" w:hAnsi="Arial" w:cs="Arial"/>
          <w:sz w:val="24"/>
          <w:szCs w:val="24"/>
          <w:lang w:eastAsia="en-GB"/>
        </w:rPr>
        <w:t xml:space="preserve"> so the numbers completing these</w:t>
      </w:r>
      <w:r w:rsidRPr="00B568F3">
        <w:rPr>
          <w:rFonts w:ascii="Arial" w:eastAsia="Calibri" w:hAnsi="Arial" w:cs="Arial"/>
          <w:sz w:val="24"/>
          <w:szCs w:val="24"/>
          <w:lang w:eastAsia="en-GB"/>
        </w:rPr>
        <w:t xml:space="preserve"> aren’t</w:t>
      </w:r>
      <w:r w:rsidR="002A2ECA" w:rsidRPr="00B568F3" w:rsidDel="000D2EA3">
        <w:rPr>
          <w:rFonts w:ascii="Arial" w:eastAsia="Calibri" w:hAnsi="Arial" w:cs="Arial"/>
          <w:sz w:val="24"/>
          <w:szCs w:val="24"/>
          <w:lang w:eastAsia="en-GB"/>
        </w:rPr>
        <w:t xml:space="preserve"> </w:t>
      </w:r>
      <w:r w:rsidR="00DE650F" w:rsidRPr="00B568F3">
        <w:rPr>
          <w:rFonts w:ascii="Arial" w:eastAsia="Calibri" w:hAnsi="Arial" w:cs="Arial"/>
          <w:sz w:val="24"/>
          <w:szCs w:val="24"/>
          <w:lang w:eastAsia="en-GB"/>
        </w:rPr>
        <w:t>always</w:t>
      </w:r>
      <w:r w:rsidR="002A2ECA" w:rsidRPr="00B568F3">
        <w:rPr>
          <w:rFonts w:ascii="Arial" w:eastAsia="Calibri" w:hAnsi="Arial" w:cs="Arial"/>
          <w:sz w:val="24"/>
          <w:szCs w:val="24"/>
          <w:lang w:eastAsia="en-GB"/>
        </w:rPr>
        <w:t xml:space="preserve"> reported</w:t>
      </w:r>
      <w:r w:rsidR="00D67AF5" w:rsidRPr="00B568F3">
        <w:rPr>
          <w:rFonts w:ascii="Arial" w:eastAsia="Calibri" w:hAnsi="Arial" w:cs="Arial"/>
          <w:sz w:val="24"/>
          <w:szCs w:val="24"/>
          <w:lang w:eastAsia="en-GB"/>
        </w:rPr>
        <w:t xml:space="preserve"> as SCWWDP funded</w:t>
      </w:r>
      <w:r w:rsidRPr="00B568F3">
        <w:rPr>
          <w:rFonts w:ascii="Arial" w:eastAsia="Calibri" w:hAnsi="Arial" w:cs="Arial"/>
          <w:sz w:val="24"/>
          <w:szCs w:val="24"/>
          <w:lang w:eastAsia="en-GB"/>
        </w:rPr>
        <w:t>.</w:t>
      </w:r>
    </w:p>
    <w:p w14:paraId="4BB4F3EE" w14:textId="77777777" w:rsidR="000B0232" w:rsidRPr="00B568F3" w:rsidRDefault="000B0232" w:rsidP="00937E65">
      <w:pPr>
        <w:spacing w:after="0" w:line="276" w:lineRule="auto"/>
        <w:ind w:left="2160"/>
        <w:contextualSpacing/>
        <w:rPr>
          <w:rFonts w:ascii="Arial" w:eastAsia="Calibri" w:hAnsi="Arial" w:cs="Arial"/>
          <w:sz w:val="24"/>
          <w:szCs w:val="24"/>
          <w:lang w:eastAsia="en-GB"/>
        </w:rPr>
      </w:pPr>
    </w:p>
    <w:p w14:paraId="5CD8050C" w14:textId="636CFAEF" w:rsidR="00092658" w:rsidRPr="00B568F3" w:rsidRDefault="002C7776"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The action</w:t>
      </w:r>
      <w:r w:rsidR="0030100F" w:rsidRPr="00B568F3">
        <w:rPr>
          <w:rFonts w:ascii="Arial" w:eastAsia="Calibri" w:hAnsi="Arial" w:cs="Arial"/>
          <w:sz w:val="24"/>
          <w:szCs w:val="24"/>
          <w:lang w:eastAsia="en-GB"/>
        </w:rPr>
        <w:t>s</w:t>
      </w:r>
      <w:r w:rsidRPr="00B568F3">
        <w:rPr>
          <w:rFonts w:ascii="Arial" w:eastAsia="Calibri" w:hAnsi="Arial" w:cs="Arial"/>
          <w:sz w:val="24"/>
          <w:szCs w:val="24"/>
          <w:lang w:eastAsia="en-GB"/>
        </w:rPr>
        <w:t xml:space="preserve"> being taken</w:t>
      </w:r>
      <w:r w:rsidR="0030100F" w:rsidRPr="00B568F3">
        <w:rPr>
          <w:rFonts w:ascii="Arial" w:eastAsia="Calibri" w:hAnsi="Arial" w:cs="Arial"/>
          <w:sz w:val="24"/>
          <w:szCs w:val="24"/>
          <w:lang w:eastAsia="en-GB"/>
        </w:rPr>
        <w:t xml:space="preserve"> and reported</w:t>
      </w:r>
      <w:r w:rsidRPr="00B568F3">
        <w:rPr>
          <w:rFonts w:ascii="Arial" w:eastAsia="Calibri" w:hAnsi="Arial" w:cs="Arial"/>
          <w:sz w:val="24"/>
          <w:szCs w:val="24"/>
          <w:lang w:eastAsia="en-GB"/>
        </w:rPr>
        <w:t xml:space="preserve"> by</w:t>
      </w:r>
      <w:r w:rsidR="0030100F" w:rsidRPr="00B568F3">
        <w:rPr>
          <w:rFonts w:ascii="Arial" w:eastAsia="Calibri" w:hAnsi="Arial" w:cs="Arial"/>
          <w:sz w:val="24"/>
          <w:szCs w:val="24"/>
          <w:lang w:eastAsia="en-GB"/>
        </w:rPr>
        <w:t xml:space="preserve"> some</w:t>
      </w:r>
      <w:r w:rsidRPr="00B568F3">
        <w:rPr>
          <w:rFonts w:ascii="Arial" w:eastAsia="Calibri" w:hAnsi="Arial" w:cs="Arial"/>
          <w:sz w:val="24"/>
          <w:szCs w:val="24"/>
          <w:lang w:eastAsia="en-GB"/>
        </w:rPr>
        <w:t xml:space="preserve"> </w:t>
      </w:r>
      <w:r w:rsidR="00092658" w:rsidRPr="00B568F3">
        <w:rPr>
          <w:rFonts w:ascii="Arial" w:eastAsia="Calibri" w:hAnsi="Arial" w:cs="Arial"/>
          <w:sz w:val="24"/>
          <w:szCs w:val="24"/>
          <w:lang w:eastAsia="en-GB"/>
        </w:rPr>
        <w:t xml:space="preserve">local authorities </w:t>
      </w:r>
      <w:r w:rsidRPr="00B568F3">
        <w:rPr>
          <w:rFonts w:ascii="Arial" w:eastAsia="Calibri" w:hAnsi="Arial" w:cs="Arial"/>
          <w:sz w:val="24"/>
          <w:szCs w:val="24"/>
          <w:lang w:eastAsia="en-GB"/>
        </w:rPr>
        <w:t xml:space="preserve">to </w:t>
      </w:r>
      <w:r w:rsidR="00A22DDC" w:rsidRPr="00B568F3">
        <w:rPr>
          <w:rFonts w:ascii="Arial" w:eastAsia="Calibri" w:hAnsi="Arial" w:cs="Arial"/>
          <w:sz w:val="24"/>
          <w:szCs w:val="24"/>
          <w:lang w:eastAsia="en-GB"/>
        </w:rPr>
        <w:t xml:space="preserve">try </w:t>
      </w:r>
      <w:r w:rsidR="000D2EA3" w:rsidRPr="00B568F3">
        <w:rPr>
          <w:rFonts w:ascii="Arial" w:eastAsia="Calibri" w:hAnsi="Arial" w:cs="Arial"/>
          <w:sz w:val="24"/>
          <w:szCs w:val="24"/>
          <w:lang w:eastAsia="en-GB"/>
        </w:rPr>
        <w:t xml:space="preserve">to </w:t>
      </w:r>
      <w:r w:rsidR="00A22DDC" w:rsidRPr="00B568F3">
        <w:rPr>
          <w:rFonts w:ascii="Arial" w:eastAsia="Calibri" w:hAnsi="Arial" w:cs="Arial"/>
          <w:sz w:val="24"/>
          <w:szCs w:val="24"/>
          <w:lang w:eastAsia="en-GB"/>
        </w:rPr>
        <w:t>revers</w:t>
      </w:r>
      <w:r w:rsidR="000D2EA3" w:rsidRPr="00B568F3">
        <w:rPr>
          <w:rFonts w:ascii="Arial" w:eastAsia="Calibri" w:hAnsi="Arial" w:cs="Arial"/>
          <w:sz w:val="24"/>
          <w:szCs w:val="24"/>
          <w:lang w:eastAsia="en-GB"/>
        </w:rPr>
        <w:t>e</w:t>
      </w:r>
      <w:r w:rsidR="00A22DDC" w:rsidRPr="00B568F3">
        <w:rPr>
          <w:rFonts w:ascii="Arial" w:eastAsia="Calibri" w:hAnsi="Arial" w:cs="Arial"/>
          <w:sz w:val="24"/>
          <w:szCs w:val="24"/>
          <w:lang w:eastAsia="en-GB"/>
        </w:rPr>
        <w:t xml:space="preserve"> the decline in training places booked and training attendance, include</w:t>
      </w:r>
      <w:r w:rsidR="00B1304A" w:rsidRPr="00B568F3">
        <w:rPr>
          <w:rFonts w:ascii="Arial" w:eastAsia="Calibri" w:hAnsi="Arial" w:cs="Arial"/>
          <w:sz w:val="24"/>
          <w:szCs w:val="24"/>
          <w:lang w:eastAsia="en-GB"/>
        </w:rPr>
        <w:t>:</w:t>
      </w:r>
    </w:p>
    <w:p w14:paraId="38DC2503" w14:textId="77777777" w:rsidR="000B0232" w:rsidRPr="00B568F3" w:rsidRDefault="000B0232" w:rsidP="00937E65">
      <w:pPr>
        <w:spacing w:after="200" w:line="276" w:lineRule="auto"/>
        <w:ind w:left="709"/>
        <w:contextualSpacing/>
        <w:rPr>
          <w:rFonts w:ascii="Arial" w:eastAsia="Calibri" w:hAnsi="Arial" w:cs="Arial"/>
          <w:sz w:val="24"/>
          <w:szCs w:val="24"/>
          <w:lang w:eastAsia="en-GB"/>
        </w:rPr>
      </w:pPr>
    </w:p>
    <w:p w14:paraId="5E863970" w14:textId="5E26475D" w:rsidR="009A354A" w:rsidRPr="00B568F3" w:rsidRDefault="00B1304A" w:rsidP="00632461">
      <w:pPr>
        <w:numPr>
          <w:ilvl w:val="0"/>
          <w:numId w:val="12"/>
        </w:numPr>
        <w:spacing w:after="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c</w:t>
      </w:r>
      <w:r w:rsidR="009A354A" w:rsidRPr="00B568F3">
        <w:rPr>
          <w:rFonts w:ascii="Arial" w:eastAsia="Calibri" w:hAnsi="Arial" w:cs="Arial"/>
          <w:sz w:val="24"/>
          <w:szCs w:val="24"/>
          <w:lang w:eastAsia="en-GB"/>
        </w:rPr>
        <w:t xml:space="preserve">ontinually checking that the training and development offer is open to </w:t>
      </w:r>
      <w:r w:rsidR="00A22DDC" w:rsidRPr="00B568F3">
        <w:rPr>
          <w:rFonts w:ascii="Arial" w:eastAsia="Calibri" w:hAnsi="Arial" w:cs="Arial"/>
          <w:sz w:val="24"/>
          <w:szCs w:val="24"/>
          <w:lang w:eastAsia="en-GB"/>
        </w:rPr>
        <w:t>everyone</w:t>
      </w:r>
      <w:r w:rsidR="00B360BA" w:rsidRPr="00B568F3">
        <w:rPr>
          <w:rFonts w:ascii="Arial" w:eastAsia="Calibri" w:hAnsi="Arial" w:cs="Arial"/>
          <w:sz w:val="24"/>
          <w:szCs w:val="24"/>
          <w:lang w:eastAsia="en-GB"/>
        </w:rPr>
        <w:t xml:space="preserve">. </w:t>
      </w:r>
    </w:p>
    <w:p w14:paraId="4B0C077C" w14:textId="77777777" w:rsidR="00936CF4" w:rsidRPr="00B568F3" w:rsidRDefault="00936CF4" w:rsidP="00936CF4">
      <w:pPr>
        <w:spacing w:after="0" w:line="276" w:lineRule="auto"/>
        <w:ind w:left="2160"/>
        <w:contextualSpacing/>
        <w:rPr>
          <w:rFonts w:ascii="Arial" w:eastAsia="Calibri" w:hAnsi="Arial" w:cs="Arial"/>
          <w:sz w:val="24"/>
          <w:szCs w:val="24"/>
          <w:lang w:eastAsia="en-GB"/>
        </w:rPr>
      </w:pPr>
    </w:p>
    <w:p w14:paraId="2FA105E1" w14:textId="3F5BBEDC" w:rsidR="00E013F4" w:rsidRPr="00B568F3" w:rsidRDefault="00B1304A" w:rsidP="00632461">
      <w:pPr>
        <w:numPr>
          <w:ilvl w:val="0"/>
          <w:numId w:val="12"/>
        </w:numPr>
        <w:spacing w:after="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w</w:t>
      </w:r>
      <w:r w:rsidR="00E33033" w:rsidRPr="00B568F3">
        <w:rPr>
          <w:rFonts w:ascii="Arial" w:eastAsia="Calibri" w:hAnsi="Arial" w:cs="Arial"/>
          <w:sz w:val="24"/>
          <w:szCs w:val="24"/>
          <w:lang w:eastAsia="en-GB"/>
        </w:rPr>
        <w:t>ider promotion of training and development opportunities</w:t>
      </w:r>
      <w:r w:rsidR="00A22DDC" w:rsidRPr="00B568F3">
        <w:rPr>
          <w:rFonts w:ascii="Arial" w:eastAsia="Calibri" w:hAnsi="Arial" w:cs="Arial"/>
          <w:sz w:val="24"/>
          <w:szCs w:val="24"/>
          <w:lang w:eastAsia="en-GB"/>
        </w:rPr>
        <w:t>,</w:t>
      </w:r>
      <w:r w:rsidR="00E33033" w:rsidRPr="00B568F3">
        <w:rPr>
          <w:rFonts w:ascii="Arial" w:eastAsia="Calibri" w:hAnsi="Arial" w:cs="Arial"/>
          <w:sz w:val="24"/>
          <w:szCs w:val="24"/>
          <w:lang w:eastAsia="en-GB"/>
        </w:rPr>
        <w:t xml:space="preserve"> </w:t>
      </w:r>
      <w:r w:rsidR="002C5219" w:rsidRPr="00B568F3">
        <w:rPr>
          <w:rFonts w:ascii="Arial" w:eastAsia="Calibri" w:hAnsi="Arial" w:cs="Arial"/>
          <w:sz w:val="24"/>
          <w:szCs w:val="24"/>
          <w:lang w:eastAsia="en-GB"/>
        </w:rPr>
        <w:t>such as</w:t>
      </w:r>
      <w:r w:rsidR="00E33033" w:rsidRPr="00B568F3">
        <w:rPr>
          <w:rFonts w:ascii="Arial" w:eastAsia="Calibri" w:hAnsi="Arial" w:cs="Arial"/>
          <w:sz w:val="24"/>
          <w:szCs w:val="24"/>
          <w:lang w:eastAsia="en-GB"/>
        </w:rPr>
        <w:t xml:space="preserve"> using </w:t>
      </w:r>
      <w:r w:rsidR="0079232A" w:rsidRPr="00B568F3">
        <w:rPr>
          <w:rFonts w:ascii="Arial" w:eastAsia="Calibri" w:hAnsi="Arial" w:cs="Arial"/>
          <w:sz w:val="24"/>
          <w:szCs w:val="24"/>
          <w:lang w:eastAsia="en-GB"/>
        </w:rPr>
        <w:t xml:space="preserve">the </w:t>
      </w:r>
      <w:r w:rsidR="00E33033" w:rsidRPr="00B568F3">
        <w:rPr>
          <w:rFonts w:ascii="Arial" w:eastAsia="Calibri" w:hAnsi="Arial" w:cs="Arial"/>
          <w:sz w:val="24"/>
          <w:szCs w:val="24"/>
          <w:lang w:eastAsia="en-GB"/>
        </w:rPr>
        <w:t>Dewis Cymru</w:t>
      </w:r>
      <w:r w:rsidR="0079232A" w:rsidRPr="00B568F3">
        <w:rPr>
          <w:rFonts w:ascii="Arial" w:eastAsia="Calibri" w:hAnsi="Arial" w:cs="Arial"/>
          <w:sz w:val="24"/>
          <w:szCs w:val="24"/>
          <w:lang w:eastAsia="en-GB"/>
        </w:rPr>
        <w:t xml:space="preserve"> website</w:t>
      </w:r>
      <w:r w:rsidR="00A22DDC" w:rsidRPr="00B568F3">
        <w:rPr>
          <w:rFonts w:ascii="Arial" w:eastAsia="Calibri" w:hAnsi="Arial" w:cs="Arial"/>
          <w:sz w:val="24"/>
          <w:szCs w:val="24"/>
          <w:lang w:eastAsia="en-GB"/>
        </w:rPr>
        <w:t xml:space="preserve"> to promote</w:t>
      </w:r>
      <w:r w:rsidR="00482D00" w:rsidRPr="00B568F3">
        <w:rPr>
          <w:rFonts w:ascii="Arial" w:eastAsia="Calibri" w:hAnsi="Arial" w:cs="Arial"/>
          <w:sz w:val="24"/>
          <w:szCs w:val="24"/>
          <w:lang w:eastAsia="en-GB"/>
        </w:rPr>
        <w:t xml:space="preserve">, </w:t>
      </w:r>
      <w:r w:rsidR="00A22DDC" w:rsidRPr="00B568F3">
        <w:rPr>
          <w:rFonts w:ascii="Arial" w:eastAsia="Calibri" w:hAnsi="Arial" w:cs="Arial"/>
          <w:sz w:val="24"/>
          <w:szCs w:val="24"/>
          <w:lang w:eastAsia="en-GB"/>
        </w:rPr>
        <w:t xml:space="preserve">or </w:t>
      </w:r>
      <w:r w:rsidR="00482D00" w:rsidRPr="00B568F3">
        <w:rPr>
          <w:rFonts w:ascii="Arial" w:eastAsia="Calibri" w:hAnsi="Arial" w:cs="Arial"/>
          <w:sz w:val="24"/>
          <w:szCs w:val="24"/>
          <w:lang w:eastAsia="en-GB"/>
        </w:rPr>
        <w:t xml:space="preserve">reaching out directly to </w:t>
      </w:r>
      <w:r w:rsidR="00E72D26" w:rsidRPr="00B568F3">
        <w:rPr>
          <w:rFonts w:ascii="Arial" w:eastAsia="Calibri" w:hAnsi="Arial" w:cs="Arial"/>
          <w:sz w:val="24"/>
          <w:szCs w:val="24"/>
          <w:lang w:eastAsia="en-GB"/>
        </w:rPr>
        <w:t xml:space="preserve">providers and </w:t>
      </w:r>
      <w:r w:rsidR="00482D00" w:rsidRPr="00B568F3">
        <w:rPr>
          <w:rFonts w:ascii="Arial" w:eastAsia="Calibri" w:hAnsi="Arial" w:cs="Arial"/>
          <w:sz w:val="24"/>
          <w:szCs w:val="24"/>
          <w:lang w:eastAsia="en-GB"/>
        </w:rPr>
        <w:t>personal assistants</w:t>
      </w:r>
      <w:r w:rsidR="000268B6" w:rsidRPr="00B568F3">
        <w:rPr>
          <w:rFonts w:ascii="Arial" w:eastAsia="Calibri" w:hAnsi="Arial" w:cs="Arial"/>
          <w:sz w:val="24"/>
          <w:szCs w:val="24"/>
          <w:lang w:eastAsia="en-GB"/>
        </w:rPr>
        <w:t xml:space="preserve"> (PA</w:t>
      </w:r>
      <w:r w:rsidR="00A22DDC" w:rsidRPr="00B568F3">
        <w:rPr>
          <w:rFonts w:ascii="Arial" w:eastAsia="Calibri" w:hAnsi="Arial" w:cs="Arial"/>
          <w:sz w:val="24"/>
          <w:szCs w:val="24"/>
          <w:lang w:eastAsia="en-GB"/>
        </w:rPr>
        <w:t>s</w:t>
      </w:r>
      <w:r w:rsidR="000268B6" w:rsidRPr="00B568F3">
        <w:rPr>
          <w:rFonts w:ascii="Arial" w:eastAsia="Calibri" w:hAnsi="Arial" w:cs="Arial"/>
          <w:sz w:val="24"/>
          <w:szCs w:val="24"/>
          <w:lang w:eastAsia="en-GB"/>
        </w:rPr>
        <w:t>)</w:t>
      </w:r>
      <w:r w:rsidR="00A22DDC" w:rsidRPr="00B568F3">
        <w:rPr>
          <w:rFonts w:ascii="Arial" w:eastAsia="Calibri" w:hAnsi="Arial" w:cs="Arial"/>
          <w:sz w:val="24"/>
          <w:szCs w:val="24"/>
          <w:lang w:eastAsia="en-GB"/>
        </w:rPr>
        <w:t>.</w:t>
      </w:r>
    </w:p>
    <w:p w14:paraId="29353059" w14:textId="77777777" w:rsidR="00936CF4" w:rsidRPr="00B568F3" w:rsidRDefault="00936CF4" w:rsidP="00946EDB">
      <w:pPr>
        <w:pStyle w:val="ListParagraph"/>
        <w:spacing w:after="0"/>
        <w:rPr>
          <w:rFonts w:ascii="Arial" w:eastAsia="Calibri" w:hAnsi="Arial" w:cs="Arial"/>
          <w:sz w:val="24"/>
          <w:szCs w:val="24"/>
          <w:lang w:eastAsia="en-GB"/>
        </w:rPr>
      </w:pPr>
    </w:p>
    <w:p w14:paraId="52C50A6A" w14:textId="0663B0FA" w:rsidR="00936CF4" w:rsidRPr="00B568F3" w:rsidRDefault="00B77DC4" w:rsidP="00632461">
      <w:pPr>
        <w:numPr>
          <w:ilvl w:val="0"/>
          <w:numId w:val="12"/>
        </w:numPr>
        <w:spacing w:after="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c</w:t>
      </w:r>
      <w:r w:rsidR="00482D00" w:rsidRPr="00B568F3">
        <w:rPr>
          <w:rFonts w:ascii="Arial" w:eastAsia="Calibri" w:hAnsi="Arial" w:cs="Arial"/>
          <w:sz w:val="24"/>
          <w:szCs w:val="24"/>
          <w:lang w:eastAsia="en-GB"/>
        </w:rPr>
        <w:t xml:space="preserve">ontacting providers directly </w:t>
      </w:r>
      <w:r w:rsidR="00657B2D" w:rsidRPr="00B568F3">
        <w:rPr>
          <w:rFonts w:ascii="Arial" w:eastAsia="Calibri" w:hAnsi="Arial" w:cs="Arial"/>
          <w:sz w:val="24"/>
          <w:szCs w:val="24"/>
          <w:lang w:eastAsia="en-GB"/>
        </w:rPr>
        <w:t>with information</w:t>
      </w:r>
      <w:r w:rsidR="00482D00" w:rsidRPr="00B568F3">
        <w:rPr>
          <w:rFonts w:ascii="Arial" w:eastAsia="Calibri" w:hAnsi="Arial" w:cs="Arial"/>
          <w:sz w:val="24"/>
          <w:szCs w:val="24"/>
          <w:lang w:eastAsia="en-GB"/>
        </w:rPr>
        <w:t xml:space="preserve"> </w:t>
      </w:r>
      <w:r w:rsidR="004463A8" w:rsidRPr="00B568F3">
        <w:rPr>
          <w:rFonts w:ascii="Arial" w:eastAsia="Calibri" w:hAnsi="Arial" w:cs="Arial"/>
          <w:sz w:val="24"/>
          <w:szCs w:val="24"/>
          <w:lang w:eastAsia="en-GB"/>
        </w:rPr>
        <w:t xml:space="preserve">and visiting </w:t>
      </w:r>
      <w:r w:rsidR="00AE2B9B" w:rsidRPr="00B568F3">
        <w:rPr>
          <w:rFonts w:ascii="Arial" w:eastAsia="Calibri" w:hAnsi="Arial" w:cs="Arial"/>
          <w:sz w:val="24"/>
          <w:szCs w:val="24"/>
          <w:lang w:eastAsia="en-GB"/>
        </w:rPr>
        <w:t>them</w:t>
      </w:r>
      <w:r w:rsidR="000138E8" w:rsidRPr="00B568F3">
        <w:rPr>
          <w:rFonts w:ascii="Arial" w:eastAsia="Calibri" w:hAnsi="Arial" w:cs="Arial"/>
          <w:sz w:val="24"/>
          <w:szCs w:val="24"/>
          <w:lang w:eastAsia="en-GB"/>
        </w:rPr>
        <w:t xml:space="preserve"> to</w:t>
      </w:r>
      <w:r w:rsidR="000138E8" w:rsidRPr="00B568F3" w:rsidDel="0060399B">
        <w:rPr>
          <w:rFonts w:ascii="Arial" w:eastAsia="Calibri" w:hAnsi="Arial" w:cs="Arial"/>
          <w:sz w:val="24"/>
          <w:szCs w:val="24"/>
          <w:lang w:eastAsia="en-GB"/>
        </w:rPr>
        <w:t xml:space="preserve"> </w:t>
      </w:r>
      <w:r w:rsidR="0060399B" w:rsidRPr="00B568F3">
        <w:rPr>
          <w:rFonts w:ascii="Arial" w:eastAsia="Calibri" w:hAnsi="Arial" w:cs="Arial"/>
          <w:sz w:val="24"/>
          <w:szCs w:val="24"/>
          <w:lang w:eastAsia="en-GB"/>
        </w:rPr>
        <w:t xml:space="preserve">make sure </w:t>
      </w:r>
      <w:r w:rsidR="0081759D" w:rsidRPr="00B568F3">
        <w:rPr>
          <w:rFonts w:ascii="Arial" w:eastAsia="Calibri" w:hAnsi="Arial" w:cs="Arial"/>
          <w:sz w:val="24"/>
          <w:szCs w:val="24"/>
          <w:lang w:eastAsia="en-GB"/>
        </w:rPr>
        <w:t xml:space="preserve">workers are </w:t>
      </w:r>
      <w:r w:rsidR="000138E8" w:rsidRPr="00B568F3">
        <w:rPr>
          <w:rFonts w:ascii="Arial" w:eastAsia="Calibri" w:hAnsi="Arial" w:cs="Arial"/>
          <w:sz w:val="24"/>
          <w:szCs w:val="24"/>
          <w:lang w:eastAsia="en-GB"/>
        </w:rPr>
        <w:t>tak</w:t>
      </w:r>
      <w:r w:rsidR="00B528C5" w:rsidRPr="00B568F3">
        <w:rPr>
          <w:rFonts w:ascii="Arial" w:eastAsia="Calibri" w:hAnsi="Arial" w:cs="Arial"/>
          <w:sz w:val="24"/>
          <w:szCs w:val="24"/>
          <w:lang w:eastAsia="en-GB"/>
        </w:rPr>
        <w:t xml:space="preserve">ing </w:t>
      </w:r>
      <w:r w:rsidR="00AE2B9B" w:rsidRPr="00B568F3">
        <w:rPr>
          <w:rFonts w:ascii="Arial" w:eastAsia="Calibri" w:hAnsi="Arial" w:cs="Arial"/>
          <w:sz w:val="24"/>
          <w:szCs w:val="24"/>
          <w:lang w:eastAsia="en-GB"/>
        </w:rPr>
        <w:t xml:space="preserve">up </w:t>
      </w:r>
      <w:r w:rsidR="00B528C5" w:rsidRPr="00B568F3">
        <w:rPr>
          <w:rFonts w:ascii="Arial" w:eastAsia="Calibri" w:hAnsi="Arial" w:cs="Arial"/>
          <w:sz w:val="24"/>
          <w:szCs w:val="24"/>
          <w:lang w:eastAsia="en-GB"/>
        </w:rPr>
        <w:t>the offer</w:t>
      </w:r>
      <w:r w:rsidRPr="00B568F3">
        <w:rPr>
          <w:rFonts w:ascii="Arial" w:eastAsia="Calibri" w:hAnsi="Arial" w:cs="Arial"/>
          <w:sz w:val="24"/>
          <w:szCs w:val="24"/>
          <w:lang w:eastAsia="en-GB"/>
        </w:rPr>
        <w:t>,</w:t>
      </w:r>
      <w:r w:rsidR="00AE2B9B" w:rsidRPr="00B568F3">
        <w:rPr>
          <w:rFonts w:ascii="Arial" w:eastAsia="Calibri" w:hAnsi="Arial" w:cs="Arial"/>
          <w:sz w:val="24"/>
          <w:szCs w:val="24"/>
          <w:lang w:eastAsia="en-GB"/>
        </w:rPr>
        <w:t xml:space="preserve"> </w:t>
      </w:r>
      <w:r w:rsidR="0081759D" w:rsidRPr="00B568F3">
        <w:rPr>
          <w:rFonts w:ascii="Arial" w:eastAsia="Calibri" w:hAnsi="Arial" w:cs="Arial"/>
          <w:sz w:val="24"/>
          <w:szCs w:val="24"/>
          <w:lang w:eastAsia="en-GB"/>
        </w:rPr>
        <w:t>and</w:t>
      </w:r>
      <w:r w:rsidR="000138E8" w:rsidRPr="00B568F3">
        <w:rPr>
          <w:rFonts w:ascii="Arial" w:eastAsia="Calibri" w:hAnsi="Arial" w:cs="Arial"/>
          <w:sz w:val="24"/>
          <w:szCs w:val="24"/>
          <w:lang w:eastAsia="en-GB"/>
        </w:rPr>
        <w:t xml:space="preserve"> </w:t>
      </w:r>
      <w:r w:rsidR="00E72D26" w:rsidRPr="00B568F3">
        <w:rPr>
          <w:rFonts w:ascii="Arial" w:eastAsia="Calibri" w:hAnsi="Arial" w:cs="Arial"/>
          <w:sz w:val="24"/>
          <w:szCs w:val="24"/>
          <w:lang w:eastAsia="en-GB"/>
        </w:rPr>
        <w:t xml:space="preserve">providing a </w:t>
      </w:r>
      <w:r w:rsidR="000138E8" w:rsidRPr="00B568F3">
        <w:rPr>
          <w:rFonts w:ascii="Arial" w:eastAsia="Calibri" w:hAnsi="Arial" w:cs="Arial"/>
          <w:sz w:val="24"/>
          <w:szCs w:val="24"/>
          <w:lang w:eastAsia="en-GB"/>
        </w:rPr>
        <w:t>training offer</w:t>
      </w:r>
      <w:r w:rsidR="0081759D" w:rsidRPr="00B568F3">
        <w:rPr>
          <w:rFonts w:ascii="Arial" w:eastAsia="Calibri" w:hAnsi="Arial" w:cs="Arial"/>
          <w:sz w:val="24"/>
          <w:szCs w:val="24"/>
          <w:lang w:eastAsia="en-GB"/>
        </w:rPr>
        <w:t xml:space="preserve"> tailored for them</w:t>
      </w:r>
      <w:r w:rsidR="000138E8" w:rsidRPr="00B568F3">
        <w:rPr>
          <w:rFonts w:ascii="Arial" w:eastAsia="Calibri" w:hAnsi="Arial" w:cs="Arial"/>
          <w:sz w:val="24"/>
          <w:szCs w:val="24"/>
          <w:lang w:eastAsia="en-GB"/>
        </w:rPr>
        <w:t>.</w:t>
      </w:r>
    </w:p>
    <w:p w14:paraId="13619B4F" w14:textId="77777777" w:rsidR="00936CF4" w:rsidRPr="00B568F3" w:rsidRDefault="00936CF4" w:rsidP="00936CF4">
      <w:pPr>
        <w:spacing w:after="0" w:line="276" w:lineRule="auto"/>
        <w:ind w:left="2160"/>
        <w:contextualSpacing/>
        <w:rPr>
          <w:rFonts w:ascii="Arial" w:eastAsia="Calibri" w:hAnsi="Arial" w:cs="Arial"/>
          <w:sz w:val="24"/>
          <w:szCs w:val="24"/>
          <w:lang w:eastAsia="en-GB"/>
        </w:rPr>
      </w:pPr>
    </w:p>
    <w:p w14:paraId="73A7C5ED" w14:textId="3F60A3E5" w:rsidR="000138E8" w:rsidRPr="00B568F3" w:rsidRDefault="00B77DC4" w:rsidP="00632461">
      <w:pPr>
        <w:numPr>
          <w:ilvl w:val="0"/>
          <w:numId w:val="12"/>
        </w:numPr>
        <w:spacing w:after="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g</w:t>
      </w:r>
      <w:r w:rsidR="00B528C5" w:rsidRPr="00B568F3">
        <w:rPr>
          <w:rFonts w:ascii="Arial" w:eastAsia="Calibri" w:hAnsi="Arial" w:cs="Arial"/>
          <w:sz w:val="24"/>
          <w:szCs w:val="24"/>
          <w:lang w:eastAsia="en-GB"/>
        </w:rPr>
        <w:t xml:space="preserve">iving </w:t>
      </w:r>
      <w:r w:rsidR="00D47358" w:rsidRPr="00B568F3">
        <w:rPr>
          <w:rFonts w:ascii="Arial" w:eastAsia="Calibri" w:hAnsi="Arial" w:cs="Arial"/>
          <w:sz w:val="24"/>
          <w:szCs w:val="24"/>
          <w:lang w:eastAsia="en-GB"/>
        </w:rPr>
        <w:t>direct support</w:t>
      </w:r>
      <w:r w:rsidR="00B528C5" w:rsidRPr="00B568F3">
        <w:rPr>
          <w:rFonts w:ascii="Arial" w:eastAsia="Calibri" w:hAnsi="Arial" w:cs="Arial"/>
          <w:sz w:val="24"/>
          <w:szCs w:val="24"/>
          <w:lang w:eastAsia="en-GB"/>
        </w:rPr>
        <w:t>, for example</w:t>
      </w:r>
      <w:r w:rsidR="00D47358" w:rsidRPr="00B568F3" w:rsidDel="00B528C5">
        <w:rPr>
          <w:rFonts w:ascii="Arial" w:eastAsia="Calibri" w:hAnsi="Arial" w:cs="Arial"/>
          <w:sz w:val="24"/>
          <w:szCs w:val="24"/>
          <w:lang w:eastAsia="en-GB"/>
        </w:rPr>
        <w:t xml:space="preserve"> </w:t>
      </w:r>
      <w:r w:rsidR="00ED00B0" w:rsidRPr="00B568F3">
        <w:rPr>
          <w:rFonts w:ascii="Arial" w:eastAsia="Calibri" w:hAnsi="Arial" w:cs="Arial"/>
          <w:sz w:val="24"/>
          <w:szCs w:val="24"/>
          <w:lang w:eastAsia="en-GB"/>
        </w:rPr>
        <w:t xml:space="preserve">providers </w:t>
      </w:r>
      <w:r w:rsidR="000138E8" w:rsidRPr="00B568F3">
        <w:rPr>
          <w:rFonts w:ascii="Arial" w:eastAsia="Calibri" w:hAnsi="Arial" w:cs="Arial"/>
          <w:sz w:val="24"/>
          <w:szCs w:val="24"/>
          <w:lang w:eastAsia="en-GB"/>
        </w:rPr>
        <w:t xml:space="preserve">can book </w:t>
      </w:r>
      <w:r w:rsidR="00243F30" w:rsidRPr="00B568F3">
        <w:rPr>
          <w:rFonts w:ascii="Arial" w:eastAsia="Calibri" w:hAnsi="Arial" w:cs="Arial"/>
          <w:sz w:val="24"/>
          <w:szCs w:val="24"/>
          <w:lang w:eastAsia="en-GB"/>
        </w:rPr>
        <w:t>local authority</w:t>
      </w:r>
      <w:r w:rsidRPr="00B568F3">
        <w:rPr>
          <w:rFonts w:ascii="Arial" w:eastAsia="Calibri" w:hAnsi="Arial" w:cs="Arial"/>
          <w:sz w:val="24"/>
          <w:szCs w:val="24"/>
          <w:lang w:eastAsia="en-GB"/>
        </w:rPr>
        <w:t xml:space="preserve"> </w:t>
      </w:r>
      <w:r w:rsidR="00ED00B0" w:rsidRPr="00B568F3">
        <w:rPr>
          <w:rFonts w:ascii="Arial" w:eastAsia="Calibri" w:hAnsi="Arial" w:cs="Arial"/>
          <w:sz w:val="24"/>
          <w:szCs w:val="24"/>
          <w:lang w:eastAsia="en-GB"/>
        </w:rPr>
        <w:t xml:space="preserve">workforce development </w:t>
      </w:r>
      <w:r w:rsidR="0079232A" w:rsidRPr="00B568F3">
        <w:rPr>
          <w:rFonts w:ascii="Arial" w:eastAsia="Calibri" w:hAnsi="Arial" w:cs="Arial"/>
          <w:sz w:val="24"/>
          <w:szCs w:val="24"/>
          <w:lang w:eastAsia="en-GB"/>
        </w:rPr>
        <w:t xml:space="preserve">staff </w:t>
      </w:r>
      <w:r w:rsidR="000138E8" w:rsidRPr="00B568F3">
        <w:rPr>
          <w:rFonts w:ascii="Arial" w:eastAsia="Calibri" w:hAnsi="Arial" w:cs="Arial"/>
          <w:sz w:val="24"/>
          <w:szCs w:val="24"/>
          <w:lang w:eastAsia="en-GB"/>
        </w:rPr>
        <w:t xml:space="preserve">to </w:t>
      </w:r>
      <w:r w:rsidR="0003180F" w:rsidRPr="00B568F3">
        <w:rPr>
          <w:rFonts w:ascii="Arial" w:eastAsia="Calibri" w:hAnsi="Arial" w:cs="Arial"/>
          <w:sz w:val="24"/>
          <w:szCs w:val="24"/>
          <w:lang w:eastAsia="en-GB"/>
        </w:rPr>
        <w:t xml:space="preserve">attend </w:t>
      </w:r>
      <w:r w:rsidR="000138E8" w:rsidRPr="00B568F3">
        <w:rPr>
          <w:rFonts w:ascii="Arial" w:eastAsia="Calibri" w:hAnsi="Arial" w:cs="Arial"/>
          <w:sz w:val="24"/>
          <w:szCs w:val="24"/>
          <w:lang w:eastAsia="en-GB"/>
        </w:rPr>
        <w:t xml:space="preserve">the care setting with </w:t>
      </w:r>
      <w:r w:rsidRPr="00B568F3">
        <w:rPr>
          <w:rFonts w:ascii="Arial" w:eastAsia="Calibri" w:hAnsi="Arial" w:cs="Arial"/>
          <w:sz w:val="24"/>
          <w:szCs w:val="24"/>
          <w:lang w:eastAsia="en-GB"/>
        </w:rPr>
        <w:t>iPads</w:t>
      </w:r>
      <w:r w:rsidR="0003180F" w:rsidRPr="00B568F3">
        <w:rPr>
          <w:rFonts w:ascii="Arial" w:eastAsia="Calibri" w:hAnsi="Arial" w:cs="Arial"/>
          <w:sz w:val="24"/>
          <w:szCs w:val="24"/>
          <w:lang w:eastAsia="en-GB"/>
        </w:rPr>
        <w:t xml:space="preserve">, to </w:t>
      </w:r>
      <w:r w:rsidR="00243F30" w:rsidRPr="00B568F3">
        <w:rPr>
          <w:rFonts w:ascii="Arial" w:eastAsia="Calibri" w:hAnsi="Arial" w:cs="Arial"/>
          <w:sz w:val="24"/>
          <w:szCs w:val="24"/>
          <w:lang w:eastAsia="en-GB"/>
        </w:rPr>
        <w:t>help and</w:t>
      </w:r>
      <w:r w:rsidR="000138E8" w:rsidRPr="00B568F3">
        <w:rPr>
          <w:rFonts w:ascii="Arial" w:eastAsia="Calibri" w:hAnsi="Arial" w:cs="Arial"/>
          <w:sz w:val="24"/>
          <w:szCs w:val="24"/>
          <w:lang w:eastAsia="en-GB"/>
        </w:rPr>
        <w:t xml:space="preserve"> support </w:t>
      </w:r>
      <w:r w:rsidR="0003180F" w:rsidRPr="00B568F3">
        <w:rPr>
          <w:rFonts w:ascii="Arial" w:eastAsia="Calibri" w:hAnsi="Arial" w:cs="Arial"/>
          <w:sz w:val="24"/>
          <w:szCs w:val="24"/>
          <w:lang w:eastAsia="en-GB"/>
        </w:rPr>
        <w:t xml:space="preserve">care </w:t>
      </w:r>
      <w:r w:rsidR="000138E8" w:rsidRPr="00B568F3">
        <w:rPr>
          <w:rFonts w:ascii="Arial" w:eastAsia="Calibri" w:hAnsi="Arial" w:cs="Arial"/>
          <w:sz w:val="24"/>
          <w:szCs w:val="24"/>
          <w:lang w:eastAsia="en-GB"/>
        </w:rPr>
        <w:t xml:space="preserve">staff </w:t>
      </w:r>
      <w:r w:rsidR="00175830" w:rsidRPr="00B568F3">
        <w:rPr>
          <w:rFonts w:ascii="Arial" w:eastAsia="Calibri" w:hAnsi="Arial" w:cs="Arial"/>
          <w:sz w:val="24"/>
          <w:szCs w:val="24"/>
          <w:lang w:eastAsia="en-GB"/>
        </w:rPr>
        <w:t>with</w:t>
      </w:r>
      <w:r w:rsidR="000138E8" w:rsidRPr="00B568F3">
        <w:rPr>
          <w:rFonts w:ascii="Arial" w:eastAsia="Calibri" w:hAnsi="Arial" w:cs="Arial"/>
          <w:sz w:val="24"/>
          <w:szCs w:val="24"/>
          <w:lang w:eastAsia="en-GB"/>
        </w:rPr>
        <w:t xml:space="preserve"> online learning</w:t>
      </w:r>
      <w:r w:rsidR="005B2662" w:rsidRPr="00B568F3">
        <w:rPr>
          <w:rFonts w:ascii="Arial" w:eastAsia="Calibri" w:hAnsi="Arial" w:cs="Arial"/>
          <w:sz w:val="24"/>
          <w:szCs w:val="24"/>
          <w:lang w:eastAsia="en-GB"/>
        </w:rPr>
        <w:t>.</w:t>
      </w:r>
    </w:p>
    <w:p w14:paraId="0A1703F0" w14:textId="77777777" w:rsidR="00936CF4" w:rsidRPr="00B568F3" w:rsidRDefault="00936CF4" w:rsidP="00936CF4">
      <w:pPr>
        <w:spacing w:after="0" w:line="276" w:lineRule="auto"/>
        <w:ind w:left="2160"/>
        <w:contextualSpacing/>
        <w:rPr>
          <w:rFonts w:ascii="Arial" w:eastAsia="Calibri" w:hAnsi="Arial" w:cs="Arial"/>
          <w:sz w:val="24"/>
          <w:szCs w:val="24"/>
          <w:lang w:eastAsia="en-GB"/>
        </w:rPr>
      </w:pPr>
    </w:p>
    <w:p w14:paraId="5BE6B403" w14:textId="5CE1F129" w:rsidR="008A2BED" w:rsidRPr="00B568F3" w:rsidRDefault="007C0DF4" w:rsidP="00632461">
      <w:pPr>
        <w:numPr>
          <w:ilvl w:val="0"/>
          <w:numId w:val="12"/>
        </w:numPr>
        <w:spacing w:after="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w</w:t>
      </w:r>
      <w:r w:rsidR="003A43E5" w:rsidRPr="00B568F3">
        <w:rPr>
          <w:rFonts w:ascii="Arial" w:eastAsia="Calibri" w:hAnsi="Arial" w:cs="Arial"/>
          <w:sz w:val="24"/>
          <w:szCs w:val="24"/>
          <w:lang w:eastAsia="en-GB"/>
        </w:rPr>
        <w:t xml:space="preserve">orking </w:t>
      </w:r>
      <w:r w:rsidR="008E433B" w:rsidRPr="00B568F3">
        <w:rPr>
          <w:rFonts w:ascii="Arial" w:eastAsia="Calibri" w:hAnsi="Arial" w:cs="Arial"/>
          <w:sz w:val="24"/>
          <w:szCs w:val="24"/>
          <w:lang w:eastAsia="en-GB"/>
        </w:rPr>
        <w:t>with commissioned services in each area</w:t>
      </w:r>
      <w:r w:rsidR="003A0BFD" w:rsidRPr="00B568F3">
        <w:rPr>
          <w:rFonts w:ascii="Arial" w:eastAsia="Calibri" w:hAnsi="Arial" w:cs="Arial"/>
          <w:sz w:val="24"/>
          <w:szCs w:val="24"/>
          <w:lang w:eastAsia="en-GB"/>
        </w:rPr>
        <w:t>, to decide on what need</w:t>
      </w:r>
      <w:r w:rsidRPr="00B568F3">
        <w:rPr>
          <w:rFonts w:ascii="Arial" w:eastAsia="Calibri" w:hAnsi="Arial" w:cs="Arial"/>
          <w:sz w:val="24"/>
          <w:szCs w:val="24"/>
          <w:lang w:eastAsia="en-GB"/>
        </w:rPr>
        <w:t>s to be done</w:t>
      </w:r>
      <w:r w:rsidR="001E06BA" w:rsidRPr="00B568F3">
        <w:rPr>
          <w:rFonts w:ascii="Arial" w:eastAsia="Calibri" w:hAnsi="Arial" w:cs="Arial"/>
          <w:sz w:val="24"/>
          <w:szCs w:val="24"/>
          <w:lang w:eastAsia="en-GB"/>
        </w:rPr>
        <w:t xml:space="preserve"> </w:t>
      </w:r>
      <w:r w:rsidR="001B475B" w:rsidRPr="00B568F3">
        <w:rPr>
          <w:rFonts w:ascii="Arial" w:eastAsia="Calibri" w:hAnsi="Arial" w:cs="Arial"/>
          <w:sz w:val="24"/>
          <w:szCs w:val="24"/>
          <w:lang w:eastAsia="en-GB"/>
        </w:rPr>
        <w:t xml:space="preserve">to make the training more </w:t>
      </w:r>
      <w:r w:rsidR="0039260D" w:rsidRPr="00B568F3">
        <w:rPr>
          <w:rFonts w:ascii="Arial" w:eastAsia="Calibri" w:hAnsi="Arial" w:cs="Arial"/>
          <w:sz w:val="24"/>
          <w:szCs w:val="24"/>
          <w:lang w:eastAsia="en-GB"/>
        </w:rPr>
        <w:t>relevant and easily available</w:t>
      </w:r>
      <w:r w:rsidR="00B83E5D" w:rsidRPr="00B568F3">
        <w:rPr>
          <w:rFonts w:ascii="Arial" w:eastAsia="Calibri" w:hAnsi="Arial" w:cs="Arial"/>
          <w:sz w:val="24"/>
          <w:szCs w:val="24"/>
          <w:lang w:eastAsia="en-GB"/>
        </w:rPr>
        <w:t>,</w:t>
      </w:r>
      <w:r w:rsidR="0039260D" w:rsidRPr="00B568F3">
        <w:rPr>
          <w:rFonts w:ascii="Arial" w:eastAsia="Calibri" w:hAnsi="Arial" w:cs="Arial"/>
          <w:sz w:val="24"/>
          <w:szCs w:val="24"/>
          <w:lang w:eastAsia="en-GB"/>
        </w:rPr>
        <w:t xml:space="preserve"> </w:t>
      </w:r>
      <w:r w:rsidR="00B04A2B" w:rsidRPr="00B568F3">
        <w:rPr>
          <w:rFonts w:ascii="Arial" w:eastAsia="Calibri" w:hAnsi="Arial" w:cs="Arial"/>
          <w:sz w:val="24"/>
          <w:szCs w:val="24"/>
          <w:lang w:eastAsia="en-GB"/>
        </w:rPr>
        <w:t>which will then</w:t>
      </w:r>
      <w:r w:rsidR="00B83E5D" w:rsidRPr="00B568F3">
        <w:rPr>
          <w:rFonts w:ascii="Arial" w:eastAsia="Calibri" w:hAnsi="Arial" w:cs="Arial"/>
          <w:sz w:val="24"/>
          <w:szCs w:val="24"/>
          <w:lang w:eastAsia="en-GB"/>
        </w:rPr>
        <w:t xml:space="preserve"> attract </w:t>
      </w:r>
      <w:r w:rsidR="00C30C25" w:rsidRPr="00B568F3">
        <w:rPr>
          <w:rFonts w:ascii="Arial" w:eastAsia="Calibri" w:hAnsi="Arial" w:cs="Arial"/>
          <w:sz w:val="24"/>
          <w:szCs w:val="24"/>
          <w:lang w:eastAsia="en-GB"/>
        </w:rPr>
        <w:t xml:space="preserve">greater buy in. </w:t>
      </w:r>
    </w:p>
    <w:p w14:paraId="0015B5A9" w14:textId="77777777" w:rsidR="008A2BED" w:rsidRPr="00B568F3" w:rsidRDefault="008A2BED" w:rsidP="008A2BED">
      <w:pPr>
        <w:spacing w:after="0" w:line="276" w:lineRule="auto"/>
        <w:contextualSpacing/>
        <w:rPr>
          <w:rFonts w:ascii="Arial" w:eastAsia="Calibri" w:hAnsi="Arial" w:cs="Arial"/>
          <w:sz w:val="24"/>
          <w:szCs w:val="24"/>
          <w:lang w:eastAsia="en-GB"/>
        </w:rPr>
      </w:pPr>
    </w:p>
    <w:p w14:paraId="0DF267A2" w14:textId="17D4F147" w:rsidR="00BB0FCF" w:rsidRPr="00B568F3" w:rsidRDefault="00BB0FCF" w:rsidP="00BB0FCF">
      <w:pPr>
        <w:spacing w:after="0" w:line="240" w:lineRule="auto"/>
        <w:rPr>
          <w:rFonts w:ascii="Arial" w:eastAsia="Calibri" w:hAnsi="Arial" w:cs="Arial"/>
          <w:b/>
          <w:bCs/>
          <w:sz w:val="24"/>
          <w:szCs w:val="24"/>
          <w:lang w:eastAsia="en-GB"/>
        </w:rPr>
      </w:pPr>
      <w:r w:rsidRPr="00B568F3">
        <w:rPr>
          <w:rFonts w:ascii="Arial" w:eastAsia="Calibri" w:hAnsi="Arial" w:cs="Arial"/>
          <w:b/>
          <w:bCs/>
          <w:sz w:val="24"/>
          <w:szCs w:val="24"/>
          <w:lang w:eastAsia="en-GB"/>
        </w:rPr>
        <w:t xml:space="preserve">Table </w:t>
      </w:r>
      <w:r w:rsidR="00187732" w:rsidRPr="00B568F3">
        <w:rPr>
          <w:rFonts w:ascii="Arial" w:eastAsia="Calibri" w:hAnsi="Arial" w:cs="Arial"/>
          <w:b/>
          <w:bCs/>
          <w:sz w:val="24"/>
          <w:szCs w:val="24"/>
          <w:lang w:eastAsia="en-GB"/>
        </w:rPr>
        <w:t>8</w:t>
      </w:r>
      <w:r w:rsidRPr="00B568F3">
        <w:rPr>
          <w:rFonts w:ascii="Arial" w:eastAsia="Calibri" w:hAnsi="Arial" w:cs="Arial"/>
          <w:b/>
          <w:bCs/>
          <w:sz w:val="24"/>
          <w:szCs w:val="24"/>
          <w:lang w:eastAsia="en-GB"/>
        </w:rPr>
        <w:t xml:space="preserve">: Training places </w:t>
      </w:r>
      <w:r w:rsidR="002F0250" w:rsidRPr="00B568F3">
        <w:rPr>
          <w:rFonts w:ascii="Arial" w:eastAsia="Calibri" w:hAnsi="Arial" w:cs="Arial"/>
          <w:b/>
          <w:bCs/>
          <w:sz w:val="24"/>
          <w:szCs w:val="24"/>
          <w:lang w:eastAsia="en-GB"/>
        </w:rPr>
        <w:t>and attendance</w:t>
      </w:r>
      <w:r w:rsidRPr="00B568F3">
        <w:rPr>
          <w:rFonts w:ascii="Arial" w:eastAsia="Calibri" w:hAnsi="Arial" w:cs="Arial"/>
          <w:b/>
          <w:bCs/>
          <w:sz w:val="24"/>
          <w:szCs w:val="24"/>
          <w:lang w:eastAsia="en-GB"/>
        </w:rPr>
        <w:t xml:space="preserve"> levels, </w:t>
      </w:r>
      <w:r w:rsidR="00714E46" w:rsidRPr="00B568F3">
        <w:rPr>
          <w:rFonts w:ascii="Arial" w:eastAsia="Calibri" w:hAnsi="Arial" w:cs="Arial"/>
          <w:b/>
          <w:bCs/>
          <w:sz w:val="24"/>
          <w:szCs w:val="24"/>
          <w:lang w:eastAsia="en-GB"/>
        </w:rPr>
        <w:t xml:space="preserve">the </w:t>
      </w:r>
      <w:r w:rsidR="00F81F98" w:rsidRPr="00B568F3">
        <w:rPr>
          <w:rFonts w:ascii="Arial" w:eastAsia="Calibri" w:hAnsi="Arial" w:cs="Arial"/>
          <w:b/>
          <w:bCs/>
          <w:sz w:val="24"/>
          <w:szCs w:val="24"/>
          <w:lang w:eastAsia="en-GB"/>
        </w:rPr>
        <w:t>three</w:t>
      </w:r>
      <w:r w:rsidR="00B24C33" w:rsidRPr="00B568F3">
        <w:rPr>
          <w:rFonts w:ascii="Arial" w:eastAsia="Calibri" w:hAnsi="Arial" w:cs="Arial"/>
          <w:b/>
          <w:bCs/>
          <w:sz w:val="24"/>
          <w:szCs w:val="24"/>
          <w:lang w:eastAsia="en-GB"/>
        </w:rPr>
        <w:t>-</w:t>
      </w:r>
      <w:r w:rsidR="00F81F98" w:rsidRPr="00B568F3">
        <w:rPr>
          <w:rFonts w:ascii="Arial" w:eastAsia="Calibri" w:hAnsi="Arial" w:cs="Arial"/>
          <w:b/>
          <w:bCs/>
          <w:sz w:val="24"/>
          <w:szCs w:val="24"/>
          <w:lang w:eastAsia="en-GB"/>
        </w:rPr>
        <w:t>year trend</w:t>
      </w:r>
    </w:p>
    <w:p w14:paraId="57D21D6D" w14:textId="77777777" w:rsidR="007B5512" w:rsidRPr="00B568F3" w:rsidRDefault="007B5512" w:rsidP="00BB0FCF">
      <w:pPr>
        <w:spacing w:after="0" w:line="276" w:lineRule="auto"/>
        <w:contextualSpacing/>
        <w:rPr>
          <w:rFonts w:ascii="Arial" w:eastAsia="Calibri" w:hAnsi="Arial" w:cs="Arial"/>
          <w:sz w:val="24"/>
          <w:szCs w:val="24"/>
          <w:lang w:eastAsia="en-GB"/>
        </w:rPr>
      </w:pPr>
    </w:p>
    <w:tbl>
      <w:tblPr>
        <w:tblStyle w:val="TableGrid"/>
        <w:tblW w:w="9541" w:type="dxa"/>
        <w:tblInd w:w="-5" w:type="dxa"/>
        <w:tblLook w:val="04A0" w:firstRow="1" w:lastRow="0" w:firstColumn="1" w:lastColumn="0" w:noHBand="0" w:noVBand="1"/>
      </w:tblPr>
      <w:tblGrid>
        <w:gridCol w:w="1475"/>
        <w:gridCol w:w="1243"/>
        <w:gridCol w:w="1301"/>
        <w:gridCol w:w="1757"/>
        <w:gridCol w:w="1296"/>
        <w:gridCol w:w="1263"/>
        <w:gridCol w:w="1206"/>
      </w:tblGrid>
      <w:tr w:rsidR="00F81F98" w:rsidRPr="00B568F3" w14:paraId="1B0B3367" w14:textId="77777777" w:rsidTr="00F81F98">
        <w:trPr>
          <w:trHeight w:val="300"/>
        </w:trPr>
        <w:tc>
          <w:tcPr>
            <w:tcW w:w="1475" w:type="dxa"/>
            <w:vMerge w:val="restart"/>
            <w:tcBorders>
              <w:top w:val="nil"/>
              <w:left w:val="nil"/>
            </w:tcBorders>
          </w:tcPr>
          <w:p w14:paraId="1630DF5B" w14:textId="77777777" w:rsidR="00F81F98" w:rsidRPr="000C06A7" w:rsidRDefault="00F81F98" w:rsidP="0054495E">
            <w:pPr>
              <w:pStyle w:val="ListParagraph"/>
              <w:ind w:left="0"/>
              <w:rPr>
                <w:rFonts w:ascii="Arial" w:eastAsia="Calibri" w:hAnsi="Arial" w:cs="Arial"/>
                <w:b/>
                <w:bCs/>
                <w:u w:val="single"/>
                <w:lang w:eastAsia="en-GB"/>
              </w:rPr>
            </w:pPr>
          </w:p>
        </w:tc>
        <w:tc>
          <w:tcPr>
            <w:tcW w:w="4301" w:type="dxa"/>
            <w:gridSpan w:val="3"/>
          </w:tcPr>
          <w:p w14:paraId="639F81F2" w14:textId="6CEF13F7" w:rsidR="00F81F98" w:rsidRPr="000C06A7" w:rsidRDefault="00F81F98" w:rsidP="0054495E">
            <w:pPr>
              <w:pStyle w:val="ListParagraph"/>
              <w:ind w:left="0"/>
              <w:jc w:val="center"/>
              <w:rPr>
                <w:rFonts w:ascii="Arial" w:eastAsia="Calibri" w:hAnsi="Arial" w:cs="Arial"/>
                <w:b/>
                <w:bCs/>
                <w:lang w:eastAsia="en-GB"/>
              </w:rPr>
            </w:pPr>
            <w:r w:rsidRPr="000C06A7">
              <w:rPr>
                <w:rFonts w:ascii="Arial" w:eastAsia="Calibri" w:hAnsi="Arial" w:cs="Arial"/>
                <w:b/>
                <w:bCs/>
                <w:lang w:eastAsia="en-GB"/>
              </w:rPr>
              <w:t>Training places booked</w:t>
            </w:r>
          </w:p>
        </w:tc>
        <w:tc>
          <w:tcPr>
            <w:tcW w:w="3765" w:type="dxa"/>
            <w:gridSpan w:val="3"/>
          </w:tcPr>
          <w:p w14:paraId="5DBC4761" w14:textId="1CFF1C5C" w:rsidR="00F81F98" w:rsidRPr="000C06A7" w:rsidRDefault="00F81F98" w:rsidP="0054495E">
            <w:pPr>
              <w:pStyle w:val="ListParagraph"/>
              <w:ind w:left="0"/>
              <w:jc w:val="center"/>
              <w:rPr>
                <w:rFonts w:ascii="Arial" w:eastAsia="Calibri" w:hAnsi="Arial" w:cs="Arial"/>
                <w:b/>
                <w:bCs/>
                <w:lang w:eastAsia="en-GB"/>
              </w:rPr>
            </w:pPr>
            <w:r w:rsidRPr="000C06A7">
              <w:rPr>
                <w:rFonts w:ascii="Arial" w:eastAsia="Calibri" w:hAnsi="Arial" w:cs="Arial"/>
                <w:b/>
                <w:bCs/>
                <w:lang w:eastAsia="en-GB"/>
              </w:rPr>
              <w:t>People attending</w:t>
            </w:r>
          </w:p>
        </w:tc>
      </w:tr>
      <w:tr w:rsidR="00F81F98" w:rsidRPr="00B568F3" w14:paraId="31FBE0C4" w14:textId="77777777" w:rsidTr="00F81F98">
        <w:trPr>
          <w:trHeight w:val="300"/>
        </w:trPr>
        <w:tc>
          <w:tcPr>
            <w:tcW w:w="1475" w:type="dxa"/>
            <w:vMerge/>
            <w:tcBorders>
              <w:left w:val="nil"/>
            </w:tcBorders>
          </w:tcPr>
          <w:p w14:paraId="6E90A33F" w14:textId="553EA9D8" w:rsidR="00F81F98" w:rsidRPr="000C06A7" w:rsidRDefault="00F81F98" w:rsidP="0054495E">
            <w:pPr>
              <w:pStyle w:val="ListParagraph"/>
              <w:ind w:left="0"/>
              <w:rPr>
                <w:rFonts w:ascii="Arial" w:eastAsia="Calibri" w:hAnsi="Arial" w:cs="Arial"/>
                <w:lang w:eastAsia="en-GB"/>
              </w:rPr>
            </w:pPr>
          </w:p>
        </w:tc>
        <w:tc>
          <w:tcPr>
            <w:tcW w:w="1243" w:type="dxa"/>
            <w:vAlign w:val="center"/>
          </w:tcPr>
          <w:p w14:paraId="3DD3A5D7" w14:textId="385A5030" w:rsidR="00F81F98" w:rsidRPr="000C06A7" w:rsidRDefault="00F81F98" w:rsidP="00D335FC">
            <w:pPr>
              <w:pStyle w:val="ListParagraph"/>
              <w:ind w:left="0"/>
              <w:jc w:val="center"/>
              <w:rPr>
                <w:rFonts w:ascii="Arial" w:eastAsia="Calibri" w:hAnsi="Arial" w:cs="Arial"/>
                <w:b/>
                <w:bCs/>
                <w:lang w:eastAsia="en-GB"/>
              </w:rPr>
            </w:pPr>
            <w:r w:rsidRPr="000C06A7">
              <w:rPr>
                <w:rFonts w:ascii="Arial" w:eastAsia="Calibri" w:hAnsi="Arial" w:cs="Arial"/>
                <w:b/>
                <w:bCs/>
                <w:lang w:eastAsia="en-GB"/>
              </w:rPr>
              <w:t>Number</w:t>
            </w:r>
          </w:p>
        </w:tc>
        <w:tc>
          <w:tcPr>
            <w:tcW w:w="1301" w:type="dxa"/>
            <w:vAlign w:val="center"/>
          </w:tcPr>
          <w:p w14:paraId="7B8E0FFB" w14:textId="7BC30DA3" w:rsidR="00F81F98" w:rsidRPr="000C06A7" w:rsidRDefault="00F81F98" w:rsidP="00D335FC">
            <w:pPr>
              <w:pStyle w:val="ListParagraph"/>
              <w:ind w:left="0"/>
              <w:jc w:val="center"/>
              <w:rPr>
                <w:rFonts w:ascii="Arial" w:eastAsia="Calibri" w:hAnsi="Arial" w:cs="Arial"/>
                <w:b/>
                <w:bCs/>
                <w:lang w:eastAsia="en-GB"/>
              </w:rPr>
            </w:pPr>
            <w:r w:rsidRPr="000C06A7">
              <w:rPr>
                <w:rFonts w:ascii="Arial" w:eastAsia="Calibri" w:hAnsi="Arial" w:cs="Arial"/>
                <w:b/>
                <w:bCs/>
                <w:lang w:eastAsia="en-GB"/>
              </w:rPr>
              <w:t>% change</w:t>
            </w:r>
          </w:p>
        </w:tc>
        <w:tc>
          <w:tcPr>
            <w:tcW w:w="1757" w:type="dxa"/>
            <w:vAlign w:val="center"/>
          </w:tcPr>
          <w:p w14:paraId="1407F916" w14:textId="4D698D80" w:rsidR="00F81F98" w:rsidRPr="000C06A7" w:rsidRDefault="00F81F98" w:rsidP="00D335FC">
            <w:pPr>
              <w:pStyle w:val="ListParagraph"/>
              <w:ind w:left="0"/>
              <w:jc w:val="center"/>
              <w:rPr>
                <w:rFonts w:ascii="Arial" w:eastAsia="Calibri" w:hAnsi="Arial" w:cs="Arial"/>
                <w:b/>
                <w:bCs/>
                <w:lang w:eastAsia="en-GB"/>
              </w:rPr>
            </w:pPr>
            <w:r w:rsidRPr="000C06A7">
              <w:rPr>
                <w:rFonts w:ascii="Arial" w:eastAsia="Calibri" w:hAnsi="Arial" w:cs="Arial"/>
                <w:b/>
                <w:bCs/>
                <w:lang w:eastAsia="en-GB"/>
              </w:rPr>
              <w:t xml:space="preserve">% of </w:t>
            </w:r>
            <w:r w:rsidR="001D3DD4" w:rsidRPr="000C06A7">
              <w:rPr>
                <w:rFonts w:ascii="Arial" w:eastAsia="Calibri" w:hAnsi="Arial" w:cs="Arial"/>
                <w:b/>
                <w:bCs/>
                <w:lang w:eastAsia="en-GB"/>
              </w:rPr>
              <w:t xml:space="preserve">total </w:t>
            </w:r>
            <w:r w:rsidRPr="000C06A7">
              <w:rPr>
                <w:rFonts w:ascii="Arial" w:eastAsia="Calibri" w:hAnsi="Arial" w:cs="Arial"/>
                <w:b/>
                <w:bCs/>
                <w:lang w:eastAsia="en-GB"/>
              </w:rPr>
              <w:t>training places booked</w:t>
            </w:r>
          </w:p>
        </w:tc>
        <w:tc>
          <w:tcPr>
            <w:tcW w:w="1296" w:type="dxa"/>
            <w:vAlign w:val="center"/>
          </w:tcPr>
          <w:p w14:paraId="10EB7FDC" w14:textId="5EB1DFFB" w:rsidR="00F81F98" w:rsidRPr="000C06A7" w:rsidRDefault="00F81F98" w:rsidP="00D335FC">
            <w:pPr>
              <w:pStyle w:val="ListParagraph"/>
              <w:ind w:left="0"/>
              <w:jc w:val="center"/>
              <w:rPr>
                <w:rFonts w:ascii="Arial" w:eastAsia="Calibri" w:hAnsi="Arial" w:cs="Arial"/>
                <w:b/>
                <w:bCs/>
                <w:lang w:eastAsia="en-GB"/>
              </w:rPr>
            </w:pPr>
            <w:r w:rsidRPr="000C06A7">
              <w:rPr>
                <w:rFonts w:ascii="Arial" w:eastAsia="Calibri" w:hAnsi="Arial" w:cs="Arial"/>
                <w:b/>
                <w:bCs/>
                <w:lang w:eastAsia="en-GB"/>
              </w:rPr>
              <w:t>Number</w:t>
            </w:r>
          </w:p>
        </w:tc>
        <w:tc>
          <w:tcPr>
            <w:tcW w:w="1263" w:type="dxa"/>
            <w:vAlign w:val="center"/>
          </w:tcPr>
          <w:p w14:paraId="3594DD9C" w14:textId="68EA7B12" w:rsidR="00F81F98" w:rsidRPr="000C06A7" w:rsidRDefault="00F81F98" w:rsidP="00D335FC">
            <w:pPr>
              <w:pStyle w:val="ListParagraph"/>
              <w:ind w:left="0"/>
              <w:jc w:val="center"/>
              <w:rPr>
                <w:rFonts w:ascii="Arial" w:eastAsia="Calibri" w:hAnsi="Arial" w:cs="Arial"/>
                <w:b/>
                <w:bCs/>
                <w:lang w:eastAsia="en-GB"/>
              </w:rPr>
            </w:pPr>
            <w:r w:rsidRPr="000C06A7">
              <w:rPr>
                <w:rFonts w:ascii="Arial" w:eastAsia="Calibri" w:hAnsi="Arial" w:cs="Arial"/>
                <w:b/>
                <w:bCs/>
                <w:lang w:eastAsia="en-GB"/>
              </w:rPr>
              <w:t>% change</w:t>
            </w:r>
          </w:p>
        </w:tc>
        <w:tc>
          <w:tcPr>
            <w:tcW w:w="1206" w:type="dxa"/>
            <w:vAlign w:val="center"/>
          </w:tcPr>
          <w:p w14:paraId="2B06767A" w14:textId="4BFEA6D4" w:rsidR="00F81F98" w:rsidRPr="000C06A7" w:rsidRDefault="00F81F98" w:rsidP="00D335FC">
            <w:pPr>
              <w:pStyle w:val="ListParagraph"/>
              <w:ind w:left="0"/>
              <w:jc w:val="center"/>
              <w:rPr>
                <w:rFonts w:ascii="Arial" w:eastAsia="Calibri" w:hAnsi="Arial" w:cs="Arial"/>
                <w:b/>
                <w:bCs/>
                <w:lang w:eastAsia="en-GB"/>
              </w:rPr>
            </w:pPr>
            <w:r w:rsidRPr="000C06A7">
              <w:rPr>
                <w:rFonts w:ascii="Arial" w:eastAsia="Calibri" w:hAnsi="Arial" w:cs="Arial"/>
                <w:b/>
                <w:bCs/>
                <w:lang w:eastAsia="en-GB"/>
              </w:rPr>
              <w:t xml:space="preserve">% of </w:t>
            </w:r>
            <w:r w:rsidR="001D3DD4" w:rsidRPr="000C06A7">
              <w:rPr>
                <w:rFonts w:ascii="Arial" w:eastAsia="Calibri" w:hAnsi="Arial" w:cs="Arial"/>
                <w:b/>
                <w:bCs/>
                <w:lang w:eastAsia="en-GB"/>
              </w:rPr>
              <w:t xml:space="preserve">total </w:t>
            </w:r>
            <w:r w:rsidRPr="000C06A7">
              <w:rPr>
                <w:rFonts w:ascii="Arial" w:eastAsia="Calibri" w:hAnsi="Arial" w:cs="Arial"/>
                <w:b/>
                <w:bCs/>
                <w:lang w:eastAsia="en-GB"/>
              </w:rPr>
              <w:t>people attending</w:t>
            </w:r>
          </w:p>
        </w:tc>
      </w:tr>
      <w:tr w:rsidR="00DA1751" w:rsidRPr="00B568F3" w14:paraId="24C87302" w14:textId="77777777" w:rsidTr="00F81F98">
        <w:trPr>
          <w:trHeight w:val="300"/>
        </w:trPr>
        <w:tc>
          <w:tcPr>
            <w:tcW w:w="9541" w:type="dxa"/>
            <w:gridSpan w:val="7"/>
            <w:shd w:val="clear" w:color="auto" w:fill="BFBFBF" w:themeFill="background1" w:themeFillShade="BF"/>
          </w:tcPr>
          <w:p w14:paraId="03490EC6" w14:textId="09631B21" w:rsidR="009A36FF" w:rsidRPr="000C06A7" w:rsidRDefault="009A36FF" w:rsidP="00F81F98">
            <w:pPr>
              <w:pStyle w:val="ListParagraph"/>
              <w:ind w:left="0"/>
              <w:rPr>
                <w:rFonts w:ascii="Arial" w:eastAsia="Calibri" w:hAnsi="Arial" w:cs="Arial"/>
                <w:b/>
                <w:bCs/>
                <w:lang w:eastAsia="en-GB"/>
              </w:rPr>
            </w:pPr>
            <w:r w:rsidRPr="000C06A7">
              <w:rPr>
                <w:rFonts w:ascii="Arial" w:eastAsia="Calibri" w:hAnsi="Arial" w:cs="Arial"/>
                <w:b/>
                <w:bCs/>
                <w:u w:val="single"/>
                <w:lang w:eastAsia="en-GB"/>
              </w:rPr>
              <w:t>Statutory</w:t>
            </w:r>
          </w:p>
        </w:tc>
      </w:tr>
      <w:tr w:rsidR="002A0EAF" w:rsidRPr="00B568F3" w14:paraId="72A4DDE6" w14:textId="77777777" w:rsidTr="00F81F98">
        <w:trPr>
          <w:trHeight w:val="300"/>
        </w:trPr>
        <w:tc>
          <w:tcPr>
            <w:tcW w:w="1475" w:type="dxa"/>
            <w:vAlign w:val="center"/>
          </w:tcPr>
          <w:p w14:paraId="692F3B48" w14:textId="77777777" w:rsidR="002A0EAF" w:rsidRPr="000C06A7" w:rsidRDefault="002A0EAF" w:rsidP="002A0EAF">
            <w:pPr>
              <w:pStyle w:val="ListParagraph"/>
              <w:ind w:left="0"/>
              <w:rPr>
                <w:rFonts w:ascii="Arial" w:eastAsia="Calibri" w:hAnsi="Arial" w:cs="Arial"/>
                <w:lang w:eastAsia="en-GB"/>
              </w:rPr>
            </w:pPr>
            <w:r w:rsidRPr="000C06A7">
              <w:rPr>
                <w:rFonts w:ascii="Arial" w:eastAsia="Calibri" w:hAnsi="Arial" w:cs="Arial"/>
                <w:b/>
                <w:bCs/>
                <w:lang w:eastAsia="en-GB"/>
              </w:rPr>
              <w:t>2023/2024</w:t>
            </w:r>
          </w:p>
        </w:tc>
        <w:tc>
          <w:tcPr>
            <w:tcW w:w="1243" w:type="dxa"/>
            <w:vAlign w:val="center"/>
          </w:tcPr>
          <w:p w14:paraId="54021BC3" w14:textId="151C4E69"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102</w:t>
            </w:r>
            <w:r w:rsidR="00214439" w:rsidRPr="000C06A7">
              <w:rPr>
                <w:rFonts w:ascii="Arial" w:eastAsia="Calibri" w:hAnsi="Arial" w:cs="Arial"/>
                <w:lang w:eastAsia="en-GB"/>
              </w:rPr>
              <w:t>,</w:t>
            </w:r>
            <w:r w:rsidRPr="000C06A7">
              <w:rPr>
                <w:rFonts w:ascii="Arial" w:eastAsia="Calibri" w:hAnsi="Arial" w:cs="Arial"/>
                <w:lang w:eastAsia="en-GB"/>
              </w:rPr>
              <w:t>907</w:t>
            </w:r>
          </w:p>
        </w:tc>
        <w:tc>
          <w:tcPr>
            <w:tcW w:w="1301" w:type="dxa"/>
            <w:vAlign w:val="center"/>
          </w:tcPr>
          <w:p w14:paraId="6FEFE32D" w14:textId="4922B323" w:rsidR="002A0EAF" w:rsidRPr="000C06A7" w:rsidRDefault="00F876EA" w:rsidP="002A0EAF">
            <w:pPr>
              <w:pStyle w:val="ListParagraph"/>
              <w:ind w:left="0"/>
              <w:jc w:val="center"/>
              <w:rPr>
                <w:rFonts w:ascii="Arial" w:eastAsia="Calibri" w:hAnsi="Arial" w:cs="Arial"/>
                <w:lang w:eastAsia="en-GB"/>
              </w:rPr>
            </w:pPr>
            <w:r w:rsidRPr="000C06A7">
              <w:rPr>
                <w:rFonts w:ascii="Arial" w:eastAsia="Calibri" w:hAnsi="Arial" w:cs="Arial"/>
                <w:lang w:eastAsia="en-GB"/>
              </w:rPr>
              <w:t>-17.2%</w:t>
            </w:r>
          </w:p>
        </w:tc>
        <w:tc>
          <w:tcPr>
            <w:tcW w:w="1757" w:type="dxa"/>
            <w:vAlign w:val="center"/>
          </w:tcPr>
          <w:p w14:paraId="60EB1F4B" w14:textId="144CEBED"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76.1%</w:t>
            </w:r>
          </w:p>
        </w:tc>
        <w:tc>
          <w:tcPr>
            <w:tcW w:w="1296" w:type="dxa"/>
            <w:vAlign w:val="center"/>
          </w:tcPr>
          <w:p w14:paraId="371C7A74" w14:textId="7C93ED89"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87</w:t>
            </w:r>
            <w:r w:rsidR="00214439" w:rsidRPr="000C06A7">
              <w:rPr>
                <w:rFonts w:ascii="Arial" w:eastAsia="Calibri" w:hAnsi="Arial" w:cs="Arial"/>
                <w:lang w:eastAsia="en-GB"/>
              </w:rPr>
              <w:t>,</w:t>
            </w:r>
            <w:r w:rsidRPr="000C06A7">
              <w:rPr>
                <w:rFonts w:ascii="Arial" w:eastAsia="Calibri" w:hAnsi="Arial" w:cs="Arial"/>
                <w:lang w:eastAsia="en-GB"/>
              </w:rPr>
              <w:t>017</w:t>
            </w:r>
          </w:p>
        </w:tc>
        <w:tc>
          <w:tcPr>
            <w:tcW w:w="1263" w:type="dxa"/>
            <w:vAlign w:val="center"/>
          </w:tcPr>
          <w:p w14:paraId="5A9297CB" w14:textId="5958AFDF"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-19.7%</w:t>
            </w:r>
          </w:p>
        </w:tc>
        <w:tc>
          <w:tcPr>
            <w:tcW w:w="1206" w:type="dxa"/>
            <w:vAlign w:val="center"/>
          </w:tcPr>
          <w:p w14:paraId="44D636EA" w14:textId="34C677B6"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77.7%</w:t>
            </w:r>
          </w:p>
        </w:tc>
      </w:tr>
      <w:tr w:rsidR="001D3DD4" w:rsidRPr="00B568F3" w14:paraId="7C6C1CB6" w14:textId="77777777" w:rsidTr="00F81F98">
        <w:trPr>
          <w:trHeight w:val="300"/>
        </w:trPr>
        <w:tc>
          <w:tcPr>
            <w:tcW w:w="1475" w:type="dxa"/>
            <w:vAlign w:val="center"/>
          </w:tcPr>
          <w:p w14:paraId="13E42411" w14:textId="77777777" w:rsidR="002A0EAF" w:rsidRPr="000C06A7" w:rsidRDefault="002A0EAF" w:rsidP="002A0EAF">
            <w:pPr>
              <w:pStyle w:val="ListParagraph"/>
              <w:ind w:left="0"/>
              <w:rPr>
                <w:rFonts w:ascii="Arial" w:eastAsia="Calibri" w:hAnsi="Arial" w:cs="Arial"/>
                <w:lang w:eastAsia="en-GB"/>
              </w:rPr>
            </w:pPr>
            <w:r w:rsidRPr="000C06A7">
              <w:rPr>
                <w:rFonts w:ascii="Arial" w:eastAsia="Calibri" w:hAnsi="Arial" w:cs="Arial"/>
                <w:b/>
                <w:bCs/>
                <w:lang w:eastAsia="en-GB"/>
              </w:rPr>
              <w:t>2022/2023</w:t>
            </w:r>
          </w:p>
        </w:tc>
        <w:tc>
          <w:tcPr>
            <w:tcW w:w="1243" w:type="dxa"/>
            <w:vAlign w:val="center"/>
          </w:tcPr>
          <w:p w14:paraId="32486AF5" w14:textId="20A5D839" w:rsidR="002A0EAF" w:rsidRPr="000C06A7" w:rsidRDefault="002A0EAF" w:rsidP="00187732">
            <w:pPr>
              <w:jc w:val="center"/>
              <w:rPr>
                <w:rFonts w:ascii="Arial" w:hAnsi="Arial" w:cs="Arial"/>
                <w:color w:val="000000"/>
              </w:rPr>
            </w:pPr>
            <w:r w:rsidRPr="000C06A7">
              <w:rPr>
                <w:rFonts w:ascii="Arial" w:hAnsi="Arial" w:cs="Arial"/>
                <w:color w:val="000000"/>
              </w:rPr>
              <w:t>124</w:t>
            </w:r>
            <w:r w:rsidR="00214439" w:rsidRPr="000C06A7">
              <w:rPr>
                <w:rFonts w:ascii="Arial" w:hAnsi="Arial" w:cs="Arial"/>
                <w:color w:val="000000"/>
              </w:rPr>
              <w:t>,</w:t>
            </w:r>
            <w:r w:rsidRPr="000C06A7">
              <w:rPr>
                <w:rFonts w:ascii="Arial" w:hAnsi="Arial" w:cs="Arial"/>
                <w:color w:val="000000"/>
              </w:rPr>
              <w:t>331</w:t>
            </w:r>
          </w:p>
        </w:tc>
        <w:tc>
          <w:tcPr>
            <w:tcW w:w="1301" w:type="dxa"/>
            <w:vAlign w:val="center"/>
          </w:tcPr>
          <w:p w14:paraId="1F3BF71F" w14:textId="4A0E1D17" w:rsidR="002A0EAF" w:rsidRPr="000C06A7" w:rsidRDefault="003007CC" w:rsidP="002A0EAF">
            <w:pPr>
              <w:pStyle w:val="ListParagraph"/>
              <w:ind w:left="0"/>
              <w:jc w:val="center"/>
              <w:rPr>
                <w:rFonts w:ascii="Arial" w:eastAsia="Calibri" w:hAnsi="Arial" w:cs="Arial"/>
                <w:lang w:eastAsia="en-GB"/>
              </w:rPr>
            </w:pPr>
            <w:r w:rsidRPr="000C06A7">
              <w:rPr>
                <w:rFonts w:ascii="Arial" w:eastAsia="Calibri" w:hAnsi="Arial" w:cs="Arial"/>
                <w:lang w:eastAsia="en-GB"/>
              </w:rPr>
              <w:t>+8.0%</w:t>
            </w:r>
          </w:p>
        </w:tc>
        <w:tc>
          <w:tcPr>
            <w:tcW w:w="1757" w:type="dxa"/>
            <w:shd w:val="clear" w:color="auto" w:fill="auto"/>
            <w:vAlign w:val="center"/>
          </w:tcPr>
          <w:p w14:paraId="5A8429FD" w14:textId="29F8D369" w:rsidR="002A0EAF" w:rsidRPr="000C06A7" w:rsidRDefault="00FF2343" w:rsidP="002A0EAF">
            <w:pPr>
              <w:pStyle w:val="ListParagraph"/>
              <w:ind w:left="0"/>
              <w:jc w:val="center"/>
              <w:rPr>
                <w:rFonts w:ascii="Arial" w:eastAsia="Calibri" w:hAnsi="Arial" w:cs="Arial"/>
                <w:lang w:eastAsia="en-GB"/>
              </w:rPr>
            </w:pPr>
            <w:r w:rsidRPr="000C06A7">
              <w:rPr>
                <w:rFonts w:ascii="Arial" w:eastAsia="Calibri" w:hAnsi="Arial" w:cs="Arial"/>
                <w:lang w:eastAsia="en-GB"/>
              </w:rPr>
              <w:t>77.4%</w:t>
            </w:r>
          </w:p>
        </w:tc>
        <w:tc>
          <w:tcPr>
            <w:tcW w:w="1296" w:type="dxa"/>
            <w:shd w:val="clear" w:color="auto" w:fill="auto"/>
            <w:vAlign w:val="center"/>
          </w:tcPr>
          <w:p w14:paraId="1B4BC4ED" w14:textId="69277E65"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108</w:t>
            </w:r>
            <w:r w:rsidR="00214439" w:rsidRPr="000C06A7">
              <w:rPr>
                <w:rFonts w:ascii="Arial" w:eastAsia="Calibri" w:hAnsi="Arial" w:cs="Arial"/>
                <w:lang w:eastAsia="en-GB"/>
              </w:rPr>
              <w:t>,</w:t>
            </w:r>
            <w:r w:rsidRPr="000C06A7">
              <w:rPr>
                <w:rFonts w:ascii="Arial" w:eastAsia="Calibri" w:hAnsi="Arial" w:cs="Arial"/>
                <w:lang w:eastAsia="en-GB"/>
              </w:rPr>
              <w:t>425</w:t>
            </w:r>
          </w:p>
        </w:tc>
        <w:tc>
          <w:tcPr>
            <w:tcW w:w="1263" w:type="dxa"/>
            <w:shd w:val="clear" w:color="auto" w:fill="auto"/>
            <w:vAlign w:val="center"/>
          </w:tcPr>
          <w:p w14:paraId="44CE6ECC" w14:textId="3A5FF1B4"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+8.9%</w:t>
            </w:r>
          </w:p>
        </w:tc>
        <w:tc>
          <w:tcPr>
            <w:tcW w:w="1206" w:type="dxa"/>
            <w:shd w:val="clear" w:color="auto" w:fill="auto"/>
            <w:vAlign w:val="center"/>
          </w:tcPr>
          <w:p w14:paraId="3E7D5283" w14:textId="393FDA2E" w:rsidR="002A0EAF" w:rsidRPr="000C06A7" w:rsidRDefault="00FF2343" w:rsidP="002A0EAF">
            <w:pPr>
              <w:pStyle w:val="ListParagraph"/>
              <w:ind w:left="0"/>
              <w:jc w:val="center"/>
              <w:rPr>
                <w:rFonts w:ascii="Arial" w:eastAsia="Calibri" w:hAnsi="Arial" w:cs="Arial"/>
                <w:lang w:eastAsia="en-GB"/>
              </w:rPr>
            </w:pPr>
            <w:r w:rsidRPr="000C06A7">
              <w:rPr>
                <w:rFonts w:ascii="Arial" w:eastAsia="Calibri" w:hAnsi="Arial" w:cs="Arial"/>
                <w:lang w:eastAsia="en-GB"/>
              </w:rPr>
              <w:t>78.9%</w:t>
            </w:r>
          </w:p>
        </w:tc>
      </w:tr>
      <w:tr w:rsidR="001D3DD4" w:rsidRPr="00B568F3" w14:paraId="260A7B41" w14:textId="77777777" w:rsidTr="00F81F98">
        <w:trPr>
          <w:trHeight w:val="300"/>
        </w:trPr>
        <w:tc>
          <w:tcPr>
            <w:tcW w:w="1475" w:type="dxa"/>
            <w:vAlign w:val="center"/>
          </w:tcPr>
          <w:p w14:paraId="2732B580" w14:textId="185AEF19" w:rsidR="002A0EAF" w:rsidRPr="000C06A7" w:rsidRDefault="002A0EAF" w:rsidP="002A0EAF">
            <w:pPr>
              <w:pStyle w:val="ListParagraph"/>
              <w:ind w:left="0"/>
              <w:rPr>
                <w:rFonts w:ascii="Arial" w:eastAsia="Calibri" w:hAnsi="Arial" w:cs="Arial"/>
                <w:b/>
                <w:bCs/>
                <w:lang w:eastAsia="en-GB"/>
              </w:rPr>
            </w:pPr>
            <w:r w:rsidRPr="000C06A7">
              <w:rPr>
                <w:rFonts w:ascii="Arial" w:eastAsia="Calibri" w:hAnsi="Arial" w:cs="Arial"/>
                <w:b/>
                <w:bCs/>
                <w:lang w:eastAsia="en-GB"/>
              </w:rPr>
              <w:t>2021/2022</w:t>
            </w:r>
          </w:p>
        </w:tc>
        <w:tc>
          <w:tcPr>
            <w:tcW w:w="1243" w:type="dxa"/>
            <w:vAlign w:val="center"/>
          </w:tcPr>
          <w:p w14:paraId="5F69B2C9" w14:textId="1564CB17"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115</w:t>
            </w:r>
            <w:r w:rsidR="00214439" w:rsidRPr="000C06A7">
              <w:rPr>
                <w:rFonts w:ascii="Arial" w:eastAsia="Calibri" w:hAnsi="Arial" w:cs="Arial"/>
                <w:lang w:eastAsia="en-GB"/>
              </w:rPr>
              <w:t>,</w:t>
            </w:r>
            <w:r w:rsidRPr="000C06A7">
              <w:rPr>
                <w:rFonts w:ascii="Arial" w:eastAsia="Calibri" w:hAnsi="Arial" w:cs="Arial"/>
                <w:lang w:eastAsia="en-GB"/>
              </w:rPr>
              <w:t>109</w:t>
            </w:r>
          </w:p>
        </w:tc>
        <w:tc>
          <w:tcPr>
            <w:tcW w:w="1301" w:type="dxa"/>
            <w:vAlign w:val="center"/>
          </w:tcPr>
          <w:p w14:paraId="74FCA734" w14:textId="6515E5F9" w:rsidR="002A0EAF" w:rsidRPr="000C06A7" w:rsidRDefault="003007CC" w:rsidP="002A0EAF">
            <w:pPr>
              <w:pStyle w:val="ListParagraph"/>
              <w:ind w:left="0"/>
              <w:jc w:val="center"/>
              <w:rPr>
                <w:rFonts w:ascii="Arial" w:eastAsia="Calibri" w:hAnsi="Arial" w:cs="Arial"/>
                <w:lang w:eastAsia="en-GB"/>
              </w:rPr>
            </w:pPr>
            <w:r w:rsidRPr="000C06A7">
              <w:rPr>
                <w:rFonts w:ascii="Arial" w:eastAsia="Calibri" w:hAnsi="Arial" w:cs="Arial"/>
                <w:lang w:eastAsia="en-GB"/>
              </w:rPr>
              <w:t>+14.6%</w:t>
            </w:r>
          </w:p>
        </w:tc>
        <w:tc>
          <w:tcPr>
            <w:tcW w:w="1757" w:type="dxa"/>
            <w:shd w:val="clear" w:color="auto" w:fill="auto"/>
            <w:vAlign w:val="center"/>
          </w:tcPr>
          <w:p w14:paraId="1BA75C18" w14:textId="46AE6832" w:rsidR="002A0EAF" w:rsidRPr="000C06A7" w:rsidRDefault="0027557A" w:rsidP="002A0EAF">
            <w:pPr>
              <w:pStyle w:val="ListParagraph"/>
              <w:ind w:left="0"/>
              <w:jc w:val="center"/>
              <w:rPr>
                <w:rFonts w:ascii="Arial" w:eastAsia="Calibri" w:hAnsi="Arial" w:cs="Arial"/>
                <w:lang w:eastAsia="en-GB"/>
              </w:rPr>
            </w:pPr>
            <w:r w:rsidRPr="000C06A7">
              <w:rPr>
                <w:rFonts w:ascii="Arial" w:eastAsia="Calibri" w:hAnsi="Arial" w:cs="Arial"/>
                <w:lang w:eastAsia="en-GB"/>
              </w:rPr>
              <w:t>78.6%</w:t>
            </w:r>
          </w:p>
        </w:tc>
        <w:tc>
          <w:tcPr>
            <w:tcW w:w="1296" w:type="dxa"/>
            <w:shd w:val="clear" w:color="auto" w:fill="auto"/>
            <w:vAlign w:val="center"/>
          </w:tcPr>
          <w:p w14:paraId="7E84D543" w14:textId="0249F95B"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99</w:t>
            </w:r>
            <w:r w:rsidR="00214439" w:rsidRPr="000C06A7">
              <w:rPr>
                <w:rFonts w:ascii="Arial" w:eastAsia="Calibri" w:hAnsi="Arial" w:cs="Arial"/>
                <w:lang w:eastAsia="en-GB"/>
              </w:rPr>
              <w:t>,</w:t>
            </w:r>
            <w:r w:rsidRPr="000C06A7">
              <w:rPr>
                <w:rFonts w:ascii="Arial" w:eastAsia="Calibri" w:hAnsi="Arial" w:cs="Arial"/>
                <w:lang w:eastAsia="en-GB"/>
              </w:rPr>
              <w:t>551</w:t>
            </w:r>
          </w:p>
        </w:tc>
        <w:tc>
          <w:tcPr>
            <w:tcW w:w="1263" w:type="dxa"/>
            <w:shd w:val="clear" w:color="auto" w:fill="auto"/>
            <w:vAlign w:val="center"/>
          </w:tcPr>
          <w:p w14:paraId="48F675A8" w14:textId="0DC84B41"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+21.7%</w:t>
            </w:r>
          </w:p>
        </w:tc>
        <w:tc>
          <w:tcPr>
            <w:tcW w:w="1206" w:type="dxa"/>
            <w:shd w:val="clear" w:color="auto" w:fill="auto"/>
            <w:vAlign w:val="center"/>
          </w:tcPr>
          <w:p w14:paraId="320C93DC" w14:textId="3D4B534C" w:rsidR="002A0EAF" w:rsidRPr="000C06A7" w:rsidRDefault="0027557A" w:rsidP="002A0EAF">
            <w:pPr>
              <w:pStyle w:val="ListParagraph"/>
              <w:ind w:left="0"/>
              <w:jc w:val="center"/>
              <w:rPr>
                <w:rFonts w:ascii="Arial" w:eastAsia="Calibri" w:hAnsi="Arial" w:cs="Arial"/>
                <w:lang w:eastAsia="en-GB"/>
              </w:rPr>
            </w:pPr>
            <w:r w:rsidRPr="000C06A7">
              <w:rPr>
                <w:rFonts w:ascii="Arial" w:eastAsia="Calibri" w:hAnsi="Arial" w:cs="Arial"/>
                <w:lang w:eastAsia="en-GB"/>
              </w:rPr>
              <w:t>81.4%</w:t>
            </w:r>
          </w:p>
        </w:tc>
      </w:tr>
      <w:tr w:rsidR="00DA1751" w:rsidRPr="00B568F3" w14:paraId="5C53D4C8" w14:textId="77777777">
        <w:trPr>
          <w:trHeight w:val="300"/>
        </w:trPr>
        <w:tc>
          <w:tcPr>
            <w:tcW w:w="9541" w:type="dxa"/>
            <w:gridSpan w:val="7"/>
            <w:shd w:val="clear" w:color="auto" w:fill="BFBFBF" w:themeFill="background1" w:themeFillShade="BF"/>
          </w:tcPr>
          <w:p w14:paraId="40034D95" w14:textId="3A7A0AF5" w:rsidR="002A0EAF" w:rsidRPr="000C06A7" w:rsidRDefault="002A0EAF" w:rsidP="002A0EAF">
            <w:pPr>
              <w:pStyle w:val="ListParagraph"/>
              <w:ind w:left="0"/>
              <w:rPr>
                <w:rFonts w:ascii="Arial" w:eastAsia="Calibri" w:hAnsi="Arial" w:cs="Arial"/>
                <w:b/>
                <w:bCs/>
                <w:lang w:eastAsia="en-GB"/>
              </w:rPr>
            </w:pPr>
            <w:r w:rsidRPr="000C06A7">
              <w:rPr>
                <w:rFonts w:ascii="Arial" w:eastAsia="Calibri" w:hAnsi="Arial" w:cs="Arial"/>
                <w:b/>
                <w:bCs/>
                <w:u w:val="single"/>
                <w:lang w:eastAsia="en-GB"/>
              </w:rPr>
              <w:t>Private</w:t>
            </w:r>
          </w:p>
        </w:tc>
      </w:tr>
      <w:tr w:rsidR="001D3DD4" w:rsidRPr="00B568F3" w14:paraId="5C3E0849" w14:textId="77777777" w:rsidTr="00F81F98">
        <w:trPr>
          <w:trHeight w:val="300"/>
        </w:trPr>
        <w:tc>
          <w:tcPr>
            <w:tcW w:w="1475" w:type="dxa"/>
            <w:vAlign w:val="center"/>
          </w:tcPr>
          <w:p w14:paraId="5642BC51" w14:textId="77777777" w:rsidR="002A0EAF" w:rsidRPr="000C06A7" w:rsidRDefault="002A0EAF" w:rsidP="002A0EAF">
            <w:pPr>
              <w:pStyle w:val="ListParagraph"/>
              <w:ind w:left="0"/>
              <w:rPr>
                <w:rFonts w:ascii="Arial" w:eastAsia="Calibri" w:hAnsi="Arial" w:cs="Arial"/>
                <w:lang w:eastAsia="en-GB"/>
              </w:rPr>
            </w:pPr>
            <w:r w:rsidRPr="000C06A7">
              <w:rPr>
                <w:rFonts w:ascii="Arial" w:eastAsia="Calibri" w:hAnsi="Arial" w:cs="Arial"/>
                <w:b/>
                <w:bCs/>
                <w:lang w:eastAsia="en-GB"/>
              </w:rPr>
              <w:t>2023/2024</w:t>
            </w:r>
          </w:p>
        </w:tc>
        <w:tc>
          <w:tcPr>
            <w:tcW w:w="1243" w:type="dxa"/>
            <w:vAlign w:val="center"/>
          </w:tcPr>
          <w:p w14:paraId="593F4238" w14:textId="1BAD4A49"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19</w:t>
            </w:r>
            <w:r w:rsidR="00214439" w:rsidRPr="000C06A7">
              <w:rPr>
                <w:rFonts w:ascii="Arial" w:eastAsia="Calibri" w:hAnsi="Arial" w:cs="Arial"/>
                <w:lang w:eastAsia="en-GB"/>
              </w:rPr>
              <w:t>,</w:t>
            </w:r>
            <w:r w:rsidRPr="000C06A7">
              <w:rPr>
                <w:rFonts w:ascii="Arial" w:eastAsia="Calibri" w:hAnsi="Arial" w:cs="Arial"/>
                <w:lang w:eastAsia="en-GB"/>
              </w:rPr>
              <w:t>416</w:t>
            </w:r>
          </w:p>
        </w:tc>
        <w:tc>
          <w:tcPr>
            <w:tcW w:w="1301" w:type="dxa"/>
            <w:vAlign w:val="center"/>
          </w:tcPr>
          <w:p w14:paraId="6ADC5388" w14:textId="320CB917" w:rsidR="002A0EAF" w:rsidRPr="000C06A7" w:rsidRDefault="00F876EA" w:rsidP="002A0EAF">
            <w:pPr>
              <w:pStyle w:val="ListParagraph"/>
              <w:ind w:left="0"/>
              <w:jc w:val="center"/>
              <w:rPr>
                <w:rFonts w:ascii="Arial" w:eastAsia="Calibri" w:hAnsi="Arial" w:cs="Arial"/>
                <w:lang w:eastAsia="en-GB"/>
              </w:rPr>
            </w:pPr>
            <w:r w:rsidRPr="000C06A7">
              <w:rPr>
                <w:rFonts w:ascii="Arial" w:eastAsia="Calibri" w:hAnsi="Arial" w:cs="Arial"/>
                <w:lang w:eastAsia="en-GB"/>
              </w:rPr>
              <w:t>-22.9%</w:t>
            </w:r>
          </w:p>
        </w:tc>
        <w:tc>
          <w:tcPr>
            <w:tcW w:w="1757" w:type="dxa"/>
            <w:vAlign w:val="center"/>
          </w:tcPr>
          <w:p w14:paraId="217D658B" w14:textId="16736EE2"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14.4%</w:t>
            </w:r>
          </w:p>
        </w:tc>
        <w:tc>
          <w:tcPr>
            <w:tcW w:w="1296" w:type="dxa"/>
            <w:vAlign w:val="center"/>
          </w:tcPr>
          <w:p w14:paraId="62AD56F1" w14:textId="0F899DA2"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14</w:t>
            </w:r>
            <w:r w:rsidR="00214439" w:rsidRPr="000C06A7">
              <w:rPr>
                <w:rFonts w:ascii="Arial" w:eastAsia="Calibri" w:hAnsi="Arial" w:cs="Arial"/>
                <w:lang w:eastAsia="en-GB"/>
              </w:rPr>
              <w:t>,</w:t>
            </w:r>
            <w:r w:rsidRPr="000C06A7">
              <w:rPr>
                <w:rFonts w:ascii="Arial" w:eastAsia="Calibri" w:hAnsi="Arial" w:cs="Arial"/>
                <w:lang w:eastAsia="en-GB"/>
              </w:rPr>
              <w:t>202</w:t>
            </w:r>
          </w:p>
        </w:tc>
        <w:tc>
          <w:tcPr>
            <w:tcW w:w="1263" w:type="dxa"/>
            <w:vAlign w:val="center"/>
          </w:tcPr>
          <w:p w14:paraId="2EED4666" w14:textId="1C9D7779"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-28.8%</w:t>
            </w:r>
          </w:p>
        </w:tc>
        <w:tc>
          <w:tcPr>
            <w:tcW w:w="1206" w:type="dxa"/>
            <w:vAlign w:val="center"/>
          </w:tcPr>
          <w:p w14:paraId="5FB291A4" w14:textId="1F78DA33"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12.7%</w:t>
            </w:r>
          </w:p>
        </w:tc>
      </w:tr>
      <w:tr w:rsidR="002A0EAF" w:rsidRPr="00B568F3" w14:paraId="3E24E09E" w14:textId="77777777" w:rsidTr="009A36FF">
        <w:trPr>
          <w:trHeight w:val="300"/>
        </w:trPr>
        <w:tc>
          <w:tcPr>
            <w:tcW w:w="1475" w:type="dxa"/>
            <w:vAlign w:val="center"/>
          </w:tcPr>
          <w:p w14:paraId="309C8495" w14:textId="77777777" w:rsidR="002A0EAF" w:rsidRPr="000C06A7" w:rsidRDefault="002A0EAF" w:rsidP="002A0EAF">
            <w:pPr>
              <w:pStyle w:val="ListParagraph"/>
              <w:ind w:left="0"/>
              <w:rPr>
                <w:rFonts w:ascii="Arial" w:eastAsia="Calibri" w:hAnsi="Arial" w:cs="Arial"/>
                <w:lang w:eastAsia="en-GB"/>
              </w:rPr>
            </w:pPr>
            <w:r w:rsidRPr="000C06A7">
              <w:rPr>
                <w:rFonts w:ascii="Arial" w:eastAsia="Calibri" w:hAnsi="Arial" w:cs="Arial"/>
                <w:b/>
                <w:bCs/>
                <w:lang w:eastAsia="en-GB"/>
              </w:rPr>
              <w:t>2022/2023</w:t>
            </w:r>
          </w:p>
        </w:tc>
        <w:tc>
          <w:tcPr>
            <w:tcW w:w="1243" w:type="dxa"/>
            <w:vAlign w:val="center"/>
          </w:tcPr>
          <w:p w14:paraId="7F971A19" w14:textId="14B3C27A"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25</w:t>
            </w:r>
            <w:r w:rsidR="00214439" w:rsidRPr="000C06A7">
              <w:rPr>
                <w:rFonts w:ascii="Arial" w:eastAsia="Calibri" w:hAnsi="Arial" w:cs="Arial"/>
                <w:lang w:eastAsia="en-GB"/>
              </w:rPr>
              <w:t>,</w:t>
            </w:r>
            <w:r w:rsidRPr="000C06A7">
              <w:rPr>
                <w:rFonts w:ascii="Arial" w:eastAsia="Calibri" w:hAnsi="Arial" w:cs="Arial"/>
                <w:lang w:eastAsia="en-GB"/>
              </w:rPr>
              <w:t>168</w:t>
            </w:r>
          </w:p>
        </w:tc>
        <w:tc>
          <w:tcPr>
            <w:tcW w:w="1301" w:type="dxa"/>
            <w:vAlign w:val="center"/>
          </w:tcPr>
          <w:p w14:paraId="62D12658" w14:textId="100315A0" w:rsidR="002A0EAF" w:rsidRPr="000C06A7" w:rsidRDefault="003007CC" w:rsidP="002A0EAF">
            <w:pPr>
              <w:pStyle w:val="ListParagraph"/>
              <w:ind w:left="0"/>
              <w:jc w:val="center"/>
              <w:rPr>
                <w:rFonts w:ascii="Arial" w:eastAsia="Calibri" w:hAnsi="Arial" w:cs="Arial"/>
                <w:lang w:eastAsia="en-GB"/>
              </w:rPr>
            </w:pPr>
            <w:r w:rsidRPr="000C06A7">
              <w:rPr>
                <w:rFonts w:ascii="Arial" w:eastAsia="Calibri" w:hAnsi="Arial" w:cs="Arial"/>
                <w:lang w:eastAsia="en-GB"/>
              </w:rPr>
              <w:t>+30.5%</w:t>
            </w:r>
          </w:p>
        </w:tc>
        <w:tc>
          <w:tcPr>
            <w:tcW w:w="1757" w:type="dxa"/>
            <w:shd w:val="clear" w:color="auto" w:fill="auto"/>
            <w:vAlign w:val="center"/>
          </w:tcPr>
          <w:p w14:paraId="0CB8E227" w14:textId="5E7C3ADC" w:rsidR="002A0EAF" w:rsidRPr="000C06A7" w:rsidRDefault="00CD08B2" w:rsidP="002A0EAF">
            <w:pPr>
              <w:pStyle w:val="ListParagraph"/>
              <w:ind w:left="0"/>
              <w:jc w:val="center"/>
              <w:rPr>
                <w:rFonts w:ascii="Arial" w:eastAsia="Calibri" w:hAnsi="Arial" w:cs="Arial"/>
                <w:lang w:eastAsia="en-GB"/>
              </w:rPr>
            </w:pPr>
            <w:r w:rsidRPr="000C06A7">
              <w:rPr>
                <w:rFonts w:ascii="Arial" w:eastAsia="Calibri" w:hAnsi="Arial" w:cs="Arial"/>
                <w:lang w:eastAsia="en-GB"/>
              </w:rPr>
              <w:t>15.7%</w:t>
            </w:r>
          </w:p>
        </w:tc>
        <w:tc>
          <w:tcPr>
            <w:tcW w:w="1296" w:type="dxa"/>
            <w:shd w:val="clear" w:color="auto" w:fill="auto"/>
            <w:vAlign w:val="center"/>
          </w:tcPr>
          <w:p w14:paraId="2BC8A007" w14:textId="40566CBE"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19</w:t>
            </w:r>
            <w:r w:rsidR="00214439" w:rsidRPr="000C06A7">
              <w:rPr>
                <w:rFonts w:ascii="Arial" w:eastAsia="Calibri" w:hAnsi="Arial" w:cs="Arial"/>
                <w:lang w:eastAsia="en-GB"/>
              </w:rPr>
              <w:t>,</w:t>
            </w:r>
            <w:r w:rsidRPr="000C06A7">
              <w:rPr>
                <w:rFonts w:ascii="Arial" w:eastAsia="Calibri" w:hAnsi="Arial" w:cs="Arial"/>
                <w:lang w:eastAsia="en-GB"/>
              </w:rPr>
              <w:t>940</w:t>
            </w:r>
          </w:p>
        </w:tc>
        <w:tc>
          <w:tcPr>
            <w:tcW w:w="1263" w:type="dxa"/>
            <w:shd w:val="clear" w:color="auto" w:fill="auto"/>
            <w:vAlign w:val="center"/>
          </w:tcPr>
          <w:p w14:paraId="4AAFE650" w14:textId="5FFD269C"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+43.6%</w:t>
            </w:r>
          </w:p>
        </w:tc>
        <w:tc>
          <w:tcPr>
            <w:tcW w:w="1206" w:type="dxa"/>
            <w:shd w:val="clear" w:color="auto" w:fill="auto"/>
            <w:vAlign w:val="center"/>
          </w:tcPr>
          <w:p w14:paraId="592366A0" w14:textId="23DFF9C6" w:rsidR="002A0EAF" w:rsidRPr="000C06A7" w:rsidRDefault="00CD08B2" w:rsidP="002A0EAF">
            <w:pPr>
              <w:pStyle w:val="ListParagraph"/>
              <w:ind w:left="0"/>
              <w:jc w:val="center"/>
              <w:rPr>
                <w:rFonts w:ascii="Arial" w:eastAsia="Calibri" w:hAnsi="Arial" w:cs="Arial"/>
                <w:lang w:eastAsia="en-GB"/>
              </w:rPr>
            </w:pPr>
            <w:r w:rsidRPr="000C06A7">
              <w:rPr>
                <w:rFonts w:ascii="Arial" w:eastAsia="Calibri" w:hAnsi="Arial" w:cs="Arial"/>
                <w:lang w:eastAsia="en-GB"/>
              </w:rPr>
              <w:t>14.5%</w:t>
            </w:r>
          </w:p>
        </w:tc>
      </w:tr>
      <w:tr w:rsidR="002A0EAF" w:rsidRPr="00B568F3" w14:paraId="6688709B" w14:textId="77777777" w:rsidTr="009A36FF">
        <w:trPr>
          <w:trHeight w:val="300"/>
        </w:trPr>
        <w:tc>
          <w:tcPr>
            <w:tcW w:w="1475" w:type="dxa"/>
            <w:vAlign w:val="center"/>
          </w:tcPr>
          <w:p w14:paraId="27C9D4BB" w14:textId="77777777" w:rsidR="002A0EAF" w:rsidRPr="000C06A7" w:rsidRDefault="002A0EAF" w:rsidP="002A0EAF">
            <w:pPr>
              <w:pStyle w:val="ListParagraph"/>
              <w:ind w:left="0"/>
              <w:rPr>
                <w:rFonts w:ascii="Arial" w:eastAsia="Calibri" w:hAnsi="Arial" w:cs="Arial"/>
                <w:b/>
                <w:bCs/>
                <w:lang w:eastAsia="en-GB"/>
              </w:rPr>
            </w:pPr>
            <w:r w:rsidRPr="000C06A7">
              <w:rPr>
                <w:rFonts w:ascii="Arial" w:eastAsia="Calibri" w:hAnsi="Arial" w:cs="Arial"/>
                <w:b/>
                <w:bCs/>
                <w:lang w:eastAsia="en-GB"/>
              </w:rPr>
              <w:t>2021/2022</w:t>
            </w:r>
          </w:p>
        </w:tc>
        <w:tc>
          <w:tcPr>
            <w:tcW w:w="1243" w:type="dxa"/>
            <w:vAlign w:val="center"/>
          </w:tcPr>
          <w:p w14:paraId="04F2E0C8" w14:textId="675EF981"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19</w:t>
            </w:r>
            <w:r w:rsidR="00214439" w:rsidRPr="000C06A7">
              <w:rPr>
                <w:rFonts w:ascii="Arial" w:eastAsia="Calibri" w:hAnsi="Arial" w:cs="Arial"/>
                <w:lang w:eastAsia="en-GB"/>
              </w:rPr>
              <w:t>,</w:t>
            </w:r>
            <w:r w:rsidRPr="000C06A7">
              <w:rPr>
                <w:rFonts w:ascii="Arial" w:eastAsia="Calibri" w:hAnsi="Arial" w:cs="Arial"/>
                <w:lang w:eastAsia="en-GB"/>
              </w:rPr>
              <w:t>285</w:t>
            </w:r>
          </w:p>
        </w:tc>
        <w:tc>
          <w:tcPr>
            <w:tcW w:w="1301" w:type="dxa"/>
            <w:vAlign w:val="center"/>
          </w:tcPr>
          <w:p w14:paraId="74A5F9C6" w14:textId="18AD2E7E" w:rsidR="002A0EAF" w:rsidRPr="000C06A7" w:rsidRDefault="00214439" w:rsidP="002A0EAF">
            <w:pPr>
              <w:pStyle w:val="ListParagraph"/>
              <w:ind w:left="0"/>
              <w:jc w:val="center"/>
              <w:rPr>
                <w:rFonts w:ascii="Arial" w:eastAsia="Calibri" w:hAnsi="Arial" w:cs="Arial"/>
                <w:lang w:eastAsia="en-GB"/>
              </w:rPr>
            </w:pPr>
            <w:r w:rsidRPr="000C06A7">
              <w:rPr>
                <w:rFonts w:ascii="Arial" w:eastAsia="Calibri" w:hAnsi="Arial" w:cs="Arial"/>
                <w:lang w:eastAsia="en-GB"/>
              </w:rPr>
              <w:t>+46.2%</w:t>
            </w:r>
          </w:p>
        </w:tc>
        <w:tc>
          <w:tcPr>
            <w:tcW w:w="1757" w:type="dxa"/>
            <w:shd w:val="clear" w:color="auto" w:fill="auto"/>
            <w:vAlign w:val="center"/>
          </w:tcPr>
          <w:p w14:paraId="1E6C05B6" w14:textId="592D1942" w:rsidR="002A0EAF" w:rsidRPr="000C06A7" w:rsidRDefault="00187732" w:rsidP="002A0EAF">
            <w:pPr>
              <w:pStyle w:val="ListParagraph"/>
              <w:ind w:left="0"/>
              <w:jc w:val="center"/>
              <w:rPr>
                <w:rFonts w:ascii="Arial" w:eastAsia="Calibri" w:hAnsi="Arial" w:cs="Arial"/>
                <w:lang w:eastAsia="en-GB"/>
              </w:rPr>
            </w:pPr>
            <w:r w:rsidRPr="000C06A7">
              <w:rPr>
                <w:rFonts w:ascii="Arial" w:eastAsia="Calibri" w:hAnsi="Arial" w:cs="Arial"/>
                <w:lang w:eastAsia="en-GB"/>
              </w:rPr>
              <w:t>13.2%</w:t>
            </w:r>
          </w:p>
        </w:tc>
        <w:tc>
          <w:tcPr>
            <w:tcW w:w="1296" w:type="dxa"/>
            <w:shd w:val="clear" w:color="auto" w:fill="auto"/>
            <w:vAlign w:val="center"/>
          </w:tcPr>
          <w:p w14:paraId="3123D66F" w14:textId="47C821AD"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13</w:t>
            </w:r>
            <w:r w:rsidR="00214439" w:rsidRPr="000C06A7">
              <w:rPr>
                <w:rFonts w:ascii="Arial" w:eastAsia="Calibri" w:hAnsi="Arial" w:cs="Arial"/>
                <w:lang w:eastAsia="en-GB"/>
              </w:rPr>
              <w:t>,</w:t>
            </w:r>
            <w:r w:rsidRPr="000C06A7">
              <w:rPr>
                <w:rFonts w:ascii="Arial" w:eastAsia="Calibri" w:hAnsi="Arial" w:cs="Arial"/>
                <w:lang w:eastAsia="en-GB"/>
              </w:rPr>
              <w:t>887</w:t>
            </w:r>
          </w:p>
        </w:tc>
        <w:tc>
          <w:tcPr>
            <w:tcW w:w="1263" w:type="dxa"/>
            <w:shd w:val="clear" w:color="auto" w:fill="auto"/>
            <w:vAlign w:val="center"/>
          </w:tcPr>
          <w:p w14:paraId="46E62675" w14:textId="0DBF1DB8"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+50.2%</w:t>
            </w:r>
          </w:p>
        </w:tc>
        <w:tc>
          <w:tcPr>
            <w:tcW w:w="1206" w:type="dxa"/>
            <w:shd w:val="clear" w:color="auto" w:fill="auto"/>
            <w:vAlign w:val="center"/>
          </w:tcPr>
          <w:p w14:paraId="065E30F2" w14:textId="3D02FBB1" w:rsidR="002A0EAF" w:rsidRPr="000C06A7" w:rsidRDefault="00187732" w:rsidP="002A0EAF">
            <w:pPr>
              <w:pStyle w:val="ListParagraph"/>
              <w:ind w:left="0"/>
              <w:jc w:val="center"/>
              <w:rPr>
                <w:rFonts w:ascii="Arial" w:eastAsia="Calibri" w:hAnsi="Arial" w:cs="Arial"/>
                <w:lang w:eastAsia="en-GB"/>
              </w:rPr>
            </w:pPr>
            <w:r w:rsidRPr="000C06A7">
              <w:rPr>
                <w:rFonts w:ascii="Arial" w:eastAsia="Calibri" w:hAnsi="Arial" w:cs="Arial"/>
                <w:lang w:eastAsia="en-GB"/>
              </w:rPr>
              <w:t>11.4%</w:t>
            </w:r>
          </w:p>
        </w:tc>
      </w:tr>
      <w:tr w:rsidR="00DA1751" w:rsidRPr="00B568F3" w14:paraId="6AA6F1D6" w14:textId="77777777">
        <w:trPr>
          <w:trHeight w:val="300"/>
        </w:trPr>
        <w:tc>
          <w:tcPr>
            <w:tcW w:w="9541" w:type="dxa"/>
            <w:gridSpan w:val="7"/>
            <w:shd w:val="clear" w:color="auto" w:fill="BFBFBF" w:themeFill="background1" w:themeFillShade="BF"/>
          </w:tcPr>
          <w:p w14:paraId="0B8ABA9B" w14:textId="3DE2CDC0" w:rsidR="002A0EAF" w:rsidRPr="000C06A7" w:rsidRDefault="002A0EAF" w:rsidP="002A0EAF">
            <w:pPr>
              <w:pStyle w:val="ListParagraph"/>
              <w:ind w:left="0"/>
              <w:rPr>
                <w:rFonts w:ascii="Arial" w:eastAsia="Calibri" w:hAnsi="Arial" w:cs="Arial"/>
                <w:b/>
                <w:bCs/>
                <w:lang w:eastAsia="en-GB"/>
              </w:rPr>
            </w:pPr>
            <w:r w:rsidRPr="000C06A7">
              <w:rPr>
                <w:rFonts w:ascii="Arial" w:eastAsia="Calibri" w:hAnsi="Arial" w:cs="Arial"/>
                <w:b/>
                <w:bCs/>
                <w:u w:val="single"/>
                <w:lang w:eastAsia="en-GB"/>
              </w:rPr>
              <w:t>Voluntary</w:t>
            </w:r>
          </w:p>
        </w:tc>
      </w:tr>
      <w:tr w:rsidR="001D3DD4" w:rsidRPr="00B568F3" w14:paraId="4BE947B8" w14:textId="77777777" w:rsidTr="00F81F98">
        <w:trPr>
          <w:trHeight w:val="300"/>
        </w:trPr>
        <w:tc>
          <w:tcPr>
            <w:tcW w:w="1475" w:type="dxa"/>
            <w:vAlign w:val="center"/>
          </w:tcPr>
          <w:p w14:paraId="0F50606D" w14:textId="77777777" w:rsidR="002A0EAF" w:rsidRPr="000C06A7" w:rsidRDefault="002A0EAF" w:rsidP="002A0EAF">
            <w:pPr>
              <w:pStyle w:val="ListParagraph"/>
              <w:ind w:left="0"/>
              <w:rPr>
                <w:rFonts w:ascii="Arial" w:eastAsia="Calibri" w:hAnsi="Arial" w:cs="Arial"/>
                <w:lang w:eastAsia="en-GB"/>
              </w:rPr>
            </w:pPr>
            <w:r w:rsidRPr="000C06A7">
              <w:rPr>
                <w:rFonts w:ascii="Arial" w:eastAsia="Calibri" w:hAnsi="Arial" w:cs="Arial"/>
                <w:b/>
                <w:bCs/>
                <w:lang w:eastAsia="en-GB"/>
              </w:rPr>
              <w:t>2023/2024</w:t>
            </w:r>
          </w:p>
        </w:tc>
        <w:tc>
          <w:tcPr>
            <w:tcW w:w="1243" w:type="dxa"/>
            <w:vAlign w:val="center"/>
          </w:tcPr>
          <w:p w14:paraId="198FE867" w14:textId="2A4CAEAB"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2</w:t>
            </w:r>
            <w:r w:rsidR="00214439" w:rsidRPr="000C06A7">
              <w:rPr>
                <w:rFonts w:ascii="Arial" w:eastAsia="Calibri" w:hAnsi="Arial" w:cs="Arial"/>
                <w:lang w:eastAsia="en-GB"/>
              </w:rPr>
              <w:t>,</w:t>
            </w:r>
            <w:r w:rsidRPr="000C06A7">
              <w:rPr>
                <w:rFonts w:ascii="Arial" w:eastAsia="Calibri" w:hAnsi="Arial" w:cs="Arial"/>
                <w:lang w:eastAsia="en-GB"/>
              </w:rPr>
              <w:t>510</w:t>
            </w:r>
          </w:p>
        </w:tc>
        <w:tc>
          <w:tcPr>
            <w:tcW w:w="1301" w:type="dxa"/>
            <w:vAlign w:val="center"/>
          </w:tcPr>
          <w:p w14:paraId="40D370BD" w14:textId="71B43AA8" w:rsidR="002A0EAF" w:rsidRPr="000C06A7" w:rsidRDefault="00F876EA" w:rsidP="002A0EAF">
            <w:pPr>
              <w:pStyle w:val="ListParagraph"/>
              <w:ind w:left="0"/>
              <w:jc w:val="center"/>
              <w:rPr>
                <w:rFonts w:ascii="Arial" w:eastAsia="Calibri" w:hAnsi="Arial" w:cs="Arial"/>
                <w:lang w:eastAsia="en-GB"/>
              </w:rPr>
            </w:pPr>
            <w:r w:rsidRPr="000C06A7">
              <w:rPr>
                <w:rFonts w:ascii="Arial" w:eastAsia="Calibri" w:hAnsi="Arial" w:cs="Arial"/>
                <w:lang w:eastAsia="en-GB"/>
              </w:rPr>
              <w:t>-12.5%</w:t>
            </w:r>
          </w:p>
        </w:tc>
        <w:tc>
          <w:tcPr>
            <w:tcW w:w="1757" w:type="dxa"/>
            <w:vAlign w:val="center"/>
          </w:tcPr>
          <w:p w14:paraId="0A98DAC8" w14:textId="5522D266"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1.9%</w:t>
            </w:r>
          </w:p>
        </w:tc>
        <w:tc>
          <w:tcPr>
            <w:tcW w:w="1296" w:type="dxa"/>
            <w:vAlign w:val="center"/>
          </w:tcPr>
          <w:p w14:paraId="250DCF26" w14:textId="5898ED52"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2</w:t>
            </w:r>
            <w:r w:rsidR="00214439" w:rsidRPr="000C06A7">
              <w:rPr>
                <w:rFonts w:ascii="Arial" w:eastAsia="Calibri" w:hAnsi="Arial" w:cs="Arial"/>
                <w:lang w:eastAsia="en-GB"/>
              </w:rPr>
              <w:t>,</w:t>
            </w:r>
            <w:r w:rsidRPr="000C06A7">
              <w:rPr>
                <w:rFonts w:ascii="Arial" w:eastAsia="Calibri" w:hAnsi="Arial" w:cs="Arial"/>
                <w:lang w:eastAsia="en-GB"/>
              </w:rPr>
              <w:t>025</w:t>
            </w:r>
          </w:p>
        </w:tc>
        <w:tc>
          <w:tcPr>
            <w:tcW w:w="1263" w:type="dxa"/>
            <w:vAlign w:val="center"/>
          </w:tcPr>
          <w:p w14:paraId="1DD0A9E4" w14:textId="51F4AB2D"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-7.8%</w:t>
            </w:r>
          </w:p>
        </w:tc>
        <w:tc>
          <w:tcPr>
            <w:tcW w:w="1206" w:type="dxa"/>
            <w:vAlign w:val="center"/>
          </w:tcPr>
          <w:p w14:paraId="6912556F" w14:textId="0736F67D"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1.8%</w:t>
            </w:r>
          </w:p>
        </w:tc>
      </w:tr>
      <w:tr w:rsidR="002A0EAF" w:rsidRPr="00B568F3" w14:paraId="71B58CF6" w14:textId="77777777" w:rsidTr="009A36FF">
        <w:trPr>
          <w:trHeight w:val="300"/>
        </w:trPr>
        <w:tc>
          <w:tcPr>
            <w:tcW w:w="1475" w:type="dxa"/>
            <w:vAlign w:val="center"/>
          </w:tcPr>
          <w:p w14:paraId="4C9E14A8" w14:textId="77777777" w:rsidR="002A0EAF" w:rsidRPr="000C06A7" w:rsidRDefault="002A0EAF" w:rsidP="002A0EAF">
            <w:pPr>
              <w:pStyle w:val="ListParagraph"/>
              <w:ind w:left="0"/>
              <w:rPr>
                <w:rFonts w:ascii="Arial" w:eastAsia="Calibri" w:hAnsi="Arial" w:cs="Arial"/>
                <w:lang w:eastAsia="en-GB"/>
              </w:rPr>
            </w:pPr>
            <w:r w:rsidRPr="000C06A7">
              <w:rPr>
                <w:rFonts w:ascii="Arial" w:eastAsia="Calibri" w:hAnsi="Arial" w:cs="Arial"/>
                <w:b/>
                <w:bCs/>
                <w:lang w:eastAsia="en-GB"/>
              </w:rPr>
              <w:t>2022/2023</w:t>
            </w:r>
          </w:p>
        </w:tc>
        <w:tc>
          <w:tcPr>
            <w:tcW w:w="1243" w:type="dxa"/>
            <w:vAlign w:val="center"/>
          </w:tcPr>
          <w:p w14:paraId="678B4D44" w14:textId="35303FC1"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2</w:t>
            </w:r>
            <w:r w:rsidR="00214439" w:rsidRPr="000C06A7">
              <w:rPr>
                <w:rFonts w:ascii="Arial" w:eastAsia="Calibri" w:hAnsi="Arial" w:cs="Arial"/>
                <w:lang w:eastAsia="en-GB"/>
              </w:rPr>
              <w:t>,</w:t>
            </w:r>
            <w:r w:rsidRPr="000C06A7">
              <w:rPr>
                <w:rFonts w:ascii="Arial" w:eastAsia="Calibri" w:hAnsi="Arial" w:cs="Arial"/>
                <w:lang w:eastAsia="en-GB"/>
              </w:rPr>
              <w:t>870</w:t>
            </w:r>
          </w:p>
        </w:tc>
        <w:tc>
          <w:tcPr>
            <w:tcW w:w="1301" w:type="dxa"/>
            <w:vAlign w:val="center"/>
          </w:tcPr>
          <w:p w14:paraId="66201A8B" w14:textId="55BE3986" w:rsidR="002A0EAF" w:rsidRPr="000C06A7" w:rsidRDefault="003007CC" w:rsidP="002A0EAF">
            <w:pPr>
              <w:pStyle w:val="ListParagraph"/>
              <w:ind w:left="0"/>
              <w:jc w:val="center"/>
              <w:rPr>
                <w:rFonts w:ascii="Arial" w:eastAsia="Calibri" w:hAnsi="Arial" w:cs="Arial"/>
                <w:lang w:eastAsia="en-GB"/>
              </w:rPr>
            </w:pPr>
            <w:r w:rsidRPr="000C06A7">
              <w:rPr>
                <w:rFonts w:ascii="Arial" w:eastAsia="Calibri" w:hAnsi="Arial" w:cs="Arial"/>
                <w:lang w:eastAsia="en-GB"/>
              </w:rPr>
              <w:t>-9.4%</w:t>
            </w:r>
          </w:p>
        </w:tc>
        <w:tc>
          <w:tcPr>
            <w:tcW w:w="1757" w:type="dxa"/>
            <w:shd w:val="clear" w:color="auto" w:fill="auto"/>
            <w:vAlign w:val="center"/>
          </w:tcPr>
          <w:p w14:paraId="78A73576" w14:textId="1673CE01" w:rsidR="002A0EAF" w:rsidRPr="000C06A7" w:rsidRDefault="00CD08B2" w:rsidP="002A0EAF">
            <w:pPr>
              <w:pStyle w:val="ListParagraph"/>
              <w:ind w:left="0"/>
              <w:jc w:val="center"/>
              <w:rPr>
                <w:rFonts w:ascii="Arial" w:eastAsia="Calibri" w:hAnsi="Arial" w:cs="Arial"/>
                <w:lang w:eastAsia="en-GB"/>
              </w:rPr>
            </w:pPr>
            <w:r w:rsidRPr="000C06A7">
              <w:rPr>
                <w:rFonts w:ascii="Arial" w:eastAsia="Calibri" w:hAnsi="Arial" w:cs="Arial"/>
                <w:lang w:eastAsia="en-GB"/>
              </w:rPr>
              <w:t>1.8%</w:t>
            </w:r>
          </w:p>
        </w:tc>
        <w:tc>
          <w:tcPr>
            <w:tcW w:w="1296" w:type="dxa"/>
            <w:shd w:val="clear" w:color="auto" w:fill="auto"/>
            <w:vAlign w:val="center"/>
          </w:tcPr>
          <w:p w14:paraId="41BAF072" w14:textId="02D82730"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2</w:t>
            </w:r>
            <w:r w:rsidR="00214439" w:rsidRPr="000C06A7">
              <w:rPr>
                <w:rFonts w:ascii="Arial" w:eastAsia="Calibri" w:hAnsi="Arial" w:cs="Arial"/>
                <w:lang w:eastAsia="en-GB"/>
              </w:rPr>
              <w:t>,</w:t>
            </w:r>
            <w:r w:rsidRPr="000C06A7">
              <w:rPr>
                <w:rFonts w:ascii="Arial" w:eastAsia="Calibri" w:hAnsi="Arial" w:cs="Arial"/>
                <w:lang w:eastAsia="en-GB"/>
              </w:rPr>
              <w:t>197</w:t>
            </w:r>
          </w:p>
        </w:tc>
        <w:tc>
          <w:tcPr>
            <w:tcW w:w="1263" w:type="dxa"/>
            <w:shd w:val="clear" w:color="auto" w:fill="auto"/>
            <w:vAlign w:val="center"/>
          </w:tcPr>
          <w:p w14:paraId="3BA71391" w14:textId="3257C174"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+13.1%</w:t>
            </w:r>
          </w:p>
        </w:tc>
        <w:tc>
          <w:tcPr>
            <w:tcW w:w="1206" w:type="dxa"/>
            <w:shd w:val="clear" w:color="auto" w:fill="auto"/>
            <w:vAlign w:val="center"/>
          </w:tcPr>
          <w:p w14:paraId="13A66677" w14:textId="47023E7C" w:rsidR="002A0EAF" w:rsidRPr="000C06A7" w:rsidRDefault="00CD08B2" w:rsidP="002A0EAF">
            <w:pPr>
              <w:pStyle w:val="ListParagraph"/>
              <w:ind w:left="0"/>
              <w:jc w:val="center"/>
              <w:rPr>
                <w:rFonts w:ascii="Arial" w:eastAsia="Calibri" w:hAnsi="Arial" w:cs="Arial"/>
                <w:lang w:eastAsia="en-GB"/>
              </w:rPr>
            </w:pPr>
            <w:r w:rsidRPr="000C06A7">
              <w:rPr>
                <w:rFonts w:ascii="Arial" w:eastAsia="Calibri" w:hAnsi="Arial" w:cs="Arial"/>
                <w:lang w:eastAsia="en-GB"/>
              </w:rPr>
              <w:t>1.6%</w:t>
            </w:r>
          </w:p>
        </w:tc>
      </w:tr>
      <w:tr w:rsidR="002A0EAF" w:rsidRPr="00B568F3" w14:paraId="1C73E2BE" w14:textId="77777777" w:rsidTr="009A36FF">
        <w:trPr>
          <w:trHeight w:val="300"/>
        </w:trPr>
        <w:tc>
          <w:tcPr>
            <w:tcW w:w="1475" w:type="dxa"/>
            <w:vAlign w:val="center"/>
          </w:tcPr>
          <w:p w14:paraId="5CEDC03D" w14:textId="77777777" w:rsidR="002A0EAF" w:rsidRPr="000C06A7" w:rsidRDefault="002A0EAF" w:rsidP="002A0EAF">
            <w:pPr>
              <w:pStyle w:val="ListParagraph"/>
              <w:ind w:left="0"/>
              <w:rPr>
                <w:rFonts w:ascii="Arial" w:eastAsia="Calibri" w:hAnsi="Arial" w:cs="Arial"/>
                <w:b/>
                <w:bCs/>
                <w:lang w:eastAsia="en-GB"/>
              </w:rPr>
            </w:pPr>
            <w:r w:rsidRPr="000C06A7">
              <w:rPr>
                <w:rFonts w:ascii="Arial" w:eastAsia="Calibri" w:hAnsi="Arial" w:cs="Arial"/>
                <w:b/>
                <w:bCs/>
                <w:lang w:eastAsia="en-GB"/>
              </w:rPr>
              <w:t>2021/2022</w:t>
            </w:r>
          </w:p>
        </w:tc>
        <w:tc>
          <w:tcPr>
            <w:tcW w:w="1243" w:type="dxa"/>
            <w:vAlign w:val="center"/>
          </w:tcPr>
          <w:p w14:paraId="27F4BC34" w14:textId="1D144514"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3</w:t>
            </w:r>
            <w:r w:rsidR="00214439" w:rsidRPr="000C06A7">
              <w:rPr>
                <w:rFonts w:ascii="Arial" w:eastAsia="Calibri" w:hAnsi="Arial" w:cs="Arial"/>
                <w:lang w:eastAsia="en-GB"/>
              </w:rPr>
              <w:t>,</w:t>
            </w:r>
            <w:r w:rsidRPr="000C06A7">
              <w:rPr>
                <w:rFonts w:ascii="Arial" w:eastAsia="Calibri" w:hAnsi="Arial" w:cs="Arial"/>
                <w:lang w:eastAsia="en-GB"/>
              </w:rPr>
              <w:t>169</w:t>
            </w:r>
          </w:p>
        </w:tc>
        <w:tc>
          <w:tcPr>
            <w:tcW w:w="1301" w:type="dxa"/>
            <w:vAlign w:val="center"/>
          </w:tcPr>
          <w:p w14:paraId="72E4DAC6" w14:textId="777EB593" w:rsidR="002A0EAF" w:rsidRPr="000C06A7" w:rsidRDefault="00214439" w:rsidP="002A0EAF">
            <w:pPr>
              <w:pStyle w:val="ListParagraph"/>
              <w:ind w:left="0"/>
              <w:jc w:val="center"/>
              <w:rPr>
                <w:rFonts w:ascii="Arial" w:eastAsia="Calibri" w:hAnsi="Arial" w:cs="Arial"/>
                <w:lang w:eastAsia="en-GB"/>
              </w:rPr>
            </w:pPr>
            <w:r w:rsidRPr="000C06A7">
              <w:rPr>
                <w:rFonts w:ascii="Arial" w:eastAsia="Calibri" w:hAnsi="Arial" w:cs="Arial"/>
                <w:lang w:eastAsia="en-GB"/>
              </w:rPr>
              <w:t>-13.6%</w:t>
            </w:r>
          </w:p>
        </w:tc>
        <w:tc>
          <w:tcPr>
            <w:tcW w:w="1757" w:type="dxa"/>
            <w:shd w:val="clear" w:color="auto" w:fill="auto"/>
            <w:vAlign w:val="center"/>
          </w:tcPr>
          <w:p w14:paraId="50A9CD7F" w14:textId="70311527" w:rsidR="002A0EAF" w:rsidRPr="000C06A7" w:rsidRDefault="00187732" w:rsidP="002A0EAF">
            <w:pPr>
              <w:pStyle w:val="ListParagraph"/>
              <w:ind w:left="0"/>
              <w:jc w:val="center"/>
              <w:rPr>
                <w:rFonts w:ascii="Arial" w:eastAsia="Calibri" w:hAnsi="Arial" w:cs="Arial"/>
                <w:lang w:eastAsia="en-GB"/>
              </w:rPr>
            </w:pPr>
            <w:r w:rsidRPr="000C06A7">
              <w:rPr>
                <w:rFonts w:ascii="Arial" w:eastAsia="Calibri" w:hAnsi="Arial" w:cs="Arial"/>
                <w:lang w:eastAsia="en-GB"/>
              </w:rPr>
              <w:t>2.2%</w:t>
            </w:r>
          </w:p>
        </w:tc>
        <w:tc>
          <w:tcPr>
            <w:tcW w:w="1296" w:type="dxa"/>
            <w:shd w:val="clear" w:color="auto" w:fill="auto"/>
            <w:vAlign w:val="center"/>
          </w:tcPr>
          <w:p w14:paraId="1D3D6CD0" w14:textId="7E0EC1C1"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w:t>
            </w:r>
            <w:r w:rsidR="00214439" w:rsidRPr="000C06A7">
              <w:rPr>
                <w:rFonts w:ascii="Arial" w:eastAsia="Calibri" w:hAnsi="Arial" w:cs="Arial"/>
                <w:lang w:eastAsia="en-GB"/>
              </w:rPr>
              <w:t>,</w:t>
            </w:r>
            <w:r w:rsidRPr="000C06A7">
              <w:rPr>
                <w:rFonts w:ascii="Arial" w:eastAsia="Calibri" w:hAnsi="Arial" w:cs="Arial"/>
                <w:lang w:eastAsia="en-GB"/>
              </w:rPr>
              <w:t>942</w:t>
            </w:r>
          </w:p>
        </w:tc>
        <w:tc>
          <w:tcPr>
            <w:tcW w:w="1263" w:type="dxa"/>
            <w:shd w:val="clear" w:color="auto" w:fill="auto"/>
            <w:vAlign w:val="center"/>
          </w:tcPr>
          <w:p w14:paraId="58841BB6" w14:textId="6BA54C64"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-41.1%</w:t>
            </w:r>
          </w:p>
        </w:tc>
        <w:tc>
          <w:tcPr>
            <w:tcW w:w="1206" w:type="dxa"/>
            <w:shd w:val="clear" w:color="auto" w:fill="auto"/>
            <w:vAlign w:val="center"/>
          </w:tcPr>
          <w:p w14:paraId="5F27FF24" w14:textId="55249705" w:rsidR="002A0EAF" w:rsidRPr="000C06A7" w:rsidRDefault="00187732" w:rsidP="002A0EAF">
            <w:pPr>
              <w:pStyle w:val="ListParagraph"/>
              <w:ind w:left="0"/>
              <w:jc w:val="center"/>
              <w:rPr>
                <w:rFonts w:ascii="Arial" w:eastAsia="Calibri" w:hAnsi="Arial" w:cs="Arial"/>
                <w:lang w:eastAsia="en-GB"/>
              </w:rPr>
            </w:pPr>
            <w:r w:rsidRPr="000C06A7">
              <w:rPr>
                <w:rFonts w:ascii="Arial" w:eastAsia="Calibri" w:hAnsi="Arial" w:cs="Arial"/>
                <w:lang w:eastAsia="en-GB"/>
              </w:rPr>
              <w:t>1.6%</w:t>
            </w:r>
          </w:p>
        </w:tc>
      </w:tr>
      <w:tr w:rsidR="00DA1751" w:rsidRPr="00B568F3" w14:paraId="1B8199D4" w14:textId="77777777" w:rsidTr="00F81F98">
        <w:trPr>
          <w:trHeight w:val="300"/>
        </w:trPr>
        <w:tc>
          <w:tcPr>
            <w:tcW w:w="9541" w:type="dxa"/>
            <w:gridSpan w:val="7"/>
            <w:shd w:val="clear" w:color="auto" w:fill="BFBFBF" w:themeFill="background1" w:themeFillShade="BF"/>
          </w:tcPr>
          <w:p w14:paraId="188FA7CC" w14:textId="372E108D" w:rsidR="002A0EAF" w:rsidRPr="000C06A7" w:rsidRDefault="002A0EAF" w:rsidP="002A0EAF">
            <w:pPr>
              <w:pStyle w:val="ListParagraph"/>
              <w:ind w:left="0"/>
              <w:rPr>
                <w:rFonts w:ascii="Arial" w:eastAsia="Calibri" w:hAnsi="Arial" w:cs="Arial"/>
                <w:b/>
                <w:bCs/>
                <w:lang w:eastAsia="en-GB"/>
              </w:rPr>
            </w:pPr>
            <w:r w:rsidRPr="000C06A7">
              <w:rPr>
                <w:rFonts w:ascii="Arial" w:eastAsia="Calibri" w:hAnsi="Arial" w:cs="Arial"/>
                <w:b/>
                <w:bCs/>
                <w:u w:val="single"/>
                <w:lang w:eastAsia="en-GB"/>
              </w:rPr>
              <w:t>Other</w:t>
            </w:r>
          </w:p>
        </w:tc>
      </w:tr>
      <w:tr w:rsidR="001D3DD4" w:rsidRPr="00B568F3" w14:paraId="07DD57F1" w14:textId="77777777" w:rsidTr="00F81F98">
        <w:trPr>
          <w:trHeight w:val="300"/>
        </w:trPr>
        <w:tc>
          <w:tcPr>
            <w:tcW w:w="1475" w:type="dxa"/>
            <w:vAlign w:val="center"/>
          </w:tcPr>
          <w:p w14:paraId="566AD972" w14:textId="77777777" w:rsidR="002A0EAF" w:rsidRPr="000C06A7" w:rsidRDefault="002A0EAF" w:rsidP="002A0EAF">
            <w:pPr>
              <w:pStyle w:val="ListParagraph"/>
              <w:ind w:left="0"/>
              <w:rPr>
                <w:rFonts w:ascii="Arial" w:eastAsia="Calibri" w:hAnsi="Arial" w:cs="Arial"/>
                <w:lang w:eastAsia="en-GB"/>
              </w:rPr>
            </w:pPr>
            <w:r w:rsidRPr="000C06A7">
              <w:rPr>
                <w:rFonts w:ascii="Arial" w:eastAsia="Calibri" w:hAnsi="Arial" w:cs="Arial"/>
                <w:b/>
                <w:bCs/>
                <w:lang w:eastAsia="en-GB"/>
              </w:rPr>
              <w:t>2023/2024</w:t>
            </w:r>
          </w:p>
        </w:tc>
        <w:tc>
          <w:tcPr>
            <w:tcW w:w="1243" w:type="dxa"/>
            <w:vAlign w:val="center"/>
          </w:tcPr>
          <w:p w14:paraId="5C24E05A" w14:textId="33B58820"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10</w:t>
            </w:r>
            <w:r w:rsidR="00214439" w:rsidRPr="000C06A7">
              <w:rPr>
                <w:rFonts w:ascii="Arial" w:eastAsia="Calibri" w:hAnsi="Arial" w:cs="Arial"/>
                <w:lang w:eastAsia="en-GB"/>
              </w:rPr>
              <w:t>,</w:t>
            </w:r>
            <w:r w:rsidRPr="000C06A7">
              <w:rPr>
                <w:rFonts w:ascii="Arial" w:eastAsia="Calibri" w:hAnsi="Arial" w:cs="Arial"/>
                <w:lang w:eastAsia="en-GB"/>
              </w:rPr>
              <w:t>336</w:t>
            </w:r>
          </w:p>
        </w:tc>
        <w:tc>
          <w:tcPr>
            <w:tcW w:w="1301" w:type="dxa"/>
            <w:vAlign w:val="center"/>
          </w:tcPr>
          <w:p w14:paraId="0DBFB2CB" w14:textId="6964BC72" w:rsidR="002A0EAF" w:rsidRPr="000C06A7" w:rsidRDefault="00F876EA" w:rsidP="002A0EAF">
            <w:pPr>
              <w:pStyle w:val="ListParagraph"/>
              <w:ind w:left="0"/>
              <w:jc w:val="center"/>
              <w:rPr>
                <w:rFonts w:ascii="Arial" w:eastAsia="Calibri" w:hAnsi="Arial" w:cs="Arial"/>
                <w:lang w:eastAsia="en-GB"/>
              </w:rPr>
            </w:pPr>
            <w:r w:rsidRPr="000C06A7">
              <w:rPr>
                <w:rFonts w:ascii="Arial" w:eastAsia="Calibri" w:hAnsi="Arial" w:cs="Arial"/>
                <w:lang w:eastAsia="en-GB"/>
              </w:rPr>
              <w:t>+26.4%</w:t>
            </w:r>
          </w:p>
        </w:tc>
        <w:tc>
          <w:tcPr>
            <w:tcW w:w="1757" w:type="dxa"/>
            <w:vAlign w:val="center"/>
          </w:tcPr>
          <w:p w14:paraId="0E3ABDE9" w14:textId="2345E1C7"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7.6%</w:t>
            </w:r>
          </w:p>
        </w:tc>
        <w:tc>
          <w:tcPr>
            <w:tcW w:w="1296" w:type="dxa"/>
            <w:vAlign w:val="center"/>
          </w:tcPr>
          <w:p w14:paraId="7E9454E7" w14:textId="7F3E156C"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8</w:t>
            </w:r>
            <w:r w:rsidR="00214439" w:rsidRPr="000C06A7">
              <w:rPr>
                <w:rFonts w:ascii="Arial" w:eastAsia="Calibri" w:hAnsi="Arial" w:cs="Arial"/>
                <w:lang w:eastAsia="en-GB"/>
              </w:rPr>
              <w:t>,</w:t>
            </w:r>
            <w:r w:rsidRPr="000C06A7">
              <w:rPr>
                <w:rFonts w:ascii="Arial" w:eastAsia="Calibri" w:hAnsi="Arial" w:cs="Arial"/>
                <w:lang w:eastAsia="en-GB"/>
              </w:rPr>
              <w:t>699</w:t>
            </w:r>
          </w:p>
        </w:tc>
        <w:tc>
          <w:tcPr>
            <w:tcW w:w="1263" w:type="dxa"/>
            <w:vAlign w:val="center"/>
          </w:tcPr>
          <w:p w14:paraId="1B8A2A24" w14:textId="1334D49C"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+28.2%</w:t>
            </w:r>
          </w:p>
        </w:tc>
        <w:tc>
          <w:tcPr>
            <w:tcW w:w="1206" w:type="dxa"/>
            <w:vAlign w:val="center"/>
          </w:tcPr>
          <w:p w14:paraId="1E7F633F" w14:textId="12DA4345"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7.8%</w:t>
            </w:r>
          </w:p>
        </w:tc>
      </w:tr>
      <w:tr w:rsidR="002A0EAF" w:rsidRPr="00B568F3" w14:paraId="5C448328" w14:textId="77777777" w:rsidTr="009A36FF">
        <w:trPr>
          <w:trHeight w:val="300"/>
        </w:trPr>
        <w:tc>
          <w:tcPr>
            <w:tcW w:w="1475" w:type="dxa"/>
            <w:vAlign w:val="center"/>
          </w:tcPr>
          <w:p w14:paraId="1B8777AF" w14:textId="77777777" w:rsidR="002A0EAF" w:rsidRPr="000C06A7" w:rsidRDefault="002A0EAF" w:rsidP="002A0EAF">
            <w:pPr>
              <w:pStyle w:val="ListParagraph"/>
              <w:ind w:left="0"/>
              <w:rPr>
                <w:rFonts w:ascii="Arial" w:eastAsia="Calibri" w:hAnsi="Arial" w:cs="Arial"/>
                <w:lang w:eastAsia="en-GB"/>
              </w:rPr>
            </w:pPr>
            <w:r w:rsidRPr="000C06A7">
              <w:rPr>
                <w:rFonts w:ascii="Arial" w:eastAsia="Calibri" w:hAnsi="Arial" w:cs="Arial"/>
                <w:b/>
                <w:bCs/>
                <w:lang w:eastAsia="en-GB"/>
              </w:rPr>
              <w:t>2022/2023</w:t>
            </w:r>
          </w:p>
        </w:tc>
        <w:tc>
          <w:tcPr>
            <w:tcW w:w="1243" w:type="dxa"/>
            <w:vAlign w:val="center"/>
          </w:tcPr>
          <w:p w14:paraId="370747E5" w14:textId="2344EFA2"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8</w:t>
            </w:r>
            <w:r w:rsidR="00214439" w:rsidRPr="000C06A7">
              <w:rPr>
                <w:rFonts w:ascii="Arial" w:eastAsia="Calibri" w:hAnsi="Arial" w:cs="Arial"/>
                <w:lang w:eastAsia="en-GB"/>
              </w:rPr>
              <w:t>,</w:t>
            </w:r>
            <w:r w:rsidRPr="000C06A7">
              <w:rPr>
                <w:rFonts w:ascii="Arial" w:eastAsia="Calibri" w:hAnsi="Arial" w:cs="Arial"/>
                <w:lang w:eastAsia="en-GB"/>
              </w:rPr>
              <w:t>174</w:t>
            </w:r>
          </w:p>
        </w:tc>
        <w:tc>
          <w:tcPr>
            <w:tcW w:w="1301" w:type="dxa"/>
            <w:vAlign w:val="center"/>
          </w:tcPr>
          <w:p w14:paraId="2D5DF56F" w14:textId="33E491A8" w:rsidR="002A0EAF" w:rsidRPr="000C06A7" w:rsidRDefault="003007CC" w:rsidP="002A0EAF">
            <w:pPr>
              <w:pStyle w:val="ListParagraph"/>
              <w:ind w:left="0"/>
              <w:jc w:val="center"/>
              <w:rPr>
                <w:rFonts w:ascii="Arial" w:eastAsia="Calibri" w:hAnsi="Arial" w:cs="Arial"/>
                <w:lang w:eastAsia="en-GB"/>
              </w:rPr>
            </w:pPr>
            <w:r w:rsidRPr="000C06A7">
              <w:rPr>
                <w:rFonts w:ascii="Arial" w:eastAsia="Calibri" w:hAnsi="Arial" w:cs="Arial"/>
                <w:lang w:eastAsia="en-GB"/>
              </w:rPr>
              <w:t>-8.0%</w:t>
            </w:r>
          </w:p>
        </w:tc>
        <w:tc>
          <w:tcPr>
            <w:tcW w:w="1757" w:type="dxa"/>
            <w:shd w:val="clear" w:color="auto" w:fill="auto"/>
            <w:vAlign w:val="center"/>
          </w:tcPr>
          <w:p w14:paraId="089D639E" w14:textId="312F73DD" w:rsidR="002A0EAF" w:rsidRPr="000C06A7" w:rsidRDefault="00CD08B2" w:rsidP="002A0EAF">
            <w:pPr>
              <w:pStyle w:val="ListParagraph"/>
              <w:ind w:left="0"/>
              <w:jc w:val="center"/>
              <w:rPr>
                <w:rFonts w:ascii="Arial" w:eastAsia="Calibri" w:hAnsi="Arial" w:cs="Arial"/>
                <w:lang w:eastAsia="en-GB"/>
              </w:rPr>
            </w:pPr>
            <w:r w:rsidRPr="000C06A7">
              <w:rPr>
                <w:rFonts w:ascii="Arial" w:eastAsia="Calibri" w:hAnsi="Arial" w:cs="Arial"/>
                <w:lang w:eastAsia="en-GB"/>
              </w:rPr>
              <w:t>5.1%</w:t>
            </w:r>
          </w:p>
        </w:tc>
        <w:tc>
          <w:tcPr>
            <w:tcW w:w="1296" w:type="dxa"/>
            <w:shd w:val="clear" w:color="auto" w:fill="auto"/>
            <w:vAlign w:val="center"/>
          </w:tcPr>
          <w:p w14:paraId="19035208" w14:textId="433E9D3E"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6</w:t>
            </w:r>
            <w:r w:rsidR="00214439" w:rsidRPr="000C06A7">
              <w:rPr>
                <w:rFonts w:ascii="Arial" w:eastAsia="Calibri" w:hAnsi="Arial" w:cs="Arial"/>
                <w:lang w:eastAsia="en-GB"/>
              </w:rPr>
              <w:t>,</w:t>
            </w:r>
            <w:r w:rsidRPr="000C06A7">
              <w:rPr>
                <w:rFonts w:ascii="Arial" w:eastAsia="Calibri" w:hAnsi="Arial" w:cs="Arial"/>
                <w:lang w:eastAsia="en-GB"/>
              </w:rPr>
              <w:t>786</w:t>
            </w:r>
          </w:p>
        </w:tc>
        <w:tc>
          <w:tcPr>
            <w:tcW w:w="1263" w:type="dxa"/>
            <w:shd w:val="clear" w:color="auto" w:fill="auto"/>
            <w:vAlign w:val="center"/>
          </w:tcPr>
          <w:p w14:paraId="2F6EC823" w14:textId="6CCD31D8"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-1.2%</w:t>
            </w:r>
          </w:p>
        </w:tc>
        <w:tc>
          <w:tcPr>
            <w:tcW w:w="1206" w:type="dxa"/>
            <w:shd w:val="clear" w:color="auto" w:fill="auto"/>
            <w:vAlign w:val="center"/>
          </w:tcPr>
          <w:p w14:paraId="4800A847" w14:textId="62606436" w:rsidR="002A0EAF" w:rsidRPr="000C06A7" w:rsidRDefault="00CD08B2" w:rsidP="002A0EAF">
            <w:pPr>
              <w:pStyle w:val="ListParagraph"/>
              <w:ind w:left="0"/>
              <w:jc w:val="center"/>
              <w:rPr>
                <w:rFonts w:ascii="Arial" w:eastAsia="Calibri" w:hAnsi="Arial" w:cs="Arial"/>
                <w:lang w:eastAsia="en-GB"/>
              </w:rPr>
            </w:pPr>
            <w:r w:rsidRPr="000C06A7">
              <w:rPr>
                <w:rFonts w:ascii="Arial" w:eastAsia="Calibri" w:hAnsi="Arial" w:cs="Arial"/>
                <w:lang w:eastAsia="en-GB"/>
              </w:rPr>
              <w:t>4.9%</w:t>
            </w:r>
          </w:p>
        </w:tc>
      </w:tr>
      <w:tr w:rsidR="002A0EAF" w:rsidRPr="00B568F3" w14:paraId="3BD48063" w14:textId="77777777" w:rsidTr="009A36FF">
        <w:trPr>
          <w:trHeight w:val="300"/>
        </w:trPr>
        <w:tc>
          <w:tcPr>
            <w:tcW w:w="1475" w:type="dxa"/>
            <w:vAlign w:val="center"/>
          </w:tcPr>
          <w:p w14:paraId="4B688DCA" w14:textId="77777777" w:rsidR="002A0EAF" w:rsidRPr="000C06A7" w:rsidRDefault="002A0EAF" w:rsidP="002A0EAF">
            <w:pPr>
              <w:pStyle w:val="ListParagraph"/>
              <w:ind w:left="0"/>
              <w:rPr>
                <w:rFonts w:ascii="Arial" w:eastAsia="Calibri" w:hAnsi="Arial" w:cs="Arial"/>
                <w:b/>
                <w:bCs/>
                <w:lang w:eastAsia="en-GB"/>
              </w:rPr>
            </w:pPr>
            <w:r w:rsidRPr="000C06A7">
              <w:rPr>
                <w:rFonts w:ascii="Arial" w:eastAsia="Calibri" w:hAnsi="Arial" w:cs="Arial"/>
                <w:b/>
                <w:bCs/>
                <w:lang w:eastAsia="en-GB"/>
              </w:rPr>
              <w:t>2021/2022</w:t>
            </w:r>
          </w:p>
        </w:tc>
        <w:tc>
          <w:tcPr>
            <w:tcW w:w="1243" w:type="dxa"/>
            <w:vAlign w:val="center"/>
          </w:tcPr>
          <w:p w14:paraId="05146CAE" w14:textId="1A86C464"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8</w:t>
            </w:r>
            <w:r w:rsidR="00214439" w:rsidRPr="000C06A7">
              <w:rPr>
                <w:rFonts w:ascii="Arial" w:eastAsia="Calibri" w:hAnsi="Arial" w:cs="Arial"/>
                <w:lang w:eastAsia="en-GB"/>
              </w:rPr>
              <w:t>,</w:t>
            </w:r>
            <w:r w:rsidRPr="000C06A7">
              <w:rPr>
                <w:rFonts w:ascii="Arial" w:eastAsia="Calibri" w:hAnsi="Arial" w:cs="Arial"/>
                <w:lang w:eastAsia="en-GB"/>
              </w:rPr>
              <w:t>882</w:t>
            </w:r>
          </w:p>
        </w:tc>
        <w:tc>
          <w:tcPr>
            <w:tcW w:w="1301" w:type="dxa"/>
            <w:vAlign w:val="center"/>
          </w:tcPr>
          <w:p w14:paraId="7B9A1112" w14:textId="4612B9D6" w:rsidR="002A0EAF" w:rsidRPr="000C06A7" w:rsidRDefault="00214439" w:rsidP="002A0EAF">
            <w:pPr>
              <w:pStyle w:val="ListParagraph"/>
              <w:ind w:left="0"/>
              <w:jc w:val="center"/>
              <w:rPr>
                <w:rFonts w:ascii="Arial" w:eastAsia="Calibri" w:hAnsi="Arial" w:cs="Arial"/>
                <w:lang w:eastAsia="en-GB"/>
              </w:rPr>
            </w:pPr>
            <w:r w:rsidRPr="000C06A7">
              <w:rPr>
                <w:rFonts w:ascii="Arial" w:eastAsia="Calibri" w:hAnsi="Arial" w:cs="Arial"/>
                <w:lang w:eastAsia="en-GB"/>
              </w:rPr>
              <w:t>+18.3%</w:t>
            </w:r>
          </w:p>
        </w:tc>
        <w:tc>
          <w:tcPr>
            <w:tcW w:w="1757" w:type="dxa"/>
            <w:shd w:val="clear" w:color="auto" w:fill="auto"/>
            <w:vAlign w:val="center"/>
          </w:tcPr>
          <w:p w14:paraId="608DD2C7" w14:textId="500D81E9" w:rsidR="002A0EAF" w:rsidRPr="000C06A7" w:rsidRDefault="00187732" w:rsidP="002A0EAF">
            <w:pPr>
              <w:pStyle w:val="ListParagraph"/>
              <w:ind w:left="0"/>
              <w:jc w:val="center"/>
              <w:rPr>
                <w:rFonts w:ascii="Arial" w:eastAsia="Calibri" w:hAnsi="Arial" w:cs="Arial"/>
                <w:lang w:eastAsia="en-GB"/>
              </w:rPr>
            </w:pPr>
            <w:r w:rsidRPr="000C06A7">
              <w:rPr>
                <w:rFonts w:ascii="Arial" w:eastAsia="Calibri" w:hAnsi="Arial" w:cs="Arial"/>
                <w:lang w:eastAsia="en-GB"/>
              </w:rPr>
              <w:t>6.1%</w:t>
            </w:r>
          </w:p>
        </w:tc>
        <w:tc>
          <w:tcPr>
            <w:tcW w:w="1296" w:type="dxa"/>
            <w:shd w:val="clear" w:color="auto" w:fill="auto"/>
            <w:vAlign w:val="center"/>
          </w:tcPr>
          <w:p w14:paraId="3BDC0438" w14:textId="76700A0D"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6</w:t>
            </w:r>
            <w:r w:rsidR="00214439" w:rsidRPr="000C06A7">
              <w:rPr>
                <w:rFonts w:ascii="Arial" w:eastAsia="Calibri" w:hAnsi="Arial" w:cs="Arial"/>
                <w:lang w:eastAsia="en-GB"/>
              </w:rPr>
              <w:t>,</w:t>
            </w:r>
            <w:r w:rsidRPr="000C06A7">
              <w:rPr>
                <w:rFonts w:ascii="Arial" w:eastAsia="Calibri" w:hAnsi="Arial" w:cs="Arial"/>
                <w:lang w:eastAsia="en-GB"/>
              </w:rPr>
              <w:t>871</w:t>
            </w:r>
          </w:p>
        </w:tc>
        <w:tc>
          <w:tcPr>
            <w:tcW w:w="1263" w:type="dxa"/>
            <w:shd w:val="clear" w:color="auto" w:fill="auto"/>
            <w:vAlign w:val="center"/>
          </w:tcPr>
          <w:p w14:paraId="029AAFB7" w14:textId="16FE2F1F" w:rsidR="002A0EAF" w:rsidRPr="000C06A7" w:rsidRDefault="002A0EAF" w:rsidP="002A0EAF">
            <w:pPr>
              <w:pStyle w:val="ListParagraph"/>
              <w:ind w:left="0"/>
              <w:jc w:val="center"/>
              <w:rPr>
                <w:rFonts w:ascii="Arial" w:eastAsia="Calibri" w:hAnsi="Arial" w:cs="Arial"/>
                <w:lang w:eastAsia="en-GB"/>
              </w:rPr>
            </w:pPr>
            <w:r w:rsidRPr="000C06A7">
              <w:rPr>
                <w:rFonts w:ascii="Arial" w:eastAsia="Calibri" w:hAnsi="Arial" w:cs="Arial"/>
                <w:lang w:eastAsia="en-GB"/>
              </w:rPr>
              <w:t>+45.0%</w:t>
            </w:r>
          </w:p>
        </w:tc>
        <w:tc>
          <w:tcPr>
            <w:tcW w:w="1206" w:type="dxa"/>
            <w:shd w:val="clear" w:color="auto" w:fill="auto"/>
            <w:vAlign w:val="center"/>
          </w:tcPr>
          <w:p w14:paraId="0353AB05" w14:textId="66003DB7" w:rsidR="002A0EAF" w:rsidRPr="000C06A7" w:rsidRDefault="00187732" w:rsidP="002A0EAF">
            <w:pPr>
              <w:pStyle w:val="ListParagraph"/>
              <w:ind w:left="0"/>
              <w:jc w:val="center"/>
              <w:rPr>
                <w:rFonts w:ascii="Arial" w:eastAsia="Calibri" w:hAnsi="Arial" w:cs="Arial"/>
                <w:lang w:eastAsia="en-GB"/>
              </w:rPr>
            </w:pPr>
            <w:r w:rsidRPr="000C06A7">
              <w:rPr>
                <w:rFonts w:ascii="Arial" w:eastAsia="Calibri" w:hAnsi="Arial" w:cs="Arial"/>
                <w:lang w:eastAsia="en-GB"/>
              </w:rPr>
              <w:t>5.6%</w:t>
            </w:r>
          </w:p>
        </w:tc>
      </w:tr>
    </w:tbl>
    <w:p w14:paraId="071EA7E9" w14:textId="77777777" w:rsidR="00181285" w:rsidRPr="00B568F3" w:rsidRDefault="00181285" w:rsidP="00181285">
      <w:pPr>
        <w:spacing w:after="200" w:line="276" w:lineRule="auto"/>
        <w:ind w:left="709"/>
        <w:contextualSpacing/>
        <w:rPr>
          <w:rFonts w:ascii="Arial" w:eastAsia="Calibri" w:hAnsi="Arial" w:cs="Arial"/>
          <w:sz w:val="24"/>
          <w:szCs w:val="24"/>
          <w:lang w:eastAsia="en-GB"/>
        </w:rPr>
      </w:pPr>
    </w:p>
    <w:p w14:paraId="5D8C5192" w14:textId="10D10645" w:rsidR="00BE151A" w:rsidRPr="00B568F3" w:rsidRDefault="00236765"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Table </w:t>
      </w:r>
      <w:r w:rsidR="0006593D" w:rsidRPr="00B568F3">
        <w:rPr>
          <w:rFonts w:ascii="Arial" w:eastAsia="Calibri" w:hAnsi="Arial" w:cs="Arial"/>
          <w:sz w:val="24"/>
          <w:szCs w:val="24"/>
          <w:lang w:eastAsia="en-GB"/>
        </w:rPr>
        <w:t xml:space="preserve">8 </w:t>
      </w:r>
      <w:r w:rsidR="00580FA6" w:rsidRPr="00B568F3">
        <w:rPr>
          <w:rFonts w:ascii="Arial" w:eastAsia="Calibri" w:hAnsi="Arial" w:cs="Arial"/>
          <w:sz w:val="24"/>
          <w:szCs w:val="24"/>
          <w:lang w:eastAsia="en-GB"/>
        </w:rPr>
        <w:t xml:space="preserve">shows </w:t>
      </w:r>
      <w:r w:rsidR="0006593D" w:rsidRPr="00B568F3">
        <w:rPr>
          <w:rFonts w:ascii="Arial" w:eastAsia="Calibri" w:hAnsi="Arial" w:cs="Arial"/>
          <w:sz w:val="24"/>
          <w:szCs w:val="24"/>
          <w:lang w:eastAsia="en-GB"/>
        </w:rPr>
        <w:t>the three</w:t>
      </w:r>
      <w:r w:rsidR="00B24C33" w:rsidRPr="00B568F3">
        <w:rPr>
          <w:rFonts w:ascii="Arial" w:eastAsia="Calibri" w:hAnsi="Arial" w:cs="Arial"/>
          <w:sz w:val="24"/>
          <w:szCs w:val="24"/>
          <w:lang w:eastAsia="en-GB"/>
        </w:rPr>
        <w:t>-</w:t>
      </w:r>
      <w:r w:rsidR="0006593D" w:rsidRPr="00B568F3">
        <w:rPr>
          <w:rFonts w:ascii="Arial" w:eastAsia="Calibri" w:hAnsi="Arial" w:cs="Arial"/>
          <w:sz w:val="24"/>
          <w:szCs w:val="24"/>
          <w:lang w:eastAsia="en-GB"/>
        </w:rPr>
        <w:t>year trend</w:t>
      </w:r>
      <w:r w:rsidR="0006593D" w:rsidRPr="00B568F3" w:rsidDel="009A66DB">
        <w:rPr>
          <w:rFonts w:ascii="Arial" w:eastAsia="Calibri" w:hAnsi="Arial" w:cs="Arial"/>
          <w:sz w:val="24"/>
          <w:szCs w:val="24"/>
          <w:lang w:eastAsia="en-GB"/>
        </w:rPr>
        <w:t xml:space="preserve"> </w:t>
      </w:r>
      <w:r w:rsidR="0006593D" w:rsidRPr="00B568F3">
        <w:rPr>
          <w:rFonts w:ascii="Arial" w:eastAsia="Calibri" w:hAnsi="Arial" w:cs="Arial"/>
          <w:sz w:val="24"/>
          <w:szCs w:val="24"/>
          <w:lang w:eastAsia="en-GB"/>
        </w:rPr>
        <w:t xml:space="preserve">of training places booked and </w:t>
      </w:r>
      <w:r w:rsidR="00580FA6" w:rsidRPr="00B568F3">
        <w:rPr>
          <w:rFonts w:ascii="Arial" w:eastAsia="Calibri" w:hAnsi="Arial" w:cs="Arial"/>
          <w:sz w:val="24"/>
          <w:szCs w:val="24"/>
          <w:lang w:eastAsia="en-GB"/>
        </w:rPr>
        <w:t xml:space="preserve">the </w:t>
      </w:r>
      <w:r w:rsidR="0006593D" w:rsidRPr="00B568F3">
        <w:rPr>
          <w:rFonts w:ascii="Arial" w:eastAsia="Calibri" w:hAnsi="Arial" w:cs="Arial"/>
          <w:sz w:val="24"/>
          <w:szCs w:val="24"/>
          <w:lang w:eastAsia="en-GB"/>
        </w:rPr>
        <w:t>people attending</w:t>
      </w:r>
      <w:r w:rsidR="000D2FFC" w:rsidRPr="00B568F3">
        <w:rPr>
          <w:rFonts w:ascii="Arial" w:eastAsia="Calibri" w:hAnsi="Arial" w:cs="Arial"/>
          <w:sz w:val="24"/>
          <w:szCs w:val="24"/>
          <w:lang w:eastAsia="en-GB"/>
        </w:rPr>
        <w:t xml:space="preserve"> by service type</w:t>
      </w:r>
      <w:r w:rsidR="00F07F19" w:rsidRPr="00B568F3">
        <w:rPr>
          <w:rFonts w:ascii="Arial" w:eastAsia="Calibri" w:hAnsi="Arial" w:cs="Arial"/>
          <w:sz w:val="24"/>
          <w:szCs w:val="24"/>
          <w:lang w:eastAsia="en-GB"/>
        </w:rPr>
        <w:t xml:space="preserve">. It </w:t>
      </w:r>
      <w:r w:rsidR="001573E7" w:rsidRPr="00B568F3">
        <w:rPr>
          <w:rFonts w:ascii="Arial" w:eastAsia="Calibri" w:hAnsi="Arial" w:cs="Arial"/>
          <w:sz w:val="24"/>
          <w:szCs w:val="24"/>
          <w:lang w:eastAsia="en-GB"/>
        </w:rPr>
        <w:t>shows that for the last three years</w:t>
      </w:r>
      <w:r w:rsidR="008542BC" w:rsidRPr="00B568F3">
        <w:rPr>
          <w:rFonts w:ascii="Arial" w:eastAsia="Calibri" w:hAnsi="Arial" w:cs="Arial"/>
          <w:sz w:val="24"/>
          <w:szCs w:val="24"/>
          <w:lang w:eastAsia="en-GB"/>
        </w:rPr>
        <w:t>,</w:t>
      </w:r>
      <w:r w:rsidR="001573E7" w:rsidRPr="00B568F3">
        <w:rPr>
          <w:rFonts w:ascii="Arial" w:eastAsia="Calibri" w:hAnsi="Arial" w:cs="Arial"/>
          <w:sz w:val="24"/>
          <w:szCs w:val="24"/>
          <w:lang w:eastAsia="en-GB"/>
        </w:rPr>
        <w:t xml:space="preserve"> the proportion of training places booked and attended is dominated by the statutory sector. </w:t>
      </w:r>
      <w:r w:rsidR="00506FB0" w:rsidRPr="00B568F3">
        <w:rPr>
          <w:rFonts w:ascii="Arial" w:eastAsia="Calibri" w:hAnsi="Arial" w:cs="Arial"/>
          <w:sz w:val="24"/>
          <w:szCs w:val="24"/>
          <w:lang w:eastAsia="en-GB"/>
        </w:rPr>
        <w:t>This is</w:t>
      </w:r>
      <w:r w:rsidR="00580FA6" w:rsidRPr="00B568F3">
        <w:rPr>
          <w:rFonts w:ascii="Arial" w:eastAsia="Calibri" w:hAnsi="Arial" w:cs="Arial"/>
          <w:sz w:val="24"/>
          <w:szCs w:val="24"/>
          <w:lang w:eastAsia="en-GB"/>
        </w:rPr>
        <w:t>n’t in proportion</w:t>
      </w:r>
      <w:r w:rsidR="00506FB0" w:rsidRPr="00B568F3" w:rsidDel="00580FA6">
        <w:rPr>
          <w:rFonts w:ascii="Arial" w:eastAsia="Calibri" w:hAnsi="Arial" w:cs="Arial"/>
          <w:sz w:val="24"/>
          <w:szCs w:val="24"/>
          <w:lang w:eastAsia="en-GB"/>
        </w:rPr>
        <w:t xml:space="preserve"> </w:t>
      </w:r>
      <w:r w:rsidR="00506FB0" w:rsidRPr="00B568F3">
        <w:rPr>
          <w:rFonts w:ascii="Arial" w:eastAsia="Calibri" w:hAnsi="Arial" w:cs="Arial"/>
          <w:sz w:val="24"/>
          <w:szCs w:val="24"/>
          <w:lang w:eastAsia="en-GB"/>
        </w:rPr>
        <w:t xml:space="preserve">when </w:t>
      </w:r>
      <w:r w:rsidR="00C62ED3" w:rsidRPr="00B568F3">
        <w:rPr>
          <w:rFonts w:ascii="Arial" w:eastAsia="Calibri" w:hAnsi="Arial" w:cs="Arial"/>
          <w:sz w:val="24"/>
          <w:szCs w:val="24"/>
          <w:lang w:eastAsia="en-GB"/>
        </w:rPr>
        <w:t>considering 63</w:t>
      </w:r>
      <w:r w:rsidR="00580FA6" w:rsidRPr="00B568F3">
        <w:rPr>
          <w:rFonts w:ascii="Arial" w:eastAsia="Calibri" w:hAnsi="Arial" w:cs="Arial"/>
          <w:sz w:val="24"/>
          <w:szCs w:val="24"/>
          <w:lang w:eastAsia="en-GB"/>
        </w:rPr>
        <w:t xml:space="preserve"> per cent</w:t>
      </w:r>
      <w:r w:rsidR="00C62ED3" w:rsidRPr="00B568F3">
        <w:rPr>
          <w:rFonts w:ascii="Arial" w:eastAsia="Calibri" w:hAnsi="Arial" w:cs="Arial"/>
          <w:sz w:val="24"/>
          <w:szCs w:val="24"/>
          <w:lang w:eastAsia="en-GB"/>
        </w:rPr>
        <w:t xml:space="preserve"> of the estimated number of people employed in the social care workforce in Wales work for c</w:t>
      </w:r>
      <w:r w:rsidR="00582D93" w:rsidRPr="00B568F3">
        <w:rPr>
          <w:rFonts w:ascii="Arial" w:eastAsia="Calibri" w:hAnsi="Arial" w:cs="Arial"/>
          <w:sz w:val="24"/>
          <w:szCs w:val="24"/>
          <w:lang w:eastAsia="en-GB"/>
        </w:rPr>
        <w:t>ommissioned providers</w:t>
      </w:r>
      <w:r w:rsidR="00C62ED3" w:rsidRPr="00B568F3">
        <w:rPr>
          <w:rFonts w:ascii="Arial" w:eastAsia="Calibri" w:hAnsi="Arial" w:cs="Arial"/>
          <w:sz w:val="24"/>
          <w:szCs w:val="24"/>
          <w:lang w:eastAsia="en-GB"/>
        </w:rPr>
        <w:t>.</w:t>
      </w:r>
    </w:p>
    <w:p w14:paraId="7B5A6947" w14:textId="77777777" w:rsidR="00181285" w:rsidRPr="00B568F3" w:rsidRDefault="00181285" w:rsidP="005E09F1">
      <w:pPr>
        <w:spacing w:after="200" w:line="276" w:lineRule="auto"/>
        <w:ind w:left="709"/>
        <w:contextualSpacing/>
        <w:rPr>
          <w:rFonts w:ascii="Arial" w:eastAsia="Calibri" w:hAnsi="Arial" w:cs="Arial"/>
          <w:sz w:val="24"/>
          <w:szCs w:val="24"/>
          <w:lang w:eastAsia="en-GB"/>
        </w:rPr>
      </w:pPr>
    </w:p>
    <w:p w14:paraId="7D23417A" w14:textId="2848D252" w:rsidR="00CF1B0C" w:rsidRPr="00B568F3" w:rsidRDefault="00321D59"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This</w:t>
      </w:r>
      <w:r w:rsidR="00ED38D1" w:rsidRPr="00B568F3">
        <w:rPr>
          <w:rFonts w:ascii="Arial" w:eastAsia="Calibri" w:hAnsi="Arial" w:cs="Arial"/>
          <w:sz w:val="24"/>
          <w:szCs w:val="24"/>
          <w:lang w:eastAsia="en-GB"/>
        </w:rPr>
        <w:t xml:space="preserve"> has been an</w:t>
      </w:r>
      <w:r w:rsidR="00EB663C" w:rsidRPr="00B568F3">
        <w:rPr>
          <w:rFonts w:ascii="Arial" w:eastAsia="Calibri" w:hAnsi="Arial" w:cs="Arial"/>
          <w:sz w:val="24"/>
          <w:szCs w:val="24"/>
          <w:lang w:eastAsia="en-GB"/>
        </w:rPr>
        <w:t xml:space="preserve"> area of focus in the grant </w:t>
      </w:r>
      <w:r w:rsidR="00861DB0" w:rsidRPr="00B568F3">
        <w:rPr>
          <w:rFonts w:ascii="Arial" w:eastAsia="Calibri" w:hAnsi="Arial" w:cs="Arial"/>
          <w:sz w:val="24"/>
          <w:szCs w:val="24"/>
          <w:lang w:eastAsia="en-GB"/>
        </w:rPr>
        <w:t xml:space="preserve">circular </w:t>
      </w:r>
      <w:r w:rsidR="0087668E" w:rsidRPr="00B568F3">
        <w:rPr>
          <w:rFonts w:ascii="Arial" w:eastAsia="Calibri" w:hAnsi="Arial" w:cs="Arial"/>
          <w:sz w:val="24"/>
          <w:szCs w:val="24"/>
          <w:lang w:eastAsia="en-GB"/>
        </w:rPr>
        <w:t xml:space="preserve">over the past few years </w:t>
      </w:r>
      <w:r w:rsidR="00861DB0" w:rsidRPr="00B568F3">
        <w:rPr>
          <w:rFonts w:ascii="Arial" w:eastAsia="Calibri" w:hAnsi="Arial" w:cs="Arial"/>
          <w:sz w:val="24"/>
          <w:szCs w:val="24"/>
          <w:lang w:eastAsia="en-GB"/>
        </w:rPr>
        <w:t>where we stated</w:t>
      </w:r>
      <w:r w:rsidR="00D15912" w:rsidRPr="00B568F3">
        <w:rPr>
          <w:rFonts w:ascii="Arial" w:eastAsia="Calibri" w:hAnsi="Arial" w:cs="Arial"/>
          <w:sz w:val="24"/>
          <w:szCs w:val="24"/>
          <w:lang w:eastAsia="en-GB"/>
        </w:rPr>
        <w:t>:</w:t>
      </w:r>
      <w:r w:rsidR="00861DB0" w:rsidRPr="00B568F3" w:rsidDel="00953A7F">
        <w:rPr>
          <w:rFonts w:ascii="Arial" w:eastAsia="Calibri" w:hAnsi="Arial" w:cs="Arial"/>
          <w:sz w:val="24"/>
          <w:szCs w:val="24"/>
          <w:lang w:eastAsia="en-GB"/>
        </w:rPr>
        <w:t xml:space="preserve"> </w:t>
      </w:r>
      <w:r w:rsidR="00861DB0" w:rsidRPr="00B568F3">
        <w:rPr>
          <w:rFonts w:ascii="Arial" w:eastAsia="Calibri" w:hAnsi="Arial" w:cs="Arial"/>
          <w:sz w:val="24"/>
          <w:szCs w:val="24"/>
          <w:lang w:eastAsia="en-GB"/>
        </w:rPr>
        <w:t>“</w:t>
      </w:r>
      <w:r w:rsidR="00861DB0" w:rsidRPr="00B568F3">
        <w:rPr>
          <w:rFonts w:ascii="Arial" w:eastAsia="Calibri" w:hAnsi="Arial" w:cs="Arial"/>
          <w:sz w:val="24"/>
          <w:szCs w:val="24"/>
        </w:rPr>
        <w:t>The grant must be used to support equality of access to all types of social care providers in each region</w:t>
      </w:r>
      <w:r w:rsidR="00432820" w:rsidRPr="00B568F3">
        <w:rPr>
          <w:rFonts w:ascii="Arial" w:eastAsia="Calibri" w:hAnsi="Arial" w:cs="Arial"/>
          <w:sz w:val="24"/>
          <w:szCs w:val="24"/>
        </w:rPr>
        <w:t>,</w:t>
      </w:r>
      <w:r w:rsidR="00861DB0" w:rsidRPr="00B568F3">
        <w:rPr>
          <w:rFonts w:ascii="Arial" w:eastAsia="Calibri" w:hAnsi="Arial" w:cs="Arial"/>
          <w:sz w:val="24"/>
          <w:szCs w:val="24"/>
        </w:rPr>
        <w:t xml:space="preserve"> and spend should be broadly reflective of the profile of the sector in the local authority and region</w:t>
      </w:r>
      <w:r w:rsidR="00C027E0" w:rsidRPr="00B568F3">
        <w:rPr>
          <w:rFonts w:ascii="Arial" w:eastAsia="Calibri" w:hAnsi="Arial" w:cs="Arial"/>
          <w:sz w:val="24"/>
          <w:szCs w:val="24"/>
        </w:rPr>
        <w:t>.</w:t>
      </w:r>
      <w:r w:rsidR="00E9665C" w:rsidRPr="00B568F3">
        <w:rPr>
          <w:rFonts w:ascii="Arial" w:eastAsia="Calibri" w:hAnsi="Arial" w:cs="Arial"/>
          <w:sz w:val="24"/>
          <w:szCs w:val="24"/>
        </w:rPr>
        <w:t>”</w:t>
      </w:r>
      <w:r w:rsidR="00861DB0" w:rsidRPr="00B568F3">
        <w:rPr>
          <w:rFonts w:ascii="Arial" w:eastAsia="Calibri" w:hAnsi="Arial" w:cs="Arial"/>
          <w:sz w:val="24"/>
          <w:szCs w:val="24"/>
          <w:lang w:eastAsia="en-GB"/>
        </w:rPr>
        <w:t xml:space="preserve"> </w:t>
      </w:r>
      <w:r w:rsidR="002F0250" w:rsidRPr="00B568F3">
        <w:rPr>
          <w:rFonts w:ascii="Arial" w:eastAsia="Calibri" w:hAnsi="Arial" w:cs="Arial"/>
          <w:sz w:val="24"/>
          <w:szCs w:val="24"/>
          <w:lang w:eastAsia="en-GB"/>
        </w:rPr>
        <w:t>But</w:t>
      </w:r>
      <w:r w:rsidR="003B1DD6" w:rsidRPr="00B568F3">
        <w:rPr>
          <w:rFonts w:ascii="Arial" w:eastAsia="Calibri" w:hAnsi="Arial" w:cs="Arial"/>
          <w:sz w:val="24"/>
          <w:szCs w:val="24"/>
          <w:lang w:eastAsia="en-GB"/>
        </w:rPr>
        <w:t xml:space="preserve"> it</w:t>
      </w:r>
      <w:r w:rsidR="00C027E0" w:rsidRPr="00B568F3">
        <w:rPr>
          <w:rFonts w:ascii="Arial" w:eastAsia="Calibri" w:hAnsi="Arial" w:cs="Arial"/>
          <w:sz w:val="24"/>
          <w:szCs w:val="24"/>
          <w:lang w:eastAsia="en-GB"/>
        </w:rPr>
        <w:t>’s</w:t>
      </w:r>
      <w:r w:rsidR="003B1DD6" w:rsidRPr="00B568F3">
        <w:rPr>
          <w:rFonts w:ascii="Arial" w:eastAsia="Calibri" w:hAnsi="Arial" w:cs="Arial"/>
          <w:sz w:val="24"/>
          <w:szCs w:val="24"/>
          <w:lang w:eastAsia="en-GB"/>
        </w:rPr>
        <w:t xml:space="preserve"> clear from the data that th</w:t>
      </w:r>
      <w:r w:rsidR="00BE3872" w:rsidRPr="00B568F3">
        <w:rPr>
          <w:rFonts w:ascii="Arial" w:eastAsia="Calibri" w:hAnsi="Arial" w:cs="Arial"/>
          <w:sz w:val="24"/>
          <w:szCs w:val="24"/>
          <w:lang w:eastAsia="en-GB"/>
        </w:rPr>
        <w:t xml:space="preserve">e progress towards </w:t>
      </w:r>
      <w:r w:rsidR="009529E8" w:rsidRPr="00B568F3">
        <w:rPr>
          <w:rFonts w:ascii="Arial" w:eastAsia="Calibri" w:hAnsi="Arial" w:cs="Arial"/>
          <w:sz w:val="24"/>
          <w:szCs w:val="24"/>
          <w:lang w:eastAsia="en-GB"/>
        </w:rPr>
        <w:t xml:space="preserve">training take-up and attendance to </w:t>
      </w:r>
      <w:r w:rsidR="001C589E" w:rsidRPr="00B568F3">
        <w:rPr>
          <w:rFonts w:ascii="Arial" w:eastAsia="Calibri" w:hAnsi="Arial" w:cs="Arial"/>
          <w:sz w:val="24"/>
          <w:szCs w:val="24"/>
          <w:lang w:eastAsia="en-GB"/>
        </w:rPr>
        <w:t>broadly</w:t>
      </w:r>
      <w:r w:rsidR="009529E8" w:rsidRPr="00B568F3">
        <w:rPr>
          <w:rFonts w:ascii="Arial" w:eastAsia="Calibri" w:hAnsi="Arial" w:cs="Arial"/>
          <w:sz w:val="24"/>
          <w:szCs w:val="24"/>
          <w:lang w:eastAsia="en-GB"/>
        </w:rPr>
        <w:t xml:space="preserve"> reflect the profile of the sector isn</w:t>
      </w:r>
      <w:r w:rsidR="00C027E0" w:rsidRPr="00B568F3">
        <w:rPr>
          <w:rFonts w:ascii="Arial" w:eastAsia="Calibri" w:hAnsi="Arial" w:cs="Arial"/>
          <w:sz w:val="24"/>
          <w:szCs w:val="24"/>
          <w:lang w:eastAsia="en-GB"/>
        </w:rPr>
        <w:t>’</w:t>
      </w:r>
      <w:r w:rsidR="009529E8" w:rsidRPr="00B568F3">
        <w:rPr>
          <w:rFonts w:ascii="Arial" w:eastAsia="Calibri" w:hAnsi="Arial" w:cs="Arial"/>
          <w:sz w:val="24"/>
          <w:szCs w:val="24"/>
          <w:lang w:eastAsia="en-GB"/>
        </w:rPr>
        <w:t>t progressing as we</w:t>
      </w:r>
      <w:r w:rsidR="009529E8" w:rsidRPr="00B568F3" w:rsidDel="00C027E0">
        <w:rPr>
          <w:rFonts w:ascii="Arial" w:eastAsia="Calibri" w:hAnsi="Arial" w:cs="Arial"/>
          <w:sz w:val="24"/>
          <w:szCs w:val="24"/>
          <w:lang w:eastAsia="en-GB"/>
        </w:rPr>
        <w:t xml:space="preserve"> </w:t>
      </w:r>
      <w:r w:rsidR="00083585" w:rsidRPr="00B568F3">
        <w:rPr>
          <w:rFonts w:ascii="Arial" w:eastAsia="Calibri" w:hAnsi="Arial" w:cs="Arial"/>
          <w:sz w:val="24"/>
          <w:szCs w:val="24"/>
          <w:lang w:eastAsia="en-GB"/>
        </w:rPr>
        <w:t>anticipated</w:t>
      </w:r>
      <w:r w:rsidR="00EC7E7C" w:rsidRPr="00B568F3">
        <w:rPr>
          <w:rFonts w:ascii="Arial" w:eastAsia="Calibri" w:hAnsi="Arial" w:cs="Arial"/>
          <w:sz w:val="24"/>
          <w:szCs w:val="24"/>
          <w:lang w:eastAsia="en-GB"/>
        </w:rPr>
        <w:t>. T</w:t>
      </w:r>
      <w:r w:rsidR="00BE151A" w:rsidRPr="00B568F3">
        <w:rPr>
          <w:rFonts w:ascii="Arial" w:eastAsia="Calibri" w:hAnsi="Arial" w:cs="Arial"/>
          <w:sz w:val="24"/>
          <w:szCs w:val="24"/>
          <w:lang w:eastAsia="en-GB"/>
        </w:rPr>
        <w:t xml:space="preserve">his </w:t>
      </w:r>
      <w:r w:rsidR="00CF1B0C" w:rsidRPr="00B568F3">
        <w:rPr>
          <w:rFonts w:ascii="Arial" w:eastAsia="Calibri" w:hAnsi="Arial" w:cs="Arial"/>
          <w:sz w:val="24"/>
          <w:szCs w:val="24"/>
          <w:lang w:eastAsia="en-GB"/>
        </w:rPr>
        <w:t xml:space="preserve">area </w:t>
      </w:r>
      <w:r w:rsidR="00BE151A" w:rsidRPr="00B568F3">
        <w:rPr>
          <w:rFonts w:ascii="Arial" w:eastAsia="Calibri" w:hAnsi="Arial" w:cs="Arial"/>
          <w:sz w:val="24"/>
          <w:szCs w:val="24"/>
          <w:lang w:eastAsia="en-GB"/>
        </w:rPr>
        <w:t xml:space="preserve">will </w:t>
      </w:r>
      <w:r w:rsidR="001C589E" w:rsidRPr="00B568F3">
        <w:rPr>
          <w:rFonts w:ascii="Arial" w:eastAsia="Calibri" w:hAnsi="Arial" w:cs="Arial"/>
          <w:sz w:val="24"/>
          <w:szCs w:val="24"/>
          <w:lang w:eastAsia="en-GB"/>
        </w:rPr>
        <w:t xml:space="preserve">be </w:t>
      </w:r>
      <w:r w:rsidR="00343EBC" w:rsidRPr="00B568F3">
        <w:rPr>
          <w:rFonts w:ascii="Arial" w:eastAsia="Calibri" w:hAnsi="Arial" w:cs="Arial"/>
          <w:sz w:val="24"/>
          <w:szCs w:val="24"/>
          <w:lang w:eastAsia="en-GB"/>
        </w:rPr>
        <w:t xml:space="preserve">strengthened </w:t>
      </w:r>
      <w:r w:rsidR="00CF1B0C" w:rsidRPr="00B568F3">
        <w:rPr>
          <w:rFonts w:ascii="Arial" w:eastAsia="Calibri" w:hAnsi="Arial" w:cs="Arial"/>
          <w:sz w:val="24"/>
          <w:szCs w:val="24"/>
          <w:lang w:eastAsia="en-GB"/>
        </w:rPr>
        <w:t xml:space="preserve">even more </w:t>
      </w:r>
      <w:r w:rsidR="005D212B" w:rsidRPr="00B568F3">
        <w:rPr>
          <w:rFonts w:ascii="Arial" w:eastAsia="Calibri" w:hAnsi="Arial" w:cs="Arial"/>
          <w:sz w:val="24"/>
          <w:szCs w:val="24"/>
          <w:lang w:eastAsia="en-GB"/>
        </w:rPr>
        <w:t xml:space="preserve">as part of the </w:t>
      </w:r>
      <w:r w:rsidR="00BE151A" w:rsidRPr="00B568F3">
        <w:rPr>
          <w:rFonts w:ascii="Arial" w:eastAsia="Calibri" w:hAnsi="Arial" w:cs="Arial"/>
          <w:sz w:val="24"/>
          <w:szCs w:val="24"/>
          <w:lang w:eastAsia="en-GB"/>
        </w:rPr>
        <w:t>2025/2026 grant circular</w:t>
      </w:r>
      <w:r w:rsidR="00E9739A" w:rsidRPr="00B568F3">
        <w:rPr>
          <w:rFonts w:ascii="Arial" w:eastAsia="Calibri" w:hAnsi="Arial" w:cs="Arial"/>
          <w:sz w:val="24"/>
          <w:szCs w:val="24"/>
          <w:lang w:eastAsia="en-GB"/>
        </w:rPr>
        <w:t>.</w:t>
      </w:r>
    </w:p>
    <w:p w14:paraId="2F54C522" w14:textId="27392523" w:rsidR="0061421D" w:rsidRPr="00B568F3" w:rsidRDefault="0061421D" w:rsidP="00B814B7">
      <w:pPr>
        <w:spacing w:after="200" w:line="276" w:lineRule="auto"/>
        <w:contextualSpacing/>
        <w:rPr>
          <w:rFonts w:ascii="Arial" w:eastAsia="Calibri" w:hAnsi="Arial" w:cs="Arial"/>
          <w:sz w:val="24"/>
          <w:szCs w:val="24"/>
          <w:lang w:eastAsia="en-GB"/>
        </w:rPr>
      </w:pPr>
    </w:p>
    <w:p w14:paraId="48A2441B" w14:textId="77777777" w:rsidR="007143DC" w:rsidRPr="00B568F3" w:rsidRDefault="007143DC" w:rsidP="00B814B7">
      <w:pPr>
        <w:spacing w:after="200" w:line="276" w:lineRule="auto"/>
        <w:contextualSpacing/>
        <w:rPr>
          <w:rFonts w:ascii="Arial" w:eastAsia="Calibri" w:hAnsi="Arial" w:cs="Arial"/>
          <w:sz w:val="24"/>
          <w:szCs w:val="24"/>
          <w:lang w:eastAsia="en-GB"/>
        </w:rPr>
      </w:pPr>
    </w:p>
    <w:tbl>
      <w:tblPr>
        <w:tblStyle w:val="TableGrid"/>
        <w:tblW w:w="9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D1B1F" w:rsidRPr="00B568F3" w14:paraId="3AAD78D5" w14:textId="77777777" w:rsidTr="4BA15C28">
        <w:trPr>
          <w:jc w:val="center"/>
        </w:trPr>
        <w:tc>
          <w:tcPr>
            <w:tcW w:w="9026" w:type="dxa"/>
          </w:tcPr>
          <w:p w14:paraId="516103E4" w14:textId="2C11F9E8" w:rsidR="002D1B1F" w:rsidRPr="00B568F3" w:rsidRDefault="002D1B1F" w:rsidP="00FC716F">
            <w:pPr>
              <w:contextualSpacing/>
              <w:rPr>
                <w:rFonts w:ascii="Arial" w:eastAsia="Calibri" w:hAnsi="Arial" w:cs="Arial"/>
                <w:b/>
                <w:bCs/>
                <w:sz w:val="24"/>
                <w:szCs w:val="24"/>
              </w:rPr>
            </w:pPr>
            <w:r w:rsidRPr="00B568F3">
              <w:rPr>
                <w:rFonts w:ascii="Arial" w:eastAsia="Calibri" w:hAnsi="Arial" w:cs="Arial"/>
                <w:b/>
                <w:bCs/>
                <w:sz w:val="24"/>
                <w:szCs w:val="24"/>
              </w:rPr>
              <w:t xml:space="preserve">Figure </w:t>
            </w:r>
            <w:r w:rsidR="00066981" w:rsidRPr="00B568F3">
              <w:rPr>
                <w:rFonts w:ascii="Arial" w:eastAsia="Calibri" w:hAnsi="Arial" w:cs="Arial"/>
                <w:b/>
                <w:bCs/>
                <w:sz w:val="24"/>
                <w:szCs w:val="24"/>
              </w:rPr>
              <w:t>10</w:t>
            </w:r>
            <w:r w:rsidRPr="00B568F3">
              <w:rPr>
                <w:rFonts w:ascii="Arial" w:eastAsia="Calibri" w:hAnsi="Arial" w:cs="Arial"/>
                <w:b/>
                <w:bCs/>
                <w:sz w:val="24"/>
                <w:szCs w:val="24"/>
              </w:rPr>
              <w:t xml:space="preserve">: Training attendance numbers, </w:t>
            </w:r>
            <w:r w:rsidR="00CF1B0C" w:rsidRPr="00B568F3">
              <w:rPr>
                <w:rFonts w:ascii="Arial" w:eastAsia="Calibri" w:hAnsi="Arial" w:cs="Arial"/>
                <w:b/>
                <w:bCs/>
                <w:sz w:val="24"/>
                <w:szCs w:val="24"/>
              </w:rPr>
              <w:t xml:space="preserve">the </w:t>
            </w:r>
            <w:r w:rsidRPr="00B568F3">
              <w:rPr>
                <w:rFonts w:ascii="Arial" w:eastAsia="Calibri" w:hAnsi="Arial" w:cs="Arial"/>
                <w:b/>
                <w:bCs/>
                <w:sz w:val="24"/>
                <w:szCs w:val="24"/>
              </w:rPr>
              <w:t>three</w:t>
            </w:r>
            <w:r w:rsidR="004A4ED5" w:rsidRPr="00B568F3">
              <w:rPr>
                <w:rFonts w:ascii="Arial" w:eastAsia="Calibri" w:hAnsi="Arial" w:cs="Arial"/>
                <w:b/>
                <w:bCs/>
                <w:sz w:val="24"/>
                <w:szCs w:val="24"/>
              </w:rPr>
              <w:t>-</w:t>
            </w:r>
            <w:r w:rsidRPr="00B568F3">
              <w:rPr>
                <w:rFonts w:ascii="Arial" w:eastAsia="Calibri" w:hAnsi="Arial" w:cs="Arial"/>
                <w:b/>
                <w:bCs/>
                <w:sz w:val="24"/>
                <w:szCs w:val="24"/>
              </w:rPr>
              <w:t xml:space="preserve">year trend </w:t>
            </w:r>
          </w:p>
          <w:p w14:paraId="11DF32D3" w14:textId="77777777" w:rsidR="002D1B1F" w:rsidRPr="00B568F3" w:rsidRDefault="002D1B1F" w:rsidP="00FC716F">
            <w:pPr>
              <w:spacing w:before="120" w:after="120"/>
              <w:contextualSpacing/>
              <w:rPr>
                <w:rFonts w:ascii="Arial" w:eastAsia="Calibri" w:hAnsi="Arial" w:cs="Arial"/>
                <w:b/>
                <w:bCs/>
                <w:color w:val="FF0000"/>
                <w:sz w:val="24"/>
                <w:szCs w:val="24"/>
              </w:rPr>
            </w:pPr>
          </w:p>
        </w:tc>
      </w:tr>
      <w:tr w:rsidR="002D1B1F" w:rsidRPr="00B568F3" w14:paraId="4A342C98" w14:textId="77777777" w:rsidTr="4BA15C28">
        <w:trPr>
          <w:jc w:val="center"/>
        </w:trPr>
        <w:tc>
          <w:tcPr>
            <w:tcW w:w="9026" w:type="dxa"/>
          </w:tcPr>
          <w:p w14:paraId="2C01555A" w14:textId="77777777" w:rsidR="002D1B1F" w:rsidRPr="00B568F3" w:rsidRDefault="002D1B1F" w:rsidP="00FC716F">
            <w:pPr>
              <w:contextualSpacing/>
              <w:rPr>
                <w:rFonts w:ascii="Arial" w:eastAsia="Calibri" w:hAnsi="Arial" w:cs="Arial"/>
                <w:color w:val="FF0000"/>
                <w:sz w:val="24"/>
                <w:szCs w:val="24"/>
              </w:rPr>
            </w:pPr>
            <w:r w:rsidRPr="00B568F3">
              <w:rPr>
                <w:rFonts w:ascii="Arial" w:eastAsia="Calibri" w:hAnsi="Arial" w:cs="Arial"/>
                <w:noProof/>
                <w:color w:val="FF0000"/>
                <w:sz w:val="24"/>
                <w:szCs w:val="24"/>
              </w:rPr>
              <w:drawing>
                <wp:inline distT="0" distB="0" distL="0" distR="0" wp14:anchorId="56888E52" wp14:editId="14CF8EE8">
                  <wp:extent cx="5634447" cy="3681351"/>
                  <wp:effectExtent l="0" t="0" r="4445" b="0"/>
                  <wp:docPr id="646517967" name="Picture 2" descr="Figure 10: Bar chart showing training attendance numbers, the three-year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17967" name="Picture 2" descr="Figure 10: Bar chart showing training attendance numbers, the three-year tren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57512" cy="3696421"/>
                          </a:xfrm>
                          <a:prstGeom prst="rect">
                            <a:avLst/>
                          </a:prstGeom>
                        </pic:spPr>
                      </pic:pic>
                    </a:graphicData>
                  </a:graphic>
                </wp:inline>
              </w:drawing>
            </w:r>
          </w:p>
        </w:tc>
      </w:tr>
    </w:tbl>
    <w:p w14:paraId="22327CED" w14:textId="77777777" w:rsidR="00DA3A32" w:rsidRPr="00B568F3" w:rsidRDefault="00DA3A32" w:rsidP="0099722F">
      <w:pPr>
        <w:spacing w:after="0" w:line="276" w:lineRule="auto"/>
        <w:contextualSpacing/>
        <w:rPr>
          <w:rFonts w:ascii="Arial" w:eastAsia="Calibri" w:hAnsi="Arial" w:cs="Arial"/>
          <w:sz w:val="24"/>
          <w:szCs w:val="24"/>
          <w:lang w:eastAsia="en-GB"/>
        </w:rPr>
      </w:pPr>
    </w:p>
    <w:p w14:paraId="492C4141" w14:textId="77777777" w:rsidR="00CD32E8" w:rsidRPr="00B568F3" w:rsidRDefault="00CD32E8" w:rsidP="0099722F">
      <w:pPr>
        <w:spacing w:after="0" w:line="276" w:lineRule="auto"/>
        <w:contextualSpacing/>
        <w:rPr>
          <w:rFonts w:ascii="Arial" w:eastAsia="Calibri" w:hAnsi="Arial" w:cs="Arial"/>
          <w:sz w:val="24"/>
          <w:szCs w:val="24"/>
          <w:lang w:eastAsia="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575AB" w:rsidRPr="00B568F3" w14:paraId="402F2960" w14:textId="77777777" w:rsidTr="4BA15C28">
        <w:trPr>
          <w:jc w:val="center"/>
        </w:trPr>
        <w:tc>
          <w:tcPr>
            <w:tcW w:w="9026" w:type="dxa"/>
          </w:tcPr>
          <w:p w14:paraId="0D6F56F6" w14:textId="28608DEA" w:rsidR="00F575AB" w:rsidRPr="00B568F3" w:rsidRDefault="00F575AB" w:rsidP="00FC716F">
            <w:pPr>
              <w:contextualSpacing/>
              <w:rPr>
                <w:rFonts w:ascii="Arial" w:eastAsia="Calibri" w:hAnsi="Arial" w:cs="Arial"/>
                <w:b/>
                <w:bCs/>
                <w:sz w:val="24"/>
                <w:szCs w:val="24"/>
              </w:rPr>
            </w:pPr>
            <w:r w:rsidRPr="00B568F3">
              <w:rPr>
                <w:rFonts w:ascii="Arial" w:eastAsia="Calibri" w:hAnsi="Arial" w:cs="Arial"/>
                <w:b/>
                <w:bCs/>
                <w:sz w:val="24"/>
                <w:szCs w:val="24"/>
              </w:rPr>
              <w:t xml:space="preserve">Figure 11: Training attendance </w:t>
            </w:r>
            <w:r w:rsidR="00CF1B0C" w:rsidRPr="00B568F3">
              <w:rPr>
                <w:rFonts w:ascii="Arial" w:eastAsia="Calibri" w:hAnsi="Arial" w:cs="Arial"/>
                <w:b/>
                <w:bCs/>
                <w:sz w:val="24"/>
                <w:szCs w:val="24"/>
              </w:rPr>
              <w:t>percentage</w:t>
            </w:r>
            <w:r w:rsidRPr="00B568F3">
              <w:rPr>
                <w:rFonts w:ascii="Arial" w:eastAsia="Calibri" w:hAnsi="Arial" w:cs="Arial"/>
                <w:b/>
                <w:bCs/>
                <w:sz w:val="24"/>
                <w:szCs w:val="24"/>
              </w:rPr>
              <w:t>,</w:t>
            </w:r>
            <w:r w:rsidR="00CF1B0C" w:rsidRPr="00B568F3">
              <w:rPr>
                <w:rFonts w:ascii="Arial" w:eastAsia="Calibri" w:hAnsi="Arial" w:cs="Arial"/>
                <w:b/>
                <w:bCs/>
                <w:sz w:val="24"/>
                <w:szCs w:val="24"/>
              </w:rPr>
              <w:t xml:space="preserve"> the</w:t>
            </w:r>
            <w:r w:rsidRPr="00B568F3">
              <w:rPr>
                <w:rFonts w:ascii="Arial" w:eastAsia="Calibri" w:hAnsi="Arial" w:cs="Arial"/>
                <w:b/>
                <w:bCs/>
                <w:sz w:val="24"/>
                <w:szCs w:val="24"/>
              </w:rPr>
              <w:t xml:space="preserve"> three</w:t>
            </w:r>
            <w:r w:rsidR="004A4ED5" w:rsidRPr="00B568F3">
              <w:rPr>
                <w:rFonts w:ascii="Arial" w:eastAsia="Calibri" w:hAnsi="Arial" w:cs="Arial"/>
                <w:b/>
                <w:bCs/>
                <w:sz w:val="24"/>
                <w:szCs w:val="24"/>
              </w:rPr>
              <w:t>-</w:t>
            </w:r>
            <w:r w:rsidRPr="00B568F3">
              <w:rPr>
                <w:rFonts w:ascii="Arial" w:eastAsia="Calibri" w:hAnsi="Arial" w:cs="Arial"/>
                <w:b/>
                <w:bCs/>
                <w:sz w:val="24"/>
                <w:szCs w:val="24"/>
              </w:rPr>
              <w:t xml:space="preserve">year trend </w:t>
            </w:r>
          </w:p>
          <w:p w14:paraId="0367CCF9" w14:textId="77777777" w:rsidR="00F575AB" w:rsidRPr="00B568F3" w:rsidRDefault="00F575AB" w:rsidP="00FC716F">
            <w:pPr>
              <w:spacing w:before="120" w:after="120"/>
              <w:contextualSpacing/>
              <w:rPr>
                <w:rFonts w:ascii="Arial" w:eastAsia="Calibri" w:hAnsi="Arial" w:cs="Arial"/>
                <w:b/>
                <w:bCs/>
                <w:color w:val="FF0000"/>
                <w:sz w:val="24"/>
                <w:szCs w:val="24"/>
              </w:rPr>
            </w:pPr>
          </w:p>
        </w:tc>
      </w:tr>
      <w:tr w:rsidR="00F575AB" w:rsidRPr="00B568F3" w14:paraId="4A6130C0" w14:textId="77777777" w:rsidTr="4BA15C28">
        <w:trPr>
          <w:jc w:val="center"/>
        </w:trPr>
        <w:tc>
          <w:tcPr>
            <w:tcW w:w="9026" w:type="dxa"/>
          </w:tcPr>
          <w:p w14:paraId="6C531533" w14:textId="77777777" w:rsidR="00F575AB" w:rsidRPr="00B568F3" w:rsidRDefault="00F575AB" w:rsidP="00FC716F">
            <w:pPr>
              <w:contextualSpacing/>
              <w:rPr>
                <w:rFonts w:ascii="Arial" w:eastAsia="Calibri" w:hAnsi="Arial" w:cs="Arial"/>
                <w:color w:val="FF0000"/>
                <w:sz w:val="24"/>
                <w:szCs w:val="24"/>
              </w:rPr>
            </w:pPr>
            <w:r w:rsidRPr="00B568F3">
              <w:rPr>
                <w:rFonts w:ascii="Arial" w:eastAsia="Calibri" w:hAnsi="Arial" w:cs="Arial"/>
                <w:noProof/>
                <w:color w:val="FF0000"/>
                <w:sz w:val="24"/>
                <w:szCs w:val="24"/>
              </w:rPr>
              <w:drawing>
                <wp:inline distT="0" distB="0" distL="0" distR="0" wp14:anchorId="0D980CE5" wp14:editId="2CB7A90E">
                  <wp:extent cx="5634000" cy="3681059"/>
                  <wp:effectExtent l="0" t="0" r="5080" b="0"/>
                  <wp:docPr id="1324548916" name="Picture 3" descr="Figure 11: Bar chart showing training attendance percentage, the three-year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48916" name="Picture 3" descr="Figure 11: Bar chart showing training attendance percentage, the three-year tren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34000" cy="3681059"/>
                          </a:xfrm>
                          <a:prstGeom prst="rect">
                            <a:avLst/>
                          </a:prstGeom>
                        </pic:spPr>
                      </pic:pic>
                    </a:graphicData>
                  </a:graphic>
                </wp:inline>
              </w:drawing>
            </w:r>
          </w:p>
        </w:tc>
      </w:tr>
    </w:tbl>
    <w:p w14:paraId="319B8406" w14:textId="77777777" w:rsidR="00F575AB" w:rsidRPr="00B568F3" w:rsidRDefault="00F575AB" w:rsidP="00F575AB">
      <w:pPr>
        <w:spacing w:after="0" w:line="276" w:lineRule="auto"/>
        <w:ind w:left="709"/>
        <w:contextualSpacing/>
        <w:rPr>
          <w:rFonts w:ascii="Arial" w:eastAsia="Calibri" w:hAnsi="Arial" w:cs="Arial"/>
          <w:sz w:val="24"/>
          <w:szCs w:val="24"/>
          <w:lang w:eastAsia="en-GB"/>
        </w:rPr>
      </w:pPr>
    </w:p>
    <w:p w14:paraId="4BAAB932" w14:textId="1D838C87" w:rsidR="003C2949" w:rsidRPr="00B568F3" w:rsidRDefault="0011229C"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Figure 11</w:t>
      </w:r>
      <w:r w:rsidR="00FD0EF3" w:rsidRPr="00B568F3">
        <w:rPr>
          <w:rFonts w:ascii="Arial" w:eastAsia="Calibri" w:hAnsi="Arial" w:cs="Arial"/>
          <w:sz w:val="24"/>
          <w:szCs w:val="24"/>
          <w:lang w:eastAsia="en-GB"/>
        </w:rPr>
        <w:t xml:space="preserve"> shows</w:t>
      </w:r>
      <w:r w:rsidR="00E0391A" w:rsidRPr="00B568F3">
        <w:rPr>
          <w:rFonts w:ascii="Arial" w:eastAsia="Calibri" w:hAnsi="Arial" w:cs="Arial"/>
          <w:sz w:val="24"/>
          <w:szCs w:val="24"/>
          <w:lang w:eastAsia="en-GB"/>
        </w:rPr>
        <w:t xml:space="preserve"> </w:t>
      </w:r>
      <w:r w:rsidRPr="00B568F3">
        <w:rPr>
          <w:rFonts w:ascii="Arial" w:eastAsia="Calibri" w:hAnsi="Arial" w:cs="Arial"/>
          <w:sz w:val="24"/>
          <w:szCs w:val="24"/>
          <w:lang w:eastAsia="en-GB"/>
        </w:rPr>
        <w:t xml:space="preserve">overall attendance </w:t>
      </w:r>
      <w:r w:rsidR="00A929D9" w:rsidRPr="00B568F3">
        <w:rPr>
          <w:rFonts w:ascii="Arial" w:eastAsia="Calibri" w:hAnsi="Arial" w:cs="Arial"/>
          <w:sz w:val="24"/>
          <w:szCs w:val="24"/>
          <w:lang w:eastAsia="en-GB"/>
        </w:rPr>
        <w:t>at</w:t>
      </w:r>
      <w:r w:rsidRPr="00B568F3">
        <w:rPr>
          <w:rFonts w:ascii="Arial" w:eastAsia="Calibri" w:hAnsi="Arial" w:cs="Arial"/>
          <w:sz w:val="24"/>
          <w:szCs w:val="24"/>
          <w:lang w:eastAsia="en-GB"/>
        </w:rPr>
        <w:t xml:space="preserve"> training fell from 85.6</w:t>
      </w:r>
      <w:r w:rsidR="008920AF" w:rsidRPr="00B568F3">
        <w:rPr>
          <w:rFonts w:ascii="Arial" w:eastAsia="Calibri" w:hAnsi="Arial" w:cs="Arial"/>
          <w:sz w:val="24"/>
          <w:szCs w:val="24"/>
          <w:lang w:eastAsia="en-GB"/>
        </w:rPr>
        <w:t xml:space="preserve"> per cent</w:t>
      </w:r>
      <w:r w:rsidRPr="00B568F3">
        <w:rPr>
          <w:rFonts w:ascii="Arial" w:eastAsia="Calibri" w:hAnsi="Arial" w:cs="Arial"/>
          <w:sz w:val="24"/>
          <w:szCs w:val="24"/>
          <w:lang w:eastAsia="en-GB"/>
        </w:rPr>
        <w:t xml:space="preserve"> in 2022</w:t>
      </w:r>
      <w:r w:rsidR="008920AF" w:rsidRPr="00B568F3">
        <w:rPr>
          <w:rFonts w:ascii="Arial" w:eastAsia="Calibri" w:hAnsi="Arial" w:cs="Arial"/>
          <w:sz w:val="24"/>
          <w:szCs w:val="24"/>
          <w:lang w:eastAsia="en-GB"/>
        </w:rPr>
        <w:t xml:space="preserve"> to</w:t>
      </w:r>
      <w:r w:rsidR="00A929D9" w:rsidRPr="00B568F3">
        <w:rPr>
          <w:rFonts w:ascii="Arial" w:eastAsia="Calibri" w:hAnsi="Arial" w:cs="Arial"/>
          <w:sz w:val="24"/>
          <w:szCs w:val="24"/>
          <w:lang w:eastAsia="en-GB"/>
        </w:rPr>
        <w:t xml:space="preserve"> </w:t>
      </w:r>
      <w:r w:rsidRPr="00B568F3">
        <w:rPr>
          <w:rFonts w:ascii="Arial" w:eastAsia="Calibri" w:hAnsi="Arial" w:cs="Arial"/>
          <w:sz w:val="24"/>
          <w:szCs w:val="24"/>
          <w:lang w:eastAsia="en-GB"/>
        </w:rPr>
        <w:t>2023</w:t>
      </w:r>
      <w:r w:rsidR="00A929D9" w:rsidRPr="00B568F3">
        <w:rPr>
          <w:rFonts w:ascii="Arial" w:eastAsia="Calibri" w:hAnsi="Arial" w:cs="Arial"/>
          <w:sz w:val="24"/>
          <w:szCs w:val="24"/>
          <w:lang w:eastAsia="en-GB"/>
        </w:rPr>
        <w:t>,</w:t>
      </w:r>
      <w:r w:rsidRPr="00B568F3">
        <w:rPr>
          <w:rFonts w:ascii="Arial" w:eastAsia="Calibri" w:hAnsi="Arial" w:cs="Arial"/>
          <w:sz w:val="24"/>
          <w:szCs w:val="24"/>
          <w:lang w:eastAsia="en-GB"/>
        </w:rPr>
        <w:t xml:space="preserve"> to 82.8</w:t>
      </w:r>
      <w:r w:rsidR="00077701" w:rsidRPr="00B568F3">
        <w:rPr>
          <w:rFonts w:ascii="Arial" w:eastAsia="Calibri" w:hAnsi="Arial" w:cs="Arial"/>
          <w:sz w:val="24"/>
          <w:szCs w:val="24"/>
          <w:lang w:eastAsia="en-GB"/>
        </w:rPr>
        <w:t xml:space="preserve"> per cent</w:t>
      </w:r>
      <w:r w:rsidRPr="00B568F3">
        <w:rPr>
          <w:rFonts w:ascii="Arial" w:eastAsia="Calibri" w:hAnsi="Arial" w:cs="Arial"/>
          <w:sz w:val="24"/>
          <w:szCs w:val="24"/>
          <w:lang w:eastAsia="en-GB"/>
        </w:rPr>
        <w:t xml:space="preserve"> in 2023</w:t>
      </w:r>
      <w:r w:rsidR="00077701" w:rsidRPr="00B568F3">
        <w:rPr>
          <w:rFonts w:ascii="Arial" w:eastAsia="Calibri" w:hAnsi="Arial" w:cs="Arial"/>
          <w:sz w:val="24"/>
          <w:szCs w:val="24"/>
          <w:lang w:eastAsia="en-GB"/>
        </w:rPr>
        <w:t xml:space="preserve"> to </w:t>
      </w:r>
      <w:r w:rsidRPr="00B568F3">
        <w:rPr>
          <w:rFonts w:ascii="Arial" w:eastAsia="Calibri" w:hAnsi="Arial" w:cs="Arial"/>
          <w:sz w:val="24"/>
          <w:szCs w:val="24"/>
          <w:lang w:eastAsia="en-GB"/>
        </w:rPr>
        <w:t>2024</w:t>
      </w:r>
      <w:r w:rsidR="00A929D9" w:rsidRPr="00B568F3">
        <w:rPr>
          <w:rFonts w:ascii="Arial" w:eastAsia="Calibri" w:hAnsi="Arial" w:cs="Arial"/>
          <w:sz w:val="24"/>
          <w:szCs w:val="24"/>
          <w:lang w:eastAsia="en-GB"/>
        </w:rPr>
        <w:t>,</w:t>
      </w:r>
      <w:r w:rsidR="00EF5D31" w:rsidRPr="00B568F3">
        <w:rPr>
          <w:rFonts w:ascii="Arial" w:eastAsia="Calibri" w:hAnsi="Arial" w:cs="Arial"/>
          <w:sz w:val="24"/>
          <w:szCs w:val="24"/>
          <w:lang w:eastAsia="en-GB"/>
        </w:rPr>
        <w:t xml:space="preserve"> but</w:t>
      </w:r>
      <w:r w:rsidR="00A929D9" w:rsidRPr="00B568F3">
        <w:rPr>
          <w:rFonts w:ascii="Arial" w:eastAsia="Calibri" w:hAnsi="Arial" w:cs="Arial"/>
          <w:sz w:val="24"/>
          <w:szCs w:val="24"/>
          <w:lang w:eastAsia="en-GB"/>
        </w:rPr>
        <w:t xml:space="preserve"> this</w:t>
      </w:r>
      <w:r w:rsidR="00EF5D31" w:rsidRPr="00B568F3">
        <w:rPr>
          <w:rFonts w:ascii="Arial" w:eastAsia="Calibri" w:hAnsi="Arial" w:cs="Arial"/>
          <w:sz w:val="24"/>
          <w:szCs w:val="24"/>
          <w:lang w:eastAsia="en-GB"/>
        </w:rPr>
        <w:t xml:space="preserve"> is still a high proportion</w:t>
      </w:r>
      <w:r w:rsidRPr="00B568F3">
        <w:rPr>
          <w:rFonts w:ascii="Arial" w:eastAsia="Calibri" w:hAnsi="Arial" w:cs="Arial"/>
          <w:sz w:val="24"/>
          <w:szCs w:val="24"/>
          <w:lang w:eastAsia="en-GB"/>
        </w:rPr>
        <w:t xml:space="preserve">. </w:t>
      </w:r>
    </w:p>
    <w:p w14:paraId="6EF949DD" w14:textId="77777777" w:rsidR="003C2949" w:rsidRPr="00B568F3" w:rsidRDefault="003C2949" w:rsidP="0099722F">
      <w:pPr>
        <w:spacing w:after="200" w:line="276" w:lineRule="auto"/>
        <w:ind w:left="567"/>
        <w:contextualSpacing/>
        <w:rPr>
          <w:rFonts w:ascii="Arial" w:eastAsia="Calibri" w:hAnsi="Arial" w:cs="Arial"/>
          <w:sz w:val="24"/>
          <w:szCs w:val="24"/>
          <w:lang w:eastAsia="en-GB"/>
        </w:rPr>
      </w:pPr>
    </w:p>
    <w:p w14:paraId="758B64B1" w14:textId="30C375C9" w:rsidR="0011229C" w:rsidRPr="00B568F3" w:rsidRDefault="0011229C"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There was an increase in training attendance </w:t>
      </w:r>
      <w:r w:rsidR="00EC7E7C" w:rsidRPr="00B568F3">
        <w:rPr>
          <w:rFonts w:ascii="Arial" w:eastAsia="Calibri" w:hAnsi="Arial" w:cs="Arial"/>
          <w:sz w:val="24"/>
          <w:szCs w:val="24"/>
          <w:lang w:eastAsia="en-GB"/>
        </w:rPr>
        <w:t xml:space="preserve">in </w:t>
      </w:r>
      <w:r w:rsidR="004A19ED" w:rsidRPr="00B568F3">
        <w:rPr>
          <w:rFonts w:ascii="Arial" w:eastAsia="Calibri" w:hAnsi="Arial" w:cs="Arial"/>
          <w:sz w:val="24"/>
          <w:szCs w:val="24"/>
          <w:lang w:eastAsia="en-GB"/>
        </w:rPr>
        <w:t>the voluntary</w:t>
      </w:r>
      <w:r w:rsidR="1FBD7313" w:rsidRPr="00B568F3">
        <w:rPr>
          <w:rFonts w:ascii="Arial" w:eastAsia="Calibri" w:hAnsi="Arial" w:cs="Arial"/>
          <w:sz w:val="24"/>
          <w:szCs w:val="24"/>
          <w:lang w:eastAsia="en-GB"/>
        </w:rPr>
        <w:t xml:space="preserve"> sector</w:t>
      </w:r>
      <w:r w:rsidR="004A19ED" w:rsidRPr="00B568F3">
        <w:rPr>
          <w:rFonts w:ascii="Arial" w:eastAsia="Calibri" w:hAnsi="Arial" w:cs="Arial"/>
          <w:sz w:val="24"/>
          <w:szCs w:val="24"/>
          <w:lang w:eastAsia="en-GB"/>
        </w:rPr>
        <w:t xml:space="preserve"> (rising from 76.6</w:t>
      </w:r>
      <w:r w:rsidR="00AC1255" w:rsidRPr="00B568F3">
        <w:rPr>
          <w:rFonts w:ascii="Arial" w:eastAsia="Calibri" w:hAnsi="Arial" w:cs="Arial"/>
          <w:sz w:val="24"/>
          <w:szCs w:val="24"/>
          <w:lang w:eastAsia="en-GB"/>
        </w:rPr>
        <w:t xml:space="preserve"> per cent</w:t>
      </w:r>
      <w:r w:rsidR="004A19ED" w:rsidRPr="00B568F3">
        <w:rPr>
          <w:rFonts w:ascii="Arial" w:eastAsia="Calibri" w:hAnsi="Arial" w:cs="Arial"/>
          <w:sz w:val="24"/>
          <w:szCs w:val="24"/>
          <w:lang w:eastAsia="en-GB"/>
        </w:rPr>
        <w:t xml:space="preserve"> </w:t>
      </w:r>
      <w:r w:rsidR="003C2949" w:rsidRPr="00B568F3">
        <w:rPr>
          <w:rFonts w:ascii="Arial" w:eastAsia="Calibri" w:hAnsi="Arial" w:cs="Arial"/>
          <w:sz w:val="24"/>
          <w:szCs w:val="24"/>
          <w:lang w:eastAsia="en-GB"/>
        </w:rPr>
        <w:t>in 2022</w:t>
      </w:r>
      <w:r w:rsidR="00AC1255" w:rsidRPr="00B568F3">
        <w:rPr>
          <w:rFonts w:ascii="Arial" w:eastAsia="Calibri" w:hAnsi="Arial" w:cs="Arial"/>
          <w:sz w:val="24"/>
          <w:szCs w:val="24"/>
          <w:lang w:eastAsia="en-GB"/>
        </w:rPr>
        <w:t xml:space="preserve"> to </w:t>
      </w:r>
      <w:r w:rsidR="003C2949" w:rsidRPr="00B568F3">
        <w:rPr>
          <w:rFonts w:ascii="Arial" w:eastAsia="Calibri" w:hAnsi="Arial" w:cs="Arial"/>
          <w:sz w:val="24"/>
          <w:szCs w:val="24"/>
          <w:lang w:eastAsia="en-GB"/>
        </w:rPr>
        <w:t xml:space="preserve">2023 </w:t>
      </w:r>
      <w:r w:rsidR="004A19ED" w:rsidRPr="00B568F3">
        <w:rPr>
          <w:rFonts w:ascii="Arial" w:eastAsia="Calibri" w:hAnsi="Arial" w:cs="Arial"/>
          <w:sz w:val="24"/>
          <w:szCs w:val="24"/>
          <w:lang w:eastAsia="en-GB"/>
        </w:rPr>
        <w:t>to 80.7</w:t>
      </w:r>
      <w:r w:rsidR="00AC1255" w:rsidRPr="00B568F3">
        <w:rPr>
          <w:rFonts w:ascii="Arial" w:eastAsia="Calibri" w:hAnsi="Arial" w:cs="Arial"/>
          <w:sz w:val="24"/>
          <w:szCs w:val="24"/>
          <w:lang w:eastAsia="en-GB"/>
        </w:rPr>
        <w:t xml:space="preserve"> per cent</w:t>
      </w:r>
      <w:r w:rsidR="003C2949" w:rsidRPr="00B568F3">
        <w:rPr>
          <w:rFonts w:ascii="Arial" w:eastAsia="Calibri" w:hAnsi="Arial" w:cs="Arial"/>
          <w:sz w:val="24"/>
          <w:szCs w:val="24"/>
          <w:lang w:eastAsia="en-GB"/>
        </w:rPr>
        <w:t xml:space="preserve"> in 2023/2024</w:t>
      </w:r>
      <w:r w:rsidR="004A19ED" w:rsidRPr="00B568F3">
        <w:rPr>
          <w:rFonts w:ascii="Arial" w:eastAsia="Calibri" w:hAnsi="Arial" w:cs="Arial"/>
          <w:sz w:val="24"/>
          <w:szCs w:val="24"/>
          <w:lang w:eastAsia="en-GB"/>
        </w:rPr>
        <w:t xml:space="preserve">) </w:t>
      </w:r>
      <w:r w:rsidR="00146E7D" w:rsidRPr="00B568F3">
        <w:rPr>
          <w:rFonts w:ascii="Arial" w:eastAsia="Calibri" w:hAnsi="Arial" w:cs="Arial"/>
          <w:sz w:val="24"/>
          <w:szCs w:val="24"/>
          <w:lang w:eastAsia="en-GB"/>
        </w:rPr>
        <w:t xml:space="preserve">and </w:t>
      </w:r>
      <w:r w:rsidR="007C5C92" w:rsidRPr="00B568F3">
        <w:rPr>
          <w:rFonts w:ascii="Arial" w:eastAsia="Calibri" w:hAnsi="Arial" w:cs="Arial"/>
          <w:sz w:val="24"/>
          <w:szCs w:val="24"/>
          <w:lang w:eastAsia="en-GB"/>
        </w:rPr>
        <w:t xml:space="preserve">the </w:t>
      </w:r>
      <w:r w:rsidR="00146E7D" w:rsidRPr="00B568F3">
        <w:rPr>
          <w:rFonts w:ascii="Arial" w:eastAsia="Calibri" w:hAnsi="Arial" w:cs="Arial"/>
          <w:sz w:val="24"/>
          <w:szCs w:val="24"/>
          <w:lang w:eastAsia="en-GB"/>
        </w:rPr>
        <w:t>other sector (rising from 83.0</w:t>
      </w:r>
      <w:r w:rsidR="007C5C92" w:rsidRPr="00B568F3">
        <w:rPr>
          <w:rFonts w:ascii="Arial" w:eastAsia="Calibri" w:hAnsi="Arial" w:cs="Arial"/>
          <w:sz w:val="24"/>
          <w:szCs w:val="24"/>
          <w:lang w:eastAsia="en-GB"/>
        </w:rPr>
        <w:t xml:space="preserve"> per cent</w:t>
      </w:r>
      <w:r w:rsidR="003C2949" w:rsidRPr="00B568F3">
        <w:rPr>
          <w:rFonts w:ascii="Arial" w:eastAsia="Calibri" w:hAnsi="Arial" w:cs="Arial"/>
          <w:sz w:val="24"/>
          <w:szCs w:val="24"/>
          <w:lang w:eastAsia="en-GB"/>
        </w:rPr>
        <w:t xml:space="preserve"> in 2022</w:t>
      </w:r>
      <w:r w:rsidR="007C5C92" w:rsidRPr="00B568F3">
        <w:rPr>
          <w:rFonts w:ascii="Arial" w:eastAsia="Calibri" w:hAnsi="Arial" w:cs="Arial"/>
          <w:sz w:val="24"/>
          <w:szCs w:val="24"/>
          <w:lang w:eastAsia="en-GB"/>
        </w:rPr>
        <w:t xml:space="preserve"> to</w:t>
      </w:r>
      <w:r w:rsidR="003C2949" w:rsidRPr="00B568F3">
        <w:rPr>
          <w:rFonts w:ascii="Arial" w:eastAsia="Calibri" w:hAnsi="Arial" w:cs="Arial"/>
          <w:sz w:val="24"/>
          <w:szCs w:val="24"/>
          <w:lang w:eastAsia="en-GB"/>
        </w:rPr>
        <w:t>2023</w:t>
      </w:r>
      <w:r w:rsidR="00146E7D" w:rsidRPr="00B568F3">
        <w:rPr>
          <w:rFonts w:ascii="Arial" w:eastAsia="Calibri" w:hAnsi="Arial" w:cs="Arial"/>
          <w:sz w:val="24"/>
          <w:szCs w:val="24"/>
          <w:lang w:eastAsia="en-GB"/>
        </w:rPr>
        <w:t xml:space="preserve"> to 84.2</w:t>
      </w:r>
      <w:r w:rsidR="007C5C92" w:rsidRPr="00B568F3">
        <w:rPr>
          <w:rFonts w:ascii="Arial" w:eastAsia="Calibri" w:hAnsi="Arial" w:cs="Arial"/>
          <w:sz w:val="24"/>
          <w:szCs w:val="24"/>
          <w:lang w:eastAsia="en-GB"/>
        </w:rPr>
        <w:t xml:space="preserve"> per cent</w:t>
      </w:r>
      <w:r w:rsidR="003C2949" w:rsidRPr="00B568F3">
        <w:rPr>
          <w:rFonts w:ascii="Arial" w:eastAsia="Calibri" w:hAnsi="Arial" w:cs="Arial"/>
          <w:sz w:val="24"/>
          <w:szCs w:val="24"/>
          <w:lang w:eastAsia="en-GB"/>
        </w:rPr>
        <w:t xml:space="preserve"> in 2023</w:t>
      </w:r>
      <w:r w:rsidR="007C5C92" w:rsidRPr="00B568F3">
        <w:rPr>
          <w:rFonts w:ascii="Arial" w:eastAsia="Calibri" w:hAnsi="Arial" w:cs="Arial"/>
          <w:sz w:val="24"/>
          <w:szCs w:val="24"/>
          <w:lang w:eastAsia="en-GB"/>
        </w:rPr>
        <w:t xml:space="preserve"> to </w:t>
      </w:r>
      <w:r w:rsidR="003C2949" w:rsidRPr="00B568F3">
        <w:rPr>
          <w:rFonts w:ascii="Arial" w:eastAsia="Calibri" w:hAnsi="Arial" w:cs="Arial"/>
          <w:sz w:val="24"/>
          <w:szCs w:val="24"/>
          <w:lang w:eastAsia="en-GB"/>
        </w:rPr>
        <w:t>2024)</w:t>
      </w:r>
      <w:r w:rsidR="7FDDEFAF" w:rsidRPr="00B568F3">
        <w:rPr>
          <w:rFonts w:ascii="Arial" w:eastAsia="Calibri" w:hAnsi="Arial" w:cs="Arial"/>
          <w:sz w:val="24"/>
          <w:szCs w:val="24"/>
          <w:lang w:eastAsia="en-GB"/>
        </w:rPr>
        <w:t>.</w:t>
      </w:r>
    </w:p>
    <w:p w14:paraId="1A306A7E" w14:textId="5472C1E3" w:rsidR="00967961" w:rsidRPr="00B568F3" w:rsidRDefault="00967961" w:rsidP="00CD32E8">
      <w:pPr>
        <w:spacing w:after="200" w:line="276" w:lineRule="auto"/>
        <w:ind w:left="567"/>
        <w:contextualSpacing/>
        <w:rPr>
          <w:rFonts w:ascii="Arial" w:eastAsia="Calibri" w:hAnsi="Arial" w:cs="Arial"/>
          <w:sz w:val="24"/>
          <w:szCs w:val="24"/>
          <w:lang w:eastAsia="en-GB"/>
        </w:rPr>
      </w:pPr>
    </w:p>
    <w:p w14:paraId="2399E499" w14:textId="45421383" w:rsidR="00DA3A32" w:rsidRPr="00B568F3" w:rsidRDefault="00DA3A32"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In </w:t>
      </w:r>
      <w:r w:rsidR="00850AE0" w:rsidRPr="00B568F3">
        <w:rPr>
          <w:rFonts w:ascii="Arial" w:eastAsia="Calibri" w:hAnsi="Arial" w:cs="Arial"/>
          <w:sz w:val="24"/>
          <w:szCs w:val="24"/>
          <w:lang w:eastAsia="en-GB"/>
        </w:rPr>
        <w:t>the future,</w:t>
      </w:r>
      <w:r w:rsidRPr="00B568F3">
        <w:rPr>
          <w:rFonts w:ascii="Arial" w:eastAsia="Calibri" w:hAnsi="Arial" w:cs="Arial"/>
          <w:sz w:val="24"/>
          <w:szCs w:val="24"/>
          <w:lang w:eastAsia="en-GB"/>
        </w:rPr>
        <w:t xml:space="preserve"> to </w:t>
      </w:r>
      <w:r w:rsidR="00850AE0" w:rsidRPr="00B568F3">
        <w:rPr>
          <w:rFonts w:ascii="Arial" w:eastAsia="Calibri" w:hAnsi="Arial" w:cs="Arial"/>
          <w:sz w:val="24"/>
          <w:szCs w:val="24"/>
          <w:lang w:eastAsia="en-GB"/>
        </w:rPr>
        <w:t>make sure</w:t>
      </w:r>
      <w:r w:rsidRPr="00B568F3" w:rsidDel="00142470">
        <w:rPr>
          <w:rFonts w:ascii="Arial" w:eastAsia="Calibri" w:hAnsi="Arial" w:cs="Arial"/>
          <w:sz w:val="24"/>
          <w:szCs w:val="24"/>
          <w:lang w:eastAsia="en-GB"/>
        </w:rPr>
        <w:t xml:space="preserve"> </w:t>
      </w:r>
      <w:r w:rsidRPr="00B568F3">
        <w:rPr>
          <w:rFonts w:ascii="Arial" w:eastAsia="Calibri" w:hAnsi="Arial" w:cs="Arial"/>
          <w:sz w:val="24"/>
          <w:szCs w:val="24"/>
          <w:lang w:eastAsia="en-GB"/>
        </w:rPr>
        <w:t xml:space="preserve">the learning and development offer available </w:t>
      </w:r>
      <w:r w:rsidR="00FB5103" w:rsidRPr="00B568F3">
        <w:rPr>
          <w:rFonts w:ascii="Arial" w:eastAsia="Calibri" w:hAnsi="Arial" w:cs="Arial"/>
          <w:sz w:val="24"/>
          <w:szCs w:val="24"/>
          <w:lang w:eastAsia="en-GB"/>
        </w:rPr>
        <w:t>is clear</w:t>
      </w:r>
      <w:r w:rsidRPr="00B568F3">
        <w:rPr>
          <w:rFonts w:ascii="Arial" w:eastAsia="Calibri" w:hAnsi="Arial" w:cs="Arial"/>
          <w:sz w:val="24"/>
          <w:szCs w:val="24"/>
          <w:lang w:eastAsia="en-GB"/>
        </w:rPr>
        <w:t xml:space="preserve">, </w:t>
      </w:r>
      <w:r w:rsidR="00850AE0" w:rsidRPr="00B568F3">
        <w:rPr>
          <w:rFonts w:ascii="Arial" w:eastAsia="Calibri" w:hAnsi="Arial" w:cs="Arial"/>
          <w:sz w:val="24"/>
          <w:szCs w:val="24"/>
          <w:lang w:eastAsia="en-GB"/>
        </w:rPr>
        <w:t>we</w:t>
      </w:r>
      <w:r w:rsidR="00A929D9" w:rsidRPr="00B568F3">
        <w:rPr>
          <w:rFonts w:ascii="Arial" w:eastAsia="Calibri" w:hAnsi="Arial" w:cs="Arial"/>
          <w:sz w:val="24"/>
          <w:szCs w:val="24"/>
          <w:lang w:eastAsia="en-GB"/>
        </w:rPr>
        <w:t>’ll</w:t>
      </w:r>
      <w:r w:rsidRPr="00B568F3">
        <w:rPr>
          <w:rFonts w:ascii="Arial" w:eastAsia="Calibri" w:hAnsi="Arial" w:cs="Arial"/>
          <w:sz w:val="24"/>
          <w:szCs w:val="24"/>
          <w:lang w:eastAsia="en-GB"/>
        </w:rPr>
        <w:t xml:space="preserve"> work</w:t>
      </w:r>
      <w:r w:rsidR="00850AE0" w:rsidRPr="00B568F3">
        <w:rPr>
          <w:rFonts w:ascii="Arial" w:eastAsia="Calibri" w:hAnsi="Arial" w:cs="Arial"/>
          <w:sz w:val="24"/>
          <w:szCs w:val="24"/>
          <w:lang w:eastAsia="en-GB"/>
        </w:rPr>
        <w:t xml:space="preserve"> with</w:t>
      </w:r>
      <w:r w:rsidR="00A929D9" w:rsidRPr="00B568F3">
        <w:rPr>
          <w:rFonts w:ascii="Arial" w:eastAsia="Calibri" w:hAnsi="Arial" w:cs="Arial"/>
          <w:sz w:val="24"/>
          <w:szCs w:val="24"/>
          <w:lang w:eastAsia="en-GB"/>
        </w:rPr>
        <w:t xml:space="preserve"> </w:t>
      </w:r>
      <w:r w:rsidRPr="00B568F3">
        <w:rPr>
          <w:rFonts w:ascii="Arial" w:eastAsia="Calibri" w:hAnsi="Arial" w:cs="Arial"/>
          <w:sz w:val="24"/>
          <w:szCs w:val="24"/>
          <w:lang w:eastAsia="en-GB"/>
        </w:rPr>
        <w:t>local authorities</w:t>
      </w:r>
      <w:r w:rsidR="00A929D9" w:rsidRPr="00B568F3">
        <w:rPr>
          <w:rFonts w:ascii="Arial" w:eastAsia="Calibri" w:hAnsi="Arial" w:cs="Arial"/>
          <w:sz w:val="24"/>
          <w:szCs w:val="24"/>
          <w:lang w:eastAsia="en-GB"/>
        </w:rPr>
        <w:t xml:space="preserve"> </w:t>
      </w:r>
      <w:r w:rsidR="00850AE0" w:rsidRPr="00B568F3">
        <w:rPr>
          <w:rFonts w:ascii="Arial" w:eastAsia="Calibri" w:hAnsi="Arial" w:cs="Arial"/>
          <w:sz w:val="24"/>
          <w:szCs w:val="24"/>
          <w:lang w:eastAsia="en-GB"/>
        </w:rPr>
        <w:t>in</w:t>
      </w:r>
      <w:r w:rsidRPr="00B568F3">
        <w:rPr>
          <w:rFonts w:ascii="Arial" w:eastAsia="Calibri" w:hAnsi="Arial" w:cs="Arial"/>
          <w:sz w:val="24"/>
          <w:szCs w:val="24"/>
          <w:lang w:eastAsia="en-GB"/>
        </w:rPr>
        <w:t xml:space="preserve"> the regions</w:t>
      </w:r>
      <w:r w:rsidR="00EC4BD3" w:rsidRPr="00B568F3">
        <w:rPr>
          <w:rFonts w:ascii="Arial" w:eastAsia="Calibri" w:hAnsi="Arial" w:cs="Arial"/>
          <w:sz w:val="24"/>
          <w:szCs w:val="24"/>
          <w:lang w:eastAsia="en-GB"/>
        </w:rPr>
        <w:t>. We’ll look at</w:t>
      </w:r>
      <w:r w:rsidRPr="00B568F3" w:rsidDel="00EC4BD3">
        <w:rPr>
          <w:rFonts w:ascii="Arial" w:eastAsia="Calibri" w:hAnsi="Arial" w:cs="Arial"/>
          <w:sz w:val="24"/>
          <w:szCs w:val="24"/>
          <w:lang w:eastAsia="en-GB"/>
        </w:rPr>
        <w:t xml:space="preserve"> </w:t>
      </w:r>
      <w:r w:rsidRPr="00B568F3">
        <w:rPr>
          <w:rFonts w:ascii="Arial" w:eastAsia="Calibri" w:hAnsi="Arial" w:cs="Arial"/>
          <w:sz w:val="24"/>
          <w:szCs w:val="24"/>
          <w:lang w:eastAsia="en-GB"/>
        </w:rPr>
        <w:t>how we can</w:t>
      </w:r>
      <w:r w:rsidRPr="00B568F3" w:rsidDel="00850AE0">
        <w:rPr>
          <w:rFonts w:ascii="Arial" w:eastAsia="Calibri" w:hAnsi="Arial" w:cs="Arial"/>
          <w:sz w:val="24"/>
          <w:szCs w:val="24"/>
          <w:lang w:eastAsia="en-GB"/>
        </w:rPr>
        <w:t xml:space="preserve"> </w:t>
      </w:r>
      <w:r w:rsidRPr="00B568F3">
        <w:rPr>
          <w:rFonts w:ascii="Arial" w:eastAsia="Calibri" w:hAnsi="Arial" w:cs="Arial"/>
          <w:sz w:val="24"/>
          <w:szCs w:val="24"/>
          <w:lang w:eastAsia="en-GB"/>
        </w:rPr>
        <w:t>support</w:t>
      </w:r>
      <w:r w:rsidRPr="00B568F3" w:rsidDel="00F9165E">
        <w:rPr>
          <w:rFonts w:ascii="Arial" w:eastAsia="Calibri" w:hAnsi="Arial" w:cs="Arial"/>
          <w:sz w:val="24"/>
          <w:szCs w:val="24"/>
          <w:lang w:eastAsia="en-GB"/>
        </w:rPr>
        <w:t xml:space="preserve"> </w:t>
      </w:r>
      <w:r w:rsidRPr="00B568F3">
        <w:rPr>
          <w:rFonts w:ascii="Arial" w:eastAsia="Calibri" w:hAnsi="Arial" w:cs="Arial"/>
          <w:sz w:val="24"/>
          <w:szCs w:val="24"/>
          <w:lang w:eastAsia="en-GB"/>
        </w:rPr>
        <w:t>communicat</w:t>
      </w:r>
      <w:r w:rsidR="00F9165E" w:rsidRPr="00B568F3">
        <w:rPr>
          <w:rFonts w:ascii="Arial" w:eastAsia="Calibri" w:hAnsi="Arial" w:cs="Arial"/>
          <w:sz w:val="24"/>
          <w:szCs w:val="24"/>
          <w:lang w:eastAsia="en-GB"/>
        </w:rPr>
        <w:t>ing</w:t>
      </w:r>
      <w:r w:rsidRPr="00B568F3">
        <w:rPr>
          <w:rFonts w:ascii="Arial" w:eastAsia="Calibri" w:hAnsi="Arial" w:cs="Arial"/>
          <w:sz w:val="24"/>
          <w:szCs w:val="24"/>
          <w:lang w:eastAsia="en-GB"/>
        </w:rPr>
        <w:t xml:space="preserve"> and publicising</w:t>
      </w:r>
      <w:r w:rsidRPr="00B568F3" w:rsidDel="00F9165E">
        <w:rPr>
          <w:rFonts w:ascii="Arial" w:eastAsia="Calibri" w:hAnsi="Arial" w:cs="Arial"/>
          <w:sz w:val="24"/>
          <w:szCs w:val="24"/>
          <w:lang w:eastAsia="en-GB"/>
        </w:rPr>
        <w:t xml:space="preserve"> </w:t>
      </w:r>
      <w:r w:rsidR="00045E18" w:rsidRPr="00B568F3">
        <w:rPr>
          <w:rFonts w:ascii="Arial" w:eastAsia="Calibri" w:hAnsi="Arial" w:cs="Arial"/>
          <w:sz w:val="24"/>
          <w:szCs w:val="24"/>
          <w:lang w:eastAsia="en-GB"/>
        </w:rPr>
        <w:t xml:space="preserve">local, </w:t>
      </w:r>
      <w:r w:rsidR="07DED624" w:rsidRPr="00B568F3">
        <w:rPr>
          <w:rFonts w:ascii="Arial" w:eastAsia="Calibri" w:hAnsi="Arial" w:cs="Arial"/>
          <w:sz w:val="24"/>
          <w:szCs w:val="24"/>
          <w:lang w:eastAsia="en-GB"/>
        </w:rPr>
        <w:t xml:space="preserve">regional and </w:t>
      </w:r>
      <w:r w:rsidR="00045E18" w:rsidRPr="00B568F3">
        <w:rPr>
          <w:rFonts w:ascii="Arial" w:eastAsia="Calibri" w:hAnsi="Arial" w:cs="Arial"/>
          <w:sz w:val="24"/>
          <w:szCs w:val="24"/>
          <w:lang w:eastAsia="en-GB"/>
        </w:rPr>
        <w:t xml:space="preserve">national </w:t>
      </w:r>
      <w:r w:rsidRPr="00B568F3">
        <w:rPr>
          <w:rFonts w:ascii="Arial" w:eastAsia="Calibri" w:hAnsi="Arial" w:cs="Arial"/>
          <w:sz w:val="24"/>
          <w:szCs w:val="24"/>
          <w:lang w:eastAsia="en-GB"/>
        </w:rPr>
        <w:t>learning and development offers</w:t>
      </w:r>
      <w:r w:rsidR="00AE0705" w:rsidRPr="00B568F3">
        <w:rPr>
          <w:rFonts w:ascii="Arial" w:eastAsia="Calibri" w:hAnsi="Arial" w:cs="Arial"/>
          <w:sz w:val="24"/>
          <w:szCs w:val="24"/>
          <w:lang w:eastAsia="en-GB"/>
        </w:rPr>
        <w:t xml:space="preserve"> and opportunities</w:t>
      </w:r>
      <w:r w:rsidR="001C49A1" w:rsidRPr="00B568F3">
        <w:rPr>
          <w:rFonts w:ascii="Arial" w:eastAsia="Calibri" w:hAnsi="Arial" w:cs="Arial"/>
          <w:sz w:val="24"/>
          <w:szCs w:val="24"/>
          <w:lang w:eastAsia="en-GB"/>
        </w:rPr>
        <w:t xml:space="preserve"> </w:t>
      </w:r>
      <w:r w:rsidR="00045E18" w:rsidRPr="00B568F3">
        <w:rPr>
          <w:rFonts w:ascii="Arial" w:eastAsia="Calibri" w:hAnsi="Arial" w:cs="Arial"/>
          <w:sz w:val="24"/>
          <w:szCs w:val="24"/>
          <w:lang w:eastAsia="en-GB"/>
        </w:rPr>
        <w:t>from partners</w:t>
      </w:r>
      <w:r w:rsidRPr="00B568F3">
        <w:rPr>
          <w:rFonts w:ascii="Arial" w:eastAsia="Calibri" w:hAnsi="Arial" w:cs="Arial"/>
          <w:sz w:val="24"/>
          <w:szCs w:val="24"/>
          <w:lang w:eastAsia="en-GB"/>
        </w:rPr>
        <w:t xml:space="preserve">.  </w:t>
      </w:r>
    </w:p>
    <w:p w14:paraId="13A8C329" w14:textId="77777777" w:rsidR="00D659A8" w:rsidRPr="00B568F3" w:rsidRDefault="00D659A8" w:rsidP="00953523">
      <w:pPr>
        <w:pStyle w:val="ListParagraph"/>
        <w:rPr>
          <w:rFonts w:ascii="Arial" w:eastAsia="Calibri" w:hAnsi="Arial" w:cs="Arial"/>
          <w:sz w:val="24"/>
          <w:szCs w:val="24"/>
          <w:lang w:eastAsia="en-GB"/>
        </w:rPr>
      </w:pPr>
    </w:p>
    <w:p w14:paraId="7949199A" w14:textId="5E5346BC" w:rsidR="009C387F" w:rsidRPr="000C06A7" w:rsidRDefault="00A75388" w:rsidP="000C06A7">
      <w:pPr>
        <w:pStyle w:val="Heading3"/>
        <w:rPr>
          <w:lang w:eastAsia="en-GB"/>
        </w:rPr>
      </w:pPr>
      <w:bookmarkStart w:id="11" w:name="_Toc179481631"/>
      <w:r w:rsidRPr="000C06A7">
        <w:rPr>
          <w:lang w:eastAsia="en-GB"/>
        </w:rPr>
        <w:t xml:space="preserve">Qualifications </w:t>
      </w:r>
      <w:bookmarkEnd w:id="11"/>
      <w:r w:rsidR="00F9165E" w:rsidRPr="000C06A7">
        <w:rPr>
          <w:bCs/>
          <w:lang w:eastAsia="en-GB"/>
        </w:rPr>
        <w:t>activity</w:t>
      </w:r>
    </w:p>
    <w:p w14:paraId="4B267989" w14:textId="77777777" w:rsidR="009C387F" w:rsidRPr="000C06A7" w:rsidRDefault="009C387F" w:rsidP="000C06A7"/>
    <w:p w14:paraId="26701EAE" w14:textId="780F5C71" w:rsidR="006161C1" w:rsidRPr="00B568F3" w:rsidRDefault="006161C1"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Table </w:t>
      </w:r>
      <w:r w:rsidR="00022E02" w:rsidRPr="00B568F3">
        <w:rPr>
          <w:rFonts w:ascii="Arial" w:eastAsia="Calibri" w:hAnsi="Arial" w:cs="Arial"/>
          <w:sz w:val="24"/>
          <w:szCs w:val="24"/>
          <w:lang w:eastAsia="en-GB"/>
        </w:rPr>
        <w:t xml:space="preserve">7 </w:t>
      </w:r>
      <w:r w:rsidR="00921F49" w:rsidRPr="00B568F3">
        <w:rPr>
          <w:rFonts w:ascii="Arial" w:eastAsia="Calibri" w:hAnsi="Arial" w:cs="Arial"/>
          <w:sz w:val="24"/>
          <w:szCs w:val="24"/>
          <w:lang w:eastAsia="en-GB"/>
        </w:rPr>
        <w:t xml:space="preserve">shows </w:t>
      </w:r>
      <w:r w:rsidRPr="00B568F3">
        <w:rPr>
          <w:rFonts w:ascii="Arial" w:eastAsia="Calibri" w:hAnsi="Arial" w:cs="Arial"/>
          <w:sz w:val="24"/>
          <w:szCs w:val="24"/>
          <w:lang w:eastAsia="en-GB"/>
        </w:rPr>
        <w:t>the range of qualifications offered</w:t>
      </w:r>
      <w:r w:rsidR="005D6EE6" w:rsidRPr="00B568F3">
        <w:rPr>
          <w:rFonts w:ascii="Arial" w:eastAsia="Calibri" w:hAnsi="Arial" w:cs="Arial"/>
          <w:sz w:val="24"/>
          <w:szCs w:val="24"/>
          <w:lang w:eastAsia="en-GB"/>
        </w:rPr>
        <w:t>,</w:t>
      </w:r>
      <w:r w:rsidRPr="00B568F3">
        <w:rPr>
          <w:rFonts w:ascii="Arial" w:eastAsia="Calibri" w:hAnsi="Arial" w:cs="Arial"/>
          <w:sz w:val="24"/>
          <w:szCs w:val="24"/>
          <w:lang w:eastAsia="en-GB"/>
        </w:rPr>
        <w:t xml:space="preserve"> including the number of learners </w:t>
      </w:r>
      <w:r w:rsidR="005D6EE6" w:rsidRPr="00B568F3">
        <w:rPr>
          <w:rFonts w:ascii="Arial" w:eastAsia="Calibri" w:hAnsi="Arial" w:cs="Arial"/>
          <w:sz w:val="24"/>
          <w:szCs w:val="24"/>
          <w:lang w:eastAsia="en-GB"/>
        </w:rPr>
        <w:t xml:space="preserve">who took part </w:t>
      </w:r>
      <w:r w:rsidRPr="00B568F3">
        <w:rPr>
          <w:rFonts w:ascii="Arial" w:eastAsia="Calibri" w:hAnsi="Arial" w:cs="Arial"/>
          <w:sz w:val="24"/>
          <w:szCs w:val="24"/>
          <w:lang w:eastAsia="en-GB"/>
        </w:rPr>
        <w:t>in accredited programmes</w:t>
      </w:r>
      <w:r w:rsidR="00F9165E" w:rsidRPr="00B568F3">
        <w:rPr>
          <w:rFonts w:ascii="Arial" w:eastAsia="Calibri" w:hAnsi="Arial" w:cs="Arial"/>
          <w:sz w:val="24"/>
          <w:szCs w:val="24"/>
          <w:lang w:eastAsia="en-GB"/>
        </w:rPr>
        <w:t>,</w:t>
      </w:r>
      <w:r w:rsidRPr="00B568F3">
        <w:rPr>
          <w:rFonts w:ascii="Arial" w:eastAsia="Calibri" w:hAnsi="Arial" w:cs="Arial"/>
          <w:sz w:val="24"/>
          <w:szCs w:val="24"/>
          <w:lang w:eastAsia="en-GB"/>
        </w:rPr>
        <w:t xml:space="preserve"> and numbers achieving </w:t>
      </w:r>
      <w:r w:rsidR="005D6EE6" w:rsidRPr="00B568F3">
        <w:rPr>
          <w:rFonts w:ascii="Arial" w:eastAsia="Calibri" w:hAnsi="Arial" w:cs="Arial"/>
          <w:sz w:val="24"/>
          <w:szCs w:val="24"/>
          <w:lang w:eastAsia="en-GB"/>
        </w:rPr>
        <w:t>in</w:t>
      </w:r>
      <w:r w:rsidRPr="00B568F3">
        <w:rPr>
          <w:rFonts w:ascii="Arial" w:eastAsia="Calibri" w:hAnsi="Arial" w:cs="Arial"/>
          <w:sz w:val="24"/>
          <w:szCs w:val="24"/>
          <w:lang w:eastAsia="en-GB"/>
        </w:rPr>
        <w:t xml:space="preserve"> 2023</w:t>
      </w:r>
      <w:r w:rsidR="005D6EE6" w:rsidRPr="00B568F3">
        <w:rPr>
          <w:rFonts w:ascii="Arial" w:eastAsia="Calibri" w:hAnsi="Arial" w:cs="Arial"/>
          <w:sz w:val="24"/>
          <w:szCs w:val="24"/>
          <w:lang w:eastAsia="en-GB"/>
        </w:rPr>
        <w:t xml:space="preserve"> to </w:t>
      </w:r>
      <w:r w:rsidRPr="00B568F3">
        <w:rPr>
          <w:rFonts w:ascii="Arial" w:eastAsia="Calibri" w:hAnsi="Arial" w:cs="Arial"/>
          <w:sz w:val="24"/>
          <w:szCs w:val="24"/>
          <w:lang w:eastAsia="en-GB"/>
        </w:rPr>
        <w:t>2024.</w:t>
      </w:r>
    </w:p>
    <w:p w14:paraId="0C1A6D3D" w14:textId="77777777" w:rsidR="007F5BA2" w:rsidRPr="00B568F3" w:rsidRDefault="007F5BA2" w:rsidP="007F5BA2">
      <w:pPr>
        <w:spacing w:after="200" w:line="276" w:lineRule="auto"/>
        <w:contextualSpacing/>
        <w:rPr>
          <w:rFonts w:ascii="Arial" w:eastAsia="Calibri" w:hAnsi="Arial" w:cs="Arial"/>
          <w:sz w:val="24"/>
          <w:szCs w:val="24"/>
          <w:lang w:eastAsia="en-GB"/>
        </w:rPr>
      </w:pPr>
    </w:p>
    <w:p w14:paraId="256DE2C8" w14:textId="77777777" w:rsidR="00423773" w:rsidRPr="00B568F3" w:rsidRDefault="00423773" w:rsidP="007F5BA2">
      <w:pPr>
        <w:spacing w:after="200" w:line="276" w:lineRule="auto"/>
        <w:contextualSpacing/>
        <w:rPr>
          <w:rFonts w:ascii="Arial" w:eastAsia="Calibri" w:hAnsi="Arial" w:cs="Arial"/>
          <w:sz w:val="24"/>
          <w:szCs w:val="24"/>
          <w:lang w:eastAsia="en-GB"/>
        </w:rPr>
      </w:pPr>
    </w:p>
    <w:p w14:paraId="112F70A5" w14:textId="77777777" w:rsidR="00423773" w:rsidRPr="00B568F3" w:rsidRDefault="00423773" w:rsidP="007F5BA2">
      <w:pPr>
        <w:spacing w:after="200" w:line="276" w:lineRule="auto"/>
        <w:contextualSpacing/>
        <w:rPr>
          <w:rFonts w:ascii="Arial" w:eastAsia="Calibri" w:hAnsi="Arial" w:cs="Arial"/>
          <w:sz w:val="24"/>
          <w:szCs w:val="24"/>
          <w:lang w:eastAsia="en-GB"/>
        </w:rPr>
      </w:pPr>
    </w:p>
    <w:p w14:paraId="320FAA13" w14:textId="77777777" w:rsidR="00F00B7D" w:rsidRDefault="00F00B7D">
      <w:pPr>
        <w:rPr>
          <w:rFonts w:ascii="Arial" w:eastAsia="Calibri" w:hAnsi="Arial" w:cs="Arial"/>
          <w:b/>
          <w:bCs/>
          <w:sz w:val="24"/>
          <w:szCs w:val="24"/>
          <w:lang w:eastAsia="en-GB"/>
        </w:rPr>
      </w:pPr>
      <w:r>
        <w:rPr>
          <w:rFonts w:ascii="Arial" w:eastAsia="Calibri" w:hAnsi="Arial" w:cs="Arial"/>
          <w:b/>
          <w:bCs/>
          <w:sz w:val="24"/>
          <w:szCs w:val="24"/>
          <w:lang w:eastAsia="en-GB"/>
        </w:rPr>
        <w:br w:type="page"/>
      </w:r>
    </w:p>
    <w:p w14:paraId="7DEB6F70" w14:textId="6AA75FB6" w:rsidR="00A74A14" w:rsidRPr="00B568F3" w:rsidRDefault="00A74A14" w:rsidP="00111117">
      <w:pPr>
        <w:spacing w:after="0" w:line="240" w:lineRule="auto"/>
        <w:rPr>
          <w:rFonts w:ascii="Arial" w:eastAsia="Calibri" w:hAnsi="Arial" w:cs="Arial"/>
          <w:b/>
          <w:bCs/>
          <w:sz w:val="24"/>
          <w:szCs w:val="24"/>
          <w:lang w:eastAsia="en-GB"/>
        </w:rPr>
      </w:pPr>
      <w:r w:rsidRPr="00B568F3">
        <w:rPr>
          <w:rFonts w:ascii="Arial" w:eastAsia="Calibri" w:hAnsi="Arial" w:cs="Arial"/>
          <w:b/>
          <w:bCs/>
          <w:sz w:val="24"/>
          <w:szCs w:val="24"/>
          <w:lang w:eastAsia="en-GB"/>
        </w:rPr>
        <w:t xml:space="preserve">Table </w:t>
      </w:r>
      <w:r w:rsidR="00022E02" w:rsidRPr="00B568F3">
        <w:rPr>
          <w:rFonts w:ascii="Arial" w:eastAsia="Calibri" w:hAnsi="Arial" w:cs="Arial"/>
          <w:b/>
          <w:bCs/>
          <w:sz w:val="24"/>
          <w:szCs w:val="24"/>
          <w:lang w:eastAsia="en-GB"/>
        </w:rPr>
        <w:t>7</w:t>
      </w:r>
      <w:r w:rsidRPr="00B568F3">
        <w:rPr>
          <w:rFonts w:ascii="Arial" w:eastAsia="Calibri" w:hAnsi="Arial" w:cs="Arial"/>
          <w:b/>
          <w:bCs/>
          <w:sz w:val="24"/>
          <w:szCs w:val="24"/>
          <w:lang w:eastAsia="en-GB"/>
        </w:rPr>
        <w:t xml:space="preserve">: </w:t>
      </w:r>
      <w:r w:rsidR="00837385" w:rsidRPr="00B568F3">
        <w:rPr>
          <w:rFonts w:ascii="Arial" w:eastAsia="Calibri" w:hAnsi="Arial" w:cs="Arial"/>
          <w:b/>
          <w:bCs/>
          <w:sz w:val="24"/>
          <w:szCs w:val="24"/>
          <w:lang w:eastAsia="en-GB"/>
        </w:rPr>
        <w:t xml:space="preserve">All Wales </w:t>
      </w:r>
      <w:r w:rsidR="001319F1" w:rsidRPr="00B568F3">
        <w:rPr>
          <w:rFonts w:ascii="Arial" w:eastAsia="Calibri" w:hAnsi="Arial" w:cs="Arial"/>
          <w:b/>
          <w:bCs/>
          <w:sz w:val="24"/>
          <w:szCs w:val="24"/>
          <w:lang w:eastAsia="en-GB"/>
        </w:rPr>
        <w:t>s</w:t>
      </w:r>
      <w:r w:rsidRPr="00B568F3">
        <w:rPr>
          <w:rFonts w:ascii="Arial" w:eastAsia="Calibri" w:hAnsi="Arial" w:cs="Arial"/>
          <w:b/>
          <w:bCs/>
          <w:sz w:val="24"/>
          <w:szCs w:val="24"/>
          <w:lang w:eastAsia="en-GB"/>
        </w:rPr>
        <w:t xml:space="preserve">ummary of </w:t>
      </w:r>
      <w:r w:rsidR="001319F1" w:rsidRPr="00B568F3">
        <w:rPr>
          <w:rFonts w:ascii="Arial" w:eastAsia="Calibri" w:hAnsi="Arial" w:cs="Arial"/>
          <w:b/>
          <w:bCs/>
          <w:sz w:val="24"/>
          <w:szCs w:val="24"/>
          <w:lang w:eastAsia="en-GB"/>
        </w:rPr>
        <w:t>q</w:t>
      </w:r>
      <w:r w:rsidRPr="00B568F3">
        <w:rPr>
          <w:rFonts w:ascii="Arial" w:eastAsia="Calibri" w:hAnsi="Arial" w:cs="Arial"/>
          <w:b/>
          <w:bCs/>
          <w:sz w:val="24"/>
          <w:szCs w:val="24"/>
          <w:lang w:eastAsia="en-GB"/>
        </w:rPr>
        <w:t xml:space="preserve">ualifications </w:t>
      </w:r>
      <w:r w:rsidR="001319F1" w:rsidRPr="00B568F3">
        <w:rPr>
          <w:rFonts w:ascii="Arial" w:eastAsia="Calibri" w:hAnsi="Arial" w:cs="Arial"/>
          <w:b/>
          <w:bCs/>
          <w:sz w:val="24"/>
          <w:szCs w:val="24"/>
          <w:lang w:eastAsia="en-GB"/>
        </w:rPr>
        <w:t>a</w:t>
      </w:r>
      <w:r w:rsidRPr="00B568F3">
        <w:rPr>
          <w:rFonts w:ascii="Arial" w:eastAsia="Calibri" w:hAnsi="Arial" w:cs="Arial"/>
          <w:b/>
          <w:bCs/>
          <w:sz w:val="24"/>
          <w:szCs w:val="24"/>
          <w:lang w:eastAsia="en-GB"/>
        </w:rPr>
        <w:t>ctivity, 2023</w:t>
      </w:r>
      <w:r w:rsidR="001319F1" w:rsidRPr="00B568F3">
        <w:rPr>
          <w:rFonts w:ascii="Arial" w:eastAsia="Calibri" w:hAnsi="Arial" w:cs="Arial"/>
          <w:b/>
          <w:bCs/>
          <w:sz w:val="24"/>
          <w:szCs w:val="24"/>
          <w:lang w:eastAsia="en-GB"/>
        </w:rPr>
        <w:t xml:space="preserve"> to</w:t>
      </w:r>
      <w:r w:rsidRPr="00B568F3">
        <w:rPr>
          <w:rFonts w:ascii="Arial" w:eastAsia="Calibri" w:hAnsi="Arial" w:cs="Arial"/>
          <w:b/>
          <w:bCs/>
          <w:sz w:val="24"/>
          <w:szCs w:val="24"/>
          <w:lang w:eastAsia="en-GB"/>
        </w:rPr>
        <w:t>2024</w:t>
      </w:r>
    </w:p>
    <w:p w14:paraId="650E002F" w14:textId="77777777" w:rsidR="00111117" w:rsidRPr="00B568F3" w:rsidRDefault="00111117" w:rsidP="00111117">
      <w:pPr>
        <w:spacing w:after="0" w:line="240" w:lineRule="auto"/>
        <w:rPr>
          <w:rFonts w:ascii="Arial" w:eastAsia="Calibri" w:hAnsi="Arial" w:cs="Arial"/>
          <w:b/>
          <w:bCs/>
          <w:sz w:val="24"/>
          <w:szCs w:val="24"/>
          <w:lang w:eastAsia="en-GB"/>
        </w:rPr>
      </w:pPr>
    </w:p>
    <w:tbl>
      <w:tblPr>
        <w:tblpPr w:leftFromText="180" w:rightFromText="180" w:vertAnchor="text" w:horzAnchor="margin" w:tblpXSpec="center" w:tblpY="47"/>
        <w:tblW w:w="10749" w:type="dxa"/>
        <w:tblLook w:val="04A0" w:firstRow="1" w:lastRow="0" w:firstColumn="1" w:lastColumn="0" w:noHBand="0" w:noVBand="1"/>
      </w:tblPr>
      <w:tblGrid>
        <w:gridCol w:w="4317"/>
        <w:gridCol w:w="1427"/>
        <w:gridCol w:w="1170"/>
        <w:gridCol w:w="1231"/>
        <w:gridCol w:w="1500"/>
        <w:gridCol w:w="1170"/>
      </w:tblGrid>
      <w:tr w:rsidR="00080DCE" w:rsidRPr="00B568F3" w14:paraId="2134BC88" w14:textId="77777777" w:rsidTr="4BA15C28">
        <w:trPr>
          <w:trHeight w:val="1515"/>
        </w:trPr>
        <w:tc>
          <w:tcPr>
            <w:tcW w:w="431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8B55644" w14:textId="77777777" w:rsidR="00B3410E" w:rsidRPr="000C06A7" w:rsidRDefault="00B3410E" w:rsidP="00837385">
            <w:pPr>
              <w:spacing w:after="0"/>
              <w:jc w:val="center"/>
              <w:rPr>
                <w:rFonts w:ascii="Arial" w:hAnsi="Arial" w:cs="Arial"/>
                <w:b/>
                <w:bCs/>
              </w:rPr>
            </w:pPr>
            <w:r w:rsidRPr="000C06A7">
              <w:rPr>
                <w:rFonts w:ascii="Arial" w:hAnsi="Arial" w:cs="Arial"/>
                <w:b/>
                <w:bCs/>
              </w:rPr>
              <w:t>Programme</w:t>
            </w:r>
          </w:p>
        </w:tc>
        <w:tc>
          <w:tcPr>
            <w:tcW w:w="1361" w:type="dxa"/>
            <w:tcBorders>
              <w:top w:val="single" w:sz="4" w:space="0" w:color="auto"/>
              <w:left w:val="nil"/>
              <w:bottom w:val="single" w:sz="8" w:space="0" w:color="auto"/>
              <w:right w:val="single" w:sz="8" w:space="0" w:color="auto"/>
            </w:tcBorders>
            <w:shd w:val="clear" w:color="auto" w:fill="auto"/>
            <w:vAlign w:val="center"/>
            <w:hideMark/>
          </w:tcPr>
          <w:p w14:paraId="3FBB57AE" w14:textId="27E1CD95" w:rsidR="00B3410E" w:rsidRPr="000C06A7" w:rsidRDefault="00B3410E" w:rsidP="4BA15C28">
            <w:pPr>
              <w:spacing w:after="0"/>
              <w:jc w:val="center"/>
              <w:rPr>
                <w:rFonts w:ascii="Arial" w:hAnsi="Arial" w:cs="Arial"/>
                <w:b/>
                <w:bCs/>
              </w:rPr>
            </w:pPr>
            <w:r w:rsidRPr="000C06A7">
              <w:rPr>
                <w:rFonts w:ascii="Arial" w:hAnsi="Arial" w:cs="Arial"/>
                <w:b/>
                <w:bCs/>
              </w:rPr>
              <w:t xml:space="preserve">Numbers on programme </w:t>
            </w:r>
            <w:r w:rsidR="0031097F" w:rsidRPr="000C06A7">
              <w:rPr>
                <w:rFonts w:ascii="Arial" w:hAnsi="Arial" w:cs="Arial"/>
                <w:b/>
                <w:bCs/>
              </w:rPr>
              <w:t xml:space="preserve"> 1 </w:t>
            </w:r>
            <w:r w:rsidRPr="000C06A7">
              <w:rPr>
                <w:rFonts w:ascii="Arial" w:hAnsi="Arial" w:cs="Arial"/>
                <w:b/>
                <w:bCs/>
              </w:rPr>
              <w:t>April</w:t>
            </w:r>
            <w:bookmarkStart w:id="12" w:name="_Int_ObsEHYNw"/>
            <w:r w:rsidRPr="000C06A7">
              <w:rPr>
                <w:rFonts w:ascii="Arial" w:hAnsi="Arial" w:cs="Arial"/>
                <w:b/>
                <w:bCs/>
              </w:rPr>
              <w:t xml:space="preserve"> 2023</w:t>
            </w:r>
            <w:bookmarkEnd w:id="12"/>
          </w:p>
        </w:tc>
        <w:tc>
          <w:tcPr>
            <w:tcW w:w="1170" w:type="dxa"/>
            <w:tcBorders>
              <w:top w:val="single" w:sz="4" w:space="0" w:color="auto"/>
              <w:left w:val="nil"/>
              <w:bottom w:val="single" w:sz="8" w:space="0" w:color="auto"/>
              <w:right w:val="single" w:sz="8" w:space="0" w:color="auto"/>
            </w:tcBorders>
            <w:shd w:val="clear" w:color="auto" w:fill="auto"/>
            <w:vAlign w:val="center"/>
            <w:hideMark/>
          </w:tcPr>
          <w:p w14:paraId="111F740C" w14:textId="528C4EA8" w:rsidR="00B3410E" w:rsidRPr="000C06A7" w:rsidRDefault="00B3410E" w:rsidP="00837385">
            <w:pPr>
              <w:spacing w:after="0"/>
              <w:jc w:val="center"/>
              <w:rPr>
                <w:rFonts w:ascii="Arial" w:hAnsi="Arial" w:cs="Arial"/>
                <w:b/>
                <w:bCs/>
              </w:rPr>
            </w:pPr>
            <w:r w:rsidRPr="000C06A7">
              <w:rPr>
                <w:rFonts w:ascii="Arial" w:hAnsi="Arial" w:cs="Arial"/>
                <w:b/>
                <w:bCs/>
              </w:rPr>
              <w:t>Numbers enrolled during 2023</w:t>
            </w:r>
            <w:r w:rsidR="0031097F" w:rsidRPr="000C06A7">
              <w:rPr>
                <w:rFonts w:ascii="Arial" w:hAnsi="Arial" w:cs="Arial"/>
                <w:b/>
                <w:bCs/>
              </w:rPr>
              <w:t xml:space="preserve"> to 20</w:t>
            </w:r>
            <w:r w:rsidRPr="000C06A7">
              <w:rPr>
                <w:rFonts w:ascii="Arial" w:hAnsi="Arial" w:cs="Arial"/>
                <w:b/>
                <w:bCs/>
              </w:rPr>
              <w:t>24</w:t>
            </w:r>
          </w:p>
        </w:tc>
        <w:tc>
          <w:tcPr>
            <w:tcW w:w="1231" w:type="dxa"/>
            <w:tcBorders>
              <w:top w:val="single" w:sz="4" w:space="0" w:color="auto"/>
              <w:left w:val="nil"/>
              <w:bottom w:val="single" w:sz="8" w:space="0" w:color="auto"/>
              <w:right w:val="single" w:sz="8" w:space="0" w:color="auto"/>
            </w:tcBorders>
            <w:shd w:val="clear" w:color="auto" w:fill="auto"/>
            <w:vAlign w:val="center"/>
            <w:hideMark/>
          </w:tcPr>
          <w:p w14:paraId="7EB3AEEC" w14:textId="50CE933D" w:rsidR="00B3410E" w:rsidRPr="000C06A7" w:rsidRDefault="00B3410E" w:rsidP="00837385">
            <w:pPr>
              <w:spacing w:after="0"/>
              <w:jc w:val="center"/>
              <w:rPr>
                <w:rFonts w:ascii="Arial" w:hAnsi="Arial" w:cs="Arial"/>
                <w:b/>
                <w:bCs/>
              </w:rPr>
            </w:pPr>
            <w:r w:rsidRPr="000C06A7">
              <w:rPr>
                <w:rFonts w:ascii="Arial" w:hAnsi="Arial" w:cs="Arial"/>
                <w:b/>
                <w:bCs/>
              </w:rPr>
              <w:t>Numbers achieving during 2023</w:t>
            </w:r>
            <w:r w:rsidR="0031097F" w:rsidRPr="000C06A7">
              <w:rPr>
                <w:rFonts w:ascii="Arial" w:hAnsi="Arial" w:cs="Arial"/>
                <w:b/>
                <w:bCs/>
              </w:rPr>
              <w:t xml:space="preserve"> to 20</w:t>
            </w:r>
            <w:r w:rsidRPr="000C06A7">
              <w:rPr>
                <w:rFonts w:ascii="Arial" w:hAnsi="Arial" w:cs="Arial"/>
                <w:b/>
                <w:bCs/>
              </w:rPr>
              <w:t>24</w:t>
            </w:r>
          </w:p>
        </w:tc>
        <w:tc>
          <w:tcPr>
            <w:tcW w:w="1500" w:type="dxa"/>
            <w:tcBorders>
              <w:top w:val="single" w:sz="4" w:space="0" w:color="auto"/>
              <w:left w:val="nil"/>
              <w:bottom w:val="single" w:sz="8" w:space="0" w:color="auto"/>
              <w:right w:val="single" w:sz="8" w:space="0" w:color="auto"/>
            </w:tcBorders>
            <w:shd w:val="clear" w:color="auto" w:fill="auto"/>
            <w:vAlign w:val="center"/>
            <w:hideMark/>
          </w:tcPr>
          <w:p w14:paraId="4E4A8746" w14:textId="77777777" w:rsidR="00B3410E" w:rsidRPr="000C06A7" w:rsidRDefault="00B3410E" w:rsidP="00837385">
            <w:pPr>
              <w:spacing w:after="0"/>
              <w:jc w:val="center"/>
              <w:rPr>
                <w:rFonts w:ascii="Arial" w:hAnsi="Arial" w:cs="Arial"/>
                <w:b/>
                <w:bCs/>
              </w:rPr>
            </w:pPr>
            <w:r w:rsidRPr="000C06A7">
              <w:rPr>
                <w:rFonts w:ascii="Arial" w:hAnsi="Arial" w:cs="Arial"/>
                <w:b/>
                <w:bCs/>
              </w:rPr>
              <w:t>Numbers withdrawing</w:t>
            </w:r>
          </w:p>
        </w:tc>
        <w:tc>
          <w:tcPr>
            <w:tcW w:w="1170" w:type="dxa"/>
            <w:tcBorders>
              <w:top w:val="single" w:sz="4" w:space="0" w:color="auto"/>
              <w:left w:val="nil"/>
              <w:bottom w:val="single" w:sz="8" w:space="0" w:color="auto"/>
              <w:right w:val="single" w:sz="8" w:space="0" w:color="auto"/>
            </w:tcBorders>
            <w:shd w:val="clear" w:color="auto" w:fill="auto"/>
            <w:vAlign w:val="center"/>
            <w:hideMark/>
          </w:tcPr>
          <w:p w14:paraId="1C3465DE" w14:textId="4FA8A18D" w:rsidR="00B3410E" w:rsidRPr="000C06A7" w:rsidRDefault="00B3410E" w:rsidP="00837385">
            <w:pPr>
              <w:spacing w:after="0"/>
              <w:jc w:val="center"/>
              <w:rPr>
                <w:rFonts w:ascii="Arial" w:hAnsi="Arial" w:cs="Arial"/>
                <w:b/>
                <w:bCs/>
              </w:rPr>
            </w:pPr>
            <w:r w:rsidRPr="000C06A7">
              <w:rPr>
                <w:rFonts w:ascii="Arial" w:hAnsi="Arial" w:cs="Arial"/>
                <w:b/>
                <w:bCs/>
              </w:rPr>
              <w:t>Numbers carrying forward to 2024</w:t>
            </w:r>
            <w:r w:rsidR="0031097F" w:rsidRPr="000C06A7">
              <w:rPr>
                <w:rFonts w:ascii="Arial" w:hAnsi="Arial" w:cs="Arial"/>
                <w:b/>
                <w:bCs/>
              </w:rPr>
              <w:t xml:space="preserve"> to 20</w:t>
            </w:r>
            <w:r w:rsidRPr="000C06A7">
              <w:rPr>
                <w:rFonts w:ascii="Arial" w:hAnsi="Arial" w:cs="Arial"/>
                <w:b/>
                <w:bCs/>
              </w:rPr>
              <w:t>25</w:t>
            </w:r>
          </w:p>
        </w:tc>
      </w:tr>
      <w:tr w:rsidR="00080DCE" w:rsidRPr="00B568F3" w14:paraId="744EE01D"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noWrap/>
            <w:hideMark/>
          </w:tcPr>
          <w:p w14:paraId="7F3180CC" w14:textId="77777777" w:rsidR="003E1E04" w:rsidRPr="000C06A7" w:rsidRDefault="003E1E04" w:rsidP="003E1E04">
            <w:pPr>
              <w:spacing w:after="0"/>
              <w:rPr>
                <w:rFonts w:ascii="Arial" w:hAnsi="Arial" w:cs="Arial"/>
              </w:rPr>
            </w:pPr>
            <w:r w:rsidRPr="000C06A7">
              <w:rPr>
                <w:rFonts w:ascii="Arial" w:hAnsi="Arial" w:cs="Arial"/>
              </w:rPr>
              <w:t>AWIF</w:t>
            </w:r>
          </w:p>
        </w:tc>
        <w:tc>
          <w:tcPr>
            <w:tcW w:w="1361" w:type="dxa"/>
            <w:tcBorders>
              <w:top w:val="nil"/>
              <w:left w:val="nil"/>
              <w:bottom w:val="single" w:sz="4" w:space="0" w:color="auto"/>
              <w:right w:val="single" w:sz="4" w:space="0" w:color="auto"/>
            </w:tcBorders>
            <w:shd w:val="clear" w:color="auto" w:fill="auto"/>
            <w:vAlign w:val="center"/>
          </w:tcPr>
          <w:p w14:paraId="292718AF" w14:textId="3C3F84DF" w:rsidR="003E1E04" w:rsidRPr="000C06A7" w:rsidRDefault="003E1E04" w:rsidP="003E1E04">
            <w:pPr>
              <w:spacing w:after="0"/>
              <w:jc w:val="right"/>
              <w:rPr>
                <w:rFonts w:ascii="Arial" w:hAnsi="Arial" w:cs="Arial"/>
              </w:rPr>
            </w:pPr>
            <w:r w:rsidRPr="000C06A7">
              <w:rPr>
                <w:rFonts w:ascii="Arial" w:hAnsi="Arial" w:cs="Arial"/>
              </w:rPr>
              <w:t>403</w:t>
            </w:r>
          </w:p>
        </w:tc>
        <w:tc>
          <w:tcPr>
            <w:tcW w:w="1170" w:type="dxa"/>
            <w:tcBorders>
              <w:top w:val="nil"/>
              <w:left w:val="nil"/>
              <w:bottom w:val="single" w:sz="4" w:space="0" w:color="auto"/>
              <w:right w:val="single" w:sz="4" w:space="0" w:color="auto"/>
            </w:tcBorders>
            <w:shd w:val="clear" w:color="auto" w:fill="auto"/>
            <w:vAlign w:val="center"/>
          </w:tcPr>
          <w:p w14:paraId="5BEAADBE" w14:textId="6BD93A32" w:rsidR="003E1E04" w:rsidRPr="000C06A7" w:rsidRDefault="003E1E04" w:rsidP="003E1E04">
            <w:pPr>
              <w:spacing w:after="0"/>
              <w:jc w:val="right"/>
              <w:rPr>
                <w:rFonts w:ascii="Arial" w:hAnsi="Arial" w:cs="Arial"/>
              </w:rPr>
            </w:pPr>
            <w:r w:rsidRPr="000C06A7">
              <w:rPr>
                <w:rFonts w:ascii="Arial" w:hAnsi="Arial" w:cs="Arial"/>
              </w:rPr>
              <w:t>376</w:t>
            </w:r>
          </w:p>
        </w:tc>
        <w:tc>
          <w:tcPr>
            <w:tcW w:w="1231" w:type="dxa"/>
            <w:tcBorders>
              <w:top w:val="nil"/>
              <w:left w:val="nil"/>
              <w:bottom w:val="single" w:sz="4" w:space="0" w:color="auto"/>
              <w:right w:val="single" w:sz="4" w:space="0" w:color="auto"/>
            </w:tcBorders>
            <w:shd w:val="clear" w:color="auto" w:fill="auto"/>
            <w:vAlign w:val="center"/>
          </w:tcPr>
          <w:p w14:paraId="55182664" w14:textId="079A928B" w:rsidR="003E1E04" w:rsidRPr="000C06A7" w:rsidRDefault="003E1E04" w:rsidP="003E1E04">
            <w:pPr>
              <w:spacing w:after="0"/>
              <w:jc w:val="right"/>
              <w:rPr>
                <w:rFonts w:ascii="Arial" w:hAnsi="Arial" w:cs="Arial"/>
              </w:rPr>
            </w:pPr>
            <w:r w:rsidRPr="000C06A7">
              <w:rPr>
                <w:rFonts w:ascii="Arial" w:hAnsi="Arial" w:cs="Arial"/>
              </w:rPr>
              <w:t>256</w:t>
            </w:r>
          </w:p>
        </w:tc>
        <w:tc>
          <w:tcPr>
            <w:tcW w:w="1500" w:type="dxa"/>
            <w:tcBorders>
              <w:top w:val="nil"/>
              <w:left w:val="nil"/>
              <w:bottom w:val="single" w:sz="4" w:space="0" w:color="auto"/>
              <w:right w:val="single" w:sz="4" w:space="0" w:color="auto"/>
            </w:tcBorders>
            <w:shd w:val="clear" w:color="auto" w:fill="auto"/>
            <w:vAlign w:val="center"/>
          </w:tcPr>
          <w:p w14:paraId="1A85B867" w14:textId="4FF49412" w:rsidR="003E1E04" w:rsidRPr="000C06A7" w:rsidRDefault="003E1E04" w:rsidP="003E1E04">
            <w:pPr>
              <w:spacing w:after="0"/>
              <w:jc w:val="right"/>
              <w:rPr>
                <w:rFonts w:ascii="Arial" w:hAnsi="Arial" w:cs="Arial"/>
              </w:rPr>
            </w:pPr>
            <w:r w:rsidRPr="000C06A7">
              <w:rPr>
                <w:rFonts w:ascii="Arial" w:hAnsi="Arial" w:cs="Arial"/>
              </w:rPr>
              <w:t>80</w:t>
            </w:r>
          </w:p>
        </w:tc>
        <w:tc>
          <w:tcPr>
            <w:tcW w:w="1170" w:type="dxa"/>
            <w:tcBorders>
              <w:top w:val="nil"/>
              <w:left w:val="nil"/>
              <w:bottom w:val="single" w:sz="4" w:space="0" w:color="auto"/>
              <w:right w:val="single" w:sz="4" w:space="0" w:color="auto"/>
            </w:tcBorders>
            <w:shd w:val="clear" w:color="auto" w:fill="auto"/>
            <w:vAlign w:val="center"/>
          </w:tcPr>
          <w:p w14:paraId="16FFF461" w14:textId="74E14B81" w:rsidR="003E1E04" w:rsidRPr="000C06A7" w:rsidRDefault="003E1E04" w:rsidP="003E1E04">
            <w:pPr>
              <w:spacing w:after="0"/>
              <w:jc w:val="right"/>
              <w:rPr>
                <w:rFonts w:ascii="Arial" w:hAnsi="Arial" w:cs="Arial"/>
              </w:rPr>
            </w:pPr>
            <w:r w:rsidRPr="000C06A7">
              <w:rPr>
                <w:rFonts w:ascii="Arial" w:hAnsi="Arial" w:cs="Arial"/>
              </w:rPr>
              <w:t>443</w:t>
            </w:r>
          </w:p>
        </w:tc>
      </w:tr>
      <w:tr w:rsidR="00080DCE" w:rsidRPr="00B568F3" w14:paraId="0CD69DBD" w14:textId="77777777" w:rsidTr="00D74872">
        <w:trPr>
          <w:trHeight w:val="300"/>
        </w:trPr>
        <w:tc>
          <w:tcPr>
            <w:tcW w:w="4317" w:type="dxa"/>
            <w:tcBorders>
              <w:top w:val="single" w:sz="4" w:space="0" w:color="auto"/>
              <w:left w:val="single" w:sz="4" w:space="0" w:color="auto"/>
              <w:bottom w:val="single" w:sz="4" w:space="0" w:color="auto"/>
              <w:right w:val="single" w:sz="4" w:space="0" w:color="auto"/>
            </w:tcBorders>
            <w:shd w:val="clear" w:color="auto" w:fill="auto"/>
            <w:noWrap/>
            <w:hideMark/>
          </w:tcPr>
          <w:p w14:paraId="10F89F31" w14:textId="28A59D6E" w:rsidR="003E1E04" w:rsidRPr="000C06A7" w:rsidRDefault="003E1E04" w:rsidP="003E1E04">
            <w:pPr>
              <w:spacing w:after="0"/>
              <w:rPr>
                <w:rFonts w:ascii="Arial" w:hAnsi="Arial" w:cs="Arial"/>
              </w:rPr>
            </w:pPr>
            <w:r w:rsidRPr="000C06A7">
              <w:rPr>
                <w:rFonts w:ascii="Arial" w:hAnsi="Arial" w:cs="Arial"/>
              </w:rPr>
              <w:t xml:space="preserve">Level 2 </w:t>
            </w:r>
            <w:r w:rsidR="0031097F" w:rsidRPr="000C06A7">
              <w:rPr>
                <w:rFonts w:ascii="Arial" w:hAnsi="Arial" w:cs="Arial"/>
              </w:rPr>
              <w:t>approved q</w:t>
            </w:r>
            <w:r w:rsidR="001319F1" w:rsidRPr="000C06A7">
              <w:rPr>
                <w:rFonts w:ascii="Arial" w:hAnsi="Arial" w:cs="Arial"/>
              </w:rPr>
              <w:t>ualification</w:t>
            </w:r>
          </w:p>
        </w:tc>
        <w:tc>
          <w:tcPr>
            <w:tcW w:w="1361" w:type="dxa"/>
            <w:tcBorders>
              <w:top w:val="single" w:sz="4" w:space="0" w:color="auto"/>
              <w:left w:val="nil"/>
              <w:bottom w:val="single" w:sz="4" w:space="0" w:color="auto"/>
              <w:right w:val="single" w:sz="4" w:space="0" w:color="auto"/>
            </w:tcBorders>
            <w:shd w:val="clear" w:color="auto" w:fill="auto"/>
            <w:vAlign w:val="center"/>
          </w:tcPr>
          <w:p w14:paraId="2CFFC895" w14:textId="021A9352" w:rsidR="003E1E04" w:rsidRPr="000C06A7" w:rsidRDefault="003E1E04" w:rsidP="003E1E04">
            <w:pPr>
              <w:spacing w:after="0"/>
              <w:jc w:val="right"/>
              <w:rPr>
                <w:rFonts w:ascii="Arial" w:hAnsi="Arial" w:cs="Arial"/>
              </w:rPr>
            </w:pPr>
            <w:r w:rsidRPr="000C06A7">
              <w:rPr>
                <w:rFonts w:ascii="Arial" w:hAnsi="Arial" w:cs="Arial"/>
              </w:rPr>
              <w:t>557</w:t>
            </w:r>
          </w:p>
        </w:tc>
        <w:tc>
          <w:tcPr>
            <w:tcW w:w="1170" w:type="dxa"/>
            <w:tcBorders>
              <w:top w:val="single" w:sz="4" w:space="0" w:color="auto"/>
              <w:left w:val="nil"/>
              <w:bottom w:val="single" w:sz="4" w:space="0" w:color="auto"/>
              <w:right w:val="single" w:sz="4" w:space="0" w:color="auto"/>
            </w:tcBorders>
            <w:shd w:val="clear" w:color="auto" w:fill="auto"/>
            <w:vAlign w:val="center"/>
          </w:tcPr>
          <w:p w14:paraId="6BBED54B" w14:textId="50926337" w:rsidR="003E1E04" w:rsidRPr="000C06A7" w:rsidRDefault="003E1E04" w:rsidP="003E1E04">
            <w:pPr>
              <w:spacing w:after="0"/>
              <w:jc w:val="right"/>
              <w:rPr>
                <w:rFonts w:ascii="Arial" w:hAnsi="Arial" w:cs="Arial"/>
              </w:rPr>
            </w:pPr>
            <w:r w:rsidRPr="000C06A7">
              <w:rPr>
                <w:rFonts w:ascii="Arial" w:hAnsi="Arial" w:cs="Arial"/>
              </w:rPr>
              <w:t>479</w:t>
            </w:r>
          </w:p>
        </w:tc>
        <w:tc>
          <w:tcPr>
            <w:tcW w:w="1231" w:type="dxa"/>
            <w:tcBorders>
              <w:top w:val="single" w:sz="4" w:space="0" w:color="auto"/>
              <w:left w:val="nil"/>
              <w:bottom w:val="single" w:sz="4" w:space="0" w:color="auto"/>
              <w:right w:val="single" w:sz="4" w:space="0" w:color="auto"/>
            </w:tcBorders>
            <w:shd w:val="clear" w:color="auto" w:fill="auto"/>
            <w:vAlign w:val="center"/>
          </w:tcPr>
          <w:p w14:paraId="13097DEF" w14:textId="1AF51831" w:rsidR="003E1E04" w:rsidRPr="000C06A7" w:rsidRDefault="003E1E04" w:rsidP="003E1E04">
            <w:pPr>
              <w:spacing w:after="0"/>
              <w:jc w:val="right"/>
              <w:rPr>
                <w:rFonts w:ascii="Arial" w:hAnsi="Arial" w:cs="Arial"/>
              </w:rPr>
            </w:pPr>
            <w:r w:rsidRPr="000C06A7">
              <w:rPr>
                <w:rFonts w:ascii="Arial" w:hAnsi="Arial" w:cs="Arial"/>
              </w:rPr>
              <w:t>330</w:t>
            </w:r>
          </w:p>
        </w:tc>
        <w:tc>
          <w:tcPr>
            <w:tcW w:w="1500" w:type="dxa"/>
            <w:tcBorders>
              <w:top w:val="single" w:sz="4" w:space="0" w:color="auto"/>
              <w:left w:val="nil"/>
              <w:bottom w:val="single" w:sz="4" w:space="0" w:color="auto"/>
              <w:right w:val="single" w:sz="4" w:space="0" w:color="auto"/>
            </w:tcBorders>
            <w:shd w:val="clear" w:color="auto" w:fill="auto"/>
            <w:vAlign w:val="center"/>
          </w:tcPr>
          <w:p w14:paraId="6E30EBA6" w14:textId="47ADC6CC" w:rsidR="003E1E04" w:rsidRPr="000C06A7" w:rsidRDefault="003E1E04" w:rsidP="003E1E04">
            <w:pPr>
              <w:spacing w:after="0"/>
              <w:jc w:val="right"/>
              <w:rPr>
                <w:rFonts w:ascii="Arial" w:hAnsi="Arial" w:cs="Arial"/>
              </w:rPr>
            </w:pPr>
            <w:r w:rsidRPr="000C06A7">
              <w:rPr>
                <w:rFonts w:ascii="Arial" w:hAnsi="Arial" w:cs="Arial"/>
              </w:rPr>
              <w:t>91</w:t>
            </w:r>
          </w:p>
        </w:tc>
        <w:tc>
          <w:tcPr>
            <w:tcW w:w="1170" w:type="dxa"/>
            <w:tcBorders>
              <w:top w:val="single" w:sz="4" w:space="0" w:color="auto"/>
              <w:left w:val="nil"/>
              <w:bottom w:val="single" w:sz="4" w:space="0" w:color="auto"/>
              <w:right w:val="single" w:sz="4" w:space="0" w:color="auto"/>
            </w:tcBorders>
            <w:shd w:val="clear" w:color="auto" w:fill="auto"/>
            <w:vAlign w:val="center"/>
          </w:tcPr>
          <w:p w14:paraId="65CD377D" w14:textId="70B06662" w:rsidR="003E1E04" w:rsidRPr="000C06A7" w:rsidRDefault="003E1E04" w:rsidP="003E1E04">
            <w:pPr>
              <w:spacing w:after="0"/>
              <w:jc w:val="right"/>
              <w:rPr>
                <w:rFonts w:ascii="Arial" w:hAnsi="Arial" w:cs="Arial"/>
              </w:rPr>
            </w:pPr>
            <w:r w:rsidRPr="000C06A7">
              <w:rPr>
                <w:rFonts w:ascii="Arial" w:hAnsi="Arial" w:cs="Arial"/>
              </w:rPr>
              <w:t>615</w:t>
            </w:r>
          </w:p>
        </w:tc>
      </w:tr>
      <w:tr w:rsidR="00080DCE" w:rsidRPr="00B568F3" w14:paraId="3359C2B5"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hideMark/>
          </w:tcPr>
          <w:p w14:paraId="206E21A5" w14:textId="410678FF" w:rsidR="003E1E04" w:rsidRPr="000C06A7" w:rsidRDefault="003E1E04" w:rsidP="003E1E04">
            <w:pPr>
              <w:spacing w:after="0"/>
              <w:rPr>
                <w:rFonts w:ascii="Arial" w:hAnsi="Arial" w:cs="Arial"/>
              </w:rPr>
            </w:pPr>
            <w:r w:rsidRPr="000C06A7">
              <w:rPr>
                <w:rFonts w:ascii="Arial" w:hAnsi="Arial" w:cs="Arial"/>
              </w:rPr>
              <w:t xml:space="preserve">Level 3 </w:t>
            </w:r>
            <w:r w:rsidR="0031097F" w:rsidRPr="000C06A7">
              <w:rPr>
                <w:rFonts w:ascii="Arial" w:hAnsi="Arial" w:cs="Arial"/>
              </w:rPr>
              <w:t>a</w:t>
            </w:r>
            <w:r w:rsidRPr="000C06A7">
              <w:rPr>
                <w:rFonts w:ascii="Arial" w:hAnsi="Arial" w:cs="Arial"/>
              </w:rPr>
              <w:t>pproved</w:t>
            </w:r>
            <w:r w:rsidR="001319F1" w:rsidRPr="000C06A7">
              <w:rPr>
                <w:rFonts w:ascii="Arial" w:hAnsi="Arial" w:cs="Arial"/>
              </w:rPr>
              <w:t xml:space="preserve"> </w:t>
            </w:r>
            <w:r w:rsidR="0031097F" w:rsidRPr="000C06A7">
              <w:rPr>
                <w:rFonts w:ascii="Arial" w:hAnsi="Arial" w:cs="Arial"/>
              </w:rPr>
              <w:t>q</w:t>
            </w:r>
            <w:r w:rsidR="001319F1" w:rsidRPr="000C06A7">
              <w:rPr>
                <w:rFonts w:ascii="Arial" w:hAnsi="Arial" w:cs="Arial"/>
              </w:rPr>
              <w:t>ualification</w:t>
            </w:r>
          </w:p>
        </w:tc>
        <w:tc>
          <w:tcPr>
            <w:tcW w:w="1361" w:type="dxa"/>
            <w:tcBorders>
              <w:top w:val="nil"/>
              <w:left w:val="nil"/>
              <w:bottom w:val="single" w:sz="4" w:space="0" w:color="auto"/>
              <w:right w:val="single" w:sz="4" w:space="0" w:color="auto"/>
            </w:tcBorders>
            <w:shd w:val="clear" w:color="auto" w:fill="auto"/>
            <w:vAlign w:val="center"/>
          </w:tcPr>
          <w:p w14:paraId="3C0D8372" w14:textId="3A54BB7B" w:rsidR="003E1E04" w:rsidRPr="000C06A7" w:rsidRDefault="003E1E04" w:rsidP="003E1E04">
            <w:pPr>
              <w:spacing w:after="0"/>
              <w:jc w:val="right"/>
              <w:rPr>
                <w:rFonts w:ascii="Arial" w:hAnsi="Arial" w:cs="Arial"/>
              </w:rPr>
            </w:pPr>
            <w:r w:rsidRPr="000C06A7">
              <w:rPr>
                <w:rFonts w:ascii="Arial" w:hAnsi="Arial" w:cs="Arial"/>
              </w:rPr>
              <w:t>284</w:t>
            </w:r>
          </w:p>
        </w:tc>
        <w:tc>
          <w:tcPr>
            <w:tcW w:w="1170" w:type="dxa"/>
            <w:tcBorders>
              <w:top w:val="nil"/>
              <w:left w:val="nil"/>
              <w:bottom w:val="single" w:sz="4" w:space="0" w:color="auto"/>
              <w:right w:val="single" w:sz="4" w:space="0" w:color="auto"/>
            </w:tcBorders>
            <w:shd w:val="clear" w:color="auto" w:fill="auto"/>
            <w:vAlign w:val="center"/>
          </w:tcPr>
          <w:p w14:paraId="6D787158" w14:textId="5FA93D84" w:rsidR="003E1E04" w:rsidRPr="000C06A7" w:rsidRDefault="003E1E04" w:rsidP="003E1E04">
            <w:pPr>
              <w:spacing w:after="0"/>
              <w:jc w:val="right"/>
              <w:rPr>
                <w:rFonts w:ascii="Arial" w:hAnsi="Arial" w:cs="Arial"/>
              </w:rPr>
            </w:pPr>
            <w:r w:rsidRPr="000C06A7">
              <w:rPr>
                <w:rFonts w:ascii="Arial" w:hAnsi="Arial" w:cs="Arial"/>
              </w:rPr>
              <w:t>141</w:t>
            </w:r>
          </w:p>
        </w:tc>
        <w:tc>
          <w:tcPr>
            <w:tcW w:w="1231" w:type="dxa"/>
            <w:tcBorders>
              <w:top w:val="nil"/>
              <w:left w:val="nil"/>
              <w:bottom w:val="single" w:sz="4" w:space="0" w:color="auto"/>
              <w:right w:val="single" w:sz="4" w:space="0" w:color="auto"/>
            </w:tcBorders>
            <w:shd w:val="clear" w:color="auto" w:fill="auto"/>
            <w:vAlign w:val="center"/>
          </w:tcPr>
          <w:p w14:paraId="40A1415E" w14:textId="7AA9D701" w:rsidR="003E1E04" w:rsidRPr="000C06A7" w:rsidRDefault="003E1E04" w:rsidP="003E1E04">
            <w:pPr>
              <w:spacing w:after="0"/>
              <w:jc w:val="right"/>
              <w:rPr>
                <w:rFonts w:ascii="Arial" w:hAnsi="Arial" w:cs="Arial"/>
              </w:rPr>
            </w:pPr>
            <w:r w:rsidRPr="000C06A7">
              <w:rPr>
                <w:rFonts w:ascii="Arial" w:hAnsi="Arial" w:cs="Arial"/>
              </w:rPr>
              <w:t>89</w:t>
            </w:r>
          </w:p>
        </w:tc>
        <w:tc>
          <w:tcPr>
            <w:tcW w:w="1500" w:type="dxa"/>
            <w:tcBorders>
              <w:top w:val="nil"/>
              <w:left w:val="nil"/>
              <w:bottom w:val="single" w:sz="4" w:space="0" w:color="auto"/>
              <w:right w:val="single" w:sz="4" w:space="0" w:color="auto"/>
            </w:tcBorders>
            <w:shd w:val="clear" w:color="auto" w:fill="auto"/>
            <w:vAlign w:val="center"/>
          </w:tcPr>
          <w:p w14:paraId="05558B7E" w14:textId="60AA2A56" w:rsidR="003E1E04" w:rsidRPr="000C06A7" w:rsidRDefault="003E1E04" w:rsidP="003E1E04">
            <w:pPr>
              <w:spacing w:after="0"/>
              <w:jc w:val="right"/>
              <w:rPr>
                <w:rFonts w:ascii="Arial" w:hAnsi="Arial" w:cs="Arial"/>
              </w:rPr>
            </w:pPr>
            <w:r w:rsidRPr="000C06A7">
              <w:rPr>
                <w:rFonts w:ascii="Arial" w:hAnsi="Arial" w:cs="Arial"/>
              </w:rPr>
              <w:t>60</w:t>
            </w:r>
          </w:p>
        </w:tc>
        <w:tc>
          <w:tcPr>
            <w:tcW w:w="1170" w:type="dxa"/>
            <w:tcBorders>
              <w:top w:val="nil"/>
              <w:left w:val="nil"/>
              <w:bottom w:val="single" w:sz="4" w:space="0" w:color="auto"/>
              <w:right w:val="single" w:sz="4" w:space="0" w:color="auto"/>
            </w:tcBorders>
            <w:shd w:val="clear" w:color="auto" w:fill="auto"/>
            <w:vAlign w:val="center"/>
          </w:tcPr>
          <w:p w14:paraId="3DD51A2B" w14:textId="7B271183" w:rsidR="003E1E04" w:rsidRPr="000C06A7" w:rsidRDefault="003E1E04" w:rsidP="003E1E04">
            <w:pPr>
              <w:spacing w:after="0"/>
              <w:jc w:val="right"/>
              <w:rPr>
                <w:rFonts w:ascii="Arial" w:hAnsi="Arial" w:cs="Arial"/>
              </w:rPr>
            </w:pPr>
            <w:r w:rsidRPr="000C06A7">
              <w:rPr>
                <w:rFonts w:ascii="Arial" w:hAnsi="Arial" w:cs="Arial"/>
              </w:rPr>
              <w:t>276</w:t>
            </w:r>
          </w:p>
        </w:tc>
      </w:tr>
      <w:tr w:rsidR="00080DCE" w:rsidRPr="00B568F3" w14:paraId="690D6AB3"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hideMark/>
          </w:tcPr>
          <w:p w14:paraId="158F607D" w14:textId="34944D60" w:rsidR="003E1E04" w:rsidRPr="000C06A7" w:rsidRDefault="003E1E04" w:rsidP="003E1E04">
            <w:pPr>
              <w:spacing w:after="0"/>
              <w:rPr>
                <w:rFonts w:ascii="Arial" w:hAnsi="Arial" w:cs="Arial"/>
              </w:rPr>
            </w:pPr>
            <w:r w:rsidRPr="000C06A7">
              <w:rPr>
                <w:rFonts w:ascii="Arial" w:hAnsi="Arial" w:cs="Arial"/>
              </w:rPr>
              <w:t>Q</w:t>
            </w:r>
            <w:r w:rsidR="00251742" w:rsidRPr="000C06A7">
              <w:rPr>
                <w:rFonts w:ascii="Arial" w:hAnsi="Arial" w:cs="Arial"/>
              </w:rPr>
              <w:t xml:space="preserve">ualification and Credit Framework (QCF) Level 3 </w:t>
            </w:r>
            <w:r w:rsidR="00EC7E7C" w:rsidRPr="000C06A7">
              <w:rPr>
                <w:rFonts w:ascii="Arial" w:hAnsi="Arial" w:cs="Arial"/>
              </w:rPr>
              <w:t>–</w:t>
            </w:r>
            <w:r w:rsidRPr="000C06A7">
              <w:rPr>
                <w:rFonts w:ascii="Arial" w:hAnsi="Arial" w:cs="Arial"/>
              </w:rPr>
              <w:t xml:space="preserve"> C</w:t>
            </w:r>
            <w:r w:rsidR="003658D4" w:rsidRPr="000C06A7">
              <w:rPr>
                <w:rFonts w:ascii="Arial" w:hAnsi="Arial" w:cs="Arial"/>
              </w:rPr>
              <w:t>hildren and Young People</w:t>
            </w:r>
          </w:p>
        </w:tc>
        <w:tc>
          <w:tcPr>
            <w:tcW w:w="1361" w:type="dxa"/>
            <w:tcBorders>
              <w:top w:val="nil"/>
              <w:left w:val="single" w:sz="4" w:space="0" w:color="auto"/>
              <w:bottom w:val="single" w:sz="4" w:space="0" w:color="auto"/>
              <w:right w:val="single" w:sz="4" w:space="0" w:color="auto"/>
            </w:tcBorders>
            <w:shd w:val="clear" w:color="auto" w:fill="auto"/>
            <w:vAlign w:val="center"/>
          </w:tcPr>
          <w:p w14:paraId="387560DF" w14:textId="24D7BA7D" w:rsidR="003E1E04" w:rsidRPr="000C06A7" w:rsidRDefault="003E1E04" w:rsidP="003E1E04">
            <w:pPr>
              <w:spacing w:after="0"/>
              <w:jc w:val="right"/>
              <w:rPr>
                <w:rFonts w:ascii="Arial" w:hAnsi="Arial" w:cs="Arial"/>
              </w:rPr>
            </w:pPr>
            <w:r w:rsidRPr="000C06A7">
              <w:rPr>
                <w:rFonts w:ascii="Arial" w:hAnsi="Arial" w:cs="Arial"/>
              </w:rPr>
              <w:t>107</w:t>
            </w:r>
          </w:p>
        </w:tc>
        <w:tc>
          <w:tcPr>
            <w:tcW w:w="1170" w:type="dxa"/>
            <w:tcBorders>
              <w:top w:val="nil"/>
              <w:left w:val="nil"/>
              <w:bottom w:val="single" w:sz="4" w:space="0" w:color="auto"/>
              <w:right w:val="single" w:sz="4" w:space="0" w:color="auto"/>
            </w:tcBorders>
            <w:shd w:val="clear" w:color="auto" w:fill="auto"/>
            <w:vAlign w:val="center"/>
          </w:tcPr>
          <w:p w14:paraId="0A120D1A" w14:textId="031A1678" w:rsidR="003E1E04" w:rsidRPr="000C06A7" w:rsidRDefault="003E1E04" w:rsidP="003E1E04">
            <w:pPr>
              <w:spacing w:after="0"/>
              <w:jc w:val="right"/>
              <w:rPr>
                <w:rFonts w:ascii="Arial" w:hAnsi="Arial" w:cs="Arial"/>
              </w:rPr>
            </w:pPr>
            <w:r w:rsidRPr="000C06A7">
              <w:rPr>
                <w:rFonts w:ascii="Arial" w:hAnsi="Arial" w:cs="Arial"/>
              </w:rPr>
              <w:t>60</w:t>
            </w:r>
          </w:p>
        </w:tc>
        <w:tc>
          <w:tcPr>
            <w:tcW w:w="1231" w:type="dxa"/>
            <w:tcBorders>
              <w:top w:val="nil"/>
              <w:left w:val="nil"/>
              <w:bottom w:val="single" w:sz="4" w:space="0" w:color="auto"/>
              <w:right w:val="single" w:sz="4" w:space="0" w:color="auto"/>
            </w:tcBorders>
            <w:shd w:val="clear" w:color="auto" w:fill="auto"/>
            <w:vAlign w:val="center"/>
          </w:tcPr>
          <w:p w14:paraId="718D59DC" w14:textId="1ADCB0E5" w:rsidR="003E1E04" w:rsidRPr="000C06A7" w:rsidRDefault="003E1E04" w:rsidP="003E1E04">
            <w:pPr>
              <w:spacing w:after="0"/>
              <w:jc w:val="right"/>
              <w:rPr>
                <w:rFonts w:ascii="Arial" w:hAnsi="Arial" w:cs="Arial"/>
              </w:rPr>
            </w:pPr>
            <w:r w:rsidRPr="000C06A7">
              <w:rPr>
                <w:rFonts w:ascii="Arial" w:hAnsi="Arial" w:cs="Arial"/>
              </w:rPr>
              <w:t>28</w:t>
            </w:r>
          </w:p>
        </w:tc>
        <w:tc>
          <w:tcPr>
            <w:tcW w:w="1500" w:type="dxa"/>
            <w:tcBorders>
              <w:top w:val="nil"/>
              <w:left w:val="nil"/>
              <w:bottom w:val="single" w:sz="4" w:space="0" w:color="auto"/>
              <w:right w:val="single" w:sz="4" w:space="0" w:color="auto"/>
            </w:tcBorders>
            <w:shd w:val="clear" w:color="auto" w:fill="auto"/>
            <w:vAlign w:val="center"/>
          </w:tcPr>
          <w:p w14:paraId="56BD4EB2" w14:textId="1F7AF69F" w:rsidR="003E1E04" w:rsidRPr="000C06A7" w:rsidRDefault="003E1E04" w:rsidP="003E1E04">
            <w:pPr>
              <w:spacing w:after="0"/>
              <w:jc w:val="right"/>
              <w:rPr>
                <w:rFonts w:ascii="Arial" w:hAnsi="Arial" w:cs="Arial"/>
              </w:rPr>
            </w:pPr>
            <w:r w:rsidRPr="000C06A7">
              <w:rPr>
                <w:rFonts w:ascii="Arial" w:hAnsi="Arial" w:cs="Arial"/>
              </w:rPr>
              <w:t>21</w:t>
            </w:r>
          </w:p>
        </w:tc>
        <w:tc>
          <w:tcPr>
            <w:tcW w:w="1170" w:type="dxa"/>
            <w:tcBorders>
              <w:top w:val="nil"/>
              <w:left w:val="single" w:sz="4" w:space="0" w:color="auto"/>
              <w:bottom w:val="single" w:sz="4" w:space="0" w:color="auto"/>
              <w:right w:val="single" w:sz="4" w:space="0" w:color="auto"/>
            </w:tcBorders>
            <w:shd w:val="clear" w:color="auto" w:fill="auto"/>
            <w:vAlign w:val="center"/>
          </w:tcPr>
          <w:p w14:paraId="3780F395" w14:textId="4B53E96F" w:rsidR="003E1E04" w:rsidRPr="000C06A7" w:rsidRDefault="003E1E04" w:rsidP="003E1E04">
            <w:pPr>
              <w:spacing w:after="0"/>
              <w:jc w:val="right"/>
              <w:rPr>
                <w:rFonts w:ascii="Arial" w:hAnsi="Arial" w:cs="Arial"/>
              </w:rPr>
            </w:pPr>
            <w:r w:rsidRPr="000C06A7">
              <w:rPr>
                <w:rFonts w:ascii="Arial" w:hAnsi="Arial" w:cs="Arial"/>
              </w:rPr>
              <w:t>118</w:t>
            </w:r>
          </w:p>
        </w:tc>
      </w:tr>
      <w:tr w:rsidR="00080DCE" w:rsidRPr="00B568F3" w14:paraId="27BFC349"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hideMark/>
          </w:tcPr>
          <w:p w14:paraId="42C3517C" w14:textId="7F61E208" w:rsidR="003E1E04" w:rsidRPr="000C06A7" w:rsidRDefault="003E1E04" w:rsidP="003E1E04">
            <w:pPr>
              <w:spacing w:after="0"/>
              <w:rPr>
                <w:rFonts w:ascii="Arial" w:hAnsi="Arial" w:cs="Arial"/>
              </w:rPr>
            </w:pPr>
            <w:r w:rsidRPr="000C06A7">
              <w:rPr>
                <w:rFonts w:ascii="Arial" w:hAnsi="Arial" w:cs="Arial"/>
              </w:rPr>
              <w:t xml:space="preserve">Level 4 </w:t>
            </w:r>
            <w:r w:rsidR="0031097F" w:rsidRPr="000C06A7">
              <w:rPr>
                <w:rFonts w:ascii="Arial" w:hAnsi="Arial" w:cs="Arial"/>
              </w:rPr>
              <w:t>approved q</w:t>
            </w:r>
            <w:r w:rsidR="001319F1" w:rsidRPr="000C06A7">
              <w:rPr>
                <w:rFonts w:ascii="Arial" w:hAnsi="Arial" w:cs="Arial"/>
              </w:rPr>
              <w:t>ualification</w:t>
            </w:r>
          </w:p>
        </w:tc>
        <w:tc>
          <w:tcPr>
            <w:tcW w:w="1361" w:type="dxa"/>
            <w:tcBorders>
              <w:top w:val="single" w:sz="4" w:space="0" w:color="auto"/>
              <w:left w:val="nil"/>
              <w:bottom w:val="single" w:sz="4" w:space="0" w:color="auto"/>
              <w:right w:val="single" w:sz="4" w:space="0" w:color="auto"/>
            </w:tcBorders>
            <w:shd w:val="clear" w:color="auto" w:fill="auto"/>
            <w:vAlign w:val="center"/>
          </w:tcPr>
          <w:p w14:paraId="5A19D092" w14:textId="6D2F1F96" w:rsidR="003E1E04" w:rsidRPr="000C06A7" w:rsidRDefault="003E1E04" w:rsidP="003E1E04">
            <w:pPr>
              <w:spacing w:after="0"/>
              <w:jc w:val="right"/>
              <w:rPr>
                <w:rFonts w:ascii="Arial" w:hAnsi="Arial" w:cs="Arial"/>
              </w:rPr>
            </w:pPr>
            <w:r w:rsidRPr="000C06A7">
              <w:rPr>
                <w:rFonts w:ascii="Arial" w:hAnsi="Arial" w:cs="Arial"/>
              </w:rPr>
              <w:t>113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B6358AB" w14:textId="43DBBCA5" w:rsidR="003E1E04" w:rsidRPr="000C06A7" w:rsidRDefault="003E1E04" w:rsidP="003E1E04">
            <w:pPr>
              <w:spacing w:after="0"/>
              <w:jc w:val="right"/>
              <w:rPr>
                <w:rFonts w:ascii="Arial" w:hAnsi="Arial" w:cs="Arial"/>
              </w:rPr>
            </w:pPr>
            <w:r w:rsidRPr="000C06A7">
              <w:rPr>
                <w:rFonts w:ascii="Arial" w:hAnsi="Arial" w:cs="Arial"/>
              </w:rPr>
              <w:t>69</w:t>
            </w:r>
          </w:p>
        </w:tc>
        <w:tc>
          <w:tcPr>
            <w:tcW w:w="1231" w:type="dxa"/>
            <w:tcBorders>
              <w:top w:val="single" w:sz="4" w:space="0" w:color="auto"/>
              <w:left w:val="nil"/>
              <w:bottom w:val="single" w:sz="4" w:space="0" w:color="auto"/>
              <w:right w:val="single" w:sz="4" w:space="0" w:color="auto"/>
            </w:tcBorders>
            <w:shd w:val="clear" w:color="auto" w:fill="auto"/>
            <w:vAlign w:val="center"/>
          </w:tcPr>
          <w:p w14:paraId="1D4D539E" w14:textId="5FE0E938" w:rsidR="003E1E04" w:rsidRPr="000C06A7" w:rsidRDefault="003E1E04" w:rsidP="003E1E04">
            <w:pPr>
              <w:spacing w:after="0"/>
              <w:jc w:val="right"/>
              <w:rPr>
                <w:rFonts w:ascii="Arial" w:hAnsi="Arial" w:cs="Arial"/>
              </w:rPr>
            </w:pPr>
            <w:r w:rsidRPr="000C06A7">
              <w:rPr>
                <w:rFonts w:ascii="Arial" w:hAnsi="Arial" w:cs="Arial"/>
              </w:rPr>
              <w:t>36</w:t>
            </w:r>
          </w:p>
        </w:tc>
        <w:tc>
          <w:tcPr>
            <w:tcW w:w="1500" w:type="dxa"/>
            <w:tcBorders>
              <w:top w:val="single" w:sz="4" w:space="0" w:color="auto"/>
              <w:left w:val="nil"/>
              <w:bottom w:val="single" w:sz="4" w:space="0" w:color="auto"/>
              <w:right w:val="single" w:sz="4" w:space="0" w:color="auto"/>
            </w:tcBorders>
            <w:shd w:val="clear" w:color="auto" w:fill="auto"/>
            <w:vAlign w:val="center"/>
          </w:tcPr>
          <w:p w14:paraId="3A8D906B" w14:textId="525FFD08" w:rsidR="003E1E04" w:rsidRPr="000C06A7" w:rsidRDefault="003E1E04" w:rsidP="003E1E04">
            <w:pPr>
              <w:spacing w:after="0"/>
              <w:jc w:val="right"/>
              <w:rPr>
                <w:rFonts w:ascii="Arial" w:hAnsi="Arial" w:cs="Arial"/>
              </w:rPr>
            </w:pPr>
            <w:r w:rsidRPr="000C06A7">
              <w:rPr>
                <w:rFonts w:ascii="Arial" w:hAnsi="Arial" w:cs="Arial"/>
              </w:rPr>
              <w:t>29</w:t>
            </w:r>
          </w:p>
        </w:tc>
        <w:tc>
          <w:tcPr>
            <w:tcW w:w="1170" w:type="dxa"/>
            <w:tcBorders>
              <w:top w:val="nil"/>
              <w:left w:val="nil"/>
              <w:bottom w:val="single" w:sz="4" w:space="0" w:color="auto"/>
              <w:right w:val="single" w:sz="4" w:space="0" w:color="auto"/>
            </w:tcBorders>
            <w:shd w:val="clear" w:color="auto" w:fill="auto"/>
            <w:vAlign w:val="center"/>
          </w:tcPr>
          <w:p w14:paraId="63EA1F4D" w14:textId="477B0721" w:rsidR="003E1E04" w:rsidRPr="000C06A7" w:rsidRDefault="003E1E04" w:rsidP="003E1E04">
            <w:pPr>
              <w:spacing w:after="0"/>
              <w:jc w:val="right"/>
              <w:rPr>
                <w:rFonts w:ascii="Arial" w:hAnsi="Arial" w:cs="Arial"/>
              </w:rPr>
            </w:pPr>
            <w:r w:rsidRPr="000C06A7">
              <w:rPr>
                <w:rFonts w:ascii="Arial" w:hAnsi="Arial" w:cs="Arial"/>
              </w:rPr>
              <w:t>117</w:t>
            </w:r>
          </w:p>
        </w:tc>
      </w:tr>
      <w:tr w:rsidR="00080DCE" w:rsidRPr="00B568F3" w14:paraId="3578BD47"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noWrap/>
            <w:hideMark/>
          </w:tcPr>
          <w:p w14:paraId="02B39A18" w14:textId="3087A171" w:rsidR="003E1E04" w:rsidRPr="000C06A7" w:rsidRDefault="003E1E04" w:rsidP="003E1E04">
            <w:pPr>
              <w:spacing w:after="0"/>
              <w:rPr>
                <w:rFonts w:ascii="Arial" w:hAnsi="Arial" w:cs="Arial"/>
              </w:rPr>
            </w:pPr>
            <w:r w:rsidRPr="000C06A7">
              <w:rPr>
                <w:rFonts w:ascii="Arial" w:hAnsi="Arial" w:cs="Arial"/>
              </w:rPr>
              <w:t xml:space="preserve">Level 5 </w:t>
            </w:r>
            <w:r w:rsidR="0031097F" w:rsidRPr="000C06A7">
              <w:rPr>
                <w:rFonts w:ascii="Arial" w:hAnsi="Arial" w:cs="Arial"/>
              </w:rPr>
              <w:t>approved q</w:t>
            </w:r>
            <w:r w:rsidR="001319F1" w:rsidRPr="000C06A7">
              <w:rPr>
                <w:rFonts w:ascii="Arial" w:hAnsi="Arial" w:cs="Arial"/>
              </w:rPr>
              <w:t>ualification</w:t>
            </w:r>
          </w:p>
        </w:tc>
        <w:tc>
          <w:tcPr>
            <w:tcW w:w="1361" w:type="dxa"/>
            <w:tcBorders>
              <w:top w:val="nil"/>
              <w:left w:val="nil"/>
              <w:bottom w:val="single" w:sz="4" w:space="0" w:color="auto"/>
              <w:right w:val="single" w:sz="4" w:space="0" w:color="auto"/>
            </w:tcBorders>
            <w:shd w:val="clear" w:color="auto" w:fill="auto"/>
            <w:vAlign w:val="center"/>
          </w:tcPr>
          <w:p w14:paraId="3F2B44A4" w14:textId="55CD540E" w:rsidR="003E1E04" w:rsidRPr="000C06A7" w:rsidRDefault="003E1E04" w:rsidP="003E1E04">
            <w:pPr>
              <w:spacing w:after="0"/>
              <w:jc w:val="right"/>
              <w:rPr>
                <w:rFonts w:ascii="Arial" w:hAnsi="Arial" w:cs="Arial"/>
              </w:rPr>
            </w:pPr>
            <w:r w:rsidRPr="000C06A7">
              <w:rPr>
                <w:rFonts w:ascii="Arial" w:hAnsi="Arial" w:cs="Arial"/>
              </w:rPr>
              <w:t>50</w:t>
            </w:r>
          </w:p>
        </w:tc>
        <w:tc>
          <w:tcPr>
            <w:tcW w:w="1170" w:type="dxa"/>
            <w:tcBorders>
              <w:top w:val="nil"/>
              <w:left w:val="nil"/>
              <w:bottom w:val="single" w:sz="4" w:space="0" w:color="auto"/>
              <w:right w:val="single" w:sz="4" w:space="0" w:color="auto"/>
            </w:tcBorders>
            <w:shd w:val="clear" w:color="auto" w:fill="auto"/>
            <w:vAlign w:val="center"/>
          </w:tcPr>
          <w:p w14:paraId="79F50AB7" w14:textId="411E7979" w:rsidR="003E1E04" w:rsidRPr="000C06A7" w:rsidRDefault="003E1E04" w:rsidP="003E1E04">
            <w:pPr>
              <w:spacing w:after="0"/>
              <w:jc w:val="right"/>
              <w:rPr>
                <w:rFonts w:ascii="Arial" w:hAnsi="Arial" w:cs="Arial"/>
              </w:rPr>
            </w:pPr>
            <w:r w:rsidRPr="000C06A7">
              <w:rPr>
                <w:rFonts w:ascii="Arial" w:hAnsi="Arial" w:cs="Arial"/>
              </w:rPr>
              <w:t>20</w:t>
            </w:r>
          </w:p>
        </w:tc>
        <w:tc>
          <w:tcPr>
            <w:tcW w:w="1231" w:type="dxa"/>
            <w:tcBorders>
              <w:top w:val="nil"/>
              <w:left w:val="nil"/>
              <w:bottom w:val="single" w:sz="4" w:space="0" w:color="auto"/>
              <w:right w:val="single" w:sz="4" w:space="0" w:color="auto"/>
            </w:tcBorders>
            <w:shd w:val="clear" w:color="auto" w:fill="auto"/>
            <w:vAlign w:val="center"/>
          </w:tcPr>
          <w:p w14:paraId="48A8F5BB" w14:textId="4926EF5F" w:rsidR="003E1E04" w:rsidRPr="000C06A7" w:rsidRDefault="003E1E04" w:rsidP="003E1E04">
            <w:pPr>
              <w:spacing w:after="0"/>
              <w:jc w:val="right"/>
              <w:rPr>
                <w:rFonts w:ascii="Arial" w:hAnsi="Arial" w:cs="Arial"/>
              </w:rPr>
            </w:pPr>
            <w:r w:rsidRPr="000C06A7">
              <w:rPr>
                <w:rFonts w:ascii="Arial" w:hAnsi="Arial" w:cs="Arial"/>
              </w:rPr>
              <w:t>10</w:t>
            </w:r>
          </w:p>
        </w:tc>
        <w:tc>
          <w:tcPr>
            <w:tcW w:w="1500" w:type="dxa"/>
            <w:tcBorders>
              <w:top w:val="nil"/>
              <w:left w:val="nil"/>
              <w:bottom w:val="single" w:sz="4" w:space="0" w:color="auto"/>
              <w:right w:val="single" w:sz="4" w:space="0" w:color="auto"/>
            </w:tcBorders>
            <w:shd w:val="clear" w:color="auto" w:fill="auto"/>
            <w:vAlign w:val="center"/>
          </w:tcPr>
          <w:p w14:paraId="14E7EC77" w14:textId="75B9F63C" w:rsidR="003E1E04" w:rsidRPr="000C06A7" w:rsidRDefault="003E1E04" w:rsidP="003E1E04">
            <w:pPr>
              <w:spacing w:after="0"/>
              <w:jc w:val="right"/>
              <w:rPr>
                <w:rFonts w:ascii="Arial" w:hAnsi="Arial" w:cs="Arial"/>
              </w:rPr>
            </w:pPr>
            <w:r w:rsidRPr="000C06A7">
              <w:rPr>
                <w:rFonts w:ascii="Arial" w:hAnsi="Arial" w:cs="Arial"/>
              </w:rPr>
              <w:t>6</w:t>
            </w:r>
          </w:p>
        </w:tc>
        <w:tc>
          <w:tcPr>
            <w:tcW w:w="1170" w:type="dxa"/>
            <w:tcBorders>
              <w:top w:val="nil"/>
              <w:left w:val="nil"/>
              <w:bottom w:val="single" w:sz="4" w:space="0" w:color="auto"/>
              <w:right w:val="single" w:sz="4" w:space="0" w:color="auto"/>
            </w:tcBorders>
            <w:shd w:val="clear" w:color="auto" w:fill="auto"/>
            <w:vAlign w:val="center"/>
          </w:tcPr>
          <w:p w14:paraId="2067496E" w14:textId="7A285D1F" w:rsidR="003E1E04" w:rsidRPr="000C06A7" w:rsidRDefault="003E1E04" w:rsidP="003E1E04">
            <w:pPr>
              <w:spacing w:after="0"/>
              <w:jc w:val="right"/>
              <w:rPr>
                <w:rFonts w:ascii="Arial" w:hAnsi="Arial" w:cs="Arial"/>
              </w:rPr>
            </w:pPr>
            <w:r w:rsidRPr="000C06A7">
              <w:rPr>
                <w:rFonts w:ascii="Arial" w:hAnsi="Arial" w:cs="Arial"/>
              </w:rPr>
              <w:t>54</w:t>
            </w:r>
          </w:p>
        </w:tc>
      </w:tr>
      <w:tr w:rsidR="00080DCE" w:rsidRPr="00B568F3" w14:paraId="446016E3"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noWrap/>
            <w:hideMark/>
          </w:tcPr>
          <w:p w14:paraId="74022F19" w14:textId="4F18E408" w:rsidR="003E1E04" w:rsidRPr="000C06A7" w:rsidRDefault="007D0F3D" w:rsidP="003E1E04">
            <w:pPr>
              <w:spacing w:after="0"/>
              <w:rPr>
                <w:rFonts w:ascii="Arial" w:hAnsi="Arial" w:cs="Arial"/>
              </w:rPr>
            </w:pPr>
            <w:r w:rsidRPr="000C06A7">
              <w:rPr>
                <w:rFonts w:ascii="Arial" w:hAnsi="Arial" w:cs="Arial"/>
              </w:rPr>
              <w:t>Training, Assessment, and Quality Assurance (</w:t>
            </w:r>
            <w:r w:rsidR="003E1E04" w:rsidRPr="000C06A7">
              <w:rPr>
                <w:rFonts w:ascii="Arial" w:hAnsi="Arial" w:cs="Arial"/>
              </w:rPr>
              <w:t>TAQA</w:t>
            </w:r>
            <w:r w:rsidRPr="000C06A7">
              <w:rPr>
                <w:rFonts w:ascii="Arial" w:hAnsi="Arial" w:cs="Arial"/>
              </w:rPr>
              <w:t>)</w:t>
            </w:r>
            <w:r w:rsidR="00EF7CC6" w:rsidRPr="000C06A7">
              <w:rPr>
                <w:rFonts w:ascii="Arial" w:hAnsi="Arial" w:cs="Arial"/>
              </w:rPr>
              <w:t xml:space="preserve"> award</w:t>
            </w:r>
            <w:r w:rsidR="003E1E04" w:rsidRPr="000C06A7">
              <w:rPr>
                <w:rFonts w:ascii="Arial" w:hAnsi="Arial" w:cs="Arial"/>
              </w:rPr>
              <w:t xml:space="preserve"> - Level 3</w:t>
            </w:r>
          </w:p>
        </w:tc>
        <w:tc>
          <w:tcPr>
            <w:tcW w:w="1361" w:type="dxa"/>
            <w:tcBorders>
              <w:top w:val="nil"/>
              <w:left w:val="single" w:sz="4" w:space="0" w:color="auto"/>
              <w:bottom w:val="single" w:sz="4" w:space="0" w:color="auto"/>
              <w:right w:val="single" w:sz="4" w:space="0" w:color="auto"/>
            </w:tcBorders>
            <w:shd w:val="clear" w:color="auto" w:fill="auto"/>
            <w:vAlign w:val="center"/>
          </w:tcPr>
          <w:p w14:paraId="12D5B7EA" w14:textId="79895BE1" w:rsidR="003E1E04" w:rsidRPr="000C06A7" w:rsidRDefault="003E1E04" w:rsidP="003E1E04">
            <w:pPr>
              <w:spacing w:after="0"/>
              <w:jc w:val="right"/>
              <w:rPr>
                <w:rFonts w:ascii="Arial" w:hAnsi="Arial" w:cs="Arial"/>
              </w:rPr>
            </w:pPr>
            <w:r w:rsidRPr="000C06A7">
              <w:rPr>
                <w:rFonts w:ascii="Arial" w:hAnsi="Arial" w:cs="Arial"/>
              </w:rPr>
              <w:t>8</w:t>
            </w:r>
          </w:p>
        </w:tc>
        <w:tc>
          <w:tcPr>
            <w:tcW w:w="1170" w:type="dxa"/>
            <w:tcBorders>
              <w:top w:val="nil"/>
              <w:left w:val="nil"/>
              <w:bottom w:val="single" w:sz="4" w:space="0" w:color="auto"/>
              <w:right w:val="single" w:sz="4" w:space="0" w:color="auto"/>
            </w:tcBorders>
            <w:shd w:val="clear" w:color="auto" w:fill="auto"/>
            <w:vAlign w:val="center"/>
          </w:tcPr>
          <w:p w14:paraId="2BFD39CA" w14:textId="2596BD0D" w:rsidR="003E1E04" w:rsidRPr="000C06A7" w:rsidRDefault="003E1E04" w:rsidP="003E1E04">
            <w:pPr>
              <w:spacing w:after="0"/>
              <w:jc w:val="right"/>
              <w:rPr>
                <w:rFonts w:ascii="Arial" w:hAnsi="Arial" w:cs="Arial"/>
              </w:rPr>
            </w:pPr>
            <w:r w:rsidRPr="000C06A7">
              <w:rPr>
                <w:rFonts w:ascii="Arial" w:hAnsi="Arial" w:cs="Arial"/>
              </w:rPr>
              <w:t>1</w:t>
            </w:r>
          </w:p>
        </w:tc>
        <w:tc>
          <w:tcPr>
            <w:tcW w:w="1231" w:type="dxa"/>
            <w:tcBorders>
              <w:top w:val="nil"/>
              <w:left w:val="nil"/>
              <w:bottom w:val="single" w:sz="4" w:space="0" w:color="auto"/>
              <w:right w:val="single" w:sz="4" w:space="0" w:color="auto"/>
            </w:tcBorders>
            <w:shd w:val="clear" w:color="auto" w:fill="auto"/>
            <w:vAlign w:val="center"/>
          </w:tcPr>
          <w:p w14:paraId="2C9ED38D" w14:textId="22DF6E5F" w:rsidR="003E1E04" w:rsidRPr="000C06A7" w:rsidRDefault="003E1E04" w:rsidP="003E1E04">
            <w:pPr>
              <w:spacing w:after="0"/>
              <w:jc w:val="right"/>
              <w:rPr>
                <w:rFonts w:ascii="Arial" w:hAnsi="Arial" w:cs="Arial"/>
              </w:rPr>
            </w:pPr>
            <w:r w:rsidRPr="000C06A7">
              <w:rPr>
                <w:rFonts w:ascii="Arial" w:hAnsi="Arial" w:cs="Arial"/>
              </w:rPr>
              <w:t>4</w:t>
            </w:r>
          </w:p>
        </w:tc>
        <w:tc>
          <w:tcPr>
            <w:tcW w:w="1500" w:type="dxa"/>
            <w:tcBorders>
              <w:top w:val="nil"/>
              <w:left w:val="nil"/>
              <w:bottom w:val="single" w:sz="4" w:space="0" w:color="auto"/>
              <w:right w:val="single" w:sz="4" w:space="0" w:color="auto"/>
            </w:tcBorders>
            <w:shd w:val="clear" w:color="auto" w:fill="auto"/>
            <w:vAlign w:val="center"/>
          </w:tcPr>
          <w:p w14:paraId="6426818A" w14:textId="7099F366" w:rsidR="003E1E04" w:rsidRPr="000C06A7" w:rsidRDefault="003E1E04" w:rsidP="003E1E04">
            <w:pPr>
              <w:spacing w:after="0"/>
              <w:jc w:val="right"/>
              <w:rPr>
                <w:rFonts w:ascii="Arial" w:hAnsi="Arial" w:cs="Arial"/>
              </w:rPr>
            </w:pPr>
            <w:r w:rsidRPr="000C06A7">
              <w:rPr>
                <w:rFonts w:ascii="Arial" w:hAnsi="Arial" w:cs="Arial"/>
              </w:rPr>
              <w:t>1</w:t>
            </w:r>
          </w:p>
        </w:tc>
        <w:tc>
          <w:tcPr>
            <w:tcW w:w="1170" w:type="dxa"/>
            <w:tcBorders>
              <w:top w:val="nil"/>
              <w:left w:val="single" w:sz="4" w:space="0" w:color="auto"/>
              <w:bottom w:val="single" w:sz="4" w:space="0" w:color="auto"/>
              <w:right w:val="single" w:sz="4" w:space="0" w:color="auto"/>
            </w:tcBorders>
            <w:shd w:val="clear" w:color="auto" w:fill="auto"/>
            <w:vAlign w:val="center"/>
          </w:tcPr>
          <w:p w14:paraId="3444899D" w14:textId="5D1B756E" w:rsidR="003E1E04" w:rsidRPr="000C06A7" w:rsidRDefault="003E1E04" w:rsidP="003E1E04">
            <w:pPr>
              <w:spacing w:after="0"/>
              <w:jc w:val="right"/>
              <w:rPr>
                <w:rFonts w:ascii="Arial" w:hAnsi="Arial" w:cs="Arial"/>
              </w:rPr>
            </w:pPr>
            <w:r w:rsidRPr="000C06A7">
              <w:rPr>
                <w:rFonts w:ascii="Arial" w:hAnsi="Arial" w:cs="Arial"/>
              </w:rPr>
              <w:t>4</w:t>
            </w:r>
          </w:p>
        </w:tc>
      </w:tr>
      <w:tr w:rsidR="00080DCE" w:rsidRPr="00B568F3" w14:paraId="3B8ABA0D"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FFFFFF" w:themeFill="background1"/>
            <w:noWrap/>
            <w:hideMark/>
          </w:tcPr>
          <w:p w14:paraId="355AEDEA" w14:textId="54C9A681" w:rsidR="003E1E04" w:rsidRPr="000C06A7" w:rsidRDefault="00607BE9" w:rsidP="003E1E04">
            <w:pPr>
              <w:spacing w:after="0"/>
              <w:rPr>
                <w:rFonts w:ascii="Arial" w:hAnsi="Arial" w:cs="Arial"/>
              </w:rPr>
            </w:pPr>
            <w:r w:rsidRPr="000C06A7">
              <w:rPr>
                <w:rFonts w:ascii="Arial" w:hAnsi="Arial" w:cs="Arial"/>
              </w:rPr>
              <w:t xml:space="preserve">Training, Assessment, and Quality Assurance (TAQA) </w:t>
            </w:r>
            <w:r w:rsidR="003E1E04" w:rsidRPr="000C06A7">
              <w:rPr>
                <w:rFonts w:ascii="Arial" w:hAnsi="Arial" w:cs="Arial"/>
              </w:rPr>
              <w:t>award - Level 4</w:t>
            </w:r>
          </w:p>
        </w:tc>
        <w:tc>
          <w:tcPr>
            <w:tcW w:w="1361" w:type="dxa"/>
            <w:tcBorders>
              <w:top w:val="single" w:sz="4" w:space="0" w:color="auto"/>
              <w:left w:val="nil"/>
              <w:bottom w:val="single" w:sz="4" w:space="0" w:color="auto"/>
              <w:right w:val="single" w:sz="4" w:space="0" w:color="auto"/>
            </w:tcBorders>
            <w:shd w:val="clear" w:color="auto" w:fill="auto"/>
            <w:vAlign w:val="center"/>
          </w:tcPr>
          <w:p w14:paraId="7C65EF9D" w14:textId="0174F407" w:rsidR="003E1E04" w:rsidRPr="000C06A7" w:rsidRDefault="003E1E04" w:rsidP="003E1E04">
            <w:pPr>
              <w:spacing w:after="0"/>
              <w:jc w:val="right"/>
              <w:rPr>
                <w:rFonts w:ascii="Arial" w:hAnsi="Arial" w:cs="Arial"/>
              </w:rPr>
            </w:pPr>
            <w:r w:rsidRPr="000C06A7">
              <w:rPr>
                <w:rFonts w:ascii="Arial" w:hAnsi="Arial" w:cs="Arial"/>
              </w:rPr>
              <w:t>0</w:t>
            </w:r>
          </w:p>
        </w:tc>
        <w:tc>
          <w:tcPr>
            <w:tcW w:w="1170" w:type="dxa"/>
            <w:tcBorders>
              <w:top w:val="single" w:sz="4" w:space="0" w:color="auto"/>
              <w:left w:val="nil"/>
              <w:bottom w:val="single" w:sz="4" w:space="0" w:color="auto"/>
              <w:right w:val="single" w:sz="4" w:space="0" w:color="auto"/>
            </w:tcBorders>
            <w:shd w:val="clear" w:color="auto" w:fill="auto"/>
            <w:vAlign w:val="center"/>
          </w:tcPr>
          <w:p w14:paraId="6DA6506B" w14:textId="7EC255B4" w:rsidR="003E1E04" w:rsidRPr="000C06A7" w:rsidRDefault="003E1E04" w:rsidP="003E1E04">
            <w:pPr>
              <w:spacing w:after="0"/>
              <w:jc w:val="right"/>
              <w:rPr>
                <w:rFonts w:ascii="Arial" w:hAnsi="Arial" w:cs="Arial"/>
              </w:rPr>
            </w:pPr>
            <w:r w:rsidRPr="000C06A7">
              <w:rPr>
                <w:rFonts w:ascii="Arial" w:hAnsi="Arial" w:cs="Arial"/>
              </w:rPr>
              <w:t>0</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6818C7" w14:textId="005EDE32" w:rsidR="003E1E04" w:rsidRPr="000C06A7" w:rsidRDefault="003E1E04" w:rsidP="003E1E04">
            <w:pPr>
              <w:spacing w:after="0"/>
              <w:jc w:val="right"/>
              <w:rPr>
                <w:rFonts w:ascii="Arial" w:hAnsi="Arial" w:cs="Arial"/>
              </w:rPr>
            </w:pPr>
            <w:r w:rsidRPr="000C06A7">
              <w:rPr>
                <w:rFonts w:ascii="Arial" w:hAnsi="Arial" w:cs="Arial"/>
              </w:rPr>
              <w:t>0</w:t>
            </w:r>
          </w:p>
        </w:tc>
        <w:tc>
          <w:tcPr>
            <w:tcW w:w="1500" w:type="dxa"/>
            <w:tcBorders>
              <w:top w:val="single" w:sz="4" w:space="0" w:color="auto"/>
              <w:left w:val="nil"/>
              <w:bottom w:val="single" w:sz="4" w:space="0" w:color="auto"/>
              <w:right w:val="single" w:sz="4" w:space="0" w:color="auto"/>
            </w:tcBorders>
            <w:shd w:val="clear" w:color="auto" w:fill="auto"/>
            <w:vAlign w:val="center"/>
          </w:tcPr>
          <w:p w14:paraId="548B402A" w14:textId="527ED04C" w:rsidR="003E1E04" w:rsidRPr="000C06A7" w:rsidRDefault="003E1E04" w:rsidP="003E1E04">
            <w:pPr>
              <w:spacing w:after="0"/>
              <w:jc w:val="right"/>
              <w:rPr>
                <w:rFonts w:ascii="Arial" w:hAnsi="Arial" w:cs="Arial"/>
              </w:rPr>
            </w:pPr>
            <w:r w:rsidRPr="000C06A7">
              <w:rPr>
                <w:rFonts w:ascii="Arial" w:hAnsi="Arial" w:cs="Arial"/>
              </w:rPr>
              <w:t>0</w:t>
            </w:r>
          </w:p>
        </w:tc>
        <w:tc>
          <w:tcPr>
            <w:tcW w:w="1170" w:type="dxa"/>
            <w:tcBorders>
              <w:top w:val="nil"/>
              <w:left w:val="nil"/>
              <w:bottom w:val="single" w:sz="4" w:space="0" w:color="auto"/>
              <w:right w:val="single" w:sz="4" w:space="0" w:color="auto"/>
            </w:tcBorders>
            <w:shd w:val="clear" w:color="auto" w:fill="auto"/>
            <w:vAlign w:val="center"/>
          </w:tcPr>
          <w:p w14:paraId="7D297C19" w14:textId="6609CCEC" w:rsidR="003E1E04" w:rsidRPr="000C06A7" w:rsidRDefault="003E1E04" w:rsidP="003E1E04">
            <w:pPr>
              <w:spacing w:after="0"/>
              <w:jc w:val="right"/>
              <w:rPr>
                <w:rFonts w:ascii="Arial" w:hAnsi="Arial" w:cs="Arial"/>
              </w:rPr>
            </w:pPr>
            <w:r w:rsidRPr="000C06A7">
              <w:rPr>
                <w:rFonts w:ascii="Arial" w:hAnsi="Arial" w:cs="Arial"/>
              </w:rPr>
              <w:t>0</w:t>
            </w:r>
          </w:p>
        </w:tc>
      </w:tr>
      <w:tr w:rsidR="00080DCE" w:rsidRPr="00B568F3" w14:paraId="718DC53B"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noWrap/>
            <w:hideMark/>
          </w:tcPr>
          <w:p w14:paraId="54105F03" w14:textId="77777777" w:rsidR="000B12DB" w:rsidRPr="000C06A7" w:rsidRDefault="000B12DB" w:rsidP="000B12DB">
            <w:pPr>
              <w:spacing w:after="0"/>
              <w:rPr>
                <w:rFonts w:ascii="Arial" w:hAnsi="Arial" w:cs="Arial"/>
              </w:rPr>
            </w:pPr>
            <w:r w:rsidRPr="000C06A7">
              <w:rPr>
                <w:rFonts w:ascii="Arial" w:hAnsi="Arial" w:cs="Arial"/>
              </w:rPr>
              <w:t>Social Services Practitioner Programme</w:t>
            </w:r>
          </w:p>
        </w:tc>
        <w:tc>
          <w:tcPr>
            <w:tcW w:w="1361" w:type="dxa"/>
            <w:tcBorders>
              <w:top w:val="nil"/>
              <w:left w:val="nil"/>
              <w:bottom w:val="single" w:sz="4" w:space="0" w:color="auto"/>
              <w:right w:val="single" w:sz="4" w:space="0" w:color="auto"/>
            </w:tcBorders>
            <w:shd w:val="clear" w:color="auto" w:fill="auto"/>
            <w:vAlign w:val="center"/>
          </w:tcPr>
          <w:p w14:paraId="1319CB36" w14:textId="30396319" w:rsidR="000B12DB" w:rsidRPr="000C06A7" w:rsidRDefault="000B12DB" w:rsidP="000B12DB">
            <w:pPr>
              <w:spacing w:after="0"/>
              <w:jc w:val="right"/>
              <w:rPr>
                <w:rFonts w:ascii="Arial" w:hAnsi="Arial" w:cs="Arial"/>
              </w:rPr>
            </w:pPr>
            <w:r w:rsidRPr="000C06A7">
              <w:rPr>
                <w:rFonts w:ascii="Arial" w:hAnsi="Arial" w:cs="Arial"/>
              </w:rPr>
              <w:t>102</w:t>
            </w:r>
          </w:p>
        </w:tc>
        <w:tc>
          <w:tcPr>
            <w:tcW w:w="1170" w:type="dxa"/>
            <w:tcBorders>
              <w:top w:val="nil"/>
              <w:left w:val="nil"/>
              <w:bottom w:val="single" w:sz="4" w:space="0" w:color="auto"/>
              <w:right w:val="single" w:sz="4" w:space="0" w:color="auto"/>
            </w:tcBorders>
            <w:shd w:val="clear" w:color="auto" w:fill="auto"/>
            <w:vAlign w:val="center"/>
          </w:tcPr>
          <w:p w14:paraId="5F959747" w14:textId="249B7433" w:rsidR="000B12DB" w:rsidRPr="000C06A7" w:rsidRDefault="000B12DB" w:rsidP="000B12DB">
            <w:pPr>
              <w:spacing w:after="0"/>
              <w:jc w:val="right"/>
              <w:rPr>
                <w:rFonts w:ascii="Arial" w:hAnsi="Arial" w:cs="Arial"/>
              </w:rPr>
            </w:pPr>
            <w:r w:rsidRPr="000C06A7">
              <w:rPr>
                <w:rFonts w:ascii="Arial" w:hAnsi="Arial" w:cs="Arial"/>
              </w:rPr>
              <w:t>64</w:t>
            </w:r>
          </w:p>
        </w:tc>
        <w:tc>
          <w:tcPr>
            <w:tcW w:w="1231" w:type="dxa"/>
            <w:tcBorders>
              <w:top w:val="nil"/>
              <w:left w:val="nil"/>
              <w:bottom w:val="single" w:sz="4" w:space="0" w:color="auto"/>
              <w:right w:val="single" w:sz="4" w:space="0" w:color="auto"/>
            </w:tcBorders>
            <w:shd w:val="clear" w:color="auto" w:fill="auto"/>
            <w:vAlign w:val="center"/>
          </w:tcPr>
          <w:p w14:paraId="08D975A2" w14:textId="7AC59241" w:rsidR="000B12DB" w:rsidRPr="000C06A7" w:rsidRDefault="000B12DB" w:rsidP="000B12DB">
            <w:pPr>
              <w:spacing w:after="0"/>
              <w:jc w:val="right"/>
              <w:rPr>
                <w:rFonts w:ascii="Arial" w:hAnsi="Arial" w:cs="Arial"/>
              </w:rPr>
            </w:pPr>
            <w:r w:rsidRPr="000C06A7">
              <w:rPr>
                <w:rFonts w:ascii="Arial" w:hAnsi="Arial" w:cs="Arial"/>
              </w:rPr>
              <w:t>45</w:t>
            </w:r>
          </w:p>
        </w:tc>
        <w:tc>
          <w:tcPr>
            <w:tcW w:w="1500" w:type="dxa"/>
            <w:tcBorders>
              <w:top w:val="nil"/>
              <w:left w:val="nil"/>
              <w:bottom w:val="single" w:sz="4" w:space="0" w:color="auto"/>
              <w:right w:val="single" w:sz="4" w:space="0" w:color="auto"/>
            </w:tcBorders>
            <w:shd w:val="clear" w:color="auto" w:fill="auto"/>
            <w:vAlign w:val="center"/>
          </w:tcPr>
          <w:p w14:paraId="19827E7A" w14:textId="0888BDA1" w:rsidR="000B12DB" w:rsidRPr="000C06A7" w:rsidRDefault="000B12DB" w:rsidP="000B12DB">
            <w:pPr>
              <w:spacing w:after="0"/>
              <w:jc w:val="right"/>
              <w:rPr>
                <w:rFonts w:ascii="Arial" w:hAnsi="Arial" w:cs="Arial"/>
              </w:rPr>
            </w:pPr>
            <w:r w:rsidRPr="000C06A7">
              <w:rPr>
                <w:rFonts w:ascii="Arial" w:hAnsi="Arial" w:cs="Arial"/>
              </w:rPr>
              <w:t>8</w:t>
            </w:r>
          </w:p>
        </w:tc>
        <w:tc>
          <w:tcPr>
            <w:tcW w:w="1170" w:type="dxa"/>
            <w:tcBorders>
              <w:top w:val="nil"/>
              <w:left w:val="nil"/>
              <w:bottom w:val="single" w:sz="4" w:space="0" w:color="auto"/>
              <w:right w:val="single" w:sz="4" w:space="0" w:color="auto"/>
            </w:tcBorders>
            <w:shd w:val="clear" w:color="auto" w:fill="auto"/>
            <w:vAlign w:val="center"/>
          </w:tcPr>
          <w:p w14:paraId="3E3AD1C2" w14:textId="00DF8044" w:rsidR="000B12DB" w:rsidRPr="000C06A7" w:rsidRDefault="000B12DB" w:rsidP="000B12DB">
            <w:pPr>
              <w:spacing w:after="0"/>
              <w:jc w:val="right"/>
              <w:rPr>
                <w:rFonts w:ascii="Arial" w:hAnsi="Arial" w:cs="Arial"/>
              </w:rPr>
            </w:pPr>
            <w:r w:rsidRPr="000C06A7">
              <w:rPr>
                <w:rFonts w:ascii="Arial" w:hAnsi="Arial" w:cs="Arial"/>
              </w:rPr>
              <w:t>113</w:t>
            </w:r>
          </w:p>
        </w:tc>
      </w:tr>
      <w:tr w:rsidR="00080DCE" w:rsidRPr="00B568F3" w14:paraId="151F1EE1"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66D46CC1" w14:textId="4343E666" w:rsidR="000B12DB" w:rsidRPr="000C06A7" w:rsidRDefault="000B12DB" w:rsidP="000B12DB">
            <w:pPr>
              <w:spacing w:after="0"/>
              <w:rPr>
                <w:rFonts w:ascii="Arial" w:hAnsi="Arial" w:cs="Arial"/>
              </w:rPr>
            </w:pPr>
            <w:r w:rsidRPr="000C06A7">
              <w:rPr>
                <w:rFonts w:ascii="Arial" w:hAnsi="Arial" w:cs="Arial"/>
              </w:rPr>
              <w:t xml:space="preserve">Social </w:t>
            </w:r>
            <w:r w:rsidR="0031097F" w:rsidRPr="000C06A7">
              <w:rPr>
                <w:rFonts w:ascii="Arial" w:hAnsi="Arial" w:cs="Arial"/>
              </w:rPr>
              <w:t xml:space="preserve">work degree </w:t>
            </w:r>
            <w:r w:rsidRPr="000C06A7">
              <w:rPr>
                <w:rFonts w:ascii="Arial" w:hAnsi="Arial" w:cs="Arial"/>
              </w:rPr>
              <w:t xml:space="preserve">Level 4- </w:t>
            </w:r>
            <w:r w:rsidR="0031097F" w:rsidRPr="000C06A7">
              <w:rPr>
                <w:rFonts w:ascii="Arial" w:hAnsi="Arial" w:cs="Arial"/>
              </w:rPr>
              <w:t>sponsored</w:t>
            </w:r>
          </w:p>
        </w:tc>
        <w:tc>
          <w:tcPr>
            <w:tcW w:w="1361" w:type="dxa"/>
            <w:tcBorders>
              <w:top w:val="nil"/>
              <w:left w:val="single" w:sz="4" w:space="0" w:color="auto"/>
              <w:bottom w:val="single" w:sz="4" w:space="0" w:color="auto"/>
              <w:right w:val="single" w:sz="4" w:space="0" w:color="auto"/>
            </w:tcBorders>
            <w:shd w:val="clear" w:color="auto" w:fill="auto"/>
            <w:vAlign w:val="center"/>
          </w:tcPr>
          <w:p w14:paraId="7E5D1FEC" w14:textId="19485BB7" w:rsidR="000B12DB" w:rsidRPr="000C06A7" w:rsidRDefault="000B12DB" w:rsidP="000B12DB">
            <w:pPr>
              <w:spacing w:after="0"/>
              <w:jc w:val="right"/>
              <w:rPr>
                <w:rFonts w:ascii="Arial" w:hAnsi="Arial" w:cs="Arial"/>
              </w:rPr>
            </w:pPr>
            <w:r w:rsidRPr="000C06A7">
              <w:rPr>
                <w:rFonts w:ascii="Arial" w:hAnsi="Arial" w:cs="Arial"/>
              </w:rPr>
              <w:t>70</w:t>
            </w:r>
          </w:p>
        </w:tc>
        <w:tc>
          <w:tcPr>
            <w:tcW w:w="1170" w:type="dxa"/>
            <w:tcBorders>
              <w:top w:val="nil"/>
              <w:left w:val="nil"/>
              <w:bottom w:val="single" w:sz="4" w:space="0" w:color="auto"/>
              <w:right w:val="single" w:sz="4" w:space="0" w:color="auto"/>
            </w:tcBorders>
            <w:shd w:val="clear" w:color="auto" w:fill="auto"/>
            <w:vAlign w:val="center"/>
          </w:tcPr>
          <w:p w14:paraId="559E8B95" w14:textId="07F33900" w:rsidR="000B12DB" w:rsidRPr="000C06A7" w:rsidRDefault="000B12DB" w:rsidP="000B12DB">
            <w:pPr>
              <w:spacing w:after="0"/>
              <w:jc w:val="right"/>
              <w:rPr>
                <w:rFonts w:ascii="Arial" w:hAnsi="Arial" w:cs="Arial"/>
              </w:rPr>
            </w:pPr>
            <w:r w:rsidRPr="000C06A7">
              <w:rPr>
                <w:rFonts w:ascii="Arial" w:hAnsi="Arial" w:cs="Arial"/>
              </w:rPr>
              <w:t>87</w:t>
            </w:r>
          </w:p>
        </w:tc>
        <w:tc>
          <w:tcPr>
            <w:tcW w:w="1231" w:type="dxa"/>
            <w:tcBorders>
              <w:top w:val="nil"/>
              <w:left w:val="nil"/>
              <w:bottom w:val="single" w:sz="4" w:space="0" w:color="auto"/>
              <w:right w:val="single" w:sz="4" w:space="0" w:color="auto"/>
            </w:tcBorders>
            <w:shd w:val="clear" w:color="auto" w:fill="auto"/>
            <w:vAlign w:val="center"/>
          </w:tcPr>
          <w:p w14:paraId="3E5DADDE" w14:textId="18DE78DA" w:rsidR="000B12DB" w:rsidRPr="000C06A7" w:rsidRDefault="000B12DB" w:rsidP="000B12DB">
            <w:pPr>
              <w:spacing w:after="0"/>
              <w:jc w:val="right"/>
              <w:rPr>
                <w:rFonts w:ascii="Arial" w:hAnsi="Arial" w:cs="Arial"/>
              </w:rPr>
            </w:pPr>
            <w:r w:rsidRPr="000C06A7">
              <w:rPr>
                <w:rFonts w:ascii="Arial" w:hAnsi="Arial" w:cs="Arial"/>
              </w:rPr>
              <w:t>72</w:t>
            </w:r>
          </w:p>
        </w:tc>
        <w:tc>
          <w:tcPr>
            <w:tcW w:w="1500" w:type="dxa"/>
            <w:tcBorders>
              <w:top w:val="nil"/>
              <w:left w:val="nil"/>
              <w:bottom w:val="single" w:sz="4" w:space="0" w:color="auto"/>
              <w:right w:val="single" w:sz="4" w:space="0" w:color="auto"/>
            </w:tcBorders>
            <w:shd w:val="clear" w:color="auto" w:fill="auto"/>
            <w:vAlign w:val="center"/>
          </w:tcPr>
          <w:p w14:paraId="2AE3F637" w14:textId="29CEF5BC" w:rsidR="000B12DB" w:rsidRPr="000C06A7" w:rsidRDefault="000B12DB" w:rsidP="000B12DB">
            <w:pPr>
              <w:spacing w:after="0"/>
              <w:jc w:val="right"/>
              <w:rPr>
                <w:rFonts w:ascii="Arial" w:hAnsi="Arial" w:cs="Arial"/>
              </w:rPr>
            </w:pPr>
            <w:r w:rsidRPr="000C06A7">
              <w:rPr>
                <w:rFonts w:ascii="Arial" w:hAnsi="Arial" w:cs="Arial"/>
              </w:rPr>
              <w:t>8</w:t>
            </w:r>
          </w:p>
        </w:tc>
        <w:tc>
          <w:tcPr>
            <w:tcW w:w="1170" w:type="dxa"/>
            <w:tcBorders>
              <w:top w:val="nil"/>
              <w:left w:val="single" w:sz="4" w:space="0" w:color="auto"/>
              <w:bottom w:val="single" w:sz="4" w:space="0" w:color="auto"/>
              <w:right w:val="single" w:sz="4" w:space="0" w:color="auto"/>
            </w:tcBorders>
            <w:shd w:val="clear" w:color="auto" w:fill="auto"/>
            <w:vAlign w:val="center"/>
          </w:tcPr>
          <w:p w14:paraId="06696A49" w14:textId="03B607C7" w:rsidR="000B12DB" w:rsidRPr="000C06A7" w:rsidRDefault="000B12DB" w:rsidP="000B12DB">
            <w:pPr>
              <w:spacing w:after="0"/>
              <w:jc w:val="right"/>
              <w:rPr>
                <w:rFonts w:ascii="Arial" w:hAnsi="Arial" w:cs="Arial"/>
              </w:rPr>
            </w:pPr>
            <w:r w:rsidRPr="000C06A7">
              <w:rPr>
                <w:rFonts w:ascii="Arial" w:hAnsi="Arial" w:cs="Arial"/>
              </w:rPr>
              <w:t>77</w:t>
            </w:r>
          </w:p>
        </w:tc>
      </w:tr>
      <w:tr w:rsidR="00080DCE" w:rsidRPr="00B568F3" w14:paraId="2DE6D0C8"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65F06598" w14:textId="471E281F" w:rsidR="000B12DB" w:rsidRPr="000C06A7" w:rsidRDefault="000B12DB" w:rsidP="000B12DB">
            <w:pPr>
              <w:spacing w:after="0"/>
              <w:rPr>
                <w:rFonts w:ascii="Arial" w:hAnsi="Arial" w:cs="Arial"/>
              </w:rPr>
            </w:pPr>
            <w:r w:rsidRPr="000C06A7">
              <w:rPr>
                <w:rFonts w:ascii="Arial" w:hAnsi="Arial" w:cs="Arial"/>
              </w:rPr>
              <w:t xml:space="preserve">Social </w:t>
            </w:r>
            <w:r w:rsidR="0031097F" w:rsidRPr="000C06A7">
              <w:rPr>
                <w:rFonts w:ascii="Arial" w:hAnsi="Arial" w:cs="Arial"/>
              </w:rPr>
              <w:t xml:space="preserve">work degree </w:t>
            </w:r>
            <w:r w:rsidRPr="000C06A7">
              <w:rPr>
                <w:rFonts w:ascii="Arial" w:hAnsi="Arial" w:cs="Arial"/>
              </w:rPr>
              <w:t xml:space="preserve">Level 5 - </w:t>
            </w:r>
            <w:r w:rsidR="0031097F" w:rsidRPr="000C06A7">
              <w:rPr>
                <w:rFonts w:ascii="Arial" w:hAnsi="Arial" w:cs="Arial"/>
              </w:rPr>
              <w:t>sponsored</w:t>
            </w:r>
          </w:p>
        </w:tc>
        <w:tc>
          <w:tcPr>
            <w:tcW w:w="1361" w:type="dxa"/>
            <w:tcBorders>
              <w:top w:val="single" w:sz="4" w:space="0" w:color="auto"/>
              <w:left w:val="nil"/>
              <w:bottom w:val="single" w:sz="4" w:space="0" w:color="auto"/>
              <w:right w:val="single" w:sz="4" w:space="0" w:color="auto"/>
            </w:tcBorders>
            <w:shd w:val="clear" w:color="auto" w:fill="auto"/>
            <w:vAlign w:val="center"/>
          </w:tcPr>
          <w:p w14:paraId="5276597A" w14:textId="79550A49" w:rsidR="000B12DB" w:rsidRPr="000C06A7" w:rsidRDefault="000B12DB" w:rsidP="000B12DB">
            <w:pPr>
              <w:spacing w:after="0"/>
              <w:jc w:val="right"/>
              <w:rPr>
                <w:rFonts w:ascii="Arial" w:hAnsi="Arial" w:cs="Arial"/>
              </w:rPr>
            </w:pPr>
            <w:r w:rsidRPr="000C06A7">
              <w:rPr>
                <w:rFonts w:ascii="Arial" w:hAnsi="Arial" w:cs="Arial"/>
              </w:rPr>
              <w:t>93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1536E52" w14:textId="4E78826D" w:rsidR="000B12DB" w:rsidRPr="000C06A7" w:rsidRDefault="000B12DB" w:rsidP="000B12DB">
            <w:pPr>
              <w:spacing w:after="0"/>
              <w:jc w:val="right"/>
              <w:rPr>
                <w:rFonts w:ascii="Arial" w:hAnsi="Arial" w:cs="Arial"/>
              </w:rPr>
            </w:pPr>
            <w:r w:rsidRPr="000C06A7">
              <w:rPr>
                <w:rFonts w:ascii="Arial" w:hAnsi="Arial" w:cs="Arial"/>
              </w:rPr>
              <w:t>128</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BC00D4" w14:textId="0030610D" w:rsidR="000B12DB" w:rsidRPr="000C06A7" w:rsidRDefault="000B12DB" w:rsidP="000B12DB">
            <w:pPr>
              <w:spacing w:after="0"/>
              <w:jc w:val="right"/>
              <w:rPr>
                <w:rFonts w:ascii="Arial" w:hAnsi="Arial" w:cs="Arial"/>
              </w:rPr>
            </w:pPr>
            <w:r w:rsidRPr="000C06A7">
              <w:rPr>
                <w:rFonts w:ascii="Arial" w:hAnsi="Arial" w:cs="Arial"/>
              </w:rPr>
              <w:t>91</w:t>
            </w:r>
          </w:p>
        </w:tc>
        <w:tc>
          <w:tcPr>
            <w:tcW w:w="1500" w:type="dxa"/>
            <w:tcBorders>
              <w:top w:val="single" w:sz="4" w:space="0" w:color="auto"/>
              <w:left w:val="nil"/>
              <w:bottom w:val="single" w:sz="4" w:space="0" w:color="auto"/>
              <w:right w:val="single" w:sz="4" w:space="0" w:color="auto"/>
            </w:tcBorders>
            <w:shd w:val="clear" w:color="auto" w:fill="auto"/>
            <w:vAlign w:val="center"/>
          </w:tcPr>
          <w:p w14:paraId="7F7891F7" w14:textId="5B07CDD8" w:rsidR="000B12DB" w:rsidRPr="000C06A7" w:rsidRDefault="000B12DB" w:rsidP="000B12DB">
            <w:pPr>
              <w:spacing w:after="0"/>
              <w:jc w:val="right"/>
              <w:rPr>
                <w:rFonts w:ascii="Arial" w:hAnsi="Arial" w:cs="Arial"/>
              </w:rPr>
            </w:pPr>
            <w:r w:rsidRPr="000C06A7">
              <w:rPr>
                <w:rFonts w:ascii="Arial" w:hAnsi="Arial" w:cs="Arial"/>
              </w:rPr>
              <w:t>8</w:t>
            </w:r>
          </w:p>
        </w:tc>
        <w:tc>
          <w:tcPr>
            <w:tcW w:w="1170" w:type="dxa"/>
            <w:tcBorders>
              <w:top w:val="nil"/>
              <w:left w:val="nil"/>
              <w:bottom w:val="single" w:sz="4" w:space="0" w:color="auto"/>
              <w:right w:val="single" w:sz="4" w:space="0" w:color="auto"/>
            </w:tcBorders>
            <w:shd w:val="clear" w:color="auto" w:fill="auto"/>
            <w:vAlign w:val="center"/>
          </w:tcPr>
          <w:p w14:paraId="4F849F79" w14:textId="5570B20F" w:rsidR="000B12DB" w:rsidRPr="000C06A7" w:rsidRDefault="000B12DB" w:rsidP="000B12DB">
            <w:pPr>
              <w:spacing w:after="0"/>
              <w:jc w:val="right"/>
              <w:rPr>
                <w:rFonts w:ascii="Arial" w:hAnsi="Arial" w:cs="Arial"/>
              </w:rPr>
            </w:pPr>
            <w:r w:rsidRPr="000C06A7">
              <w:rPr>
                <w:rFonts w:ascii="Arial" w:hAnsi="Arial" w:cs="Arial"/>
              </w:rPr>
              <w:t>122</w:t>
            </w:r>
          </w:p>
        </w:tc>
      </w:tr>
      <w:tr w:rsidR="00080DCE" w:rsidRPr="00B568F3" w14:paraId="4370E5AF"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0AE44ABF" w14:textId="547D0581" w:rsidR="000B12DB" w:rsidRPr="000C06A7" w:rsidRDefault="000B12DB" w:rsidP="000B12DB">
            <w:pPr>
              <w:spacing w:after="0"/>
              <w:rPr>
                <w:rFonts w:ascii="Arial" w:hAnsi="Arial" w:cs="Arial"/>
              </w:rPr>
            </w:pPr>
            <w:r w:rsidRPr="000C06A7">
              <w:rPr>
                <w:rFonts w:ascii="Arial" w:hAnsi="Arial" w:cs="Arial"/>
              </w:rPr>
              <w:t xml:space="preserve">Social </w:t>
            </w:r>
            <w:r w:rsidR="0031097F" w:rsidRPr="000C06A7">
              <w:rPr>
                <w:rFonts w:ascii="Arial" w:hAnsi="Arial" w:cs="Arial"/>
              </w:rPr>
              <w:t xml:space="preserve">work degree </w:t>
            </w:r>
            <w:r w:rsidRPr="000C06A7">
              <w:rPr>
                <w:rFonts w:ascii="Arial" w:hAnsi="Arial" w:cs="Arial"/>
              </w:rPr>
              <w:t xml:space="preserve">Level 6 - </w:t>
            </w:r>
            <w:r w:rsidR="0031097F" w:rsidRPr="000C06A7">
              <w:rPr>
                <w:rFonts w:ascii="Arial" w:hAnsi="Arial" w:cs="Arial"/>
              </w:rPr>
              <w:t>sponsored</w:t>
            </w:r>
          </w:p>
        </w:tc>
        <w:tc>
          <w:tcPr>
            <w:tcW w:w="1361" w:type="dxa"/>
            <w:tcBorders>
              <w:top w:val="nil"/>
              <w:left w:val="nil"/>
              <w:bottom w:val="single" w:sz="4" w:space="0" w:color="auto"/>
              <w:right w:val="single" w:sz="4" w:space="0" w:color="auto"/>
            </w:tcBorders>
            <w:shd w:val="clear" w:color="auto" w:fill="auto"/>
            <w:vAlign w:val="center"/>
          </w:tcPr>
          <w:p w14:paraId="73143CCD" w14:textId="5F6BC276" w:rsidR="000B12DB" w:rsidRPr="000C06A7" w:rsidRDefault="000B12DB" w:rsidP="000B12DB">
            <w:pPr>
              <w:spacing w:after="0"/>
              <w:jc w:val="right"/>
              <w:rPr>
                <w:rFonts w:ascii="Arial" w:hAnsi="Arial" w:cs="Arial"/>
              </w:rPr>
            </w:pPr>
            <w:r w:rsidRPr="000C06A7">
              <w:rPr>
                <w:rFonts w:ascii="Arial" w:hAnsi="Arial" w:cs="Arial"/>
              </w:rPr>
              <w:t>67</w:t>
            </w:r>
          </w:p>
        </w:tc>
        <w:tc>
          <w:tcPr>
            <w:tcW w:w="1170" w:type="dxa"/>
            <w:tcBorders>
              <w:top w:val="nil"/>
              <w:left w:val="nil"/>
              <w:bottom w:val="single" w:sz="4" w:space="0" w:color="auto"/>
              <w:right w:val="single" w:sz="4" w:space="0" w:color="auto"/>
            </w:tcBorders>
            <w:shd w:val="clear" w:color="auto" w:fill="auto"/>
            <w:vAlign w:val="center"/>
          </w:tcPr>
          <w:p w14:paraId="6A6D863F" w14:textId="441020FA" w:rsidR="000B12DB" w:rsidRPr="000C06A7" w:rsidRDefault="000B12DB" w:rsidP="000B12DB">
            <w:pPr>
              <w:spacing w:after="0"/>
              <w:jc w:val="right"/>
              <w:rPr>
                <w:rFonts w:ascii="Arial" w:hAnsi="Arial" w:cs="Arial"/>
              </w:rPr>
            </w:pPr>
            <w:r w:rsidRPr="000C06A7">
              <w:rPr>
                <w:rFonts w:ascii="Arial" w:hAnsi="Arial" w:cs="Arial"/>
              </w:rPr>
              <w:t>104</w:t>
            </w:r>
          </w:p>
        </w:tc>
        <w:tc>
          <w:tcPr>
            <w:tcW w:w="1231" w:type="dxa"/>
            <w:tcBorders>
              <w:top w:val="nil"/>
              <w:left w:val="nil"/>
              <w:bottom w:val="single" w:sz="4" w:space="0" w:color="auto"/>
              <w:right w:val="single" w:sz="4" w:space="0" w:color="auto"/>
            </w:tcBorders>
            <w:shd w:val="clear" w:color="auto" w:fill="auto"/>
            <w:vAlign w:val="center"/>
          </w:tcPr>
          <w:p w14:paraId="06C40FCF" w14:textId="39CDF72E" w:rsidR="000B12DB" w:rsidRPr="000C06A7" w:rsidRDefault="000B12DB" w:rsidP="000B12DB">
            <w:pPr>
              <w:spacing w:after="0"/>
              <w:jc w:val="right"/>
              <w:rPr>
                <w:rFonts w:ascii="Arial" w:hAnsi="Arial" w:cs="Arial"/>
              </w:rPr>
            </w:pPr>
            <w:r w:rsidRPr="000C06A7">
              <w:rPr>
                <w:rFonts w:ascii="Arial" w:hAnsi="Arial" w:cs="Arial"/>
              </w:rPr>
              <w:t>64</w:t>
            </w:r>
          </w:p>
        </w:tc>
        <w:tc>
          <w:tcPr>
            <w:tcW w:w="1500" w:type="dxa"/>
            <w:tcBorders>
              <w:top w:val="nil"/>
              <w:left w:val="nil"/>
              <w:bottom w:val="single" w:sz="4" w:space="0" w:color="auto"/>
              <w:right w:val="single" w:sz="4" w:space="0" w:color="auto"/>
            </w:tcBorders>
            <w:shd w:val="clear" w:color="auto" w:fill="auto"/>
            <w:vAlign w:val="center"/>
          </w:tcPr>
          <w:p w14:paraId="2A9F2169" w14:textId="2D9069D1" w:rsidR="000B12DB" w:rsidRPr="000C06A7" w:rsidRDefault="000B12DB" w:rsidP="000B12DB">
            <w:pPr>
              <w:spacing w:after="0"/>
              <w:jc w:val="right"/>
              <w:rPr>
                <w:rFonts w:ascii="Arial" w:hAnsi="Arial" w:cs="Arial"/>
              </w:rPr>
            </w:pPr>
            <w:r w:rsidRPr="000C06A7">
              <w:rPr>
                <w:rFonts w:ascii="Arial" w:hAnsi="Arial" w:cs="Arial"/>
              </w:rPr>
              <w:t>3</w:t>
            </w:r>
          </w:p>
        </w:tc>
        <w:tc>
          <w:tcPr>
            <w:tcW w:w="1170" w:type="dxa"/>
            <w:tcBorders>
              <w:top w:val="nil"/>
              <w:left w:val="nil"/>
              <w:bottom w:val="single" w:sz="4" w:space="0" w:color="auto"/>
              <w:right w:val="single" w:sz="4" w:space="0" w:color="auto"/>
            </w:tcBorders>
            <w:shd w:val="clear" w:color="auto" w:fill="auto"/>
            <w:vAlign w:val="center"/>
          </w:tcPr>
          <w:p w14:paraId="35D18F3D" w14:textId="1838430E" w:rsidR="000B12DB" w:rsidRPr="000C06A7" w:rsidRDefault="000B12DB" w:rsidP="000B12DB">
            <w:pPr>
              <w:spacing w:after="0"/>
              <w:jc w:val="right"/>
              <w:rPr>
                <w:rFonts w:ascii="Arial" w:hAnsi="Arial" w:cs="Arial"/>
              </w:rPr>
            </w:pPr>
            <w:r w:rsidRPr="000C06A7">
              <w:rPr>
                <w:rFonts w:ascii="Arial" w:hAnsi="Arial" w:cs="Arial"/>
              </w:rPr>
              <w:t>104</w:t>
            </w:r>
          </w:p>
        </w:tc>
      </w:tr>
      <w:tr w:rsidR="00080DCE" w:rsidRPr="00B568F3" w14:paraId="79A04338"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5D285233" w14:textId="41ECCA24" w:rsidR="000B12DB" w:rsidRPr="000C06A7" w:rsidRDefault="000B12DB" w:rsidP="000B12DB">
            <w:pPr>
              <w:spacing w:after="0"/>
              <w:rPr>
                <w:rFonts w:ascii="Arial" w:hAnsi="Arial" w:cs="Arial"/>
              </w:rPr>
            </w:pPr>
            <w:r w:rsidRPr="000C06A7">
              <w:rPr>
                <w:rFonts w:ascii="Arial" w:hAnsi="Arial" w:cs="Arial"/>
              </w:rPr>
              <w:t xml:space="preserve">Social </w:t>
            </w:r>
            <w:r w:rsidR="0031097F" w:rsidRPr="000C06A7">
              <w:rPr>
                <w:rFonts w:ascii="Arial" w:hAnsi="Arial" w:cs="Arial"/>
              </w:rPr>
              <w:t xml:space="preserve">work degree </w:t>
            </w:r>
            <w:r w:rsidRPr="000C06A7">
              <w:rPr>
                <w:rFonts w:ascii="Arial" w:hAnsi="Arial" w:cs="Arial"/>
              </w:rPr>
              <w:t>Level 4</w:t>
            </w:r>
            <w:r w:rsidR="0031097F" w:rsidRPr="000C06A7">
              <w:rPr>
                <w:rFonts w:ascii="Arial" w:hAnsi="Arial" w:cs="Arial"/>
              </w:rPr>
              <w:t xml:space="preserve"> </w:t>
            </w:r>
            <w:r w:rsidRPr="000C06A7">
              <w:rPr>
                <w:rFonts w:ascii="Arial" w:hAnsi="Arial" w:cs="Arial"/>
              </w:rPr>
              <w:t xml:space="preserve">- </w:t>
            </w:r>
            <w:r w:rsidR="0031097F" w:rsidRPr="000C06A7">
              <w:rPr>
                <w:rFonts w:ascii="Arial" w:hAnsi="Arial" w:cs="Arial"/>
              </w:rPr>
              <w:t>other</w:t>
            </w:r>
          </w:p>
        </w:tc>
        <w:tc>
          <w:tcPr>
            <w:tcW w:w="1361" w:type="dxa"/>
            <w:tcBorders>
              <w:top w:val="nil"/>
              <w:left w:val="single" w:sz="4" w:space="0" w:color="auto"/>
              <w:bottom w:val="single" w:sz="4" w:space="0" w:color="auto"/>
              <w:right w:val="single" w:sz="4" w:space="0" w:color="auto"/>
            </w:tcBorders>
            <w:shd w:val="clear" w:color="auto" w:fill="auto"/>
            <w:vAlign w:val="center"/>
          </w:tcPr>
          <w:p w14:paraId="6EE65062" w14:textId="4171388B" w:rsidR="000B12DB" w:rsidRPr="000C06A7" w:rsidRDefault="000B12DB" w:rsidP="000B12DB">
            <w:pPr>
              <w:spacing w:after="0"/>
              <w:jc w:val="right"/>
              <w:rPr>
                <w:rFonts w:ascii="Arial" w:hAnsi="Arial" w:cs="Arial"/>
              </w:rPr>
            </w:pPr>
            <w:r w:rsidRPr="000C06A7">
              <w:rPr>
                <w:rFonts w:ascii="Arial" w:hAnsi="Arial" w:cs="Arial"/>
              </w:rPr>
              <w:t>80</w:t>
            </w:r>
          </w:p>
        </w:tc>
        <w:tc>
          <w:tcPr>
            <w:tcW w:w="1170" w:type="dxa"/>
            <w:tcBorders>
              <w:top w:val="nil"/>
              <w:left w:val="nil"/>
              <w:bottom w:val="single" w:sz="4" w:space="0" w:color="auto"/>
              <w:right w:val="single" w:sz="4" w:space="0" w:color="auto"/>
            </w:tcBorders>
            <w:shd w:val="clear" w:color="auto" w:fill="auto"/>
            <w:vAlign w:val="center"/>
          </w:tcPr>
          <w:p w14:paraId="14A6A1FC" w14:textId="2F92F8C6" w:rsidR="000B12DB" w:rsidRPr="000C06A7" w:rsidRDefault="000B12DB" w:rsidP="000B12DB">
            <w:pPr>
              <w:spacing w:after="0"/>
              <w:jc w:val="right"/>
              <w:rPr>
                <w:rFonts w:ascii="Arial" w:hAnsi="Arial" w:cs="Arial"/>
              </w:rPr>
            </w:pPr>
            <w:r w:rsidRPr="000C06A7">
              <w:rPr>
                <w:rFonts w:ascii="Arial" w:hAnsi="Arial" w:cs="Arial"/>
              </w:rPr>
              <w:t>106</w:t>
            </w:r>
          </w:p>
        </w:tc>
        <w:tc>
          <w:tcPr>
            <w:tcW w:w="1231" w:type="dxa"/>
            <w:tcBorders>
              <w:top w:val="nil"/>
              <w:left w:val="nil"/>
              <w:bottom w:val="single" w:sz="4" w:space="0" w:color="auto"/>
              <w:right w:val="single" w:sz="4" w:space="0" w:color="auto"/>
            </w:tcBorders>
            <w:shd w:val="clear" w:color="auto" w:fill="auto"/>
            <w:vAlign w:val="center"/>
          </w:tcPr>
          <w:p w14:paraId="57A1070E" w14:textId="345E9A53" w:rsidR="000B12DB" w:rsidRPr="000C06A7" w:rsidRDefault="000B12DB" w:rsidP="000B12DB">
            <w:pPr>
              <w:spacing w:after="0"/>
              <w:jc w:val="right"/>
              <w:rPr>
                <w:rFonts w:ascii="Arial" w:hAnsi="Arial" w:cs="Arial"/>
              </w:rPr>
            </w:pPr>
            <w:r w:rsidRPr="000C06A7">
              <w:rPr>
                <w:rFonts w:ascii="Arial" w:hAnsi="Arial" w:cs="Arial"/>
              </w:rPr>
              <w:t>75</w:t>
            </w:r>
          </w:p>
        </w:tc>
        <w:tc>
          <w:tcPr>
            <w:tcW w:w="1500" w:type="dxa"/>
            <w:tcBorders>
              <w:top w:val="nil"/>
              <w:left w:val="nil"/>
              <w:bottom w:val="single" w:sz="4" w:space="0" w:color="auto"/>
              <w:right w:val="single" w:sz="4" w:space="0" w:color="auto"/>
            </w:tcBorders>
            <w:shd w:val="clear" w:color="auto" w:fill="auto"/>
            <w:vAlign w:val="center"/>
          </w:tcPr>
          <w:p w14:paraId="57987B00" w14:textId="2C532630" w:rsidR="000B12DB" w:rsidRPr="000C06A7" w:rsidRDefault="000B12DB" w:rsidP="000B12DB">
            <w:pPr>
              <w:spacing w:after="0"/>
              <w:jc w:val="right"/>
              <w:rPr>
                <w:rFonts w:ascii="Arial" w:hAnsi="Arial" w:cs="Arial"/>
              </w:rPr>
            </w:pPr>
            <w:r w:rsidRPr="000C06A7">
              <w:rPr>
                <w:rFonts w:ascii="Arial" w:hAnsi="Arial" w:cs="Arial"/>
              </w:rPr>
              <w:t>22</w:t>
            </w:r>
          </w:p>
        </w:tc>
        <w:tc>
          <w:tcPr>
            <w:tcW w:w="1170" w:type="dxa"/>
            <w:tcBorders>
              <w:top w:val="nil"/>
              <w:left w:val="single" w:sz="4" w:space="0" w:color="auto"/>
              <w:bottom w:val="single" w:sz="4" w:space="0" w:color="auto"/>
              <w:right w:val="single" w:sz="4" w:space="0" w:color="auto"/>
            </w:tcBorders>
            <w:shd w:val="clear" w:color="auto" w:fill="auto"/>
            <w:vAlign w:val="center"/>
          </w:tcPr>
          <w:p w14:paraId="0FB3A3D1" w14:textId="0CECD695" w:rsidR="000B12DB" w:rsidRPr="000C06A7" w:rsidRDefault="000B12DB" w:rsidP="000B12DB">
            <w:pPr>
              <w:spacing w:after="0"/>
              <w:jc w:val="right"/>
              <w:rPr>
                <w:rFonts w:ascii="Arial" w:hAnsi="Arial" w:cs="Arial"/>
              </w:rPr>
            </w:pPr>
            <w:r w:rsidRPr="000C06A7">
              <w:rPr>
                <w:rFonts w:ascii="Arial" w:hAnsi="Arial" w:cs="Arial"/>
              </w:rPr>
              <w:t>89</w:t>
            </w:r>
          </w:p>
        </w:tc>
      </w:tr>
      <w:tr w:rsidR="00080DCE" w:rsidRPr="00B568F3" w14:paraId="7031A5C3"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143FA153" w14:textId="67403006" w:rsidR="000B12DB" w:rsidRPr="000C06A7" w:rsidRDefault="000B12DB" w:rsidP="000B12DB">
            <w:pPr>
              <w:spacing w:after="0"/>
              <w:rPr>
                <w:rFonts w:ascii="Arial" w:hAnsi="Arial" w:cs="Arial"/>
              </w:rPr>
            </w:pPr>
            <w:r w:rsidRPr="000C06A7">
              <w:rPr>
                <w:rFonts w:ascii="Arial" w:hAnsi="Arial" w:cs="Arial"/>
              </w:rPr>
              <w:t xml:space="preserve">Social </w:t>
            </w:r>
            <w:r w:rsidR="0031097F" w:rsidRPr="000C06A7">
              <w:rPr>
                <w:rFonts w:ascii="Arial" w:hAnsi="Arial" w:cs="Arial"/>
              </w:rPr>
              <w:t xml:space="preserve">work degree </w:t>
            </w:r>
            <w:r w:rsidRPr="000C06A7">
              <w:rPr>
                <w:rFonts w:ascii="Arial" w:hAnsi="Arial" w:cs="Arial"/>
              </w:rPr>
              <w:t xml:space="preserve">Level 5 - </w:t>
            </w:r>
            <w:r w:rsidR="0031097F" w:rsidRPr="000C06A7">
              <w:rPr>
                <w:rFonts w:ascii="Arial" w:hAnsi="Arial" w:cs="Arial"/>
              </w:rPr>
              <w:t>other</w:t>
            </w:r>
          </w:p>
        </w:tc>
        <w:tc>
          <w:tcPr>
            <w:tcW w:w="1361" w:type="dxa"/>
            <w:tcBorders>
              <w:top w:val="single" w:sz="4" w:space="0" w:color="auto"/>
              <w:left w:val="nil"/>
              <w:bottom w:val="single" w:sz="4" w:space="0" w:color="auto"/>
              <w:right w:val="single" w:sz="4" w:space="0" w:color="auto"/>
            </w:tcBorders>
            <w:shd w:val="clear" w:color="auto" w:fill="auto"/>
            <w:vAlign w:val="center"/>
          </w:tcPr>
          <w:p w14:paraId="681CA8DE" w14:textId="74F0CF1E" w:rsidR="000B12DB" w:rsidRPr="000C06A7" w:rsidRDefault="000B12DB" w:rsidP="000B12DB">
            <w:pPr>
              <w:spacing w:after="0"/>
              <w:jc w:val="right"/>
              <w:rPr>
                <w:rFonts w:ascii="Arial" w:hAnsi="Arial" w:cs="Arial"/>
              </w:rPr>
            </w:pPr>
            <w:r w:rsidRPr="000C06A7">
              <w:rPr>
                <w:rFonts w:ascii="Arial" w:hAnsi="Arial" w:cs="Arial"/>
              </w:rPr>
              <w:t>86</w:t>
            </w:r>
          </w:p>
        </w:tc>
        <w:tc>
          <w:tcPr>
            <w:tcW w:w="1170" w:type="dxa"/>
            <w:tcBorders>
              <w:top w:val="single" w:sz="4" w:space="0" w:color="auto"/>
              <w:left w:val="nil"/>
              <w:bottom w:val="single" w:sz="4" w:space="0" w:color="auto"/>
              <w:right w:val="single" w:sz="4" w:space="0" w:color="auto"/>
            </w:tcBorders>
            <w:shd w:val="clear" w:color="auto" w:fill="auto"/>
            <w:vAlign w:val="center"/>
          </w:tcPr>
          <w:p w14:paraId="2E8743F0" w14:textId="5546AC8E" w:rsidR="000B12DB" w:rsidRPr="000C06A7" w:rsidRDefault="000B12DB" w:rsidP="000B12DB">
            <w:pPr>
              <w:spacing w:after="0"/>
              <w:jc w:val="right"/>
              <w:rPr>
                <w:rFonts w:ascii="Arial" w:hAnsi="Arial" w:cs="Arial"/>
              </w:rPr>
            </w:pPr>
            <w:r w:rsidRPr="000C06A7">
              <w:rPr>
                <w:rFonts w:ascii="Arial" w:hAnsi="Arial" w:cs="Arial"/>
              </w:rPr>
              <w:t>105</w:t>
            </w:r>
          </w:p>
        </w:tc>
        <w:tc>
          <w:tcPr>
            <w:tcW w:w="1231" w:type="dxa"/>
            <w:tcBorders>
              <w:top w:val="single" w:sz="4" w:space="0" w:color="auto"/>
              <w:left w:val="nil"/>
              <w:bottom w:val="single" w:sz="4" w:space="0" w:color="auto"/>
              <w:right w:val="single" w:sz="4" w:space="0" w:color="auto"/>
            </w:tcBorders>
            <w:shd w:val="clear" w:color="auto" w:fill="auto"/>
            <w:vAlign w:val="center"/>
          </w:tcPr>
          <w:p w14:paraId="16460843" w14:textId="1356AAC4" w:rsidR="000B12DB" w:rsidRPr="000C06A7" w:rsidRDefault="000B12DB" w:rsidP="000B12DB">
            <w:pPr>
              <w:spacing w:after="0"/>
              <w:jc w:val="right"/>
              <w:rPr>
                <w:rFonts w:ascii="Arial" w:hAnsi="Arial" w:cs="Arial"/>
              </w:rPr>
            </w:pPr>
            <w:r w:rsidRPr="000C06A7">
              <w:rPr>
                <w:rFonts w:ascii="Arial" w:hAnsi="Arial" w:cs="Arial"/>
              </w:rPr>
              <w:t>81</w:t>
            </w:r>
          </w:p>
        </w:tc>
        <w:tc>
          <w:tcPr>
            <w:tcW w:w="1500" w:type="dxa"/>
            <w:tcBorders>
              <w:top w:val="single" w:sz="4" w:space="0" w:color="auto"/>
              <w:left w:val="nil"/>
              <w:bottom w:val="single" w:sz="4" w:space="0" w:color="auto"/>
              <w:right w:val="single" w:sz="4" w:space="0" w:color="auto"/>
            </w:tcBorders>
            <w:shd w:val="clear" w:color="auto" w:fill="auto"/>
            <w:vAlign w:val="center"/>
          </w:tcPr>
          <w:p w14:paraId="17B79D0D" w14:textId="7EE1D93F" w:rsidR="000B12DB" w:rsidRPr="000C06A7" w:rsidRDefault="000B12DB" w:rsidP="000B12DB">
            <w:pPr>
              <w:spacing w:after="0"/>
              <w:jc w:val="right"/>
              <w:rPr>
                <w:rFonts w:ascii="Arial" w:hAnsi="Arial" w:cs="Arial"/>
              </w:rPr>
            </w:pPr>
            <w:r w:rsidRPr="000C06A7">
              <w:rPr>
                <w:rFonts w:ascii="Arial" w:hAnsi="Arial" w:cs="Arial"/>
              </w:rPr>
              <w:t>11</w:t>
            </w:r>
          </w:p>
        </w:tc>
        <w:tc>
          <w:tcPr>
            <w:tcW w:w="1170" w:type="dxa"/>
            <w:tcBorders>
              <w:top w:val="nil"/>
              <w:left w:val="nil"/>
              <w:bottom w:val="single" w:sz="4" w:space="0" w:color="auto"/>
              <w:right w:val="single" w:sz="4" w:space="0" w:color="auto"/>
            </w:tcBorders>
            <w:shd w:val="clear" w:color="auto" w:fill="auto"/>
            <w:vAlign w:val="center"/>
          </w:tcPr>
          <w:p w14:paraId="7A10C3BA" w14:textId="395840FF" w:rsidR="000B12DB" w:rsidRPr="000C06A7" w:rsidRDefault="000B12DB" w:rsidP="000B12DB">
            <w:pPr>
              <w:spacing w:after="0"/>
              <w:jc w:val="right"/>
              <w:rPr>
                <w:rFonts w:ascii="Arial" w:hAnsi="Arial" w:cs="Arial"/>
              </w:rPr>
            </w:pPr>
            <w:r w:rsidRPr="000C06A7">
              <w:rPr>
                <w:rFonts w:ascii="Arial" w:hAnsi="Arial" w:cs="Arial"/>
              </w:rPr>
              <w:t>99</w:t>
            </w:r>
          </w:p>
        </w:tc>
      </w:tr>
      <w:tr w:rsidR="00080DCE" w:rsidRPr="00B568F3" w14:paraId="37EB3303"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3BB118F6" w14:textId="26FD6AC0" w:rsidR="000B12DB" w:rsidRPr="000C06A7" w:rsidRDefault="000B12DB" w:rsidP="000B12DB">
            <w:pPr>
              <w:spacing w:after="0"/>
              <w:rPr>
                <w:rFonts w:ascii="Arial" w:hAnsi="Arial" w:cs="Arial"/>
              </w:rPr>
            </w:pPr>
            <w:r w:rsidRPr="000C06A7">
              <w:rPr>
                <w:rFonts w:ascii="Arial" w:hAnsi="Arial" w:cs="Arial"/>
              </w:rPr>
              <w:t xml:space="preserve">Social </w:t>
            </w:r>
            <w:r w:rsidR="0031097F" w:rsidRPr="000C06A7">
              <w:rPr>
                <w:rFonts w:ascii="Arial" w:hAnsi="Arial" w:cs="Arial"/>
              </w:rPr>
              <w:t xml:space="preserve">work degree </w:t>
            </w:r>
            <w:r w:rsidRPr="000C06A7">
              <w:rPr>
                <w:rFonts w:ascii="Arial" w:hAnsi="Arial" w:cs="Arial"/>
              </w:rPr>
              <w:t xml:space="preserve">Level 6 - </w:t>
            </w:r>
            <w:r w:rsidR="0031097F" w:rsidRPr="000C06A7">
              <w:rPr>
                <w:rFonts w:ascii="Arial" w:hAnsi="Arial" w:cs="Arial"/>
              </w:rPr>
              <w:t>other</w:t>
            </w:r>
          </w:p>
        </w:tc>
        <w:tc>
          <w:tcPr>
            <w:tcW w:w="1361" w:type="dxa"/>
            <w:tcBorders>
              <w:top w:val="nil"/>
              <w:left w:val="nil"/>
              <w:bottom w:val="single" w:sz="4" w:space="0" w:color="auto"/>
              <w:right w:val="single" w:sz="4" w:space="0" w:color="auto"/>
            </w:tcBorders>
            <w:shd w:val="clear" w:color="auto" w:fill="auto"/>
            <w:vAlign w:val="center"/>
          </w:tcPr>
          <w:p w14:paraId="1417573B" w14:textId="09C23AE6" w:rsidR="000B12DB" w:rsidRPr="000C06A7" w:rsidRDefault="000B12DB" w:rsidP="000B12DB">
            <w:pPr>
              <w:spacing w:after="0"/>
              <w:jc w:val="right"/>
              <w:rPr>
                <w:rFonts w:ascii="Arial" w:hAnsi="Arial" w:cs="Arial"/>
              </w:rPr>
            </w:pPr>
            <w:r w:rsidRPr="000C06A7">
              <w:rPr>
                <w:rFonts w:ascii="Arial" w:hAnsi="Arial" w:cs="Arial"/>
              </w:rPr>
              <w:t>83</w:t>
            </w:r>
          </w:p>
        </w:tc>
        <w:tc>
          <w:tcPr>
            <w:tcW w:w="1170" w:type="dxa"/>
            <w:tcBorders>
              <w:top w:val="nil"/>
              <w:left w:val="nil"/>
              <w:bottom w:val="single" w:sz="4" w:space="0" w:color="auto"/>
              <w:right w:val="single" w:sz="4" w:space="0" w:color="auto"/>
            </w:tcBorders>
            <w:shd w:val="clear" w:color="auto" w:fill="auto"/>
            <w:vAlign w:val="center"/>
          </w:tcPr>
          <w:p w14:paraId="5E7A3F4F" w14:textId="7B5A4F3C" w:rsidR="000B12DB" w:rsidRPr="000C06A7" w:rsidRDefault="000B12DB" w:rsidP="000B12DB">
            <w:pPr>
              <w:spacing w:after="0"/>
              <w:jc w:val="right"/>
              <w:rPr>
                <w:rFonts w:ascii="Arial" w:hAnsi="Arial" w:cs="Arial"/>
              </w:rPr>
            </w:pPr>
            <w:r w:rsidRPr="000C06A7">
              <w:rPr>
                <w:rFonts w:ascii="Arial" w:hAnsi="Arial" w:cs="Arial"/>
              </w:rPr>
              <w:t>89</w:t>
            </w:r>
          </w:p>
        </w:tc>
        <w:tc>
          <w:tcPr>
            <w:tcW w:w="1231" w:type="dxa"/>
            <w:tcBorders>
              <w:top w:val="nil"/>
              <w:left w:val="nil"/>
              <w:bottom w:val="single" w:sz="4" w:space="0" w:color="auto"/>
              <w:right w:val="single" w:sz="4" w:space="0" w:color="auto"/>
            </w:tcBorders>
            <w:shd w:val="clear" w:color="auto" w:fill="auto"/>
            <w:vAlign w:val="center"/>
          </w:tcPr>
          <w:p w14:paraId="12DBA17A" w14:textId="529EAE27" w:rsidR="000B12DB" w:rsidRPr="000C06A7" w:rsidRDefault="000B12DB" w:rsidP="000B12DB">
            <w:pPr>
              <w:spacing w:after="0"/>
              <w:jc w:val="right"/>
              <w:rPr>
                <w:rFonts w:ascii="Arial" w:hAnsi="Arial" w:cs="Arial"/>
              </w:rPr>
            </w:pPr>
            <w:r w:rsidRPr="000C06A7">
              <w:rPr>
                <w:rFonts w:ascii="Arial" w:hAnsi="Arial" w:cs="Arial"/>
              </w:rPr>
              <w:t>69</w:t>
            </w:r>
          </w:p>
        </w:tc>
        <w:tc>
          <w:tcPr>
            <w:tcW w:w="1500" w:type="dxa"/>
            <w:tcBorders>
              <w:top w:val="nil"/>
              <w:left w:val="nil"/>
              <w:bottom w:val="single" w:sz="4" w:space="0" w:color="auto"/>
              <w:right w:val="single" w:sz="4" w:space="0" w:color="auto"/>
            </w:tcBorders>
            <w:shd w:val="clear" w:color="auto" w:fill="auto"/>
            <w:vAlign w:val="center"/>
          </w:tcPr>
          <w:p w14:paraId="0ECE8EC1" w14:textId="2C8BE3AA" w:rsidR="000B12DB" w:rsidRPr="000C06A7" w:rsidRDefault="000B12DB" w:rsidP="000B12DB">
            <w:pPr>
              <w:spacing w:after="0"/>
              <w:jc w:val="right"/>
              <w:rPr>
                <w:rFonts w:ascii="Arial" w:hAnsi="Arial" w:cs="Arial"/>
              </w:rPr>
            </w:pPr>
            <w:r w:rsidRPr="000C06A7">
              <w:rPr>
                <w:rFonts w:ascii="Arial" w:hAnsi="Arial" w:cs="Arial"/>
              </w:rPr>
              <w:t>6</w:t>
            </w:r>
          </w:p>
        </w:tc>
        <w:tc>
          <w:tcPr>
            <w:tcW w:w="1170" w:type="dxa"/>
            <w:tcBorders>
              <w:top w:val="nil"/>
              <w:left w:val="nil"/>
              <w:bottom w:val="single" w:sz="4" w:space="0" w:color="auto"/>
              <w:right w:val="single" w:sz="4" w:space="0" w:color="auto"/>
            </w:tcBorders>
            <w:shd w:val="clear" w:color="auto" w:fill="auto"/>
            <w:vAlign w:val="center"/>
          </w:tcPr>
          <w:p w14:paraId="254735E4" w14:textId="0DA9ADE7" w:rsidR="000B12DB" w:rsidRPr="000C06A7" w:rsidRDefault="000B12DB" w:rsidP="000B12DB">
            <w:pPr>
              <w:spacing w:after="0"/>
              <w:jc w:val="right"/>
              <w:rPr>
                <w:rFonts w:ascii="Arial" w:hAnsi="Arial" w:cs="Arial"/>
              </w:rPr>
            </w:pPr>
            <w:r w:rsidRPr="000C06A7">
              <w:rPr>
                <w:rFonts w:ascii="Arial" w:hAnsi="Arial" w:cs="Arial"/>
              </w:rPr>
              <w:t>97</w:t>
            </w:r>
          </w:p>
        </w:tc>
      </w:tr>
      <w:tr w:rsidR="00080DCE" w:rsidRPr="00B568F3" w14:paraId="329031AD"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5510C2FE" w14:textId="6E0B7292" w:rsidR="000B12DB" w:rsidRPr="000C06A7" w:rsidRDefault="000B12DB" w:rsidP="000B12DB">
            <w:pPr>
              <w:spacing w:after="0"/>
              <w:rPr>
                <w:rFonts w:ascii="Arial" w:hAnsi="Arial" w:cs="Arial"/>
              </w:rPr>
            </w:pPr>
            <w:r w:rsidRPr="000C06A7">
              <w:rPr>
                <w:rFonts w:ascii="Arial" w:hAnsi="Arial" w:cs="Arial"/>
              </w:rPr>
              <w:t xml:space="preserve">Master Social Work </w:t>
            </w:r>
            <w:r w:rsidR="0031097F" w:rsidRPr="000C06A7">
              <w:rPr>
                <w:rFonts w:ascii="Arial" w:hAnsi="Arial" w:cs="Arial"/>
              </w:rPr>
              <w:t xml:space="preserve">degree </w:t>
            </w:r>
            <w:r w:rsidRPr="000C06A7">
              <w:rPr>
                <w:rFonts w:ascii="Arial" w:hAnsi="Arial" w:cs="Arial"/>
              </w:rPr>
              <w:t xml:space="preserve">- Year 1 </w:t>
            </w:r>
            <w:r w:rsidR="00EC7E7C" w:rsidRPr="000C06A7">
              <w:rPr>
                <w:rFonts w:ascii="Arial" w:hAnsi="Arial" w:cs="Arial"/>
              </w:rPr>
              <w:t>–</w:t>
            </w:r>
            <w:r w:rsidRPr="000C06A7">
              <w:rPr>
                <w:rFonts w:ascii="Arial" w:hAnsi="Arial" w:cs="Arial"/>
              </w:rPr>
              <w:t xml:space="preserve"> </w:t>
            </w:r>
            <w:r w:rsidR="0031097F" w:rsidRPr="000C06A7">
              <w:rPr>
                <w:rFonts w:ascii="Arial" w:hAnsi="Arial" w:cs="Arial"/>
              </w:rPr>
              <w:t>sponsored</w:t>
            </w:r>
          </w:p>
        </w:tc>
        <w:tc>
          <w:tcPr>
            <w:tcW w:w="1361" w:type="dxa"/>
            <w:tcBorders>
              <w:top w:val="nil"/>
              <w:left w:val="single" w:sz="4" w:space="0" w:color="auto"/>
              <w:bottom w:val="single" w:sz="4" w:space="0" w:color="auto"/>
              <w:right w:val="single" w:sz="4" w:space="0" w:color="auto"/>
            </w:tcBorders>
            <w:shd w:val="clear" w:color="auto" w:fill="auto"/>
            <w:vAlign w:val="center"/>
          </w:tcPr>
          <w:p w14:paraId="7F15805B" w14:textId="339FBE2F" w:rsidR="000B12DB" w:rsidRPr="000C06A7" w:rsidRDefault="000B12DB" w:rsidP="000B12DB">
            <w:pPr>
              <w:spacing w:after="0"/>
              <w:jc w:val="right"/>
              <w:rPr>
                <w:rFonts w:ascii="Arial" w:hAnsi="Arial" w:cs="Arial"/>
              </w:rPr>
            </w:pPr>
            <w:r w:rsidRPr="000C06A7">
              <w:rPr>
                <w:rFonts w:ascii="Arial" w:hAnsi="Arial" w:cs="Arial"/>
              </w:rPr>
              <w:t>7</w:t>
            </w:r>
          </w:p>
        </w:tc>
        <w:tc>
          <w:tcPr>
            <w:tcW w:w="1170" w:type="dxa"/>
            <w:tcBorders>
              <w:top w:val="nil"/>
              <w:left w:val="nil"/>
              <w:bottom w:val="single" w:sz="4" w:space="0" w:color="auto"/>
              <w:right w:val="single" w:sz="4" w:space="0" w:color="auto"/>
            </w:tcBorders>
            <w:shd w:val="clear" w:color="auto" w:fill="auto"/>
            <w:vAlign w:val="center"/>
          </w:tcPr>
          <w:p w14:paraId="76EA2D73" w14:textId="124FDE7A" w:rsidR="000B12DB" w:rsidRPr="000C06A7" w:rsidRDefault="000B12DB" w:rsidP="000B12DB">
            <w:pPr>
              <w:spacing w:after="0"/>
              <w:jc w:val="right"/>
              <w:rPr>
                <w:rFonts w:ascii="Arial" w:hAnsi="Arial" w:cs="Arial"/>
              </w:rPr>
            </w:pPr>
            <w:r w:rsidRPr="000C06A7">
              <w:rPr>
                <w:rFonts w:ascii="Arial" w:hAnsi="Arial" w:cs="Arial"/>
              </w:rPr>
              <w:t>6</w:t>
            </w:r>
          </w:p>
        </w:tc>
        <w:tc>
          <w:tcPr>
            <w:tcW w:w="1231" w:type="dxa"/>
            <w:tcBorders>
              <w:top w:val="nil"/>
              <w:left w:val="nil"/>
              <w:bottom w:val="single" w:sz="4" w:space="0" w:color="auto"/>
              <w:right w:val="single" w:sz="4" w:space="0" w:color="auto"/>
            </w:tcBorders>
            <w:shd w:val="clear" w:color="auto" w:fill="auto"/>
            <w:vAlign w:val="center"/>
          </w:tcPr>
          <w:p w14:paraId="10DE8180" w14:textId="1D16BA26" w:rsidR="000B12DB" w:rsidRPr="000C06A7" w:rsidRDefault="000B12DB" w:rsidP="000B12DB">
            <w:pPr>
              <w:spacing w:after="0"/>
              <w:jc w:val="right"/>
              <w:rPr>
                <w:rFonts w:ascii="Arial" w:hAnsi="Arial" w:cs="Arial"/>
              </w:rPr>
            </w:pPr>
            <w:r w:rsidRPr="000C06A7">
              <w:rPr>
                <w:rFonts w:ascii="Arial" w:hAnsi="Arial" w:cs="Arial"/>
              </w:rPr>
              <w:t>1</w:t>
            </w:r>
          </w:p>
        </w:tc>
        <w:tc>
          <w:tcPr>
            <w:tcW w:w="1500" w:type="dxa"/>
            <w:tcBorders>
              <w:top w:val="nil"/>
              <w:left w:val="nil"/>
              <w:bottom w:val="single" w:sz="4" w:space="0" w:color="auto"/>
              <w:right w:val="single" w:sz="4" w:space="0" w:color="auto"/>
            </w:tcBorders>
            <w:shd w:val="clear" w:color="auto" w:fill="auto"/>
            <w:vAlign w:val="center"/>
          </w:tcPr>
          <w:p w14:paraId="431AD48E" w14:textId="0BF016C1" w:rsidR="000B12DB" w:rsidRPr="000C06A7" w:rsidRDefault="000B12DB" w:rsidP="000B12DB">
            <w:pPr>
              <w:spacing w:after="0"/>
              <w:jc w:val="right"/>
              <w:rPr>
                <w:rFonts w:ascii="Arial" w:hAnsi="Arial" w:cs="Arial"/>
              </w:rPr>
            </w:pPr>
            <w:r w:rsidRPr="000C06A7">
              <w:rPr>
                <w:rFonts w:ascii="Arial" w:hAnsi="Arial" w:cs="Arial"/>
              </w:rPr>
              <w:t>0</w:t>
            </w:r>
          </w:p>
        </w:tc>
        <w:tc>
          <w:tcPr>
            <w:tcW w:w="1170" w:type="dxa"/>
            <w:tcBorders>
              <w:top w:val="nil"/>
              <w:left w:val="single" w:sz="4" w:space="0" w:color="auto"/>
              <w:bottom w:val="single" w:sz="4" w:space="0" w:color="auto"/>
              <w:right w:val="single" w:sz="4" w:space="0" w:color="auto"/>
            </w:tcBorders>
            <w:shd w:val="clear" w:color="auto" w:fill="auto"/>
            <w:vAlign w:val="center"/>
          </w:tcPr>
          <w:p w14:paraId="7759293E" w14:textId="14A5A084" w:rsidR="000B12DB" w:rsidRPr="000C06A7" w:rsidRDefault="000B12DB" w:rsidP="000B12DB">
            <w:pPr>
              <w:spacing w:after="0"/>
              <w:jc w:val="right"/>
              <w:rPr>
                <w:rFonts w:ascii="Arial" w:hAnsi="Arial" w:cs="Arial"/>
              </w:rPr>
            </w:pPr>
            <w:r w:rsidRPr="000C06A7">
              <w:rPr>
                <w:rFonts w:ascii="Arial" w:hAnsi="Arial" w:cs="Arial"/>
              </w:rPr>
              <w:t>12</w:t>
            </w:r>
          </w:p>
        </w:tc>
      </w:tr>
      <w:tr w:rsidR="00080DCE" w:rsidRPr="00B568F3" w14:paraId="43771E06"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60CE80F4" w14:textId="0CE0F4C1" w:rsidR="000B12DB" w:rsidRPr="000C06A7" w:rsidRDefault="000B12DB" w:rsidP="000B12DB">
            <w:pPr>
              <w:spacing w:after="0"/>
              <w:rPr>
                <w:rFonts w:ascii="Arial" w:hAnsi="Arial" w:cs="Arial"/>
              </w:rPr>
            </w:pPr>
            <w:r w:rsidRPr="000C06A7">
              <w:rPr>
                <w:rFonts w:ascii="Arial" w:hAnsi="Arial" w:cs="Arial"/>
              </w:rPr>
              <w:t xml:space="preserve">Master Social Work </w:t>
            </w:r>
            <w:r w:rsidR="0031097F" w:rsidRPr="000C06A7">
              <w:rPr>
                <w:rFonts w:ascii="Arial" w:hAnsi="Arial" w:cs="Arial"/>
              </w:rPr>
              <w:t xml:space="preserve">degree </w:t>
            </w:r>
            <w:r w:rsidRPr="000C06A7">
              <w:rPr>
                <w:rFonts w:ascii="Arial" w:hAnsi="Arial" w:cs="Arial"/>
              </w:rPr>
              <w:t xml:space="preserve">- Year 2 </w:t>
            </w:r>
            <w:r w:rsidR="00EC7E7C" w:rsidRPr="000C06A7">
              <w:rPr>
                <w:rFonts w:ascii="Arial" w:hAnsi="Arial" w:cs="Arial"/>
              </w:rPr>
              <w:t>–</w:t>
            </w:r>
            <w:r w:rsidRPr="000C06A7">
              <w:rPr>
                <w:rFonts w:ascii="Arial" w:hAnsi="Arial" w:cs="Arial"/>
              </w:rPr>
              <w:t xml:space="preserve"> </w:t>
            </w:r>
            <w:r w:rsidR="0031097F" w:rsidRPr="000C06A7">
              <w:rPr>
                <w:rFonts w:ascii="Arial" w:hAnsi="Arial" w:cs="Arial"/>
              </w:rPr>
              <w:t>sponsored</w:t>
            </w:r>
          </w:p>
        </w:tc>
        <w:tc>
          <w:tcPr>
            <w:tcW w:w="1361" w:type="dxa"/>
            <w:tcBorders>
              <w:top w:val="single" w:sz="4" w:space="0" w:color="auto"/>
              <w:left w:val="nil"/>
              <w:bottom w:val="single" w:sz="4" w:space="0" w:color="auto"/>
              <w:right w:val="single" w:sz="4" w:space="0" w:color="auto"/>
            </w:tcBorders>
            <w:shd w:val="clear" w:color="auto" w:fill="auto"/>
            <w:vAlign w:val="center"/>
          </w:tcPr>
          <w:p w14:paraId="6D35F8F0" w14:textId="310B967C" w:rsidR="000B12DB" w:rsidRPr="000C06A7" w:rsidRDefault="000B12DB" w:rsidP="000B12DB">
            <w:pPr>
              <w:spacing w:after="0"/>
              <w:jc w:val="right"/>
              <w:rPr>
                <w:rFonts w:ascii="Arial" w:hAnsi="Arial" w:cs="Arial"/>
              </w:rPr>
            </w:pPr>
            <w:r w:rsidRPr="000C06A7">
              <w:rPr>
                <w:rFonts w:ascii="Arial" w:hAnsi="Arial" w:cs="Arial"/>
              </w:rPr>
              <w:t>3</w:t>
            </w:r>
          </w:p>
        </w:tc>
        <w:tc>
          <w:tcPr>
            <w:tcW w:w="1170" w:type="dxa"/>
            <w:tcBorders>
              <w:top w:val="single" w:sz="4" w:space="0" w:color="auto"/>
              <w:left w:val="nil"/>
              <w:bottom w:val="single" w:sz="4" w:space="0" w:color="auto"/>
              <w:right w:val="single" w:sz="4" w:space="0" w:color="auto"/>
            </w:tcBorders>
            <w:shd w:val="clear" w:color="auto" w:fill="auto"/>
            <w:vAlign w:val="center"/>
          </w:tcPr>
          <w:p w14:paraId="4A9C0965" w14:textId="2498E52C" w:rsidR="000B12DB" w:rsidRPr="000C06A7" w:rsidRDefault="000B12DB" w:rsidP="000B12DB">
            <w:pPr>
              <w:spacing w:after="0"/>
              <w:jc w:val="right"/>
              <w:rPr>
                <w:rFonts w:ascii="Arial" w:hAnsi="Arial" w:cs="Arial"/>
              </w:rPr>
            </w:pPr>
            <w:r w:rsidRPr="000C06A7">
              <w:rPr>
                <w:rFonts w:ascii="Arial" w:hAnsi="Arial" w:cs="Arial"/>
              </w:rPr>
              <w:t>1</w:t>
            </w:r>
          </w:p>
        </w:tc>
        <w:tc>
          <w:tcPr>
            <w:tcW w:w="1231" w:type="dxa"/>
            <w:tcBorders>
              <w:top w:val="single" w:sz="4" w:space="0" w:color="auto"/>
              <w:left w:val="nil"/>
              <w:bottom w:val="single" w:sz="4" w:space="0" w:color="auto"/>
              <w:right w:val="single" w:sz="4" w:space="0" w:color="auto"/>
            </w:tcBorders>
            <w:shd w:val="clear" w:color="auto" w:fill="auto"/>
            <w:vAlign w:val="center"/>
          </w:tcPr>
          <w:p w14:paraId="5F214B6B" w14:textId="189C7F76" w:rsidR="000B12DB" w:rsidRPr="000C06A7" w:rsidRDefault="000B12DB" w:rsidP="000B12DB">
            <w:pPr>
              <w:spacing w:after="0"/>
              <w:jc w:val="right"/>
              <w:rPr>
                <w:rFonts w:ascii="Arial" w:hAnsi="Arial" w:cs="Arial"/>
              </w:rPr>
            </w:pPr>
            <w:r w:rsidRPr="000C06A7">
              <w:rPr>
                <w:rFonts w:ascii="Arial" w:hAnsi="Arial" w:cs="Arial"/>
              </w:rPr>
              <w:t>1</w:t>
            </w:r>
          </w:p>
        </w:tc>
        <w:tc>
          <w:tcPr>
            <w:tcW w:w="1500" w:type="dxa"/>
            <w:tcBorders>
              <w:top w:val="single" w:sz="4" w:space="0" w:color="auto"/>
              <w:left w:val="nil"/>
              <w:bottom w:val="single" w:sz="4" w:space="0" w:color="auto"/>
              <w:right w:val="single" w:sz="4" w:space="0" w:color="auto"/>
            </w:tcBorders>
            <w:shd w:val="clear" w:color="auto" w:fill="auto"/>
            <w:vAlign w:val="center"/>
          </w:tcPr>
          <w:p w14:paraId="1B573F02" w14:textId="46D2875E" w:rsidR="000B12DB" w:rsidRPr="000C06A7" w:rsidRDefault="000B12DB" w:rsidP="000B12DB">
            <w:pPr>
              <w:spacing w:after="0"/>
              <w:jc w:val="right"/>
              <w:rPr>
                <w:rFonts w:ascii="Arial" w:hAnsi="Arial" w:cs="Arial"/>
              </w:rPr>
            </w:pPr>
            <w:r w:rsidRPr="000C06A7">
              <w:rPr>
                <w:rFonts w:ascii="Arial" w:hAnsi="Arial" w:cs="Arial"/>
              </w:rPr>
              <w:t>0</w:t>
            </w:r>
          </w:p>
        </w:tc>
        <w:tc>
          <w:tcPr>
            <w:tcW w:w="1170" w:type="dxa"/>
            <w:tcBorders>
              <w:top w:val="nil"/>
              <w:left w:val="nil"/>
              <w:bottom w:val="single" w:sz="4" w:space="0" w:color="auto"/>
              <w:right w:val="single" w:sz="4" w:space="0" w:color="auto"/>
            </w:tcBorders>
            <w:shd w:val="clear" w:color="auto" w:fill="auto"/>
            <w:vAlign w:val="center"/>
          </w:tcPr>
          <w:p w14:paraId="7D190238" w14:textId="159FEF27" w:rsidR="000B12DB" w:rsidRPr="000C06A7" w:rsidRDefault="000B12DB" w:rsidP="000B12DB">
            <w:pPr>
              <w:spacing w:after="0"/>
              <w:jc w:val="right"/>
              <w:rPr>
                <w:rFonts w:ascii="Arial" w:hAnsi="Arial" w:cs="Arial"/>
              </w:rPr>
            </w:pPr>
            <w:r w:rsidRPr="000C06A7">
              <w:rPr>
                <w:rFonts w:ascii="Arial" w:hAnsi="Arial" w:cs="Arial"/>
              </w:rPr>
              <w:t>3</w:t>
            </w:r>
          </w:p>
        </w:tc>
      </w:tr>
      <w:tr w:rsidR="00080DCE" w:rsidRPr="00B568F3" w14:paraId="49B5286E"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4BC79370" w14:textId="62E4F1EF" w:rsidR="000B12DB" w:rsidRPr="000C06A7" w:rsidRDefault="000B12DB" w:rsidP="000B12DB">
            <w:pPr>
              <w:spacing w:after="0"/>
              <w:rPr>
                <w:rFonts w:ascii="Arial" w:hAnsi="Arial" w:cs="Arial"/>
              </w:rPr>
            </w:pPr>
            <w:r w:rsidRPr="000C06A7">
              <w:rPr>
                <w:rFonts w:ascii="Arial" w:hAnsi="Arial" w:cs="Arial"/>
              </w:rPr>
              <w:t xml:space="preserve">Master Social Work </w:t>
            </w:r>
            <w:r w:rsidR="0031097F" w:rsidRPr="000C06A7">
              <w:rPr>
                <w:rFonts w:ascii="Arial" w:hAnsi="Arial" w:cs="Arial"/>
              </w:rPr>
              <w:t xml:space="preserve">degree </w:t>
            </w:r>
            <w:r w:rsidRPr="000C06A7">
              <w:rPr>
                <w:rFonts w:ascii="Arial" w:hAnsi="Arial" w:cs="Arial"/>
              </w:rPr>
              <w:t xml:space="preserve">- Year 1 </w:t>
            </w:r>
            <w:r w:rsidR="00EC7E7C" w:rsidRPr="000C06A7">
              <w:rPr>
                <w:rFonts w:ascii="Arial" w:hAnsi="Arial" w:cs="Arial"/>
              </w:rPr>
              <w:t>–</w:t>
            </w:r>
            <w:r w:rsidRPr="000C06A7">
              <w:rPr>
                <w:rFonts w:ascii="Arial" w:hAnsi="Arial" w:cs="Arial"/>
              </w:rPr>
              <w:t xml:space="preserve"> </w:t>
            </w:r>
            <w:r w:rsidR="0031097F" w:rsidRPr="000C06A7">
              <w:rPr>
                <w:rFonts w:ascii="Arial" w:hAnsi="Arial" w:cs="Arial"/>
              </w:rPr>
              <w:t>other</w:t>
            </w:r>
          </w:p>
        </w:tc>
        <w:tc>
          <w:tcPr>
            <w:tcW w:w="1361" w:type="dxa"/>
            <w:tcBorders>
              <w:top w:val="nil"/>
              <w:left w:val="nil"/>
              <w:bottom w:val="single" w:sz="4" w:space="0" w:color="auto"/>
              <w:right w:val="single" w:sz="4" w:space="0" w:color="auto"/>
            </w:tcBorders>
            <w:shd w:val="clear" w:color="auto" w:fill="auto"/>
            <w:vAlign w:val="center"/>
          </w:tcPr>
          <w:p w14:paraId="426FFF90" w14:textId="33A66204" w:rsidR="000B12DB" w:rsidRPr="000C06A7" w:rsidRDefault="000B12DB" w:rsidP="000B12DB">
            <w:pPr>
              <w:spacing w:after="0"/>
              <w:jc w:val="right"/>
              <w:rPr>
                <w:rFonts w:ascii="Arial" w:hAnsi="Arial" w:cs="Arial"/>
              </w:rPr>
            </w:pPr>
            <w:r w:rsidRPr="000C06A7">
              <w:rPr>
                <w:rFonts w:ascii="Arial" w:hAnsi="Arial" w:cs="Arial"/>
              </w:rPr>
              <w:t>59</w:t>
            </w:r>
          </w:p>
        </w:tc>
        <w:tc>
          <w:tcPr>
            <w:tcW w:w="1170" w:type="dxa"/>
            <w:tcBorders>
              <w:top w:val="nil"/>
              <w:left w:val="nil"/>
              <w:bottom w:val="single" w:sz="4" w:space="0" w:color="auto"/>
              <w:right w:val="single" w:sz="4" w:space="0" w:color="auto"/>
            </w:tcBorders>
            <w:shd w:val="clear" w:color="auto" w:fill="auto"/>
            <w:vAlign w:val="center"/>
          </w:tcPr>
          <w:p w14:paraId="5DAC02EA" w14:textId="110B0BCC" w:rsidR="000B12DB" w:rsidRPr="000C06A7" w:rsidRDefault="000B12DB" w:rsidP="000B12DB">
            <w:pPr>
              <w:spacing w:after="0"/>
              <w:jc w:val="right"/>
              <w:rPr>
                <w:rFonts w:ascii="Arial" w:hAnsi="Arial" w:cs="Arial"/>
              </w:rPr>
            </w:pPr>
            <w:r w:rsidRPr="000C06A7">
              <w:rPr>
                <w:rFonts w:ascii="Arial" w:hAnsi="Arial" w:cs="Arial"/>
              </w:rPr>
              <w:t>73</w:t>
            </w:r>
          </w:p>
        </w:tc>
        <w:tc>
          <w:tcPr>
            <w:tcW w:w="1231" w:type="dxa"/>
            <w:tcBorders>
              <w:top w:val="nil"/>
              <w:left w:val="nil"/>
              <w:bottom w:val="single" w:sz="4" w:space="0" w:color="auto"/>
              <w:right w:val="single" w:sz="4" w:space="0" w:color="auto"/>
            </w:tcBorders>
            <w:shd w:val="clear" w:color="auto" w:fill="auto"/>
            <w:vAlign w:val="center"/>
          </w:tcPr>
          <w:p w14:paraId="2AF8AF6A" w14:textId="6FD04A80" w:rsidR="000B12DB" w:rsidRPr="000C06A7" w:rsidRDefault="000B12DB" w:rsidP="000B12DB">
            <w:pPr>
              <w:spacing w:after="0"/>
              <w:jc w:val="right"/>
              <w:rPr>
                <w:rFonts w:ascii="Arial" w:hAnsi="Arial" w:cs="Arial"/>
              </w:rPr>
            </w:pPr>
            <w:r w:rsidRPr="000C06A7">
              <w:rPr>
                <w:rFonts w:ascii="Arial" w:hAnsi="Arial" w:cs="Arial"/>
              </w:rPr>
              <w:t>48</w:t>
            </w:r>
          </w:p>
        </w:tc>
        <w:tc>
          <w:tcPr>
            <w:tcW w:w="1500" w:type="dxa"/>
            <w:tcBorders>
              <w:top w:val="nil"/>
              <w:left w:val="nil"/>
              <w:bottom w:val="single" w:sz="4" w:space="0" w:color="auto"/>
              <w:right w:val="single" w:sz="4" w:space="0" w:color="auto"/>
            </w:tcBorders>
            <w:shd w:val="clear" w:color="auto" w:fill="auto"/>
            <w:vAlign w:val="center"/>
          </w:tcPr>
          <w:p w14:paraId="216E3845" w14:textId="24C715F3" w:rsidR="000B12DB" w:rsidRPr="000C06A7" w:rsidRDefault="000B12DB" w:rsidP="000B12DB">
            <w:pPr>
              <w:spacing w:after="0"/>
              <w:jc w:val="right"/>
              <w:rPr>
                <w:rFonts w:ascii="Arial" w:hAnsi="Arial" w:cs="Arial"/>
              </w:rPr>
            </w:pPr>
            <w:r w:rsidRPr="000C06A7">
              <w:rPr>
                <w:rFonts w:ascii="Arial" w:hAnsi="Arial" w:cs="Arial"/>
              </w:rPr>
              <w:t>10</w:t>
            </w:r>
          </w:p>
        </w:tc>
        <w:tc>
          <w:tcPr>
            <w:tcW w:w="1170" w:type="dxa"/>
            <w:tcBorders>
              <w:top w:val="nil"/>
              <w:left w:val="nil"/>
              <w:bottom w:val="single" w:sz="4" w:space="0" w:color="auto"/>
              <w:right w:val="single" w:sz="4" w:space="0" w:color="auto"/>
            </w:tcBorders>
            <w:shd w:val="clear" w:color="auto" w:fill="auto"/>
            <w:vAlign w:val="center"/>
          </w:tcPr>
          <w:p w14:paraId="1C7182D7" w14:textId="04A1D217" w:rsidR="000B12DB" w:rsidRPr="000C06A7" w:rsidRDefault="000B12DB" w:rsidP="000B12DB">
            <w:pPr>
              <w:spacing w:after="0"/>
              <w:jc w:val="right"/>
              <w:rPr>
                <w:rFonts w:ascii="Arial" w:hAnsi="Arial" w:cs="Arial"/>
              </w:rPr>
            </w:pPr>
            <w:r w:rsidRPr="000C06A7">
              <w:rPr>
                <w:rFonts w:ascii="Arial" w:hAnsi="Arial" w:cs="Arial"/>
              </w:rPr>
              <w:t>74</w:t>
            </w:r>
          </w:p>
        </w:tc>
      </w:tr>
      <w:tr w:rsidR="00080DCE" w:rsidRPr="00B568F3" w14:paraId="1838E8B6"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noWrap/>
            <w:vAlign w:val="bottom"/>
            <w:hideMark/>
          </w:tcPr>
          <w:p w14:paraId="45DCD1E3" w14:textId="2F93285F" w:rsidR="000B12DB" w:rsidRPr="000C06A7" w:rsidRDefault="000B12DB" w:rsidP="000B12DB">
            <w:pPr>
              <w:spacing w:after="0"/>
              <w:rPr>
                <w:rFonts w:ascii="Arial" w:hAnsi="Arial" w:cs="Arial"/>
              </w:rPr>
            </w:pPr>
            <w:r w:rsidRPr="000C06A7">
              <w:rPr>
                <w:rFonts w:ascii="Arial" w:hAnsi="Arial" w:cs="Arial"/>
              </w:rPr>
              <w:t xml:space="preserve">Master Social Work </w:t>
            </w:r>
            <w:r w:rsidR="0031097F" w:rsidRPr="000C06A7">
              <w:rPr>
                <w:rFonts w:ascii="Arial" w:hAnsi="Arial" w:cs="Arial"/>
              </w:rPr>
              <w:t xml:space="preserve">degree </w:t>
            </w:r>
            <w:r w:rsidRPr="000C06A7">
              <w:rPr>
                <w:rFonts w:ascii="Arial" w:hAnsi="Arial" w:cs="Arial"/>
              </w:rPr>
              <w:t xml:space="preserve">- Year 2 </w:t>
            </w:r>
            <w:r w:rsidR="00EC7E7C" w:rsidRPr="000C06A7">
              <w:rPr>
                <w:rFonts w:ascii="Arial" w:hAnsi="Arial" w:cs="Arial"/>
              </w:rPr>
              <w:t>–</w:t>
            </w:r>
            <w:r w:rsidRPr="000C06A7">
              <w:rPr>
                <w:rFonts w:ascii="Arial" w:hAnsi="Arial" w:cs="Arial"/>
              </w:rPr>
              <w:t xml:space="preserve"> </w:t>
            </w:r>
            <w:r w:rsidR="0031097F" w:rsidRPr="000C06A7">
              <w:rPr>
                <w:rFonts w:ascii="Arial" w:hAnsi="Arial" w:cs="Arial"/>
              </w:rPr>
              <w:t>other</w:t>
            </w:r>
          </w:p>
        </w:tc>
        <w:tc>
          <w:tcPr>
            <w:tcW w:w="1361" w:type="dxa"/>
            <w:tcBorders>
              <w:top w:val="nil"/>
              <w:left w:val="single" w:sz="4" w:space="0" w:color="auto"/>
              <w:bottom w:val="single" w:sz="4" w:space="0" w:color="auto"/>
              <w:right w:val="single" w:sz="4" w:space="0" w:color="auto"/>
            </w:tcBorders>
            <w:shd w:val="clear" w:color="auto" w:fill="auto"/>
            <w:vAlign w:val="center"/>
          </w:tcPr>
          <w:p w14:paraId="436CC7B5" w14:textId="4F05626B" w:rsidR="000B12DB" w:rsidRPr="000C06A7" w:rsidRDefault="000B12DB" w:rsidP="000B12DB">
            <w:pPr>
              <w:spacing w:after="0"/>
              <w:jc w:val="right"/>
              <w:rPr>
                <w:rFonts w:ascii="Arial" w:hAnsi="Arial" w:cs="Arial"/>
              </w:rPr>
            </w:pPr>
            <w:r w:rsidRPr="000C06A7">
              <w:rPr>
                <w:rFonts w:ascii="Arial" w:hAnsi="Arial" w:cs="Arial"/>
              </w:rPr>
              <w:t>59</w:t>
            </w:r>
          </w:p>
        </w:tc>
        <w:tc>
          <w:tcPr>
            <w:tcW w:w="1170" w:type="dxa"/>
            <w:tcBorders>
              <w:top w:val="nil"/>
              <w:left w:val="nil"/>
              <w:bottom w:val="single" w:sz="4" w:space="0" w:color="auto"/>
              <w:right w:val="single" w:sz="4" w:space="0" w:color="auto"/>
            </w:tcBorders>
            <w:shd w:val="clear" w:color="auto" w:fill="auto"/>
            <w:vAlign w:val="center"/>
          </w:tcPr>
          <w:p w14:paraId="3F364737" w14:textId="1C9D8734" w:rsidR="000B12DB" w:rsidRPr="000C06A7" w:rsidRDefault="000B12DB" w:rsidP="000B12DB">
            <w:pPr>
              <w:spacing w:after="0"/>
              <w:jc w:val="right"/>
              <w:rPr>
                <w:rFonts w:ascii="Arial" w:hAnsi="Arial" w:cs="Arial"/>
              </w:rPr>
            </w:pPr>
            <w:r w:rsidRPr="000C06A7">
              <w:rPr>
                <w:rFonts w:ascii="Arial" w:hAnsi="Arial" w:cs="Arial"/>
              </w:rPr>
              <w:t>50</w:t>
            </w:r>
          </w:p>
        </w:tc>
        <w:tc>
          <w:tcPr>
            <w:tcW w:w="1231" w:type="dxa"/>
            <w:tcBorders>
              <w:top w:val="nil"/>
              <w:left w:val="nil"/>
              <w:bottom w:val="single" w:sz="4" w:space="0" w:color="auto"/>
              <w:right w:val="single" w:sz="4" w:space="0" w:color="auto"/>
            </w:tcBorders>
            <w:shd w:val="clear" w:color="auto" w:fill="auto"/>
            <w:vAlign w:val="center"/>
          </w:tcPr>
          <w:p w14:paraId="2056E85E" w14:textId="625891AE" w:rsidR="000B12DB" w:rsidRPr="000C06A7" w:rsidRDefault="000B12DB" w:rsidP="000B12DB">
            <w:pPr>
              <w:spacing w:after="0"/>
              <w:jc w:val="right"/>
              <w:rPr>
                <w:rFonts w:ascii="Arial" w:hAnsi="Arial" w:cs="Arial"/>
              </w:rPr>
            </w:pPr>
            <w:r w:rsidRPr="000C06A7">
              <w:rPr>
                <w:rFonts w:ascii="Arial" w:hAnsi="Arial" w:cs="Arial"/>
              </w:rPr>
              <w:t>49</w:t>
            </w:r>
          </w:p>
        </w:tc>
        <w:tc>
          <w:tcPr>
            <w:tcW w:w="1500" w:type="dxa"/>
            <w:tcBorders>
              <w:top w:val="nil"/>
              <w:left w:val="nil"/>
              <w:bottom w:val="single" w:sz="4" w:space="0" w:color="auto"/>
              <w:right w:val="single" w:sz="4" w:space="0" w:color="auto"/>
            </w:tcBorders>
            <w:shd w:val="clear" w:color="auto" w:fill="auto"/>
            <w:vAlign w:val="center"/>
          </w:tcPr>
          <w:p w14:paraId="411D1A64" w14:textId="7AD9BE76" w:rsidR="000B12DB" w:rsidRPr="000C06A7" w:rsidRDefault="000B12DB" w:rsidP="000B12DB">
            <w:pPr>
              <w:spacing w:after="0"/>
              <w:jc w:val="right"/>
              <w:rPr>
                <w:rFonts w:ascii="Arial" w:hAnsi="Arial" w:cs="Arial"/>
              </w:rPr>
            </w:pPr>
            <w:r w:rsidRPr="000C06A7">
              <w:rPr>
                <w:rFonts w:ascii="Arial" w:hAnsi="Arial" w:cs="Arial"/>
              </w:rPr>
              <w:t>3</w:t>
            </w:r>
          </w:p>
        </w:tc>
        <w:tc>
          <w:tcPr>
            <w:tcW w:w="1170" w:type="dxa"/>
            <w:tcBorders>
              <w:top w:val="nil"/>
              <w:left w:val="single" w:sz="4" w:space="0" w:color="auto"/>
              <w:bottom w:val="single" w:sz="4" w:space="0" w:color="auto"/>
              <w:right w:val="single" w:sz="4" w:space="0" w:color="auto"/>
            </w:tcBorders>
            <w:shd w:val="clear" w:color="auto" w:fill="auto"/>
            <w:vAlign w:val="center"/>
          </w:tcPr>
          <w:p w14:paraId="148A49AB" w14:textId="0E6CB78C" w:rsidR="000B12DB" w:rsidRPr="000C06A7" w:rsidRDefault="000B12DB" w:rsidP="000B12DB">
            <w:pPr>
              <w:spacing w:after="0"/>
              <w:jc w:val="right"/>
              <w:rPr>
                <w:rFonts w:ascii="Arial" w:hAnsi="Arial" w:cs="Arial"/>
              </w:rPr>
            </w:pPr>
            <w:r w:rsidRPr="000C06A7">
              <w:rPr>
                <w:rFonts w:ascii="Arial" w:hAnsi="Arial" w:cs="Arial"/>
              </w:rPr>
              <w:t>57</w:t>
            </w:r>
          </w:p>
        </w:tc>
      </w:tr>
      <w:tr w:rsidR="00080DCE" w:rsidRPr="00B568F3" w14:paraId="391B636D"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vAlign w:val="center"/>
            <w:hideMark/>
          </w:tcPr>
          <w:p w14:paraId="5A443B73" w14:textId="3AB2AA7F" w:rsidR="000B12DB" w:rsidRPr="000C06A7" w:rsidRDefault="000B12DB" w:rsidP="000B12DB">
            <w:pPr>
              <w:spacing w:after="0"/>
              <w:rPr>
                <w:rFonts w:ascii="Arial" w:hAnsi="Arial" w:cs="Arial"/>
              </w:rPr>
            </w:pPr>
            <w:r w:rsidRPr="000C06A7">
              <w:rPr>
                <w:rFonts w:ascii="Arial" w:hAnsi="Arial" w:cs="Arial"/>
              </w:rPr>
              <w:t>N</w:t>
            </w:r>
            <w:r w:rsidR="0031097F" w:rsidRPr="000C06A7">
              <w:rPr>
                <w:rFonts w:ascii="Arial" w:hAnsi="Arial" w:cs="Arial"/>
              </w:rPr>
              <w:t>ewly qualified social worker (N</w:t>
            </w:r>
            <w:r w:rsidRPr="000C06A7">
              <w:rPr>
                <w:rFonts w:ascii="Arial" w:hAnsi="Arial" w:cs="Arial"/>
              </w:rPr>
              <w:t>QSW</w:t>
            </w:r>
            <w:r w:rsidR="0031097F" w:rsidRPr="000C06A7">
              <w:rPr>
                <w:rFonts w:ascii="Arial" w:hAnsi="Arial" w:cs="Arial"/>
              </w:rPr>
              <w:t>)</w:t>
            </w:r>
            <w:r w:rsidRPr="000C06A7">
              <w:rPr>
                <w:rFonts w:ascii="Arial" w:hAnsi="Arial" w:cs="Arial"/>
              </w:rPr>
              <w:t xml:space="preserve"> programme</w:t>
            </w:r>
          </w:p>
        </w:tc>
        <w:tc>
          <w:tcPr>
            <w:tcW w:w="1361" w:type="dxa"/>
            <w:tcBorders>
              <w:top w:val="single" w:sz="4" w:space="0" w:color="auto"/>
              <w:left w:val="nil"/>
              <w:bottom w:val="single" w:sz="4" w:space="0" w:color="auto"/>
              <w:right w:val="single" w:sz="4" w:space="0" w:color="auto"/>
            </w:tcBorders>
            <w:shd w:val="clear" w:color="auto" w:fill="auto"/>
            <w:vAlign w:val="center"/>
          </w:tcPr>
          <w:p w14:paraId="06A98080" w14:textId="7BCA20F1" w:rsidR="000B12DB" w:rsidRPr="000C06A7" w:rsidRDefault="000B12DB" w:rsidP="000B12DB">
            <w:pPr>
              <w:spacing w:after="0"/>
              <w:jc w:val="right"/>
              <w:rPr>
                <w:rFonts w:ascii="Arial" w:hAnsi="Arial" w:cs="Arial"/>
              </w:rPr>
            </w:pPr>
            <w:r w:rsidRPr="000C06A7">
              <w:rPr>
                <w:rFonts w:ascii="Arial" w:hAnsi="Arial" w:cs="Arial"/>
              </w:rPr>
              <w:t>213</w:t>
            </w:r>
          </w:p>
        </w:tc>
        <w:tc>
          <w:tcPr>
            <w:tcW w:w="1170" w:type="dxa"/>
            <w:tcBorders>
              <w:top w:val="single" w:sz="4" w:space="0" w:color="auto"/>
              <w:left w:val="nil"/>
              <w:bottom w:val="single" w:sz="4" w:space="0" w:color="auto"/>
              <w:right w:val="single" w:sz="4" w:space="0" w:color="auto"/>
            </w:tcBorders>
            <w:shd w:val="clear" w:color="auto" w:fill="auto"/>
            <w:vAlign w:val="center"/>
          </w:tcPr>
          <w:p w14:paraId="2FB35A2F" w14:textId="145EA867" w:rsidR="000B12DB" w:rsidRPr="000C06A7" w:rsidRDefault="000B12DB" w:rsidP="000B12DB">
            <w:pPr>
              <w:spacing w:after="0"/>
              <w:jc w:val="right"/>
              <w:rPr>
                <w:rFonts w:ascii="Arial" w:hAnsi="Arial" w:cs="Arial"/>
              </w:rPr>
            </w:pPr>
            <w:r w:rsidRPr="000C06A7">
              <w:rPr>
                <w:rFonts w:ascii="Arial" w:hAnsi="Arial" w:cs="Arial"/>
              </w:rPr>
              <w:t>236</w:t>
            </w:r>
          </w:p>
        </w:tc>
        <w:tc>
          <w:tcPr>
            <w:tcW w:w="1231" w:type="dxa"/>
            <w:tcBorders>
              <w:top w:val="single" w:sz="4" w:space="0" w:color="auto"/>
              <w:left w:val="nil"/>
              <w:bottom w:val="single" w:sz="4" w:space="0" w:color="auto"/>
              <w:right w:val="single" w:sz="4" w:space="0" w:color="auto"/>
            </w:tcBorders>
            <w:shd w:val="clear" w:color="auto" w:fill="auto"/>
            <w:vAlign w:val="center"/>
          </w:tcPr>
          <w:p w14:paraId="0E9792F2" w14:textId="0E6F2BCC" w:rsidR="000B12DB" w:rsidRPr="000C06A7" w:rsidRDefault="000B12DB" w:rsidP="000B12DB">
            <w:pPr>
              <w:spacing w:after="0"/>
              <w:jc w:val="right"/>
              <w:rPr>
                <w:rFonts w:ascii="Arial" w:hAnsi="Arial" w:cs="Arial"/>
              </w:rPr>
            </w:pPr>
            <w:r w:rsidRPr="000C06A7">
              <w:rPr>
                <w:rFonts w:ascii="Arial" w:hAnsi="Arial" w:cs="Arial"/>
              </w:rPr>
              <w:t>185</w:t>
            </w:r>
          </w:p>
        </w:tc>
        <w:tc>
          <w:tcPr>
            <w:tcW w:w="1500" w:type="dxa"/>
            <w:tcBorders>
              <w:top w:val="single" w:sz="4" w:space="0" w:color="auto"/>
              <w:left w:val="nil"/>
              <w:bottom w:val="single" w:sz="4" w:space="0" w:color="auto"/>
              <w:right w:val="single" w:sz="4" w:space="0" w:color="auto"/>
            </w:tcBorders>
            <w:shd w:val="clear" w:color="auto" w:fill="auto"/>
            <w:vAlign w:val="center"/>
          </w:tcPr>
          <w:p w14:paraId="67ED0788" w14:textId="59EFE34F" w:rsidR="000B12DB" w:rsidRPr="000C06A7" w:rsidRDefault="000B12DB" w:rsidP="000B12DB">
            <w:pPr>
              <w:spacing w:after="0"/>
              <w:jc w:val="right"/>
              <w:rPr>
                <w:rFonts w:ascii="Arial" w:hAnsi="Arial" w:cs="Arial"/>
              </w:rPr>
            </w:pPr>
            <w:r w:rsidRPr="000C06A7">
              <w:rPr>
                <w:rFonts w:ascii="Arial" w:hAnsi="Arial" w:cs="Arial"/>
              </w:rPr>
              <w:t>26</w:t>
            </w:r>
          </w:p>
        </w:tc>
        <w:tc>
          <w:tcPr>
            <w:tcW w:w="1170" w:type="dxa"/>
            <w:tcBorders>
              <w:top w:val="nil"/>
              <w:left w:val="nil"/>
              <w:bottom w:val="single" w:sz="4" w:space="0" w:color="auto"/>
              <w:right w:val="single" w:sz="4" w:space="0" w:color="auto"/>
            </w:tcBorders>
            <w:shd w:val="clear" w:color="auto" w:fill="auto"/>
            <w:vAlign w:val="center"/>
          </w:tcPr>
          <w:p w14:paraId="0B46E066" w14:textId="62F0425C" w:rsidR="000B12DB" w:rsidRPr="000C06A7" w:rsidRDefault="000B12DB" w:rsidP="000B12DB">
            <w:pPr>
              <w:spacing w:after="0"/>
              <w:jc w:val="right"/>
              <w:rPr>
                <w:rFonts w:ascii="Arial" w:hAnsi="Arial" w:cs="Arial"/>
              </w:rPr>
            </w:pPr>
            <w:r w:rsidRPr="000C06A7">
              <w:rPr>
                <w:rFonts w:ascii="Arial" w:hAnsi="Arial" w:cs="Arial"/>
              </w:rPr>
              <w:t>238</w:t>
            </w:r>
          </w:p>
        </w:tc>
      </w:tr>
      <w:tr w:rsidR="00080DCE" w:rsidRPr="00B568F3" w14:paraId="005EE17E"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vAlign w:val="center"/>
            <w:hideMark/>
          </w:tcPr>
          <w:p w14:paraId="6AC2132E" w14:textId="77777777" w:rsidR="00F03FA1" w:rsidRPr="000C06A7" w:rsidRDefault="00F03FA1" w:rsidP="00F03FA1">
            <w:pPr>
              <w:spacing w:after="0"/>
              <w:rPr>
                <w:rFonts w:ascii="Arial" w:hAnsi="Arial" w:cs="Arial"/>
              </w:rPr>
            </w:pPr>
            <w:r w:rsidRPr="000C06A7">
              <w:rPr>
                <w:rFonts w:ascii="Arial" w:hAnsi="Arial" w:cs="Arial"/>
              </w:rPr>
              <w:t>Consolidation</w:t>
            </w:r>
          </w:p>
        </w:tc>
        <w:tc>
          <w:tcPr>
            <w:tcW w:w="1361" w:type="dxa"/>
            <w:tcBorders>
              <w:top w:val="nil"/>
              <w:left w:val="nil"/>
              <w:bottom w:val="single" w:sz="4" w:space="0" w:color="auto"/>
              <w:right w:val="single" w:sz="4" w:space="0" w:color="auto"/>
            </w:tcBorders>
            <w:shd w:val="clear" w:color="auto" w:fill="auto"/>
            <w:vAlign w:val="center"/>
          </w:tcPr>
          <w:p w14:paraId="3266A999" w14:textId="3E375A7B" w:rsidR="00F03FA1" w:rsidRPr="000C06A7" w:rsidRDefault="00F03FA1" w:rsidP="00F03FA1">
            <w:pPr>
              <w:spacing w:after="0"/>
              <w:jc w:val="right"/>
              <w:rPr>
                <w:rFonts w:ascii="Arial" w:hAnsi="Arial" w:cs="Arial"/>
              </w:rPr>
            </w:pPr>
            <w:r w:rsidRPr="000C06A7">
              <w:rPr>
                <w:rFonts w:ascii="Arial" w:hAnsi="Arial" w:cs="Arial"/>
              </w:rPr>
              <w:t>306</w:t>
            </w:r>
          </w:p>
        </w:tc>
        <w:tc>
          <w:tcPr>
            <w:tcW w:w="1170" w:type="dxa"/>
            <w:tcBorders>
              <w:top w:val="nil"/>
              <w:left w:val="nil"/>
              <w:bottom w:val="single" w:sz="4" w:space="0" w:color="auto"/>
              <w:right w:val="single" w:sz="4" w:space="0" w:color="auto"/>
            </w:tcBorders>
            <w:shd w:val="clear" w:color="auto" w:fill="auto"/>
            <w:vAlign w:val="center"/>
          </w:tcPr>
          <w:p w14:paraId="27851CEA" w14:textId="6C970349" w:rsidR="00F03FA1" w:rsidRPr="000C06A7" w:rsidRDefault="00F03FA1" w:rsidP="00F03FA1">
            <w:pPr>
              <w:spacing w:after="0"/>
              <w:jc w:val="right"/>
              <w:rPr>
                <w:rFonts w:ascii="Arial" w:hAnsi="Arial" w:cs="Arial"/>
              </w:rPr>
            </w:pPr>
            <w:r w:rsidRPr="000C06A7">
              <w:rPr>
                <w:rFonts w:ascii="Arial" w:hAnsi="Arial" w:cs="Arial"/>
              </w:rPr>
              <w:t>241</w:t>
            </w:r>
          </w:p>
        </w:tc>
        <w:tc>
          <w:tcPr>
            <w:tcW w:w="1231" w:type="dxa"/>
            <w:tcBorders>
              <w:top w:val="nil"/>
              <w:left w:val="nil"/>
              <w:bottom w:val="single" w:sz="4" w:space="0" w:color="auto"/>
              <w:right w:val="single" w:sz="4" w:space="0" w:color="auto"/>
            </w:tcBorders>
            <w:shd w:val="clear" w:color="auto" w:fill="auto"/>
            <w:vAlign w:val="center"/>
          </w:tcPr>
          <w:p w14:paraId="38B2F7AD" w14:textId="78660938" w:rsidR="00F03FA1" w:rsidRPr="000C06A7" w:rsidRDefault="00F03FA1" w:rsidP="00F03FA1">
            <w:pPr>
              <w:spacing w:after="0"/>
              <w:jc w:val="right"/>
              <w:rPr>
                <w:rFonts w:ascii="Arial" w:hAnsi="Arial" w:cs="Arial"/>
              </w:rPr>
            </w:pPr>
            <w:r w:rsidRPr="000C06A7">
              <w:rPr>
                <w:rFonts w:ascii="Arial" w:hAnsi="Arial" w:cs="Arial"/>
              </w:rPr>
              <w:t>215</w:t>
            </w:r>
          </w:p>
        </w:tc>
        <w:tc>
          <w:tcPr>
            <w:tcW w:w="1500" w:type="dxa"/>
            <w:tcBorders>
              <w:top w:val="nil"/>
              <w:left w:val="nil"/>
              <w:bottom w:val="single" w:sz="4" w:space="0" w:color="auto"/>
              <w:right w:val="single" w:sz="4" w:space="0" w:color="auto"/>
            </w:tcBorders>
            <w:shd w:val="clear" w:color="auto" w:fill="auto"/>
            <w:vAlign w:val="center"/>
          </w:tcPr>
          <w:p w14:paraId="44D48A4E" w14:textId="7D7C935D" w:rsidR="00F03FA1" w:rsidRPr="000C06A7" w:rsidRDefault="00F03FA1" w:rsidP="00F03FA1">
            <w:pPr>
              <w:spacing w:after="0"/>
              <w:jc w:val="right"/>
              <w:rPr>
                <w:rFonts w:ascii="Arial" w:hAnsi="Arial" w:cs="Arial"/>
              </w:rPr>
            </w:pPr>
            <w:r w:rsidRPr="000C06A7">
              <w:rPr>
                <w:rFonts w:ascii="Arial" w:hAnsi="Arial" w:cs="Arial"/>
              </w:rPr>
              <w:t>19</w:t>
            </w:r>
          </w:p>
        </w:tc>
        <w:tc>
          <w:tcPr>
            <w:tcW w:w="1170" w:type="dxa"/>
            <w:tcBorders>
              <w:top w:val="nil"/>
              <w:left w:val="nil"/>
              <w:bottom w:val="single" w:sz="4" w:space="0" w:color="auto"/>
              <w:right w:val="single" w:sz="4" w:space="0" w:color="auto"/>
            </w:tcBorders>
            <w:shd w:val="clear" w:color="auto" w:fill="auto"/>
            <w:vAlign w:val="center"/>
          </w:tcPr>
          <w:p w14:paraId="28CA9FBD" w14:textId="2F2E57E3" w:rsidR="00F03FA1" w:rsidRPr="000C06A7" w:rsidRDefault="00F03FA1" w:rsidP="00F03FA1">
            <w:pPr>
              <w:spacing w:after="0"/>
              <w:jc w:val="right"/>
              <w:rPr>
                <w:rFonts w:ascii="Arial" w:hAnsi="Arial" w:cs="Arial"/>
              </w:rPr>
            </w:pPr>
            <w:r w:rsidRPr="000C06A7">
              <w:rPr>
                <w:rFonts w:ascii="Arial" w:hAnsi="Arial" w:cs="Arial"/>
              </w:rPr>
              <w:t>313</w:t>
            </w:r>
          </w:p>
        </w:tc>
      </w:tr>
      <w:tr w:rsidR="00080DCE" w:rsidRPr="00B568F3" w14:paraId="138E1517"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vAlign w:val="center"/>
            <w:hideMark/>
          </w:tcPr>
          <w:p w14:paraId="52FD4B5B" w14:textId="77777777" w:rsidR="00F03FA1" w:rsidRPr="000C06A7" w:rsidRDefault="00F03FA1" w:rsidP="00F03FA1">
            <w:pPr>
              <w:spacing w:after="0"/>
              <w:rPr>
                <w:rFonts w:ascii="Arial" w:hAnsi="Arial" w:cs="Arial"/>
              </w:rPr>
            </w:pPr>
            <w:r w:rsidRPr="000C06A7">
              <w:rPr>
                <w:rFonts w:ascii="Arial" w:hAnsi="Arial" w:cs="Arial"/>
              </w:rPr>
              <w:t xml:space="preserve">Experienced Practice in Social Work </w:t>
            </w:r>
          </w:p>
        </w:tc>
        <w:tc>
          <w:tcPr>
            <w:tcW w:w="1361" w:type="dxa"/>
            <w:tcBorders>
              <w:top w:val="nil"/>
              <w:left w:val="single" w:sz="4" w:space="0" w:color="auto"/>
              <w:bottom w:val="single" w:sz="4" w:space="0" w:color="auto"/>
              <w:right w:val="single" w:sz="4" w:space="0" w:color="auto"/>
            </w:tcBorders>
            <w:shd w:val="clear" w:color="auto" w:fill="auto"/>
            <w:vAlign w:val="center"/>
          </w:tcPr>
          <w:p w14:paraId="5A40BED2" w14:textId="1FEE781B" w:rsidR="00F03FA1" w:rsidRPr="000C06A7" w:rsidRDefault="00F03FA1" w:rsidP="00F03FA1">
            <w:pPr>
              <w:spacing w:after="0"/>
              <w:jc w:val="right"/>
              <w:rPr>
                <w:rFonts w:ascii="Arial" w:hAnsi="Arial" w:cs="Arial"/>
              </w:rPr>
            </w:pPr>
            <w:r w:rsidRPr="000C06A7">
              <w:rPr>
                <w:rFonts w:ascii="Arial" w:hAnsi="Arial" w:cs="Arial"/>
              </w:rPr>
              <w:t>0</w:t>
            </w:r>
          </w:p>
        </w:tc>
        <w:tc>
          <w:tcPr>
            <w:tcW w:w="1170" w:type="dxa"/>
            <w:tcBorders>
              <w:top w:val="nil"/>
              <w:left w:val="nil"/>
              <w:bottom w:val="single" w:sz="4" w:space="0" w:color="auto"/>
              <w:right w:val="single" w:sz="4" w:space="0" w:color="auto"/>
            </w:tcBorders>
            <w:shd w:val="clear" w:color="auto" w:fill="auto"/>
            <w:vAlign w:val="center"/>
          </w:tcPr>
          <w:p w14:paraId="00E56193" w14:textId="1A827914" w:rsidR="00F03FA1" w:rsidRPr="000C06A7" w:rsidRDefault="00F03FA1" w:rsidP="00F03FA1">
            <w:pPr>
              <w:spacing w:after="0"/>
              <w:jc w:val="right"/>
              <w:rPr>
                <w:rFonts w:ascii="Arial" w:hAnsi="Arial" w:cs="Arial"/>
              </w:rPr>
            </w:pPr>
            <w:r w:rsidRPr="000C06A7">
              <w:rPr>
                <w:rFonts w:ascii="Arial" w:hAnsi="Arial" w:cs="Arial"/>
              </w:rPr>
              <w:t>0</w:t>
            </w:r>
          </w:p>
        </w:tc>
        <w:tc>
          <w:tcPr>
            <w:tcW w:w="1231" w:type="dxa"/>
            <w:tcBorders>
              <w:top w:val="nil"/>
              <w:left w:val="nil"/>
              <w:bottom w:val="single" w:sz="4" w:space="0" w:color="auto"/>
              <w:right w:val="single" w:sz="4" w:space="0" w:color="auto"/>
            </w:tcBorders>
            <w:shd w:val="clear" w:color="auto" w:fill="auto"/>
            <w:vAlign w:val="center"/>
          </w:tcPr>
          <w:p w14:paraId="7ADCEB5D" w14:textId="1A6BC2DE" w:rsidR="00F03FA1" w:rsidRPr="000C06A7" w:rsidRDefault="00F03FA1" w:rsidP="00F03FA1">
            <w:pPr>
              <w:spacing w:after="0"/>
              <w:jc w:val="right"/>
              <w:rPr>
                <w:rFonts w:ascii="Arial" w:hAnsi="Arial" w:cs="Arial"/>
              </w:rPr>
            </w:pPr>
            <w:r w:rsidRPr="000C06A7">
              <w:rPr>
                <w:rFonts w:ascii="Arial" w:hAnsi="Arial" w:cs="Arial"/>
              </w:rPr>
              <w:t>0</w:t>
            </w:r>
          </w:p>
        </w:tc>
        <w:tc>
          <w:tcPr>
            <w:tcW w:w="1500" w:type="dxa"/>
            <w:tcBorders>
              <w:top w:val="nil"/>
              <w:left w:val="nil"/>
              <w:bottom w:val="single" w:sz="4" w:space="0" w:color="auto"/>
              <w:right w:val="single" w:sz="4" w:space="0" w:color="auto"/>
            </w:tcBorders>
            <w:shd w:val="clear" w:color="auto" w:fill="auto"/>
            <w:vAlign w:val="center"/>
          </w:tcPr>
          <w:p w14:paraId="083E3A03" w14:textId="331F86E1" w:rsidR="00F03FA1" w:rsidRPr="000C06A7" w:rsidRDefault="00F03FA1" w:rsidP="00F03FA1">
            <w:pPr>
              <w:spacing w:after="0"/>
              <w:jc w:val="right"/>
              <w:rPr>
                <w:rFonts w:ascii="Arial" w:hAnsi="Arial" w:cs="Arial"/>
              </w:rPr>
            </w:pPr>
            <w:r w:rsidRPr="000C06A7">
              <w:rPr>
                <w:rFonts w:ascii="Arial" w:hAnsi="Arial" w:cs="Arial"/>
              </w:rPr>
              <w:t>0</w:t>
            </w:r>
          </w:p>
        </w:tc>
        <w:tc>
          <w:tcPr>
            <w:tcW w:w="1170" w:type="dxa"/>
            <w:tcBorders>
              <w:top w:val="nil"/>
              <w:left w:val="single" w:sz="4" w:space="0" w:color="auto"/>
              <w:bottom w:val="single" w:sz="4" w:space="0" w:color="auto"/>
              <w:right w:val="single" w:sz="4" w:space="0" w:color="auto"/>
            </w:tcBorders>
            <w:shd w:val="clear" w:color="auto" w:fill="auto"/>
            <w:vAlign w:val="center"/>
          </w:tcPr>
          <w:p w14:paraId="56444168" w14:textId="5B864379" w:rsidR="00F03FA1" w:rsidRPr="000C06A7" w:rsidRDefault="00F03FA1" w:rsidP="00F03FA1">
            <w:pPr>
              <w:spacing w:after="0"/>
              <w:jc w:val="right"/>
              <w:rPr>
                <w:rFonts w:ascii="Arial" w:hAnsi="Arial" w:cs="Arial"/>
              </w:rPr>
            </w:pPr>
            <w:r w:rsidRPr="000C06A7">
              <w:rPr>
                <w:rFonts w:ascii="Arial" w:hAnsi="Arial" w:cs="Arial"/>
              </w:rPr>
              <w:t>0</w:t>
            </w:r>
          </w:p>
        </w:tc>
      </w:tr>
      <w:tr w:rsidR="00080DCE" w:rsidRPr="00B568F3" w14:paraId="34A527B7"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vAlign w:val="center"/>
            <w:hideMark/>
          </w:tcPr>
          <w:p w14:paraId="4CCBD2D2" w14:textId="77777777" w:rsidR="00F03FA1" w:rsidRPr="000C06A7" w:rsidRDefault="00F03FA1" w:rsidP="00F03FA1">
            <w:pPr>
              <w:spacing w:after="0"/>
              <w:rPr>
                <w:rFonts w:ascii="Arial" w:hAnsi="Arial" w:cs="Arial"/>
              </w:rPr>
            </w:pPr>
            <w:r w:rsidRPr="000C06A7">
              <w:rPr>
                <w:rFonts w:ascii="Arial" w:hAnsi="Arial" w:cs="Arial"/>
              </w:rPr>
              <w:t>Senior Practice in Social Work</w:t>
            </w:r>
          </w:p>
        </w:tc>
        <w:tc>
          <w:tcPr>
            <w:tcW w:w="1361" w:type="dxa"/>
            <w:tcBorders>
              <w:top w:val="single" w:sz="4" w:space="0" w:color="auto"/>
              <w:left w:val="nil"/>
              <w:bottom w:val="single" w:sz="4" w:space="0" w:color="auto"/>
              <w:right w:val="single" w:sz="4" w:space="0" w:color="auto"/>
            </w:tcBorders>
            <w:shd w:val="clear" w:color="auto" w:fill="auto"/>
            <w:vAlign w:val="center"/>
          </w:tcPr>
          <w:p w14:paraId="4263965C" w14:textId="48D75BB6" w:rsidR="00F03FA1" w:rsidRPr="000C06A7" w:rsidRDefault="00F03FA1" w:rsidP="00F03FA1">
            <w:pPr>
              <w:spacing w:after="0"/>
              <w:jc w:val="right"/>
              <w:rPr>
                <w:rFonts w:ascii="Arial" w:hAnsi="Arial" w:cs="Arial"/>
              </w:rPr>
            </w:pPr>
            <w:r w:rsidRPr="000C06A7">
              <w:rPr>
                <w:rFonts w:ascii="Arial" w:hAnsi="Arial" w:cs="Arial"/>
              </w:rPr>
              <w:t>1</w:t>
            </w:r>
          </w:p>
        </w:tc>
        <w:tc>
          <w:tcPr>
            <w:tcW w:w="1170" w:type="dxa"/>
            <w:tcBorders>
              <w:top w:val="single" w:sz="4" w:space="0" w:color="auto"/>
              <w:left w:val="nil"/>
              <w:bottom w:val="single" w:sz="4" w:space="0" w:color="auto"/>
              <w:right w:val="single" w:sz="4" w:space="0" w:color="auto"/>
            </w:tcBorders>
            <w:shd w:val="clear" w:color="auto" w:fill="auto"/>
            <w:vAlign w:val="center"/>
          </w:tcPr>
          <w:p w14:paraId="018C199F" w14:textId="08E63E65" w:rsidR="00F03FA1" w:rsidRPr="000C06A7" w:rsidRDefault="00F03FA1" w:rsidP="00F03FA1">
            <w:pPr>
              <w:spacing w:after="0"/>
              <w:jc w:val="right"/>
              <w:rPr>
                <w:rFonts w:ascii="Arial" w:hAnsi="Arial" w:cs="Arial"/>
              </w:rPr>
            </w:pPr>
            <w:r w:rsidRPr="000C06A7">
              <w:rPr>
                <w:rFonts w:ascii="Arial" w:hAnsi="Arial" w:cs="Arial"/>
              </w:rPr>
              <w:t>0</w:t>
            </w:r>
          </w:p>
        </w:tc>
        <w:tc>
          <w:tcPr>
            <w:tcW w:w="1231" w:type="dxa"/>
            <w:tcBorders>
              <w:top w:val="single" w:sz="4" w:space="0" w:color="auto"/>
              <w:left w:val="nil"/>
              <w:bottom w:val="single" w:sz="4" w:space="0" w:color="auto"/>
              <w:right w:val="single" w:sz="4" w:space="0" w:color="auto"/>
            </w:tcBorders>
            <w:shd w:val="clear" w:color="auto" w:fill="auto"/>
            <w:vAlign w:val="center"/>
          </w:tcPr>
          <w:p w14:paraId="76BFA633" w14:textId="03F4640A" w:rsidR="00F03FA1" w:rsidRPr="000C06A7" w:rsidRDefault="00F03FA1" w:rsidP="00F03FA1">
            <w:pPr>
              <w:spacing w:after="0"/>
              <w:jc w:val="right"/>
              <w:rPr>
                <w:rFonts w:ascii="Arial" w:hAnsi="Arial" w:cs="Arial"/>
              </w:rPr>
            </w:pPr>
            <w:r w:rsidRPr="000C06A7">
              <w:rPr>
                <w:rFonts w:ascii="Arial" w:hAnsi="Arial" w:cs="Arial"/>
              </w:rPr>
              <w:t>1</w:t>
            </w:r>
          </w:p>
        </w:tc>
        <w:tc>
          <w:tcPr>
            <w:tcW w:w="1500" w:type="dxa"/>
            <w:tcBorders>
              <w:top w:val="single" w:sz="4" w:space="0" w:color="auto"/>
              <w:left w:val="nil"/>
              <w:bottom w:val="single" w:sz="4" w:space="0" w:color="auto"/>
              <w:right w:val="single" w:sz="4" w:space="0" w:color="auto"/>
            </w:tcBorders>
            <w:shd w:val="clear" w:color="auto" w:fill="auto"/>
            <w:vAlign w:val="center"/>
          </w:tcPr>
          <w:p w14:paraId="3157F0A2" w14:textId="51AE81B7" w:rsidR="00F03FA1" w:rsidRPr="000C06A7" w:rsidRDefault="00F03FA1" w:rsidP="00F03FA1">
            <w:pPr>
              <w:spacing w:after="0"/>
              <w:jc w:val="right"/>
              <w:rPr>
                <w:rFonts w:ascii="Arial" w:hAnsi="Arial" w:cs="Arial"/>
              </w:rPr>
            </w:pPr>
            <w:r w:rsidRPr="000C06A7">
              <w:rPr>
                <w:rFonts w:ascii="Arial" w:hAnsi="Arial" w:cs="Arial"/>
              </w:rPr>
              <w:t>0</w:t>
            </w:r>
          </w:p>
        </w:tc>
        <w:tc>
          <w:tcPr>
            <w:tcW w:w="1170" w:type="dxa"/>
            <w:tcBorders>
              <w:top w:val="nil"/>
              <w:left w:val="nil"/>
              <w:bottom w:val="single" w:sz="4" w:space="0" w:color="auto"/>
              <w:right w:val="single" w:sz="4" w:space="0" w:color="auto"/>
            </w:tcBorders>
            <w:shd w:val="clear" w:color="auto" w:fill="auto"/>
            <w:vAlign w:val="center"/>
          </w:tcPr>
          <w:p w14:paraId="15B750D8" w14:textId="2EB31828" w:rsidR="00F03FA1" w:rsidRPr="000C06A7" w:rsidRDefault="00F03FA1" w:rsidP="00F03FA1">
            <w:pPr>
              <w:spacing w:after="0"/>
              <w:jc w:val="right"/>
              <w:rPr>
                <w:rFonts w:ascii="Arial" w:hAnsi="Arial" w:cs="Arial"/>
              </w:rPr>
            </w:pPr>
            <w:r w:rsidRPr="000C06A7">
              <w:rPr>
                <w:rFonts w:ascii="Arial" w:hAnsi="Arial" w:cs="Arial"/>
              </w:rPr>
              <w:t>0</w:t>
            </w:r>
          </w:p>
        </w:tc>
      </w:tr>
      <w:tr w:rsidR="00080DCE" w:rsidRPr="00B568F3" w14:paraId="6FAF8734"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vAlign w:val="center"/>
            <w:hideMark/>
          </w:tcPr>
          <w:p w14:paraId="3EF168A1" w14:textId="77777777" w:rsidR="00F03FA1" w:rsidRPr="000C06A7" w:rsidRDefault="00F03FA1" w:rsidP="00F03FA1">
            <w:pPr>
              <w:spacing w:after="0"/>
              <w:rPr>
                <w:rFonts w:ascii="Arial" w:hAnsi="Arial" w:cs="Arial"/>
              </w:rPr>
            </w:pPr>
            <w:r w:rsidRPr="000C06A7">
              <w:rPr>
                <w:rFonts w:ascii="Arial" w:hAnsi="Arial" w:cs="Arial"/>
              </w:rPr>
              <w:t>Consultant Social Work</w:t>
            </w:r>
          </w:p>
        </w:tc>
        <w:tc>
          <w:tcPr>
            <w:tcW w:w="1361" w:type="dxa"/>
            <w:tcBorders>
              <w:top w:val="nil"/>
              <w:left w:val="nil"/>
              <w:bottom w:val="single" w:sz="4" w:space="0" w:color="auto"/>
              <w:right w:val="single" w:sz="4" w:space="0" w:color="auto"/>
            </w:tcBorders>
            <w:shd w:val="clear" w:color="auto" w:fill="auto"/>
            <w:vAlign w:val="center"/>
          </w:tcPr>
          <w:p w14:paraId="4E47B776" w14:textId="27B285BB" w:rsidR="00F03FA1" w:rsidRPr="000C06A7" w:rsidRDefault="00F03FA1" w:rsidP="00F03FA1">
            <w:pPr>
              <w:spacing w:after="0"/>
              <w:jc w:val="right"/>
              <w:rPr>
                <w:rFonts w:ascii="Arial" w:hAnsi="Arial" w:cs="Arial"/>
              </w:rPr>
            </w:pPr>
            <w:r w:rsidRPr="000C06A7">
              <w:rPr>
                <w:rFonts w:ascii="Arial" w:hAnsi="Arial" w:cs="Arial"/>
              </w:rPr>
              <w:t>0</w:t>
            </w:r>
          </w:p>
        </w:tc>
        <w:tc>
          <w:tcPr>
            <w:tcW w:w="1170" w:type="dxa"/>
            <w:tcBorders>
              <w:top w:val="nil"/>
              <w:left w:val="nil"/>
              <w:bottom w:val="single" w:sz="4" w:space="0" w:color="auto"/>
              <w:right w:val="single" w:sz="4" w:space="0" w:color="auto"/>
            </w:tcBorders>
            <w:shd w:val="clear" w:color="auto" w:fill="auto"/>
            <w:vAlign w:val="center"/>
          </w:tcPr>
          <w:p w14:paraId="305614F1" w14:textId="06C1308D" w:rsidR="00F03FA1" w:rsidRPr="000C06A7" w:rsidRDefault="00F03FA1" w:rsidP="00F03FA1">
            <w:pPr>
              <w:spacing w:after="0"/>
              <w:jc w:val="right"/>
              <w:rPr>
                <w:rFonts w:ascii="Arial" w:hAnsi="Arial" w:cs="Arial"/>
              </w:rPr>
            </w:pPr>
            <w:r w:rsidRPr="000C06A7">
              <w:rPr>
                <w:rFonts w:ascii="Arial" w:hAnsi="Arial" w:cs="Arial"/>
              </w:rPr>
              <w:t>0</w:t>
            </w:r>
          </w:p>
        </w:tc>
        <w:tc>
          <w:tcPr>
            <w:tcW w:w="1231" w:type="dxa"/>
            <w:tcBorders>
              <w:top w:val="nil"/>
              <w:left w:val="nil"/>
              <w:bottom w:val="single" w:sz="4" w:space="0" w:color="auto"/>
              <w:right w:val="single" w:sz="4" w:space="0" w:color="auto"/>
            </w:tcBorders>
            <w:shd w:val="clear" w:color="auto" w:fill="auto"/>
            <w:vAlign w:val="center"/>
          </w:tcPr>
          <w:p w14:paraId="716E2AAE" w14:textId="3C704DFD" w:rsidR="00F03FA1" w:rsidRPr="000C06A7" w:rsidRDefault="00F03FA1" w:rsidP="00F03FA1">
            <w:pPr>
              <w:spacing w:after="0"/>
              <w:jc w:val="right"/>
              <w:rPr>
                <w:rFonts w:ascii="Arial" w:hAnsi="Arial" w:cs="Arial"/>
              </w:rPr>
            </w:pPr>
            <w:r w:rsidRPr="000C06A7">
              <w:rPr>
                <w:rFonts w:ascii="Arial" w:hAnsi="Arial" w:cs="Arial"/>
              </w:rPr>
              <w:t>0</w:t>
            </w:r>
          </w:p>
        </w:tc>
        <w:tc>
          <w:tcPr>
            <w:tcW w:w="1500" w:type="dxa"/>
            <w:tcBorders>
              <w:top w:val="nil"/>
              <w:left w:val="nil"/>
              <w:bottom w:val="single" w:sz="4" w:space="0" w:color="auto"/>
              <w:right w:val="single" w:sz="4" w:space="0" w:color="auto"/>
            </w:tcBorders>
            <w:shd w:val="clear" w:color="auto" w:fill="auto"/>
            <w:vAlign w:val="center"/>
          </w:tcPr>
          <w:p w14:paraId="2A6839D7" w14:textId="3B6CC8AA" w:rsidR="00F03FA1" w:rsidRPr="000C06A7" w:rsidRDefault="00F03FA1" w:rsidP="00F03FA1">
            <w:pPr>
              <w:spacing w:after="0"/>
              <w:jc w:val="right"/>
              <w:rPr>
                <w:rFonts w:ascii="Arial" w:hAnsi="Arial" w:cs="Arial"/>
              </w:rPr>
            </w:pPr>
            <w:r w:rsidRPr="000C06A7">
              <w:rPr>
                <w:rFonts w:ascii="Arial" w:hAnsi="Arial" w:cs="Arial"/>
              </w:rPr>
              <w:t>0</w:t>
            </w:r>
          </w:p>
        </w:tc>
        <w:tc>
          <w:tcPr>
            <w:tcW w:w="1170" w:type="dxa"/>
            <w:tcBorders>
              <w:top w:val="nil"/>
              <w:left w:val="nil"/>
              <w:bottom w:val="single" w:sz="4" w:space="0" w:color="auto"/>
              <w:right w:val="single" w:sz="4" w:space="0" w:color="auto"/>
            </w:tcBorders>
            <w:shd w:val="clear" w:color="auto" w:fill="auto"/>
            <w:vAlign w:val="center"/>
          </w:tcPr>
          <w:p w14:paraId="7B7FC4D8" w14:textId="575AEEDC" w:rsidR="00F03FA1" w:rsidRPr="000C06A7" w:rsidRDefault="00F03FA1" w:rsidP="00F03FA1">
            <w:pPr>
              <w:spacing w:after="0"/>
              <w:jc w:val="right"/>
              <w:rPr>
                <w:rFonts w:ascii="Arial" w:hAnsi="Arial" w:cs="Arial"/>
              </w:rPr>
            </w:pPr>
            <w:r w:rsidRPr="000C06A7">
              <w:rPr>
                <w:rFonts w:ascii="Arial" w:hAnsi="Arial" w:cs="Arial"/>
              </w:rPr>
              <w:t>0</w:t>
            </w:r>
          </w:p>
        </w:tc>
      </w:tr>
      <w:tr w:rsidR="00080DCE" w:rsidRPr="00B568F3" w14:paraId="75CBB37E" w14:textId="77777777" w:rsidTr="00D74872">
        <w:trPr>
          <w:trHeight w:val="600"/>
        </w:trPr>
        <w:tc>
          <w:tcPr>
            <w:tcW w:w="4317" w:type="dxa"/>
            <w:tcBorders>
              <w:top w:val="nil"/>
              <w:left w:val="single" w:sz="4" w:space="0" w:color="auto"/>
              <w:bottom w:val="single" w:sz="4" w:space="0" w:color="auto"/>
              <w:right w:val="single" w:sz="4" w:space="0" w:color="auto"/>
            </w:tcBorders>
            <w:shd w:val="clear" w:color="auto" w:fill="auto"/>
            <w:vAlign w:val="center"/>
            <w:hideMark/>
          </w:tcPr>
          <w:p w14:paraId="355E083E" w14:textId="77777777" w:rsidR="00111117" w:rsidRPr="000C06A7" w:rsidRDefault="00F03FA1" w:rsidP="00F03FA1">
            <w:pPr>
              <w:spacing w:after="0"/>
              <w:rPr>
                <w:rFonts w:ascii="Arial" w:hAnsi="Arial" w:cs="Arial"/>
              </w:rPr>
            </w:pPr>
            <w:r w:rsidRPr="000C06A7">
              <w:rPr>
                <w:rFonts w:ascii="Arial" w:hAnsi="Arial" w:cs="Arial"/>
              </w:rPr>
              <w:t xml:space="preserve">Enabling Practice 6/7 </w:t>
            </w:r>
          </w:p>
          <w:p w14:paraId="3BE2D618" w14:textId="4C67636C" w:rsidR="00F03FA1" w:rsidRPr="000C06A7" w:rsidRDefault="00F03FA1" w:rsidP="00F03FA1">
            <w:pPr>
              <w:spacing w:after="0"/>
              <w:rPr>
                <w:rFonts w:ascii="Arial" w:hAnsi="Arial" w:cs="Arial"/>
              </w:rPr>
            </w:pPr>
            <w:r w:rsidRPr="000C06A7">
              <w:rPr>
                <w:rFonts w:ascii="Arial" w:hAnsi="Arial" w:cs="Arial"/>
              </w:rPr>
              <w:t>(Practice Assessor Awards)</w:t>
            </w:r>
          </w:p>
        </w:tc>
        <w:tc>
          <w:tcPr>
            <w:tcW w:w="1361" w:type="dxa"/>
            <w:tcBorders>
              <w:top w:val="nil"/>
              <w:left w:val="single" w:sz="4" w:space="0" w:color="auto"/>
              <w:bottom w:val="single" w:sz="4" w:space="0" w:color="auto"/>
              <w:right w:val="single" w:sz="4" w:space="0" w:color="auto"/>
            </w:tcBorders>
            <w:shd w:val="clear" w:color="auto" w:fill="auto"/>
            <w:vAlign w:val="center"/>
          </w:tcPr>
          <w:p w14:paraId="083C2878" w14:textId="5691148D" w:rsidR="00F03FA1" w:rsidRPr="000C06A7" w:rsidRDefault="00F03FA1" w:rsidP="00F03FA1">
            <w:pPr>
              <w:spacing w:after="0"/>
              <w:jc w:val="right"/>
              <w:rPr>
                <w:rFonts w:ascii="Arial" w:hAnsi="Arial" w:cs="Arial"/>
              </w:rPr>
            </w:pPr>
            <w:r w:rsidRPr="000C06A7">
              <w:rPr>
                <w:rFonts w:ascii="Arial" w:hAnsi="Arial" w:cs="Arial"/>
              </w:rPr>
              <w:t>157</w:t>
            </w:r>
          </w:p>
        </w:tc>
        <w:tc>
          <w:tcPr>
            <w:tcW w:w="1170" w:type="dxa"/>
            <w:tcBorders>
              <w:top w:val="nil"/>
              <w:left w:val="nil"/>
              <w:bottom w:val="single" w:sz="4" w:space="0" w:color="auto"/>
              <w:right w:val="single" w:sz="4" w:space="0" w:color="auto"/>
            </w:tcBorders>
            <w:shd w:val="clear" w:color="auto" w:fill="auto"/>
            <w:vAlign w:val="center"/>
          </w:tcPr>
          <w:p w14:paraId="06E93D98" w14:textId="16CE4955" w:rsidR="00F03FA1" w:rsidRPr="000C06A7" w:rsidRDefault="00F03FA1" w:rsidP="00F03FA1">
            <w:pPr>
              <w:spacing w:after="0"/>
              <w:jc w:val="right"/>
              <w:rPr>
                <w:rFonts w:ascii="Arial" w:hAnsi="Arial" w:cs="Arial"/>
              </w:rPr>
            </w:pPr>
            <w:r w:rsidRPr="000C06A7">
              <w:rPr>
                <w:rFonts w:ascii="Arial" w:hAnsi="Arial" w:cs="Arial"/>
              </w:rPr>
              <w:t>159</w:t>
            </w:r>
          </w:p>
        </w:tc>
        <w:tc>
          <w:tcPr>
            <w:tcW w:w="1231" w:type="dxa"/>
            <w:tcBorders>
              <w:top w:val="nil"/>
              <w:left w:val="nil"/>
              <w:bottom w:val="single" w:sz="4" w:space="0" w:color="auto"/>
              <w:right w:val="single" w:sz="4" w:space="0" w:color="auto"/>
            </w:tcBorders>
            <w:shd w:val="clear" w:color="auto" w:fill="auto"/>
            <w:vAlign w:val="center"/>
          </w:tcPr>
          <w:p w14:paraId="3CEC93F6" w14:textId="02DFFFC6" w:rsidR="00F03FA1" w:rsidRPr="000C06A7" w:rsidRDefault="00F03FA1" w:rsidP="00F03FA1">
            <w:pPr>
              <w:spacing w:after="0"/>
              <w:jc w:val="right"/>
              <w:rPr>
                <w:rFonts w:ascii="Arial" w:hAnsi="Arial" w:cs="Arial"/>
              </w:rPr>
            </w:pPr>
            <w:r w:rsidRPr="000C06A7">
              <w:rPr>
                <w:rFonts w:ascii="Arial" w:hAnsi="Arial" w:cs="Arial"/>
              </w:rPr>
              <w:t>107</w:t>
            </w:r>
          </w:p>
        </w:tc>
        <w:tc>
          <w:tcPr>
            <w:tcW w:w="1500" w:type="dxa"/>
            <w:tcBorders>
              <w:top w:val="nil"/>
              <w:left w:val="nil"/>
              <w:bottom w:val="single" w:sz="4" w:space="0" w:color="auto"/>
              <w:right w:val="single" w:sz="4" w:space="0" w:color="auto"/>
            </w:tcBorders>
            <w:shd w:val="clear" w:color="auto" w:fill="auto"/>
            <w:vAlign w:val="center"/>
          </w:tcPr>
          <w:p w14:paraId="5AF5107E" w14:textId="666403C1" w:rsidR="00F03FA1" w:rsidRPr="000C06A7" w:rsidRDefault="00F03FA1" w:rsidP="00F03FA1">
            <w:pPr>
              <w:spacing w:after="0"/>
              <w:jc w:val="right"/>
              <w:rPr>
                <w:rFonts w:ascii="Arial" w:hAnsi="Arial" w:cs="Arial"/>
              </w:rPr>
            </w:pPr>
            <w:r w:rsidRPr="000C06A7">
              <w:rPr>
                <w:rFonts w:ascii="Arial" w:hAnsi="Arial" w:cs="Arial"/>
              </w:rPr>
              <w:t>29</w:t>
            </w:r>
          </w:p>
        </w:tc>
        <w:tc>
          <w:tcPr>
            <w:tcW w:w="1170" w:type="dxa"/>
            <w:tcBorders>
              <w:top w:val="nil"/>
              <w:left w:val="single" w:sz="4" w:space="0" w:color="auto"/>
              <w:bottom w:val="single" w:sz="4" w:space="0" w:color="auto"/>
              <w:right w:val="single" w:sz="4" w:space="0" w:color="auto"/>
            </w:tcBorders>
            <w:shd w:val="clear" w:color="auto" w:fill="auto"/>
            <w:vAlign w:val="center"/>
          </w:tcPr>
          <w:p w14:paraId="0686A099" w14:textId="25F0DF21" w:rsidR="00F03FA1" w:rsidRPr="000C06A7" w:rsidRDefault="00F03FA1" w:rsidP="00F03FA1">
            <w:pPr>
              <w:spacing w:after="0"/>
              <w:jc w:val="right"/>
              <w:rPr>
                <w:rFonts w:ascii="Arial" w:hAnsi="Arial" w:cs="Arial"/>
              </w:rPr>
            </w:pPr>
            <w:r w:rsidRPr="000C06A7">
              <w:rPr>
                <w:rFonts w:ascii="Arial" w:hAnsi="Arial" w:cs="Arial"/>
              </w:rPr>
              <w:t>180</w:t>
            </w:r>
          </w:p>
        </w:tc>
      </w:tr>
      <w:tr w:rsidR="00080DCE" w:rsidRPr="00B568F3" w14:paraId="090BA477"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vAlign w:val="center"/>
            <w:hideMark/>
          </w:tcPr>
          <w:p w14:paraId="22B1E588" w14:textId="77777777" w:rsidR="00F03FA1" w:rsidRPr="000C06A7" w:rsidRDefault="00F03FA1" w:rsidP="00F03FA1">
            <w:pPr>
              <w:spacing w:after="0"/>
              <w:rPr>
                <w:rFonts w:ascii="Arial" w:hAnsi="Arial" w:cs="Arial"/>
              </w:rPr>
            </w:pPr>
            <w:r w:rsidRPr="000C06A7">
              <w:rPr>
                <w:rFonts w:ascii="Arial" w:hAnsi="Arial" w:cs="Arial"/>
              </w:rPr>
              <w:t>Best Interest Assessor</w:t>
            </w:r>
          </w:p>
        </w:tc>
        <w:tc>
          <w:tcPr>
            <w:tcW w:w="1361" w:type="dxa"/>
            <w:tcBorders>
              <w:top w:val="single" w:sz="4" w:space="0" w:color="auto"/>
              <w:left w:val="nil"/>
              <w:bottom w:val="single" w:sz="4" w:space="0" w:color="auto"/>
              <w:right w:val="single" w:sz="4" w:space="0" w:color="auto"/>
            </w:tcBorders>
            <w:shd w:val="clear" w:color="auto" w:fill="auto"/>
            <w:vAlign w:val="center"/>
          </w:tcPr>
          <w:p w14:paraId="1DBF5685" w14:textId="24ACC191" w:rsidR="00F03FA1" w:rsidRPr="000C06A7" w:rsidRDefault="00F03FA1" w:rsidP="00F03FA1">
            <w:pPr>
              <w:spacing w:after="0"/>
              <w:jc w:val="right"/>
              <w:rPr>
                <w:rFonts w:ascii="Arial" w:hAnsi="Arial" w:cs="Arial"/>
              </w:rPr>
            </w:pPr>
            <w:r w:rsidRPr="000C06A7">
              <w:rPr>
                <w:rFonts w:ascii="Arial" w:hAnsi="Arial" w:cs="Arial"/>
              </w:rPr>
              <w:t>38</w:t>
            </w:r>
          </w:p>
        </w:tc>
        <w:tc>
          <w:tcPr>
            <w:tcW w:w="1170" w:type="dxa"/>
            <w:tcBorders>
              <w:top w:val="single" w:sz="4" w:space="0" w:color="auto"/>
              <w:left w:val="nil"/>
              <w:bottom w:val="single" w:sz="4" w:space="0" w:color="auto"/>
              <w:right w:val="single" w:sz="4" w:space="0" w:color="auto"/>
            </w:tcBorders>
            <w:shd w:val="clear" w:color="auto" w:fill="auto"/>
            <w:vAlign w:val="center"/>
          </w:tcPr>
          <w:p w14:paraId="5066E410" w14:textId="128AA395" w:rsidR="00F03FA1" w:rsidRPr="000C06A7" w:rsidRDefault="00F03FA1" w:rsidP="00F03FA1">
            <w:pPr>
              <w:spacing w:after="0"/>
              <w:jc w:val="right"/>
              <w:rPr>
                <w:rFonts w:ascii="Arial" w:hAnsi="Arial" w:cs="Arial"/>
              </w:rPr>
            </w:pPr>
            <w:r w:rsidRPr="000C06A7">
              <w:rPr>
                <w:rFonts w:ascii="Arial" w:hAnsi="Arial" w:cs="Arial"/>
              </w:rPr>
              <w:t>34</w:t>
            </w:r>
          </w:p>
        </w:tc>
        <w:tc>
          <w:tcPr>
            <w:tcW w:w="1231" w:type="dxa"/>
            <w:tcBorders>
              <w:top w:val="single" w:sz="4" w:space="0" w:color="auto"/>
              <w:left w:val="nil"/>
              <w:bottom w:val="single" w:sz="4" w:space="0" w:color="auto"/>
              <w:right w:val="single" w:sz="4" w:space="0" w:color="auto"/>
            </w:tcBorders>
            <w:shd w:val="clear" w:color="auto" w:fill="auto"/>
            <w:vAlign w:val="center"/>
          </w:tcPr>
          <w:p w14:paraId="1648190D" w14:textId="6BB23EAD" w:rsidR="00F03FA1" w:rsidRPr="000C06A7" w:rsidRDefault="00F03FA1" w:rsidP="00F03FA1">
            <w:pPr>
              <w:spacing w:after="0"/>
              <w:jc w:val="right"/>
              <w:rPr>
                <w:rFonts w:ascii="Arial" w:hAnsi="Arial" w:cs="Arial"/>
              </w:rPr>
            </w:pPr>
            <w:r w:rsidRPr="000C06A7">
              <w:rPr>
                <w:rFonts w:ascii="Arial" w:hAnsi="Arial" w:cs="Arial"/>
              </w:rPr>
              <w:t>21</w:t>
            </w:r>
          </w:p>
        </w:tc>
        <w:tc>
          <w:tcPr>
            <w:tcW w:w="1500" w:type="dxa"/>
            <w:tcBorders>
              <w:top w:val="single" w:sz="4" w:space="0" w:color="auto"/>
              <w:left w:val="nil"/>
              <w:bottom w:val="single" w:sz="4" w:space="0" w:color="auto"/>
              <w:right w:val="single" w:sz="4" w:space="0" w:color="auto"/>
            </w:tcBorders>
            <w:shd w:val="clear" w:color="auto" w:fill="auto"/>
            <w:vAlign w:val="center"/>
          </w:tcPr>
          <w:p w14:paraId="66F5B607" w14:textId="301B71DA" w:rsidR="00F03FA1" w:rsidRPr="000C06A7" w:rsidRDefault="00F03FA1" w:rsidP="00F03FA1">
            <w:pPr>
              <w:spacing w:after="0"/>
              <w:jc w:val="right"/>
              <w:rPr>
                <w:rFonts w:ascii="Arial" w:hAnsi="Arial" w:cs="Arial"/>
              </w:rPr>
            </w:pPr>
            <w:r w:rsidRPr="000C06A7">
              <w:rPr>
                <w:rFonts w:ascii="Arial" w:hAnsi="Arial" w:cs="Arial"/>
              </w:rPr>
              <w:t>4</w:t>
            </w:r>
          </w:p>
        </w:tc>
        <w:tc>
          <w:tcPr>
            <w:tcW w:w="1170" w:type="dxa"/>
            <w:tcBorders>
              <w:top w:val="nil"/>
              <w:left w:val="nil"/>
              <w:bottom w:val="single" w:sz="4" w:space="0" w:color="auto"/>
              <w:right w:val="single" w:sz="4" w:space="0" w:color="auto"/>
            </w:tcBorders>
            <w:shd w:val="clear" w:color="auto" w:fill="auto"/>
            <w:vAlign w:val="center"/>
          </w:tcPr>
          <w:p w14:paraId="7B550E1F" w14:textId="27EB8D8A" w:rsidR="00F03FA1" w:rsidRPr="000C06A7" w:rsidRDefault="00F03FA1" w:rsidP="00F03FA1">
            <w:pPr>
              <w:spacing w:after="0"/>
              <w:jc w:val="right"/>
              <w:rPr>
                <w:rFonts w:ascii="Arial" w:hAnsi="Arial" w:cs="Arial"/>
              </w:rPr>
            </w:pPr>
            <w:r w:rsidRPr="000C06A7">
              <w:rPr>
                <w:rFonts w:ascii="Arial" w:hAnsi="Arial" w:cs="Arial"/>
              </w:rPr>
              <w:t>47</w:t>
            </w:r>
          </w:p>
        </w:tc>
      </w:tr>
      <w:tr w:rsidR="00080DCE" w:rsidRPr="00B568F3" w14:paraId="7D73E7C5"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vAlign w:val="center"/>
            <w:hideMark/>
          </w:tcPr>
          <w:p w14:paraId="1EB11D9C" w14:textId="77777777" w:rsidR="00F03FA1" w:rsidRPr="000C06A7" w:rsidRDefault="00F03FA1" w:rsidP="00F03FA1">
            <w:pPr>
              <w:spacing w:after="0"/>
              <w:rPr>
                <w:rFonts w:ascii="Arial" w:hAnsi="Arial" w:cs="Arial"/>
              </w:rPr>
            </w:pPr>
            <w:r w:rsidRPr="000C06A7">
              <w:rPr>
                <w:rFonts w:ascii="Arial" w:hAnsi="Arial" w:cs="Arial"/>
              </w:rPr>
              <w:t>Approved Mental Health Practitioner</w:t>
            </w:r>
          </w:p>
        </w:tc>
        <w:tc>
          <w:tcPr>
            <w:tcW w:w="1361" w:type="dxa"/>
            <w:tcBorders>
              <w:top w:val="nil"/>
              <w:left w:val="nil"/>
              <w:bottom w:val="single" w:sz="4" w:space="0" w:color="auto"/>
              <w:right w:val="single" w:sz="4" w:space="0" w:color="auto"/>
            </w:tcBorders>
            <w:shd w:val="clear" w:color="auto" w:fill="auto"/>
            <w:vAlign w:val="center"/>
          </w:tcPr>
          <w:p w14:paraId="0BC99BE1" w14:textId="12A1BCB4" w:rsidR="00F03FA1" w:rsidRPr="000C06A7" w:rsidRDefault="00F03FA1" w:rsidP="00F03FA1">
            <w:pPr>
              <w:spacing w:after="0"/>
              <w:jc w:val="right"/>
              <w:rPr>
                <w:rFonts w:ascii="Arial" w:hAnsi="Arial" w:cs="Arial"/>
              </w:rPr>
            </w:pPr>
            <w:r w:rsidRPr="000C06A7">
              <w:rPr>
                <w:rFonts w:ascii="Arial" w:hAnsi="Arial" w:cs="Arial"/>
              </w:rPr>
              <w:t>31</w:t>
            </w:r>
          </w:p>
        </w:tc>
        <w:tc>
          <w:tcPr>
            <w:tcW w:w="1170" w:type="dxa"/>
            <w:tcBorders>
              <w:top w:val="nil"/>
              <w:left w:val="nil"/>
              <w:bottom w:val="single" w:sz="4" w:space="0" w:color="auto"/>
              <w:right w:val="single" w:sz="4" w:space="0" w:color="auto"/>
            </w:tcBorders>
            <w:shd w:val="clear" w:color="auto" w:fill="auto"/>
            <w:vAlign w:val="center"/>
          </w:tcPr>
          <w:p w14:paraId="506DAEAD" w14:textId="61D10980" w:rsidR="00F03FA1" w:rsidRPr="000C06A7" w:rsidRDefault="00F03FA1" w:rsidP="00F03FA1">
            <w:pPr>
              <w:spacing w:after="0"/>
              <w:jc w:val="right"/>
              <w:rPr>
                <w:rFonts w:ascii="Arial" w:hAnsi="Arial" w:cs="Arial"/>
              </w:rPr>
            </w:pPr>
            <w:r w:rsidRPr="000C06A7">
              <w:rPr>
                <w:rFonts w:ascii="Arial" w:hAnsi="Arial" w:cs="Arial"/>
              </w:rPr>
              <w:t>29</w:t>
            </w:r>
          </w:p>
        </w:tc>
        <w:tc>
          <w:tcPr>
            <w:tcW w:w="1231" w:type="dxa"/>
            <w:tcBorders>
              <w:top w:val="nil"/>
              <w:left w:val="nil"/>
              <w:bottom w:val="single" w:sz="4" w:space="0" w:color="auto"/>
              <w:right w:val="single" w:sz="4" w:space="0" w:color="auto"/>
            </w:tcBorders>
            <w:shd w:val="clear" w:color="auto" w:fill="auto"/>
            <w:vAlign w:val="center"/>
          </w:tcPr>
          <w:p w14:paraId="1AD2F592" w14:textId="2B66519D" w:rsidR="00F03FA1" w:rsidRPr="000C06A7" w:rsidRDefault="00F03FA1" w:rsidP="00F03FA1">
            <w:pPr>
              <w:spacing w:after="0"/>
              <w:jc w:val="right"/>
              <w:rPr>
                <w:rFonts w:ascii="Arial" w:hAnsi="Arial" w:cs="Arial"/>
              </w:rPr>
            </w:pPr>
            <w:r w:rsidRPr="000C06A7">
              <w:rPr>
                <w:rFonts w:ascii="Arial" w:hAnsi="Arial" w:cs="Arial"/>
              </w:rPr>
              <w:t>26</w:t>
            </w:r>
          </w:p>
        </w:tc>
        <w:tc>
          <w:tcPr>
            <w:tcW w:w="1500" w:type="dxa"/>
            <w:tcBorders>
              <w:top w:val="nil"/>
              <w:left w:val="nil"/>
              <w:bottom w:val="single" w:sz="4" w:space="0" w:color="auto"/>
              <w:right w:val="single" w:sz="4" w:space="0" w:color="auto"/>
            </w:tcBorders>
            <w:shd w:val="clear" w:color="auto" w:fill="auto"/>
            <w:vAlign w:val="center"/>
          </w:tcPr>
          <w:p w14:paraId="2A23A9E6" w14:textId="0F55ACE9" w:rsidR="00F03FA1" w:rsidRPr="000C06A7" w:rsidRDefault="00F03FA1" w:rsidP="00F03FA1">
            <w:pPr>
              <w:spacing w:after="0"/>
              <w:jc w:val="right"/>
              <w:rPr>
                <w:rFonts w:ascii="Arial" w:hAnsi="Arial" w:cs="Arial"/>
              </w:rPr>
            </w:pPr>
            <w:r w:rsidRPr="000C06A7">
              <w:rPr>
                <w:rFonts w:ascii="Arial" w:hAnsi="Arial" w:cs="Arial"/>
              </w:rPr>
              <w:t>2</w:t>
            </w:r>
          </w:p>
        </w:tc>
        <w:tc>
          <w:tcPr>
            <w:tcW w:w="1170" w:type="dxa"/>
            <w:tcBorders>
              <w:top w:val="nil"/>
              <w:left w:val="nil"/>
              <w:bottom w:val="single" w:sz="4" w:space="0" w:color="auto"/>
              <w:right w:val="single" w:sz="4" w:space="0" w:color="auto"/>
            </w:tcBorders>
            <w:shd w:val="clear" w:color="auto" w:fill="auto"/>
            <w:vAlign w:val="center"/>
          </w:tcPr>
          <w:p w14:paraId="35399773" w14:textId="64D714F3" w:rsidR="00F03FA1" w:rsidRPr="000C06A7" w:rsidRDefault="00F03FA1" w:rsidP="00F03FA1">
            <w:pPr>
              <w:spacing w:after="0"/>
              <w:jc w:val="right"/>
              <w:rPr>
                <w:rFonts w:ascii="Arial" w:hAnsi="Arial" w:cs="Arial"/>
              </w:rPr>
            </w:pPr>
            <w:r w:rsidRPr="000C06A7">
              <w:rPr>
                <w:rFonts w:ascii="Arial" w:hAnsi="Arial" w:cs="Arial"/>
              </w:rPr>
              <w:t>32</w:t>
            </w:r>
          </w:p>
        </w:tc>
      </w:tr>
      <w:tr w:rsidR="00080DCE" w:rsidRPr="00B568F3" w14:paraId="6F79F783"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vAlign w:val="center"/>
            <w:hideMark/>
          </w:tcPr>
          <w:p w14:paraId="628F7E54" w14:textId="77777777" w:rsidR="00F03FA1" w:rsidRPr="000C06A7" w:rsidRDefault="00F03FA1" w:rsidP="00F03FA1">
            <w:pPr>
              <w:spacing w:after="0"/>
              <w:rPr>
                <w:rFonts w:ascii="Arial" w:hAnsi="Arial" w:cs="Arial"/>
              </w:rPr>
            </w:pPr>
            <w:r w:rsidRPr="000C06A7">
              <w:rPr>
                <w:rFonts w:ascii="Arial" w:hAnsi="Arial" w:cs="Arial"/>
              </w:rPr>
              <w:t>Team Manager Development Programme</w:t>
            </w:r>
          </w:p>
        </w:tc>
        <w:tc>
          <w:tcPr>
            <w:tcW w:w="1361" w:type="dxa"/>
            <w:tcBorders>
              <w:top w:val="nil"/>
              <w:left w:val="single" w:sz="4" w:space="0" w:color="auto"/>
              <w:bottom w:val="single" w:sz="4" w:space="0" w:color="auto"/>
              <w:right w:val="single" w:sz="4" w:space="0" w:color="auto"/>
            </w:tcBorders>
            <w:shd w:val="clear" w:color="auto" w:fill="auto"/>
            <w:vAlign w:val="center"/>
          </w:tcPr>
          <w:p w14:paraId="35EE4FD5" w14:textId="2A4B91DC" w:rsidR="00F03FA1" w:rsidRPr="000C06A7" w:rsidRDefault="00F03FA1" w:rsidP="00F03FA1">
            <w:pPr>
              <w:spacing w:after="0"/>
              <w:jc w:val="right"/>
              <w:rPr>
                <w:rFonts w:ascii="Arial" w:hAnsi="Arial" w:cs="Arial"/>
              </w:rPr>
            </w:pPr>
            <w:r w:rsidRPr="000C06A7">
              <w:rPr>
                <w:rFonts w:ascii="Arial" w:hAnsi="Arial" w:cs="Arial"/>
              </w:rPr>
              <w:t>39</w:t>
            </w:r>
          </w:p>
        </w:tc>
        <w:tc>
          <w:tcPr>
            <w:tcW w:w="1170" w:type="dxa"/>
            <w:tcBorders>
              <w:top w:val="nil"/>
              <w:left w:val="nil"/>
              <w:bottom w:val="single" w:sz="4" w:space="0" w:color="auto"/>
              <w:right w:val="single" w:sz="4" w:space="0" w:color="auto"/>
            </w:tcBorders>
            <w:shd w:val="clear" w:color="auto" w:fill="auto"/>
            <w:vAlign w:val="center"/>
          </w:tcPr>
          <w:p w14:paraId="127966C3" w14:textId="302767C2" w:rsidR="00F03FA1" w:rsidRPr="000C06A7" w:rsidRDefault="00F03FA1" w:rsidP="00F03FA1">
            <w:pPr>
              <w:spacing w:after="0"/>
              <w:jc w:val="right"/>
              <w:rPr>
                <w:rFonts w:ascii="Arial" w:hAnsi="Arial" w:cs="Arial"/>
              </w:rPr>
            </w:pPr>
            <w:r w:rsidRPr="000C06A7">
              <w:rPr>
                <w:rFonts w:ascii="Arial" w:hAnsi="Arial" w:cs="Arial"/>
              </w:rPr>
              <w:t>25</w:t>
            </w:r>
          </w:p>
        </w:tc>
        <w:tc>
          <w:tcPr>
            <w:tcW w:w="1231" w:type="dxa"/>
            <w:tcBorders>
              <w:top w:val="nil"/>
              <w:left w:val="nil"/>
              <w:bottom w:val="single" w:sz="4" w:space="0" w:color="auto"/>
              <w:right w:val="single" w:sz="4" w:space="0" w:color="auto"/>
            </w:tcBorders>
            <w:shd w:val="clear" w:color="auto" w:fill="auto"/>
            <w:vAlign w:val="center"/>
          </w:tcPr>
          <w:p w14:paraId="56680C26" w14:textId="72C45836" w:rsidR="00F03FA1" w:rsidRPr="000C06A7" w:rsidRDefault="00F03FA1" w:rsidP="00F03FA1">
            <w:pPr>
              <w:spacing w:after="0"/>
              <w:jc w:val="right"/>
              <w:rPr>
                <w:rFonts w:ascii="Arial" w:hAnsi="Arial" w:cs="Arial"/>
              </w:rPr>
            </w:pPr>
            <w:r w:rsidRPr="000C06A7">
              <w:rPr>
                <w:rFonts w:ascii="Arial" w:hAnsi="Arial" w:cs="Arial"/>
              </w:rPr>
              <w:t>18</w:t>
            </w:r>
          </w:p>
        </w:tc>
        <w:tc>
          <w:tcPr>
            <w:tcW w:w="1500" w:type="dxa"/>
            <w:tcBorders>
              <w:top w:val="nil"/>
              <w:left w:val="nil"/>
              <w:bottom w:val="single" w:sz="4" w:space="0" w:color="auto"/>
              <w:right w:val="single" w:sz="4" w:space="0" w:color="auto"/>
            </w:tcBorders>
            <w:shd w:val="clear" w:color="auto" w:fill="auto"/>
            <w:vAlign w:val="center"/>
          </w:tcPr>
          <w:p w14:paraId="70A6E851" w14:textId="71790E8B" w:rsidR="00F03FA1" w:rsidRPr="000C06A7" w:rsidRDefault="00F03FA1" w:rsidP="00F03FA1">
            <w:pPr>
              <w:spacing w:after="0"/>
              <w:jc w:val="right"/>
              <w:rPr>
                <w:rFonts w:ascii="Arial" w:hAnsi="Arial" w:cs="Arial"/>
              </w:rPr>
            </w:pPr>
            <w:r w:rsidRPr="000C06A7">
              <w:rPr>
                <w:rFonts w:ascii="Arial" w:hAnsi="Arial" w:cs="Arial"/>
              </w:rPr>
              <w:t>5</w:t>
            </w:r>
          </w:p>
        </w:tc>
        <w:tc>
          <w:tcPr>
            <w:tcW w:w="1170" w:type="dxa"/>
            <w:tcBorders>
              <w:top w:val="nil"/>
              <w:left w:val="single" w:sz="4" w:space="0" w:color="auto"/>
              <w:bottom w:val="single" w:sz="4" w:space="0" w:color="auto"/>
              <w:right w:val="single" w:sz="4" w:space="0" w:color="auto"/>
            </w:tcBorders>
            <w:shd w:val="clear" w:color="auto" w:fill="auto"/>
            <w:vAlign w:val="center"/>
          </w:tcPr>
          <w:p w14:paraId="4E2B5573" w14:textId="4C2FDF4F" w:rsidR="00F03FA1" w:rsidRPr="000C06A7" w:rsidRDefault="00F03FA1" w:rsidP="00F03FA1">
            <w:pPr>
              <w:spacing w:after="0"/>
              <w:jc w:val="right"/>
              <w:rPr>
                <w:rFonts w:ascii="Arial" w:hAnsi="Arial" w:cs="Arial"/>
              </w:rPr>
            </w:pPr>
            <w:r w:rsidRPr="000C06A7">
              <w:rPr>
                <w:rFonts w:ascii="Arial" w:hAnsi="Arial" w:cs="Arial"/>
              </w:rPr>
              <w:t>41</w:t>
            </w:r>
          </w:p>
        </w:tc>
      </w:tr>
      <w:tr w:rsidR="00080DCE" w:rsidRPr="00B568F3" w14:paraId="5494CB42" w14:textId="77777777" w:rsidTr="00D74872">
        <w:trPr>
          <w:trHeight w:val="300"/>
        </w:trPr>
        <w:tc>
          <w:tcPr>
            <w:tcW w:w="4317" w:type="dxa"/>
            <w:tcBorders>
              <w:top w:val="nil"/>
              <w:left w:val="single" w:sz="4" w:space="0" w:color="auto"/>
              <w:bottom w:val="single" w:sz="4" w:space="0" w:color="auto"/>
              <w:right w:val="single" w:sz="4" w:space="0" w:color="auto"/>
            </w:tcBorders>
            <w:shd w:val="clear" w:color="auto" w:fill="auto"/>
            <w:vAlign w:val="center"/>
            <w:hideMark/>
          </w:tcPr>
          <w:p w14:paraId="35195B85" w14:textId="77777777" w:rsidR="00F03FA1" w:rsidRPr="000C06A7" w:rsidRDefault="00F03FA1" w:rsidP="00F03FA1">
            <w:pPr>
              <w:spacing w:after="0"/>
              <w:rPr>
                <w:rFonts w:ascii="Arial" w:hAnsi="Arial" w:cs="Arial"/>
              </w:rPr>
            </w:pPr>
            <w:r w:rsidRPr="000C06A7">
              <w:rPr>
                <w:rFonts w:ascii="Arial" w:hAnsi="Arial" w:cs="Arial"/>
              </w:rPr>
              <w:t>Middle Manager Development Programme</w:t>
            </w:r>
          </w:p>
        </w:tc>
        <w:tc>
          <w:tcPr>
            <w:tcW w:w="1361" w:type="dxa"/>
            <w:tcBorders>
              <w:top w:val="single" w:sz="4" w:space="0" w:color="auto"/>
              <w:left w:val="nil"/>
              <w:bottom w:val="single" w:sz="4" w:space="0" w:color="auto"/>
              <w:right w:val="single" w:sz="4" w:space="0" w:color="auto"/>
            </w:tcBorders>
            <w:shd w:val="clear" w:color="auto" w:fill="auto"/>
            <w:vAlign w:val="center"/>
          </w:tcPr>
          <w:p w14:paraId="28D8CBC5" w14:textId="6396BA6E" w:rsidR="00F03FA1" w:rsidRPr="000C06A7" w:rsidRDefault="00F03FA1" w:rsidP="00F03FA1">
            <w:pPr>
              <w:spacing w:after="0"/>
              <w:jc w:val="right"/>
              <w:rPr>
                <w:rFonts w:ascii="Arial" w:hAnsi="Arial" w:cs="Arial"/>
              </w:rPr>
            </w:pPr>
            <w:r w:rsidRPr="000C06A7">
              <w:rPr>
                <w:rFonts w:ascii="Arial" w:hAnsi="Arial" w:cs="Arial"/>
              </w:rPr>
              <w:t>7</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0DFEDD" w14:textId="287AFAE9" w:rsidR="00F03FA1" w:rsidRPr="000C06A7" w:rsidRDefault="00F03FA1" w:rsidP="00F03FA1">
            <w:pPr>
              <w:spacing w:after="0"/>
              <w:jc w:val="right"/>
              <w:rPr>
                <w:rFonts w:ascii="Arial" w:hAnsi="Arial" w:cs="Arial"/>
              </w:rPr>
            </w:pPr>
            <w:r w:rsidRPr="000C06A7">
              <w:rPr>
                <w:rFonts w:ascii="Arial" w:hAnsi="Arial" w:cs="Arial"/>
              </w:rPr>
              <w:t>13</w:t>
            </w:r>
          </w:p>
        </w:tc>
        <w:tc>
          <w:tcPr>
            <w:tcW w:w="1231" w:type="dxa"/>
            <w:tcBorders>
              <w:top w:val="single" w:sz="4" w:space="0" w:color="auto"/>
              <w:left w:val="nil"/>
              <w:bottom w:val="single" w:sz="4" w:space="0" w:color="auto"/>
              <w:right w:val="single" w:sz="4" w:space="0" w:color="auto"/>
            </w:tcBorders>
            <w:shd w:val="clear" w:color="auto" w:fill="auto"/>
            <w:vAlign w:val="center"/>
          </w:tcPr>
          <w:p w14:paraId="53F723E6" w14:textId="10F8742B" w:rsidR="00F03FA1" w:rsidRPr="000C06A7" w:rsidRDefault="00F03FA1" w:rsidP="00F03FA1">
            <w:pPr>
              <w:spacing w:after="0"/>
              <w:jc w:val="right"/>
              <w:rPr>
                <w:rFonts w:ascii="Arial" w:hAnsi="Arial" w:cs="Arial"/>
              </w:rPr>
            </w:pPr>
            <w:r w:rsidRPr="000C06A7">
              <w:rPr>
                <w:rFonts w:ascii="Arial" w:hAnsi="Arial" w:cs="Arial"/>
              </w:rPr>
              <w:t>4</w:t>
            </w:r>
          </w:p>
        </w:tc>
        <w:tc>
          <w:tcPr>
            <w:tcW w:w="1500" w:type="dxa"/>
            <w:tcBorders>
              <w:top w:val="single" w:sz="4" w:space="0" w:color="auto"/>
              <w:left w:val="nil"/>
              <w:bottom w:val="single" w:sz="4" w:space="0" w:color="auto"/>
              <w:right w:val="single" w:sz="4" w:space="0" w:color="auto"/>
            </w:tcBorders>
            <w:shd w:val="clear" w:color="auto" w:fill="auto"/>
            <w:vAlign w:val="center"/>
          </w:tcPr>
          <w:p w14:paraId="4B29108F" w14:textId="268D5FF4" w:rsidR="00F03FA1" w:rsidRPr="000C06A7" w:rsidRDefault="00F03FA1" w:rsidP="00F03FA1">
            <w:pPr>
              <w:spacing w:after="0"/>
              <w:jc w:val="right"/>
              <w:rPr>
                <w:rFonts w:ascii="Arial" w:hAnsi="Arial" w:cs="Arial"/>
              </w:rPr>
            </w:pPr>
            <w:r w:rsidRPr="000C06A7">
              <w:rPr>
                <w:rFonts w:ascii="Arial" w:hAnsi="Arial" w:cs="Arial"/>
              </w:rPr>
              <w:t>3</w:t>
            </w:r>
          </w:p>
        </w:tc>
        <w:tc>
          <w:tcPr>
            <w:tcW w:w="1170" w:type="dxa"/>
            <w:tcBorders>
              <w:top w:val="nil"/>
              <w:left w:val="nil"/>
              <w:bottom w:val="single" w:sz="4" w:space="0" w:color="auto"/>
              <w:right w:val="single" w:sz="4" w:space="0" w:color="auto"/>
            </w:tcBorders>
            <w:shd w:val="clear" w:color="auto" w:fill="auto"/>
            <w:vAlign w:val="center"/>
          </w:tcPr>
          <w:p w14:paraId="016D2E45" w14:textId="18A6CE50" w:rsidR="00F03FA1" w:rsidRPr="000C06A7" w:rsidRDefault="00F03FA1" w:rsidP="00F03FA1">
            <w:pPr>
              <w:spacing w:after="0"/>
              <w:jc w:val="right"/>
              <w:rPr>
                <w:rFonts w:ascii="Arial" w:hAnsi="Arial" w:cs="Arial"/>
              </w:rPr>
            </w:pPr>
            <w:r w:rsidRPr="000C06A7">
              <w:rPr>
                <w:rFonts w:ascii="Arial" w:hAnsi="Arial" w:cs="Arial"/>
              </w:rPr>
              <w:t>13</w:t>
            </w:r>
          </w:p>
        </w:tc>
      </w:tr>
    </w:tbl>
    <w:p w14:paraId="7B905F64" w14:textId="363164BF" w:rsidR="002D1B1F" w:rsidRPr="000C06A7" w:rsidRDefault="002D1B1F" w:rsidP="000C06A7">
      <w:pPr>
        <w:pStyle w:val="Heading3"/>
        <w:rPr>
          <w:lang w:eastAsia="en-GB"/>
        </w:rPr>
      </w:pPr>
      <w:bookmarkStart w:id="13" w:name="_Toc179481632"/>
      <w:r w:rsidRPr="000C06A7">
        <w:rPr>
          <w:lang w:eastAsia="en-GB"/>
        </w:rPr>
        <w:t xml:space="preserve">Vocational awards and </w:t>
      </w:r>
      <w:r w:rsidR="008237FF" w:rsidRPr="000C06A7">
        <w:rPr>
          <w:lang w:eastAsia="en-GB"/>
        </w:rPr>
        <w:t>All Wales induction framework (</w:t>
      </w:r>
      <w:r w:rsidRPr="000C06A7">
        <w:rPr>
          <w:lang w:eastAsia="en-GB"/>
        </w:rPr>
        <w:t>AWIF</w:t>
      </w:r>
      <w:bookmarkEnd w:id="13"/>
      <w:r w:rsidR="008237FF" w:rsidRPr="000C06A7">
        <w:rPr>
          <w:lang w:eastAsia="en-GB"/>
        </w:rPr>
        <w:t>)</w:t>
      </w:r>
    </w:p>
    <w:p w14:paraId="6CA878B6" w14:textId="77777777" w:rsidR="002D1B1F" w:rsidRPr="000C06A7" w:rsidRDefault="002D1B1F" w:rsidP="002D1B1F">
      <w:pPr>
        <w:rPr>
          <w:rFonts w:ascii="Arial" w:hAnsi="Arial" w:cs="Arial"/>
          <w:lang w:eastAsia="en-GB"/>
        </w:rPr>
      </w:pPr>
    </w:p>
    <w:p w14:paraId="74EB7CF6" w14:textId="7DC0EA84" w:rsidR="003A7BD9" w:rsidRPr="00B568F3" w:rsidRDefault="000B08AA"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lang w:eastAsia="en-GB"/>
        </w:rPr>
        <w:t xml:space="preserve">As seen in </w:t>
      </w:r>
      <w:r w:rsidR="005665E4" w:rsidRPr="00B568F3">
        <w:rPr>
          <w:rFonts w:ascii="Arial" w:eastAsia="Calibri" w:hAnsi="Arial" w:cs="Arial"/>
          <w:sz w:val="24"/>
          <w:szCs w:val="24"/>
          <w:lang w:eastAsia="en-GB"/>
        </w:rPr>
        <w:t>t</w:t>
      </w:r>
      <w:r w:rsidRPr="00B568F3">
        <w:rPr>
          <w:rFonts w:ascii="Arial" w:eastAsia="Calibri" w:hAnsi="Arial" w:cs="Arial"/>
          <w:sz w:val="24"/>
          <w:szCs w:val="24"/>
          <w:lang w:eastAsia="en-GB"/>
        </w:rPr>
        <w:t xml:space="preserve">able 8, </w:t>
      </w:r>
      <w:r w:rsidR="00445F87" w:rsidRPr="00B568F3">
        <w:rPr>
          <w:rFonts w:ascii="Arial" w:eastAsia="Calibri" w:hAnsi="Arial" w:cs="Arial"/>
          <w:sz w:val="24"/>
          <w:szCs w:val="24"/>
          <w:lang w:eastAsia="en-GB"/>
        </w:rPr>
        <w:t xml:space="preserve">the number of </w:t>
      </w:r>
      <w:r w:rsidRPr="00B568F3">
        <w:rPr>
          <w:rFonts w:ascii="Arial" w:eastAsia="Calibri" w:hAnsi="Arial" w:cs="Arial"/>
          <w:sz w:val="24"/>
          <w:szCs w:val="24"/>
          <w:lang w:eastAsia="en-GB"/>
        </w:rPr>
        <w:t>p</w:t>
      </w:r>
      <w:r w:rsidR="00E228B6" w:rsidRPr="00B568F3">
        <w:rPr>
          <w:rFonts w:ascii="Arial" w:eastAsia="Calibri" w:hAnsi="Arial" w:cs="Arial"/>
          <w:sz w:val="24"/>
          <w:szCs w:val="24"/>
          <w:lang w:eastAsia="en-GB"/>
        </w:rPr>
        <w:t xml:space="preserve">eople </w:t>
      </w:r>
      <w:r w:rsidR="00445F87" w:rsidRPr="00B568F3">
        <w:rPr>
          <w:rFonts w:ascii="Arial" w:eastAsia="Calibri" w:hAnsi="Arial" w:cs="Arial"/>
          <w:sz w:val="24"/>
          <w:szCs w:val="24"/>
          <w:lang w:eastAsia="en-GB"/>
        </w:rPr>
        <w:t xml:space="preserve">on the </w:t>
      </w:r>
      <w:r w:rsidR="00E228B6" w:rsidRPr="00B568F3">
        <w:rPr>
          <w:rFonts w:ascii="Arial" w:eastAsia="Calibri" w:hAnsi="Arial" w:cs="Arial"/>
          <w:sz w:val="24"/>
          <w:szCs w:val="24"/>
          <w:lang w:eastAsia="en-GB"/>
        </w:rPr>
        <w:t>programme</w:t>
      </w:r>
      <w:r w:rsidR="00447CC2" w:rsidRPr="00B568F3">
        <w:rPr>
          <w:rFonts w:ascii="Arial" w:eastAsia="Calibri" w:hAnsi="Arial" w:cs="Arial"/>
          <w:sz w:val="24"/>
          <w:szCs w:val="24"/>
          <w:lang w:eastAsia="en-GB"/>
        </w:rPr>
        <w:t xml:space="preserve"> </w:t>
      </w:r>
      <w:r w:rsidR="00E228B6" w:rsidRPr="00B568F3">
        <w:rPr>
          <w:rFonts w:ascii="Arial" w:eastAsia="Calibri" w:hAnsi="Arial" w:cs="Arial"/>
          <w:sz w:val="24"/>
          <w:szCs w:val="24"/>
          <w:lang w:eastAsia="en-GB"/>
        </w:rPr>
        <w:t xml:space="preserve">and levels of achievement on </w:t>
      </w:r>
      <w:r w:rsidR="00BA2E09" w:rsidRPr="00B568F3">
        <w:rPr>
          <w:rFonts w:ascii="Arial" w:eastAsia="Calibri" w:hAnsi="Arial" w:cs="Arial"/>
          <w:sz w:val="24"/>
          <w:szCs w:val="24"/>
          <w:lang w:eastAsia="en-GB"/>
        </w:rPr>
        <w:t xml:space="preserve">approved </w:t>
      </w:r>
      <w:r w:rsidR="00E228B6" w:rsidRPr="00B568F3">
        <w:rPr>
          <w:rFonts w:ascii="Arial" w:eastAsia="Calibri" w:hAnsi="Arial" w:cs="Arial"/>
          <w:sz w:val="24"/>
          <w:szCs w:val="24"/>
          <w:lang w:eastAsia="en-GB"/>
        </w:rPr>
        <w:t>vocational qualification</w:t>
      </w:r>
      <w:r w:rsidR="00BA2E09" w:rsidRPr="00B568F3">
        <w:rPr>
          <w:rFonts w:ascii="Arial" w:eastAsia="Calibri" w:hAnsi="Arial" w:cs="Arial"/>
          <w:sz w:val="24"/>
          <w:szCs w:val="24"/>
          <w:lang w:eastAsia="en-GB"/>
        </w:rPr>
        <w:t>s</w:t>
      </w:r>
      <w:r w:rsidR="00E228B6" w:rsidRPr="00B568F3">
        <w:rPr>
          <w:rFonts w:ascii="Arial" w:eastAsia="Calibri" w:hAnsi="Arial" w:cs="Arial"/>
          <w:sz w:val="24"/>
          <w:szCs w:val="24"/>
          <w:lang w:eastAsia="en-GB"/>
        </w:rPr>
        <w:t xml:space="preserve"> has increased</w:t>
      </w:r>
      <w:r w:rsidR="00F7142F" w:rsidRPr="00B568F3">
        <w:rPr>
          <w:rFonts w:ascii="Arial" w:eastAsia="Calibri" w:hAnsi="Arial" w:cs="Arial"/>
          <w:sz w:val="24"/>
          <w:szCs w:val="24"/>
          <w:lang w:eastAsia="en-GB"/>
        </w:rPr>
        <w:t xml:space="preserve">. </w:t>
      </w:r>
      <w:r w:rsidR="007E417C" w:rsidRPr="00B568F3">
        <w:rPr>
          <w:rFonts w:ascii="Arial" w:eastAsia="Calibri" w:hAnsi="Arial" w:cs="Arial"/>
          <w:sz w:val="24"/>
          <w:szCs w:val="24"/>
          <w:lang w:eastAsia="en-GB"/>
        </w:rPr>
        <w:t>Many</w:t>
      </w:r>
      <w:r w:rsidR="001B482D" w:rsidRPr="00B568F3">
        <w:rPr>
          <w:rFonts w:ascii="Arial" w:eastAsia="Calibri" w:hAnsi="Arial" w:cs="Arial"/>
          <w:sz w:val="24"/>
          <w:szCs w:val="24"/>
          <w:lang w:eastAsia="en-GB"/>
        </w:rPr>
        <w:t xml:space="preserve"> </w:t>
      </w:r>
      <w:r w:rsidR="6BC2A428" w:rsidRPr="00B568F3">
        <w:rPr>
          <w:rFonts w:ascii="Arial" w:eastAsia="Calibri" w:hAnsi="Arial" w:cs="Arial"/>
          <w:sz w:val="24"/>
          <w:szCs w:val="24"/>
          <w:lang w:eastAsia="en-GB"/>
        </w:rPr>
        <w:t xml:space="preserve">will also be able to access funding for vocational qualifications through an apprenticeship that </w:t>
      </w:r>
      <w:r w:rsidR="007E417C" w:rsidRPr="00B568F3">
        <w:rPr>
          <w:rFonts w:ascii="Arial" w:eastAsia="Calibri" w:hAnsi="Arial" w:cs="Arial"/>
          <w:sz w:val="24"/>
          <w:szCs w:val="24"/>
          <w:lang w:eastAsia="en-GB"/>
        </w:rPr>
        <w:t>is</w:t>
      </w:r>
      <w:r w:rsidR="6BC2A428" w:rsidRPr="00B568F3">
        <w:rPr>
          <w:rFonts w:ascii="Arial" w:eastAsia="Calibri" w:hAnsi="Arial" w:cs="Arial"/>
          <w:sz w:val="24"/>
          <w:szCs w:val="24"/>
          <w:lang w:eastAsia="en-GB"/>
        </w:rPr>
        <w:t>n</w:t>
      </w:r>
      <w:r w:rsidR="005665E4" w:rsidRPr="00B568F3">
        <w:rPr>
          <w:rFonts w:ascii="Arial" w:eastAsia="Calibri" w:hAnsi="Arial" w:cs="Arial"/>
          <w:sz w:val="24"/>
          <w:szCs w:val="24"/>
          <w:lang w:eastAsia="en-GB"/>
        </w:rPr>
        <w:t>’</w:t>
      </w:r>
      <w:r w:rsidR="6BC2A428" w:rsidRPr="00B568F3">
        <w:rPr>
          <w:rFonts w:ascii="Arial" w:eastAsia="Calibri" w:hAnsi="Arial" w:cs="Arial"/>
          <w:sz w:val="24"/>
          <w:szCs w:val="24"/>
          <w:lang w:eastAsia="en-GB"/>
        </w:rPr>
        <w:t>t captured in this report.</w:t>
      </w:r>
      <w:r w:rsidR="005665E4" w:rsidRPr="00B568F3">
        <w:rPr>
          <w:rFonts w:ascii="Arial" w:eastAsia="Calibri" w:hAnsi="Arial" w:cs="Arial"/>
          <w:sz w:val="24"/>
          <w:szCs w:val="24"/>
          <w:lang w:eastAsia="en-GB"/>
        </w:rPr>
        <w:t xml:space="preserve"> </w:t>
      </w:r>
      <w:r w:rsidR="002F0250" w:rsidRPr="00B568F3">
        <w:rPr>
          <w:rFonts w:ascii="Arial" w:eastAsia="Calibri" w:hAnsi="Arial" w:cs="Arial"/>
          <w:sz w:val="24"/>
          <w:szCs w:val="24"/>
          <w:lang w:eastAsia="en-GB"/>
        </w:rPr>
        <w:t>But</w:t>
      </w:r>
      <w:r w:rsidR="00F7142F" w:rsidRPr="00B568F3">
        <w:rPr>
          <w:rFonts w:ascii="Arial" w:eastAsia="Calibri" w:hAnsi="Arial" w:cs="Arial"/>
          <w:sz w:val="24"/>
          <w:szCs w:val="24"/>
          <w:lang w:eastAsia="en-GB"/>
        </w:rPr>
        <w:t xml:space="preserve"> </w:t>
      </w:r>
      <w:r w:rsidR="00E228B6" w:rsidRPr="00B568F3">
        <w:rPr>
          <w:rFonts w:ascii="Arial" w:eastAsia="Calibri" w:hAnsi="Arial" w:cs="Arial"/>
          <w:sz w:val="24"/>
          <w:szCs w:val="24"/>
          <w:lang w:eastAsia="en-GB"/>
        </w:rPr>
        <w:t xml:space="preserve">the </w:t>
      </w:r>
      <w:r w:rsidR="00C53CC5" w:rsidRPr="00B568F3">
        <w:rPr>
          <w:rFonts w:ascii="Arial" w:eastAsia="Calibri" w:hAnsi="Arial" w:cs="Arial"/>
          <w:sz w:val="24"/>
          <w:szCs w:val="24"/>
          <w:lang w:eastAsia="en-GB"/>
        </w:rPr>
        <w:t xml:space="preserve">data received from </w:t>
      </w:r>
      <w:r w:rsidR="001B482D" w:rsidRPr="00B568F3">
        <w:rPr>
          <w:rFonts w:ascii="Arial" w:eastAsia="Calibri" w:hAnsi="Arial" w:cs="Arial"/>
          <w:sz w:val="24"/>
          <w:szCs w:val="24"/>
          <w:lang w:eastAsia="en-GB"/>
        </w:rPr>
        <w:t xml:space="preserve">local authorities </w:t>
      </w:r>
      <w:r w:rsidR="003332A8" w:rsidRPr="00B568F3">
        <w:rPr>
          <w:rFonts w:ascii="Arial" w:eastAsia="Calibri" w:hAnsi="Arial" w:cs="Arial"/>
          <w:sz w:val="24"/>
          <w:szCs w:val="24"/>
          <w:lang w:eastAsia="en-GB"/>
        </w:rPr>
        <w:t xml:space="preserve">show </w:t>
      </w:r>
      <w:r w:rsidR="00E228B6" w:rsidRPr="00B568F3">
        <w:rPr>
          <w:rFonts w:ascii="Arial" w:eastAsia="Calibri" w:hAnsi="Arial" w:cs="Arial"/>
          <w:sz w:val="24"/>
          <w:szCs w:val="24"/>
          <w:lang w:eastAsia="en-GB"/>
        </w:rPr>
        <w:t>a</w:t>
      </w:r>
      <w:r w:rsidR="00BA2E09" w:rsidRPr="00B568F3">
        <w:rPr>
          <w:rFonts w:ascii="Arial" w:eastAsia="Calibri" w:hAnsi="Arial" w:cs="Arial"/>
          <w:sz w:val="24"/>
          <w:szCs w:val="24"/>
          <w:lang w:eastAsia="en-GB"/>
        </w:rPr>
        <w:t xml:space="preserve"> decrease i</w:t>
      </w:r>
      <w:r w:rsidR="00E228B6" w:rsidRPr="00B568F3">
        <w:rPr>
          <w:rFonts w:ascii="Arial" w:eastAsia="Calibri" w:hAnsi="Arial" w:cs="Arial"/>
          <w:sz w:val="24"/>
          <w:szCs w:val="24"/>
          <w:lang w:eastAsia="en-GB"/>
        </w:rPr>
        <w:t>n the number tak</w:t>
      </w:r>
      <w:r w:rsidR="00E41395" w:rsidRPr="00B568F3">
        <w:rPr>
          <w:rFonts w:ascii="Arial" w:eastAsia="Calibri" w:hAnsi="Arial" w:cs="Arial"/>
          <w:sz w:val="24"/>
          <w:szCs w:val="24"/>
          <w:lang w:eastAsia="en-GB"/>
        </w:rPr>
        <w:t>ing</w:t>
      </w:r>
      <w:r w:rsidR="00E228B6" w:rsidRPr="00B568F3">
        <w:rPr>
          <w:rFonts w:ascii="Arial" w:eastAsia="Calibri" w:hAnsi="Arial" w:cs="Arial"/>
          <w:sz w:val="24"/>
          <w:szCs w:val="24"/>
          <w:lang w:eastAsia="en-GB"/>
        </w:rPr>
        <w:t xml:space="preserve"> </w:t>
      </w:r>
      <w:r w:rsidR="00BF1815" w:rsidRPr="00B568F3">
        <w:rPr>
          <w:rFonts w:ascii="Arial" w:eastAsia="Calibri" w:hAnsi="Arial" w:cs="Arial"/>
          <w:sz w:val="24"/>
          <w:szCs w:val="24"/>
          <w:lang w:eastAsia="en-GB"/>
        </w:rPr>
        <w:t xml:space="preserve">and achieving </w:t>
      </w:r>
      <w:r w:rsidR="00E228B6" w:rsidRPr="00B568F3">
        <w:rPr>
          <w:rFonts w:ascii="Arial" w:eastAsia="Calibri" w:hAnsi="Arial" w:cs="Arial"/>
          <w:sz w:val="24"/>
          <w:szCs w:val="24"/>
          <w:lang w:eastAsia="en-GB"/>
        </w:rPr>
        <w:t xml:space="preserve">the All Wales </w:t>
      </w:r>
      <w:r w:rsidR="001B482D" w:rsidRPr="00B568F3">
        <w:rPr>
          <w:rFonts w:ascii="Arial" w:eastAsia="Calibri" w:hAnsi="Arial" w:cs="Arial"/>
          <w:sz w:val="24"/>
          <w:szCs w:val="24"/>
          <w:lang w:eastAsia="en-GB"/>
        </w:rPr>
        <w:t>h</w:t>
      </w:r>
      <w:r w:rsidR="00E228B6" w:rsidRPr="00B568F3">
        <w:rPr>
          <w:rFonts w:ascii="Arial" w:eastAsia="Calibri" w:hAnsi="Arial" w:cs="Arial"/>
          <w:sz w:val="24"/>
          <w:szCs w:val="24"/>
          <w:lang w:eastAsia="en-GB"/>
        </w:rPr>
        <w:t xml:space="preserve">ealth and </w:t>
      </w:r>
      <w:r w:rsidR="001B482D" w:rsidRPr="00B568F3">
        <w:rPr>
          <w:rFonts w:ascii="Arial" w:eastAsia="Calibri" w:hAnsi="Arial" w:cs="Arial"/>
          <w:sz w:val="24"/>
          <w:szCs w:val="24"/>
          <w:lang w:eastAsia="en-GB"/>
        </w:rPr>
        <w:t>s</w:t>
      </w:r>
      <w:r w:rsidR="00E228B6" w:rsidRPr="00B568F3">
        <w:rPr>
          <w:rFonts w:ascii="Arial" w:eastAsia="Calibri" w:hAnsi="Arial" w:cs="Arial"/>
          <w:sz w:val="24"/>
          <w:szCs w:val="24"/>
          <w:lang w:eastAsia="en-GB"/>
        </w:rPr>
        <w:t xml:space="preserve">ocial </w:t>
      </w:r>
      <w:r w:rsidR="001B482D" w:rsidRPr="00B568F3">
        <w:rPr>
          <w:rFonts w:ascii="Arial" w:eastAsia="Calibri" w:hAnsi="Arial" w:cs="Arial"/>
          <w:sz w:val="24"/>
          <w:szCs w:val="24"/>
          <w:lang w:eastAsia="en-GB"/>
        </w:rPr>
        <w:t>c</w:t>
      </w:r>
      <w:r w:rsidR="00E228B6" w:rsidRPr="00B568F3">
        <w:rPr>
          <w:rFonts w:ascii="Arial" w:eastAsia="Calibri" w:hAnsi="Arial" w:cs="Arial"/>
          <w:sz w:val="24"/>
          <w:szCs w:val="24"/>
          <w:lang w:eastAsia="en-GB"/>
        </w:rPr>
        <w:t xml:space="preserve">are </w:t>
      </w:r>
      <w:r w:rsidR="001B482D" w:rsidRPr="00B568F3">
        <w:rPr>
          <w:rFonts w:ascii="Arial" w:eastAsia="Calibri" w:hAnsi="Arial" w:cs="Arial"/>
          <w:sz w:val="24"/>
          <w:szCs w:val="24"/>
          <w:lang w:eastAsia="en-GB"/>
        </w:rPr>
        <w:t>i</w:t>
      </w:r>
      <w:r w:rsidR="00E228B6" w:rsidRPr="00B568F3">
        <w:rPr>
          <w:rFonts w:ascii="Arial" w:eastAsia="Calibri" w:hAnsi="Arial" w:cs="Arial"/>
          <w:sz w:val="24"/>
          <w:szCs w:val="24"/>
          <w:lang w:eastAsia="en-GB"/>
        </w:rPr>
        <w:t xml:space="preserve">nduction </w:t>
      </w:r>
      <w:r w:rsidR="001B482D" w:rsidRPr="00B568F3">
        <w:rPr>
          <w:rFonts w:ascii="Arial" w:eastAsia="Calibri" w:hAnsi="Arial" w:cs="Arial"/>
          <w:sz w:val="24"/>
          <w:szCs w:val="24"/>
          <w:lang w:eastAsia="en-GB"/>
        </w:rPr>
        <w:t>f</w:t>
      </w:r>
      <w:r w:rsidR="00E228B6" w:rsidRPr="00B568F3">
        <w:rPr>
          <w:rFonts w:ascii="Arial" w:eastAsia="Calibri" w:hAnsi="Arial" w:cs="Arial"/>
          <w:sz w:val="24"/>
          <w:szCs w:val="24"/>
          <w:lang w:eastAsia="en-GB"/>
        </w:rPr>
        <w:t>ramework</w:t>
      </w:r>
      <w:r w:rsidR="00C457F5" w:rsidRPr="00B568F3">
        <w:rPr>
          <w:rFonts w:ascii="Arial" w:eastAsia="Calibri" w:hAnsi="Arial" w:cs="Arial"/>
          <w:sz w:val="24"/>
          <w:szCs w:val="24"/>
          <w:lang w:eastAsia="en-GB"/>
        </w:rPr>
        <w:t xml:space="preserve"> (AWIF)</w:t>
      </w:r>
      <w:r w:rsidR="00F565DD" w:rsidRPr="00B568F3">
        <w:rPr>
          <w:rFonts w:ascii="Arial" w:eastAsia="Calibri" w:hAnsi="Arial" w:cs="Arial"/>
          <w:sz w:val="24"/>
          <w:szCs w:val="24"/>
          <w:lang w:eastAsia="en-GB"/>
        </w:rPr>
        <w:t xml:space="preserve">. </w:t>
      </w:r>
    </w:p>
    <w:p w14:paraId="3D198B94" w14:textId="77777777" w:rsidR="003A7BD9" w:rsidRPr="00B568F3" w:rsidRDefault="003A7BD9" w:rsidP="00D74872">
      <w:pPr>
        <w:spacing w:after="200" w:line="276" w:lineRule="auto"/>
        <w:ind w:left="567"/>
        <w:contextualSpacing/>
        <w:rPr>
          <w:rFonts w:ascii="Arial" w:eastAsia="Calibri" w:hAnsi="Arial" w:cs="Arial"/>
          <w:sz w:val="24"/>
          <w:szCs w:val="24"/>
        </w:rPr>
      </w:pPr>
    </w:p>
    <w:p w14:paraId="06126B3F" w14:textId="184C9231" w:rsidR="0037512C" w:rsidRPr="00B568F3" w:rsidRDefault="009D0BC6" w:rsidP="00632461">
      <w:pPr>
        <w:numPr>
          <w:ilvl w:val="0"/>
          <w:numId w:val="6"/>
        </w:numPr>
        <w:spacing w:after="200" w:line="276" w:lineRule="auto"/>
        <w:ind w:left="567" w:hanging="425"/>
        <w:contextualSpacing/>
        <w:rPr>
          <w:rFonts w:ascii="Arial" w:eastAsia="Calibri" w:hAnsi="Arial" w:cs="Arial"/>
          <w:sz w:val="24"/>
          <w:szCs w:val="24"/>
        </w:rPr>
      </w:pPr>
      <w:r w:rsidRPr="00B568F3" w:rsidDel="00CF26B0">
        <w:rPr>
          <w:rFonts w:ascii="Arial" w:eastAsia="Calibri" w:hAnsi="Arial" w:cs="Arial"/>
          <w:sz w:val="24"/>
          <w:szCs w:val="24"/>
          <w:lang w:eastAsia="en-GB"/>
        </w:rPr>
        <w:t xml:space="preserve">A </w:t>
      </w:r>
      <w:r w:rsidR="001210D8" w:rsidRPr="00B568F3">
        <w:rPr>
          <w:rFonts w:ascii="Arial" w:eastAsia="Calibri" w:hAnsi="Arial" w:cs="Arial"/>
          <w:sz w:val="24"/>
          <w:szCs w:val="24"/>
          <w:lang w:eastAsia="en-GB"/>
        </w:rPr>
        <w:t xml:space="preserve">factor </w:t>
      </w:r>
      <w:r w:rsidR="00FA4613" w:rsidRPr="00B568F3">
        <w:rPr>
          <w:rFonts w:ascii="Arial" w:eastAsia="Calibri" w:hAnsi="Arial" w:cs="Arial"/>
          <w:sz w:val="24"/>
          <w:szCs w:val="24"/>
          <w:lang w:eastAsia="en-GB"/>
        </w:rPr>
        <w:t>to note</w:t>
      </w:r>
      <w:r w:rsidR="00C457F5" w:rsidRPr="00B568F3">
        <w:rPr>
          <w:rFonts w:ascii="Arial" w:eastAsia="Calibri" w:hAnsi="Arial" w:cs="Arial"/>
          <w:sz w:val="24"/>
          <w:szCs w:val="24"/>
          <w:lang w:eastAsia="en-GB"/>
        </w:rPr>
        <w:t xml:space="preserve"> </w:t>
      </w:r>
      <w:r w:rsidR="001210D8" w:rsidRPr="00B568F3">
        <w:rPr>
          <w:rFonts w:ascii="Arial" w:eastAsia="Calibri" w:hAnsi="Arial" w:cs="Arial"/>
          <w:sz w:val="24"/>
          <w:szCs w:val="24"/>
          <w:lang w:eastAsia="en-GB"/>
        </w:rPr>
        <w:t>is that</w:t>
      </w:r>
      <w:r w:rsidR="001210D8" w:rsidRPr="00B568F3" w:rsidDel="00FA4613">
        <w:rPr>
          <w:rFonts w:ascii="Arial" w:eastAsia="Calibri" w:hAnsi="Arial" w:cs="Arial"/>
          <w:sz w:val="24"/>
          <w:szCs w:val="24"/>
          <w:lang w:eastAsia="en-GB"/>
        </w:rPr>
        <w:t xml:space="preserve"> </w:t>
      </w:r>
      <w:r w:rsidR="00463D9B" w:rsidRPr="00B568F3">
        <w:rPr>
          <w:rFonts w:ascii="Arial" w:eastAsia="Calibri" w:hAnsi="Arial" w:cs="Arial"/>
          <w:sz w:val="24"/>
          <w:szCs w:val="24"/>
          <w:lang w:eastAsia="en-GB"/>
        </w:rPr>
        <w:t xml:space="preserve">one region </w:t>
      </w:r>
      <w:r w:rsidR="00FA4613" w:rsidRPr="00B568F3">
        <w:rPr>
          <w:rFonts w:ascii="Arial" w:eastAsia="Calibri" w:hAnsi="Arial" w:cs="Arial"/>
          <w:sz w:val="24"/>
          <w:szCs w:val="24"/>
          <w:lang w:eastAsia="en-GB"/>
        </w:rPr>
        <w:t xml:space="preserve">has </w:t>
      </w:r>
      <w:r w:rsidR="00463D9B" w:rsidRPr="00B568F3">
        <w:rPr>
          <w:rFonts w:ascii="Arial" w:eastAsia="Calibri" w:hAnsi="Arial" w:cs="Arial"/>
          <w:sz w:val="24"/>
          <w:szCs w:val="24"/>
          <w:lang w:eastAsia="en-GB"/>
        </w:rPr>
        <w:t>report</w:t>
      </w:r>
      <w:r w:rsidR="00FA4613" w:rsidRPr="00B568F3">
        <w:rPr>
          <w:rFonts w:ascii="Arial" w:eastAsia="Calibri" w:hAnsi="Arial" w:cs="Arial"/>
          <w:sz w:val="24"/>
          <w:szCs w:val="24"/>
          <w:lang w:eastAsia="en-GB"/>
        </w:rPr>
        <w:t>ed</w:t>
      </w:r>
      <w:r w:rsidR="00463D9B" w:rsidRPr="00B568F3">
        <w:rPr>
          <w:rFonts w:ascii="Arial" w:eastAsia="Calibri" w:hAnsi="Arial" w:cs="Arial"/>
          <w:sz w:val="24"/>
          <w:szCs w:val="24"/>
          <w:lang w:eastAsia="en-GB"/>
        </w:rPr>
        <w:t xml:space="preserve"> </w:t>
      </w:r>
      <w:r w:rsidR="00463D9B" w:rsidRPr="00B568F3" w:rsidDel="00FA4613">
        <w:rPr>
          <w:rFonts w:ascii="Arial" w:eastAsia="Calibri" w:hAnsi="Arial" w:cs="Arial"/>
          <w:sz w:val="24"/>
          <w:szCs w:val="24"/>
          <w:lang w:eastAsia="en-GB"/>
        </w:rPr>
        <w:t>t</w:t>
      </w:r>
      <w:r w:rsidR="00463D9B" w:rsidRPr="00B568F3">
        <w:rPr>
          <w:rFonts w:ascii="Arial" w:eastAsia="Calibri" w:hAnsi="Arial" w:cs="Arial"/>
          <w:sz w:val="24"/>
          <w:szCs w:val="24"/>
          <w:lang w:eastAsia="en-GB"/>
        </w:rPr>
        <w:t>hey no longer collect AWIF completion data</w:t>
      </w:r>
      <w:r w:rsidR="00B21EC6" w:rsidRPr="00B568F3">
        <w:rPr>
          <w:rFonts w:ascii="Arial" w:eastAsia="Calibri" w:hAnsi="Arial" w:cs="Arial"/>
          <w:sz w:val="24"/>
          <w:szCs w:val="24"/>
          <w:lang w:eastAsia="en-GB"/>
        </w:rPr>
        <w:t>, which</w:t>
      </w:r>
      <w:r w:rsidR="00FA4613" w:rsidRPr="00B568F3">
        <w:rPr>
          <w:rFonts w:ascii="Arial" w:eastAsia="Calibri" w:hAnsi="Arial" w:cs="Arial"/>
          <w:sz w:val="24"/>
          <w:szCs w:val="24"/>
          <w:lang w:eastAsia="en-GB"/>
        </w:rPr>
        <w:t xml:space="preserve"> affects</w:t>
      </w:r>
      <w:r w:rsidR="003B43FE" w:rsidRPr="00B568F3">
        <w:rPr>
          <w:rFonts w:ascii="Arial" w:eastAsia="Calibri" w:hAnsi="Arial" w:cs="Arial"/>
          <w:sz w:val="24"/>
          <w:szCs w:val="24"/>
          <w:lang w:eastAsia="en-GB"/>
        </w:rPr>
        <w:t xml:space="preserve"> the AWIF achieving data</w:t>
      </w:r>
      <w:r w:rsidR="00FA4613" w:rsidRPr="00B568F3">
        <w:rPr>
          <w:rFonts w:ascii="Arial" w:eastAsia="Calibri" w:hAnsi="Arial" w:cs="Arial"/>
          <w:sz w:val="24"/>
          <w:szCs w:val="24"/>
          <w:lang w:eastAsia="en-GB"/>
        </w:rPr>
        <w:t>.</w:t>
      </w:r>
      <w:r w:rsidR="003B43FE" w:rsidRPr="00B568F3">
        <w:rPr>
          <w:rFonts w:ascii="Arial" w:eastAsia="Calibri" w:hAnsi="Arial" w:cs="Arial"/>
          <w:sz w:val="24"/>
          <w:szCs w:val="24"/>
          <w:lang w:eastAsia="en-GB"/>
        </w:rPr>
        <w:t xml:space="preserve"> </w:t>
      </w:r>
      <w:r w:rsidR="000F092D" w:rsidRPr="00B568F3">
        <w:rPr>
          <w:rFonts w:ascii="Arial" w:eastAsia="Calibri" w:hAnsi="Arial" w:cs="Arial"/>
          <w:sz w:val="24"/>
          <w:szCs w:val="24"/>
          <w:lang w:eastAsia="en-GB"/>
        </w:rPr>
        <w:t xml:space="preserve">If this region had included the same </w:t>
      </w:r>
      <w:r w:rsidR="003D7D0B" w:rsidRPr="00B568F3">
        <w:rPr>
          <w:rFonts w:ascii="Arial" w:eastAsia="Calibri" w:hAnsi="Arial" w:cs="Arial"/>
          <w:sz w:val="24"/>
          <w:szCs w:val="24"/>
          <w:lang w:eastAsia="en-GB"/>
        </w:rPr>
        <w:t xml:space="preserve">AWIF achieving </w:t>
      </w:r>
      <w:r w:rsidR="000F092D" w:rsidRPr="00B568F3">
        <w:rPr>
          <w:rFonts w:ascii="Arial" w:eastAsia="Calibri" w:hAnsi="Arial" w:cs="Arial"/>
          <w:sz w:val="24"/>
          <w:szCs w:val="24"/>
          <w:lang w:eastAsia="en-GB"/>
        </w:rPr>
        <w:t>data</w:t>
      </w:r>
      <w:r w:rsidR="003D7D0B" w:rsidRPr="00B568F3">
        <w:rPr>
          <w:rFonts w:ascii="Arial" w:eastAsia="Calibri" w:hAnsi="Arial" w:cs="Arial"/>
          <w:sz w:val="24"/>
          <w:szCs w:val="24"/>
          <w:lang w:eastAsia="en-GB"/>
        </w:rPr>
        <w:t xml:space="preserve"> as</w:t>
      </w:r>
      <w:r w:rsidR="003B43FE" w:rsidRPr="00B568F3">
        <w:rPr>
          <w:rFonts w:ascii="Arial" w:eastAsia="Calibri" w:hAnsi="Arial" w:cs="Arial"/>
          <w:sz w:val="24"/>
          <w:szCs w:val="24"/>
          <w:lang w:eastAsia="en-GB"/>
        </w:rPr>
        <w:t xml:space="preserve"> </w:t>
      </w:r>
      <w:r w:rsidR="00B21EC6" w:rsidRPr="00B568F3">
        <w:rPr>
          <w:rFonts w:ascii="Arial" w:eastAsia="Calibri" w:hAnsi="Arial" w:cs="Arial"/>
          <w:sz w:val="24"/>
          <w:szCs w:val="24"/>
          <w:lang w:eastAsia="en-GB"/>
        </w:rPr>
        <w:t xml:space="preserve">in </w:t>
      </w:r>
      <w:r w:rsidR="003B43FE" w:rsidRPr="00B568F3">
        <w:rPr>
          <w:rFonts w:ascii="Arial" w:eastAsia="Calibri" w:hAnsi="Arial" w:cs="Arial"/>
          <w:sz w:val="24"/>
          <w:szCs w:val="24"/>
          <w:lang w:eastAsia="en-GB"/>
        </w:rPr>
        <w:t>2022 to 2023</w:t>
      </w:r>
      <w:r w:rsidR="00B21EC6" w:rsidRPr="00B568F3">
        <w:rPr>
          <w:rFonts w:ascii="Arial" w:eastAsia="Calibri" w:hAnsi="Arial" w:cs="Arial"/>
          <w:sz w:val="24"/>
          <w:szCs w:val="24"/>
          <w:lang w:eastAsia="en-GB"/>
        </w:rPr>
        <w:t>,</w:t>
      </w:r>
      <w:r w:rsidR="003D7D0B" w:rsidRPr="00B568F3" w:rsidDel="003B43FE">
        <w:rPr>
          <w:rFonts w:ascii="Arial" w:eastAsia="Calibri" w:hAnsi="Arial" w:cs="Arial"/>
          <w:sz w:val="24"/>
          <w:szCs w:val="24"/>
          <w:lang w:eastAsia="en-GB"/>
        </w:rPr>
        <w:t xml:space="preserve"> </w:t>
      </w:r>
      <w:r w:rsidR="0050257D" w:rsidRPr="00B568F3">
        <w:rPr>
          <w:rFonts w:ascii="Arial" w:eastAsia="Calibri" w:hAnsi="Arial" w:cs="Arial"/>
          <w:sz w:val="24"/>
          <w:szCs w:val="24"/>
          <w:lang w:eastAsia="en-GB"/>
        </w:rPr>
        <w:t xml:space="preserve">the change </w:t>
      </w:r>
      <w:r w:rsidR="003D7D0B" w:rsidRPr="00B568F3">
        <w:rPr>
          <w:rFonts w:ascii="Arial" w:eastAsia="Calibri" w:hAnsi="Arial" w:cs="Arial"/>
          <w:sz w:val="24"/>
          <w:szCs w:val="24"/>
          <w:lang w:eastAsia="en-GB"/>
        </w:rPr>
        <w:t xml:space="preserve">in those achieving the AWIF </w:t>
      </w:r>
      <w:r w:rsidR="0050257D" w:rsidRPr="00B568F3">
        <w:rPr>
          <w:rFonts w:ascii="Arial" w:eastAsia="Calibri" w:hAnsi="Arial" w:cs="Arial"/>
          <w:sz w:val="24"/>
          <w:szCs w:val="24"/>
          <w:lang w:eastAsia="en-GB"/>
        </w:rPr>
        <w:t xml:space="preserve">would </w:t>
      </w:r>
      <w:r w:rsidR="00B21EC6" w:rsidRPr="00B568F3">
        <w:rPr>
          <w:rFonts w:ascii="Arial" w:eastAsia="Calibri" w:hAnsi="Arial" w:cs="Arial"/>
          <w:sz w:val="24"/>
          <w:szCs w:val="24"/>
          <w:lang w:eastAsia="en-GB"/>
        </w:rPr>
        <w:t>show</w:t>
      </w:r>
      <w:r w:rsidR="0050257D" w:rsidRPr="00B568F3">
        <w:rPr>
          <w:rFonts w:ascii="Arial" w:eastAsia="Calibri" w:hAnsi="Arial" w:cs="Arial"/>
          <w:sz w:val="24"/>
          <w:szCs w:val="24"/>
          <w:lang w:eastAsia="en-GB"/>
        </w:rPr>
        <w:t xml:space="preserve"> a decline of </w:t>
      </w:r>
      <w:r w:rsidR="00C457F5" w:rsidRPr="00B568F3">
        <w:rPr>
          <w:rFonts w:ascii="Arial" w:eastAsia="Calibri" w:hAnsi="Arial" w:cs="Arial"/>
          <w:sz w:val="24"/>
          <w:szCs w:val="24"/>
          <w:lang w:eastAsia="en-GB"/>
        </w:rPr>
        <w:t>7.3</w:t>
      </w:r>
      <w:r w:rsidR="003B43FE" w:rsidRPr="00B568F3">
        <w:rPr>
          <w:rFonts w:ascii="Arial" w:eastAsia="Calibri" w:hAnsi="Arial" w:cs="Arial"/>
          <w:sz w:val="24"/>
          <w:szCs w:val="24"/>
          <w:lang w:eastAsia="en-GB"/>
        </w:rPr>
        <w:t xml:space="preserve"> per cent</w:t>
      </w:r>
      <w:r w:rsidR="00C457F5" w:rsidRPr="00B568F3">
        <w:rPr>
          <w:rFonts w:ascii="Arial" w:eastAsia="Calibri" w:hAnsi="Arial" w:cs="Arial"/>
          <w:sz w:val="24"/>
          <w:szCs w:val="24"/>
          <w:lang w:eastAsia="en-GB"/>
        </w:rPr>
        <w:t xml:space="preserve"> rather than 30.6</w:t>
      </w:r>
      <w:r w:rsidR="003B43FE" w:rsidRPr="00B568F3">
        <w:rPr>
          <w:rFonts w:ascii="Arial" w:eastAsia="Calibri" w:hAnsi="Arial" w:cs="Arial"/>
          <w:sz w:val="24"/>
          <w:szCs w:val="24"/>
          <w:lang w:eastAsia="en-GB"/>
        </w:rPr>
        <w:t xml:space="preserve"> per cent.</w:t>
      </w:r>
    </w:p>
    <w:p w14:paraId="26A8F5EA" w14:textId="77777777" w:rsidR="003D4C9B" w:rsidRPr="00B568F3" w:rsidRDefault="003D4C9B" w:rsidP="00D74872">
      <w:pPr>
        <w:spacing w:after="200" w:line="276" w:lineRule="auto"/>
        <w:ind w:left="567"/>
        <w:contextualSpacing/>
        <w:rPr>
          <w:rFonts w:ascii="Arial" w:eastAsia="Calibri" w:hAnsi="Arial" w:cs="Arial"/>
          <w:sz w:val="24"/>
          <w:szCs w:val="24"/>
        </w:rPr>
      </w:pPr>
    </w:p>
    <w:p w14:paraId="5F33B951" w14:textId="59208BE3" w:rsidR="00E228B6" w:rsidRPr="00B568F3" w:rsidRDefault="005C4AA0"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lang w:eastAsia="en-GB"/>
        </w:rPr>
        <w:t xml:space="preserve">Despite the </w:t>
      </w:r>
      <w:r w:rsidR="0037512C" w:rsidRPr="00B568F3">
        <w:rPr>
          <w:rFonts w:ascii="Arial" w:eastAsia="Calibri" w:hAnsi="Arial" w:cs="Arial"/>
          <w:sz w:val="24"/>
          <w:szCs w:val="24"/>
          <w:lang w:eastAsia="en-GB"/>
        </w:rPr>
        <w:t xml:space="preserve">decrease, the number on the AWIF programme is still </w:t>
      </w:r>
      <w:r w:rsidR="009149EF" w:rsidRPr="00B568F3">
        <w:rPr>
          <w:rFonts w:ascii="Arial" w:eastAsia="Calibri" w:hAnsi="Arial" w:cs="Arial"/>
          <w:sz w:val="24"/>
          <w:szCs w:val="24"/>
          <w:lang w:eastAsia="en-GB"/>
        </w:rPr>
        <w:t xml:space="preserve">much </w:t>
      </w:r>
      <w:r w:rsidR="0037512C" w:rsidRPr="00B568F3">
        <w:rPr>
          <w:rFonts w:ascii="Arial" w:eastAsia="Calibri" w:hAnsi="Arial" w:cs="Arial"/>
          <w:sz w:val="24"/>
          <w:szCs w:val="24"/>
          <w:lang w:eastAsia="en-GB"/>
        </w:rPr>
        <w:t xml:space="preserve">higher than the figure </w:t>
      </w:r>
      <w:r w:rsidR="00092F12" w:rsidRPr="00B568F3">
        <w:rPr>
          <w:rFonts w:ascii="Arial" w:eastAsia="Calibri" w:hAnsi="Arial" w:cs="Arial"/>
          <w:sz w:val="24"/>
          <w:szCs w:val="24"/>
          <w:lang w:eastAsia="en-GB"/>
        </w:rPr>
        <w:t>three years ago</w:t>
      </w:r>
      <w:r w:rsidR="003D4C9B" w:rsidRPr="00B568F3">
        <w:rPr>
          <w:rFonts w:ascii="Arial" w:eastAsia="Calibri" w:hAnsi="Arial" w:cs="Arial"/>
          <w:sz w:val="24"/>
          <w:szCs w:val="24"/>
          <w:lang w:eastAsia="en-GB"/>
        </w:rPr>
        <w:t xml:space="preserve"> as seen in Figure 12</w:t>
      </w:r>
      <w:r w:rsidR="00092F12" w:rsidRPr="00B568F3">
        <w:rPr>
          <w:rFonts w:ascii="Arial" w:eastAsia="Calibri" w:hAnsi="Arial" w:cs="Arial"/>
          <w:sz w:val="24"/>
          <w:szCs w:val="24"/>
          <w:lang w:eastAsia="en-GB"/>
        </w:rPr>
        <w:t xml:space="preserve"> (779 on the programme in </w:t>
      </w:r>
      <w:r w:rsidR="009149EF" w:rsidRPr="00B568F3">
        <w:rPr>
          <w:rFonts w:ascii="Arial" w:eastAsia="Calibri" w:hAnsi="Arial" w:cs="Arial"/>
          <w:sz w:val="24"/>
          <w:szCs w:val="24"/>
          <w:lang w:eastAsia="en-GB"/>
        </w:rPr>
        <w:t>2023 to 2024</w:t>
      </w:r>
      <w:r w:rsidR="00092F12" w:rsidRPr="00B568F3">
        <w:rPr>
          <w:rFonts w:ascii="Arial" w:eastAsia="Calibri" w:hAnsi="Arial" w:cs="Arial"/>
          <w:sz w:val="24"/>
          <w:szCs w:val="24"/>
          <w:lang w:eastAsia="en-GB"/>
        </w:rPr>
        <w:t xml:space="preserve"> compared to 462 in </w:t>
      </w:r>
      <w:r w:rsidR="009149EF" w:rsidRPr="00B568F3">
        <w:rPr>
          <w:rFonts w:ascii="Arial" w:eastAsia="Calibri" w:hAnsi="Arial" w:cs="Arial"/>
          <w:sz w:val="24"/>
          <w:szCs w:val="24"/>
          <w:lang w:eastAsia="en-GB"/>
        </w:rPr>
        <w:t>2-21 to 2022</w:t>
      </w:r>
      <w:r w:rsidR="00092F12" w:rsidRPr="00B568F3">
        <w:rPr>
          <w:rFonts w:ascii="Arial" w:eastAsia="Calibri" w:hAnsi="Arial" w:cs="Arial"/>
          <w:sz w:val="24"/>
          <w:szCs w:val="24"/>
          <w:lang w:eastAsia="en-GB"/>
        </w:rPr>
        <w:t>)</w:t>
      </w:r>
      <w:r w:rsidR="003D4C9B" w:rsidRPr="00B568F3">
        <w:rPr>
          <w:rFonts w:ascii="Arial" w:eastAsia="Calibri" w:hAnsi="Arial" w:cs="Arial"/>
          <w:sz w:val="24"/>
          <w:szCs w:val="24"/>
          <w:lang w:eastAsia="en-GB"/>
        </w:rPr>
        <w:t>.</w:t>
      </w:r>
      <w:r w:rsidR="0037512C" w:rsidRPr="00B568F3">
        <w:rPr>
          <w:rFonts w:ascii="Arial" w:eastAsia="Calibri" w:hAnsi="Arial" w:cs="Arial"/>
          <w:sz w:val="24"/>
          <w:szCs w:val="24"/>
          <w:lang w:eastAsia="en-GB"/>
        </w:rPr>
        <w:t xml:space="preserve"> </w:t>
      </w:r>
    </w:p>
    <w:p w14:paraId="365B5A59" w14:textId="77777777" w:rsidR="000F5E29" w:rsidRPr="00B568F3" w:rsidRDefault="000F5E29" w:rsidP="000F5E29">
      <w:pPr>
        <w:spacing w:after="200" w:line="276" w:lineRule="auto"/>
        <w:ind w:left="709"/>
        <w:contextualSpacing/>
        <w:rPr>
          <w:rFonts w:ascii="Arial" w:eastAsia="Calibri" w:hAnsi="Arial" w:cs="Arial"/>
          <w:color w:val="FF0000"/>
          <w:sz w:val="24"/>
          <w:szCs w:val="24"/>
          <w:lang w:eastAsia="en-GB"/>
        </w:rPr>
      </w:pPr>
    </w:p>
    <w:p w14:paraId="61E9A3A6" w14:textId="296CC669" w:rsidR="00D37613" w:rsidRPr="00B568F3" w:rsidRDefault="00D37613" w:rsidP="00D37613">
      <w:pPr>
        <w:spacing w:after="0" w:line="240" w:lineRule="auto"/>
        <w:rPr>
          <w:rFonts w:ascii="Arial" w:eastAsia="Calibri" w:hAnsi="Arial" w:cs="Arial"/>
          <w:b/>
          <w:bCs/>
          <w:sz w:val="24"/>
          <w:szCs w:val="24"/>
          <w:lang w:eastAsia="en-GB"/>
        </w:rPr>
      </w:pPr>
      <w:r w:rsidRPr="00B568F3">
        <w:rPr>
          <w:rFonts w:ascii="Arial" w:eastAsia="Calibri" w:hAnsi="Arial" w:cs="Arial"/>
          <w:b/>
          <w:bCs/>
          <w:sz w:val="24"/>
          <w:szCs w:val="24"/>
          <w:lang w:eastAsia="en-GB"/>
        </w:rPr>
        <w:t xml:space="preserve">Table </w:t>
      </w:r>
      <w:r w:rsidR="00022E02" w:rsidRPr="00B568F3">
        <w:rPr>
          <w:rFonts w:ascii="Arial" w:eastAsia="Calibri" w:hAnsi="Arial" w:cs="Arial"/>
          <w:b/>
          <w:bCs/>
          <w:sz w:val="24"/>
          <w:szCs w:val="24"/>
          <w:lang w:eastAsia="en-GB"/>
        </w:rPr>
        <w:t>8</w:t>
      </w:r>
      <w:r w:rsidRPr="00B568F3">
        <w:rPr>
          <w:rFonts w:ascii="Arial" w:eastAsia="Calibri" w:hAnsi="Arial" w:cs="Arial"/>
          <w:b/>
          <w:bCs/>
          <w:sz w:val="24"/>
          <w:szCs w:val="24"/>
          <w:lang w:eastAsia="en-GB"/>
        </w:rPr>
        <w:t xml:space="preserve">: </w:t>
      </w:r>
      <w:r w:rsidRPr="00B568F3">
        <w:rPr>
          <w:rFonts w:ascii="Arial" w:eastAsia="Calibri" w:hAnsi="Arial" w:cs="Arial"/>
          <w:b/>
          <w:bCs/>
          <w:sz w:val="24"/>
          <w:szCs w:val="24"/>
        </w:rPr>
        <w:t xml:space="preserve">Vocational awards and AWIF </w:t>
      </w:r>
      <w:r w:rsidR="009149EF" w:rsidRPr="00B568F3">
        <w:rPr>
          <w:rFonts w:ascii="Arial" w:eastAsia="Calibri" w:hAnsi="Arial" w:cs="Arial"/>
          <w:b/>
          <w:bCs/>
          <w:sz w:val="24"/>
          <w:szCs w:val="24"/>
          <w:lang w:eastAsia="en-GB"/>
        </w:rPr>
        <w:t>a</w:t>
      </w:r>
      <w:r w:rsidRPr="00B568F3">
        <w:rPr>
          <w:rFonts w:ascii="Arial" w:eastAsia="Calibri" w:hAnsi="Arial" w:cs="Arial"/>
          <w:b/>
          <w:bCs/>
          <w:sz w:val="24"/>
          <w:szCs w:val="24"/>
          <w:lang w:eastAsia="en-GB"/>
        </w:rPr>
        <w:t>ctivity, 2023</w:t>
      </w:r>
      <w:r w:rsidR="009149EF" w:rsidRPr="00B568F3">
        <w:rPr>
          <w:rFonts w:ascii="Arial" w:eastAsia="Calibri" w:hAnsi="Arial" w:cs="Arial"/>
          <w:b/>
          <w:bCs/>
          <w:sz w:val="24"/>
          <w:szCs w:val="24"/>
          <w:lang w:eastAsia="en-GB"/>
        </w:rPr>
        <w:t xml:space="preserve"> to </w:t>
      </w:r>
      <w:r w:rsidRPr="00B568F3">
        <w:rPr>
          <w:rFonts w:ascii="Arial" w:eastAsia="Calibri" w:hAnsi="Arial" w:cs="Arial"/>
          <w:b/>
          <w:bCs/>
          <w:sz w:val="24"/>
          <w:szCs w:val="24"/>
          <w:lang w:eastAsia="en-GB"/>
        </w:rPr>
        <w:t>2024</w:t>
      </w:r>
    </w:p>
    <w:p w14:paraId="7B3C6439" w14:textId="77777777" w:rsidR="00022E02" w:rsidRPr="00B568F3" w:rsidRDefault="00022E02" w:rsidP="00D37613">
      <w:pPr>
        <w:spacing w:after="0" w:line="240" w:lineRule="auto"/>
        <w:rPr>
          <w:rFonts w:ascii="Arial" w:eastAsia="Calibri" w:hAnsi="Arial" w:cs="Arial"/>
          <w:b/>
          <w:bCs/>
          <w:sz w:val="24"/>
          <w:szCs w:val="24"/>
          <w:lang w:eastAsia="en-GB"/>
        </w:rPr>
      </w:pPr>
    </w:p>
    <w:tbl>
      <w:tblPr>
        <w:tblStyle w:val="TableGrid"/>
        <w:tblW w:w="9298" w:type="dxa"/>
        <w:tblLook w:val="04A0" w:firstRow="1" w:lastRow="0" w:firstColumn="1" w:lastColumn="0" w:noHBand="0" w:noVBand="1"/>
      </w:tblPr>
      <w:tblGrid>
        <w:gridCol w:w="3628"/>
        <w:gridCol w:w="1257"/>
        <w:gridCol w:w="1578"/>
        <w:gridCol w:w="1257"/>
        <w:gridCol w:w="1578"/>
      </w:tblGrid>
      <w:tr w:rsidR="00F82A51" w:rsidRPr="00B568F3" w14:paraId="19A88E8E" w14:textId="76952474" w:rsidTr="005369AF">
        <w:tc>
          <w:tcPr>
            <w:tcW w:w="3628" w:type="dxa"/>
            <w:vMerge w:val="restart"/>
            <w:tcBorders>
              <w:top w:val="nil"/>
              <w:left w:val="nil"/>
            </w:tcBorders>
          </w:tcPr>
          <w:p w14:paraId="14A5B2F0" w14:textId="77777777" w:rsidR="00F82A51" w:rsidRPr="00B568F3" w:rsidRDefault="00F82A51" w:rsidP="002D1B1F">
            <w:pPr>
              <w:spacing w:after="200" w:line="276" w:lineRule="auto"/>
              <w:contextualSpacing/>
              <w:rPr>
                <w:rFonts w:ascii="Arial" w:eastAsia="Calibri" w:hAnsi="Arial" w:cs="Arial"/>
                <w:sz w:val="24"/>
                <w:szCs w:val="24"/>
                <w:lang w:eastAsia="en-GB"/>
              </w:rPr>
            </w:pPr>
          </w:p>
        </w:tc>
        <w:tc>
          <w:tcPr>
            <w:tcW w:w="2835" w:type="dxa"/>
            <w:gridSpan w:val="2"/>
            <w:vAlign w:val="center"/>
          </w:tcPr>
          <w:p w14:paraId="11C2FF32" w14:textId="3B7B3641" w:rsidR="00F82A51" w:rsidRPr="00B568F3" w:rsidRDefault="00F82A51" w:rsidP="0032616D">
            <w:pPr>
              <w:spacing w:after="200" w:line="276" w:lineRule="auto"/>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AWIF</w:t>
            </w:r>
          </w:p>
        </w:tc>
        <w:tc>
          <w:tcPr>
            <w:tcW w:w="2835" w:type="dxa"/>
            <w:gridSpan w:val="2"/>
            <w:vAlign w:val="center"/>
          </w:tcPr>
          <w:p w14:paraId="52A4730C" w14:textId="5CF8DDFD" w:rsidR="00F82A51" w:rsidRPr="00B568F3" w:rsidRDefault="00F82A51" w:rsidP="0032616D">
            <w:pPr>
              <w:spacing w:after="200" w:line="276" w:lineRule="auto"/>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Approved Awards</w:t>
            </w:r>
          </w:p>
        </w:tc>
      </w:tr>
      <w:tr w:rsidR="00F82A51" w:rsidRPr="00B568F3" w14:paraId="4EDF6B60" w14:textId="7788EC49" w:rsidTr="005369AF">
        <w:tc>
          <w:tcPr>
            <w:tcW w:w="3628" w:type="dxa"/>
            <w:vMerge/>
          </w:tcPr>
          <w:p w14:paraId="11EC8361" w14:textId="77777777" w:rsidR="00F82A51" w:rsidRPr="00B568F3" w:rsidRDefault="00F82A51" w:rsidP="002D1B1F">
            <w:pPr>
              <w:spacing w:after="200" w:line="276" w:lineRule="auto"/>
              <w:contextualSpacing/>
              <w:rPr>
                <w:rFonts w:ascii="Arial" w:eastAsia="Calibri" w:hAnsi="Arial" w:cs="Arial"/>
                <w:sz w:val="24"/>
                <w:szCs w:val="24"/>
                <w:lang w:eastAsia="en-GB"/>
              </w:rPr>
            </w:pPr>
          </w:p>
        </w:tc>
        <w:tc>
          <w:tcPr>
            <w:tcW w:w="1257" w:type="dxa"/>
            <w:vAlign w:val="center"/>
          </w:tcPr>
          <w:p w14:paraId="3978E759" w14:textId="19EC39DF" w:rsidR="00F82A51" w:rsidRPr="00B568F3" w:rsidRDefault="00F82A51" w:rsidP="0032616D">
            <w:pPr>
              <w:spacing w:after="200" w:line="276" w:lineRule="auto"/>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Number</w:t>
            </w:r>
          </w:p>
        </w:tc>
        <w:tc>
          <w:tcPr>
            <w:tcW w:w="1578" w:type="dxa"/>
            <w:vAlign w:val="center"/>
          </w:tcPr>
          <w:p w14:paraId="6E500344" w14:textId="6F441AE4" w:rsidR="00F82A51" w:rsidRPr="00B568F3" w:rsidRDefault="00F82A51" w:rsidP="0032616D">
            <w:pPr>
              <w:spacing w:after="200" w:line="276" w:lineRule="auto"/>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 change</w:t>
            </w:r>
          </w:p>
        </w:tc>
        <w:tc>
          <w:tcPr>
            <w:tcW w:w="1257" w:type="dxa"/>
            <w:vAlign w:val="center"/>
          </w:tcPr>
          <w:p w14:paraId="0E9A41EA" w14:textId="48F10751" w:rsidR="00F82A51" w:rsidRPr="00B568F3" w:rsidRDefault="00F82A51" w:rsidP="0032616D">
            <w:pPr>
              <w:spacing w:after="200" w:line="276" w:lineRule="auto"/>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Number</w:t>
            </w:r>
          </w:p>
        </w:tc>
        <w:tc>
          <w:tcPr>
            <w:tcW w:w="1578" w:type="dxa"/>
            <w:vAlign w:val="center"/>
          </w:tcPr>
          <w:p w14:paraId="5ADDA082" w14:textId="05E123EA" w:rsidR="00F82A51" w:rsidRPr="00B568F3" w:rsidRDefault="00F82A51" w:rsidP="0032616D">
            <w:pPr>
              <w:spacing w:after="200" w:line="276" w:lineRule="auto"/>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 change</w:t>
            </w:r>
          </w:p>
        </w:tc>
      </w:tr>
      <w:tr w:rsidR="00D313BB" w:rsidRPr="00B568F3" w14:paraId="6F092E57" w14:textId="3A56122A" w:rsidTr="005369AF">
        <w:tc>
          <w:tcPr>
            <w:tcW w:w="3628" w:type="dxa"/>
          </w:tcPr>
          <w:p w14:paraId="6C2712A5" w14:textId="2D47797F" w:rsidR="00D313BB" w:rsidRPr="00B568F3" w:rsidRDefault="00D313BB" w:rsidP="002D1B1F">
            <w:pPr>
              <w:spacing w:after="200" w:line="276" w:lineRule="auto"/>
              <w:contextualSpacing/>
              <w:rPr>
                <w:rFonts w:ascii="Arial" w:eastAsia="Calibri" w:hAnsi="Arial" w:cs="Arial"/>
                <w:b/>
                <w:bCs/>
                <w:sz w:val="24"/>
                <w:szCs w:val="24"/>
                <w:lang w:eastAsia="en-GB"/>
              </w:rPr>
            </w:pPr>
            <w:r w:rsidRPr="00B568F3">
              <w:rPr>
                <w:rFonts w:ascii="Arial" w:eastAsia="Calibri" w:hAnsi="Arial" w:cs="Arial"/>
                <w:b/>
                <w:bCs/>
                <w:sz w:val="24"/>
                <w:szCs w:val="24"/>
                <w:lang w:eastAsia="en-GB"/>
              </w:rPr>
              <w:t xml:space="preserve">Numbers on programme </w:t>
            </w:r>
          </w:p>
        </w:tc>
        <w:tc>
          <w:tcPr>
            <w:tcW w:w="1257" w:type="dxa"/>
            <w:vAlign w:val="center"/>
          </w:tcPr>
          <w:p w14:paraId="32033CCD" w14:textId="08337A09" w:rsidR="00D313BB" w:rsidRPr="00B568F3" w:rsidRDefault="00921536" w:rsidP="0032616D">
            <w:pPr>
              <w:spacing w:after="200" w:line="276" w:lineRule="auto"/>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779</w:t>
            </w:r>
          </w:p>
        </w:tc>
        <w:tc>
          <w:tcPr>
            <w:tcW w:w="1578" w:type="dxa"/>
            <w:vAlign w:val="center"/>
          </w:tcPr>
          <w:p w14:paraId="41405DDD" w14:textId="3BE6A7D2" w:rsidR="00D313BB" w:rsidRPr="00B568F3" w:rsidRDefault="00B022C2" w:rsidP="0032616D">
            <w:pPr>
              <w:spacing w:after="200" w:line="276" w:lineRule="auto"/>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-2.7%</w:t>
            </w:r>
          </w:p>
        </w:tc>
        <w:tc>
          <w:tcPr>
            <w:tcW w:w="1257" w:type="dxa"/>
            <w:vAlign w:val="center"/>
          </w:tcPr>
          <w:p w14:paraId="5D5DB582" w14:textId="42B585A7" w:rsidR="00D313BB" w:rsidRPr="00B568F3" w:rsidRDefault="00921536" w:rsidP="0032616D">
            <w:pPr>
              <w:spacing w:after="200" w:line="276" w:lineRule="auto"/>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1,889</w:t>
            </w:r>
          </w:p>
        </w:tc>
        <w:tc>
          <w:tcPr>
            <w:tcW w:w="1578" w:type="dxa"/>
            <w:vAlign w:val="center"/>
          </w:tcPr>
          <w:p w14:paraId="13039F97" w14:textId="41F54940" w:rsidR="00D313BB" w:rsidRPr="00B568F3" w:rsidRDefault="003027B8" w:rsidP="0032616D">
            <w:pPr>
              <w:spacing w:after="200" w:line="276" w:lineRule="auto"/>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2.9%</w:t>
            </w:r>
          </w:p>
        </w:tc>
      </w:tr>
      <w:tr w:rsidR="00D313BB" w:rsidRPr="00B568F3" w14:paraId="4D8D2CD6" w14:textId="68F1551D" w:rsidTr="005369AF">
        <w:tc>
          <w:tcPr>
            <w:tcW w:w="3628" w:type="dxa"/>
          </w:tcPr>
          <w:p w14:paraId="4E43B1F2" w14:textId="02E1E9E0" w:rsidR="00D313BB" w:rsidRPr="00B568F3" w:rsidRDefault="00D313BB" w:rsidP="002D1B1F">
            <w:pPr>
              <w:spacing w:after="200" w:line="276" w:lineRule="auto"/>
              <w:contextualSpacing/>
              <w:rPr>
                <w:rFonts w:ascii="Arial" w:eastAsia="Calibri" w:hAnsi="Arial" w:cs="Arial"/>
                <w:b/>
                <w:bCs/>
                <w:sz w:val="24"/>
                <w:szCs w:val="24"/>
                <w:lang w:eastAsia="en-GB"/>
              </w:rPr>
            </w:pPr>
            <w:r w:rsidRPr="00B568F3">
              <w:rPr>
                <w:rFonts w:ascii="Arial" w:eastAsia="Calibri" w:hAnsi="Arial" w:cs="Arial"/>
                <w:b/>
                <w:bCs/>
                <w:sz w:val="24"/>
                <w:szCs w:val="24"/>
                <w:lang w:eastAsia="en-GB"/>
              </w:rPr>
              <w:t>Numbers achieving</w:t>
            </w:r>
          </w:p>
        </w:tc>
        <w:tc>
          <w:tcPr>
            <w:tcW w:w="1257" w:type="dxa"/>
            <w:vAlign w:val="center"/>
          </w:tcPr>
          <w:p w14:paraId="160E71F3" w14:textId="4D754EE9" w:rsidR="00D313BB" w:rsidRPr="00B568F3" w:rsidRDefault="00921536" w:rsidP="0032616D">
            <w:pPr>
              <w:spacing w:after="200" w:line="276" w:lineRule="auto"/>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256</w:t>
            </w:r>
            <w:r w:rsidR="00446635" w:rsidRPr="00B568F3">
              <w:rPr>
                <w:rFonts w:ascii="Arial" w:eastAsia="Calibri" w:hAnsi="Arial" w:cs="Arial"/>
                <w:sz w:val="24"/>
                <w:szCs w:val="24"/>
                <w:lang w:eastAsia="en-GB"/>
              </w:rPr>
              <w:t>*</w:t>
            </w:r>
          </w:p>
        </w:tc>
        <w:tc>
          <w:tcPr>
            <w:tcW w:w="1578" w:type="dxa"/>
            <w:vAlign w:val="center"/>
          </w:tcPr>
          <w:p w14:paraId="4336335F" w14:textId="2A9C102A" w:rsidR="00D313BB" w:rsidRPr="00B568F3" w:rsidRDefault="00B022C2" w:rsidP="0032616D">
            <w:pPr>
              <w:spacing w:after="200" w:line="276" w:lineRule="auto"/>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-30.6%</w:t>
            </w:r>
            <w:r w:rsidR="00446635" w:rsidRPr="00B568F3">
              <w:rPr>
                <w:rFonts w:ascii="Arial" w:eastAsia="Calibri" w:hAnsi="Arial" w:cs="Arial"/>
                <w:sz w:val="24"/>
                <w:szCs w:val="24"/>
                <w:lang w:eastAsia="en-GB"/>
              </w:rPr>
              <w:t>*</w:t>
            </w:r>
          </w:p>
        </w:tc>
        <w:tc>
          <w:tcPr>
            <w:tcW w:w="1257" w:type="dxa"/>
            <w:vAlign w:val="center"/>
          </w:tcPr>
          <w:p w14:paraId="115D90EA" w14:textId="452C9470" w:rsidR="00D313BB" w:rsidRPr="00B568F3" w:rsidRDefault="00921536" w:rsidP="0032616D">
            <w:pPr>
              <w:spacing w:after="200" w:line="276" w:lineRule="auto"/>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497</w:t>
            </w:r>
          </w:p>
        </w:tc>
        <w:tc>
          <w:tcPr>
            <w:tcW w:w="1578" w:type="dxa"/>
            <w:vAlign w:val="center"/>
          </w:tcPr>
          <w:p w14:paraId="0D5B2BCE" w14:textId="31FDFF5C" w:rsidR="00D313BB" w:rsidRPr="00B568F3" w:rsidRDefault="003027B8" w:rsidP="0032616D">
            <w:pPr>
              <w:spacing w:after="200" w:line="276" w:lineRule="auto"/>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5.1%</w:t>
            </w:r>
          </w:p>
        </w:tc>
      </w:tr>
      <w:tr w:rsidR="00D313BB" w:rsidRPr="00B568F3" w14:paraId="161DEC66" w14:textId="6B65BEA6" w:rsidTr="005369AF">
        <w:tc>
          <w:tcPr>
            <w:tcW w:w="3628" w:type="dxa"/>
          </w:tcPr>
          <w:p w14:paraId="3BFDE0B0" w14:textId="2EE7FA39" w:rsidR="00D313BB" w:rsidRPr="00B568F3" w:rsidRDefault="00D313BB" w:rsidP="002D1B1F">
            <w:pPr>
              <w:spacing w:after="200" w:line="276" w:lineRule="auto"/>
              <w:contextualSpacing/>
              <w:rPr>
                <w:rFonts w:ascii="Arial" w:eastAsia="Calibri" w:hAnsi="Arial" w:cs="Arial"/>
                <w:b/>
                <w:bCs/>
                <w:sz w:val="24"/>
                <w:szCs w:val="24"/>
                <w:lang w:eastAsia="en-GB"/>
              </w:rPr>
            </w:pPr>
            <w:r w:rsidRPr="00B568F3">
              <w:rPr>
                <w:rFonts w:ascii="Arial" w:eastAsia="Calibri" w:hAnsi="Arial" w:cs="Arial"/>
                <w:b/>
                <w:bCs/>
                <w:sz w:val="24"/>
                <w:szCs w:val="24"/>
                <w:lang w:eastAsia="en-GB"/>
              </w:rPr>
              <w:t>Numbers withdrawing</w:t>
            </w:r>
          </w:p>
        </w:tc>
        <w:tc>
          <w:tcPr>
            <w:tcW w:w="1257" w:type="dxa"/>
            <w:vAlign w:val="center"/>
          </w:tcPr>
          <w:p w14:paraId="15A19CB4" w14:textId="7E40F137" w:rsidR="00D313BB" w:rsidRPr="00B568F3" w:rsidRDefault="00921536" w:rsidP="0032616D">
            <w:pPr>
              <w:spacing w:after="200" w:line="276" w:lineRule="auto"/>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80</w:t>
            </w:r>
          </w:p>
        </w:tc>
        <w:tc>
          <w:tcPr>
            <w:tcW w:w="1578" w:type="dxa"/>
            <w:vAlign w:val="center"/>
          </w:tcPr>
          <w:p w14:paraId="740553EB" w14:textId="74FCD40A" w:rsidR="00D313BB" w:rsidRPr="00B568F3" w:rsidRDefault="003027B8" w:rsidP="0032616D">
            <w:pPr>
              <w:spacing w:after="200" w:line="276" w:lineRule="auto"/>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81.8%</w:t>
            </w:r>
          </w:p>
        </w:tc>
        <w:tc>
          <w:tcPr>
            <w:tcW w:w="1257" w:type="dxa"/>
            <w:vAlign w:val="center"/>
          </w:tcPr>
          <w:p w14:paraId="0B7156DC" w14:textId="49EFD194" w:rsidR="00D313BB" w:rsidRPr="00B568F3" w:rsidRDefault="00921536" w:rsidP="0032616D">
            <w:pPr>
              <w:spacing w:after="200" w:line="276" w:lineRule="auto"/>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208</w:t>
            </w:r>
          </w:p>
        </w:tc>
        <w:tc>
          <w:tcPr>
            <w:tcW w:w="1578" w:type="dxa"/>
            <w:vAlign w:val="center"/>
          </w:tcPr>
          <w:p w14:paraId="394FE23D" w14:textId="1818E11B" w:rsidR="00D313BB" w:rsidRPr="00B568F3" w:rsidRDefault="003027B8" w:rsidP="0032616D">
            <w:pPr>
              <w:spacing w:after="200" w:line="276" w:lineRule="auto"/>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3.5%</w:t>
            </w:r>
          </w:p>
        </w:tc>
      </w:tr>
      <w:tr w:rsidR="00D313BB" w:rsidRPr="00B568F3" w14:paraId="27C264B2" w14:textId="1687445E" w:rsidTr="005369AF">
        <w:tc>
          <w:tcPr>
            <w:tcW w:w="3628" w:type="dxa"/>
          </w:tcPr>
          <w:p w14:paraId="1502BA8E" w14:textId="5B9137E2" w:rsidR="00D313BB" w:rsidRPr="00B568F3" w:rsidRDefault="00D313BB" w:rsidP="002D1B1F">
            <w:pPr>
              <w:spacing w:after="200" w:line="276" w:lineRule="auto"/>
              <w:contextualSpacing/>
              <w:rPr>
                <w:rFonts w:ascii="Arial" w:eastAsia="Calibri" w:hAnsi="Arial" w:cs="Arial"/>
                <w:b/>
                <w:bCs/>
                <w:sz w:val="24"/>
                <w:szCs w:val="24"/>
                <w:lang w:eastAsia="en-GB"/>
              </w:rPr>
            </w:pPr>
            <w:r w:rsidRPr="00B568F3">
              <w:rPr>
                <w:rFonts w:ascii="Arial" w:eastAsia="Calibri" w:hAnsi="Arial" w:cs="Arial"/>
                <w:b/>
                <w:bCs/>
                <w:sz w:val="24"/>
                <w:szCs w:val="24"/>
                <w:lang w:eastAsia="en-GB"/>
              </w:rPr>
              <w:t>Numbers carrying forward</w:t>
            </w:r>
          </w:p>
        </w:tc>
        <w:tc>
          <w:tcPr>
            <w:tcW w:w="1257" w:type="dxa"/>
            <w:vAlign w:val="center"/>
          </w:tcPr>
          <w:p w14:paraId="24BBA797" w14:textId="0B756204" w:rsidR="00D313BB" w:rsidRPr="00B568F3" w:rsidRDefault="00921536" w:rsidP="0032616D">
            <w:pPr>
              <w:spacing w:after="200" w:line="276" w:lineRule="auto"/>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443</w:t>
            </w:r>
          </w:p>
        </w:tc>
        <w:tc>
          <w:tcPr>
            <w:tcW w:w="1578" w:type="dxa"/>
            <w:vAlign w:val="center"/>
          </w:tcPr>
          <w:p w14:paraId="4E1902B4" w14:textId="2E9530EC" w:rsidR="00D313BB" w:rsidRPr="00B568F3" w:rsidRDefault="003027B8" w:rsidP="0032616D">
            <w:pPr>
              <w:spacing w:after="200" w:line="276" w:lineRule="auto"/>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14.2%</w:t>
            </w:r>
          </w:p>
        </w:tc>
        <w:tc>
          <w:tcPr>
            <w:tcW w:w="1257" w:type="dxa"/>
            <w:vAlign w:val="center"/>
          </w:tcPr>
          <w:p w14:paraId="30898BBB" w14:textId="58945F6D" w:rsidR="00D313BB" w:rsidRPr="00B568F3" w:rsidRDefault="00921536" w:rsidP="0032616D">
            <w:pPr>
              <w:spacing w:after="200" w:line="276" w:lineRule="auto"/>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1,184</w:t>
            </w:r>
          </w:p>
        </w:tc>
        <w:tc>
          <w:tcPr>
            <w:tcW w:w="1578" w:type="dxa"/>
            <w:vAlign w:val="center"/>
          </w:tcPr>
          <w:p w14:paraId="5E567934" w14:textId="74774A2F" w:rsidR="00D313BB" w:rsidRPr="00B568F3" w:rsidRDefault="003027B8" w:rsidP="0032616D">
            <w:pPr>
              <w:spacing w:after="200" w:line="276" w:lineRule="auto"/>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1.9%</w:t>
            </w:r>
          </w:p>
        </w:tc>
      </w:tr>
    </w:tbl>
    <w:p w14:paraId="7CD21666" w14:textId="3EE9A782" w:rsidR="0012567B" w:rsidRPr="000C06A7" w:rsidRDefault="00AD236F" w:rsidP="005369AF">
      <w:pPr>
        <w:spacing w:after="0"/>
        <w:jc w:val="right"/>
        <w:rPr>
          <w:rFonts w:ascii="Arial" w:hAnsi="Arial" w:cs="Arial"/>
          <w:i/>
          <w:iCs/>
        </w:rPr>
      </w:pPr>
      <w:r w:rsidRPr="000C06A7">
        <w:rPr>
          <w:rFonts w:ascii="Arial" w:hAnsi="Arial" w:cs="Arial"/>
          <w:i/>
          <w:iCs/>
        </w:rPr>
        <w:t xml:space="preserve">Number on programme = </w:t>
      </w:r>
      <w:r w:rsidR="00B74364" w:rsidRPr="000C06A7">
        <w:rPr>
          <w:rFonts w:ascii="Arial" w:hAnsi="Arial" w:cs="Arial"/>
          <w:i/>
          <w:iCs/>
        </w:rPr>
        <w:t xml:space="preserve">Number on programme on </w:t>
      </w:r>
      <w:r w:rsidR="009149EF" w:rsidRPr="000C06A7">
        <w:rPr>
          <w:rFonts w:ascii="Arial" w:hAnsi="Arial" w:cs="Arial"/>
          <w:i/>
          <w:iCs/>
        </w:rPr>
        <w:t xml:space="preserve">1 </w:t>
      </w:r>
      <w:r w:rsidR="00B74364" w:rsidRPr="000C06A7">
        <w:rPr>
          <w:rFonts w:ascii="Arial" w:hAnsi="Arial" w:cs="Arial"/>
          <w:i/>
          <w:iCs/>
        </w:rPr>
        <w:t xml:space="preserve">April </w:t>
      </w:r>
      <w:r w:rsidR="00B74364" w:rsidRPr="000C06A7">
        <w:rPr>
          <w:rFonts w:ascii="Arial" w:hAnsi="Arial" w:cs="Arial"/>
          <w:i/>
          <w:iCs/>
          <w:vertAlign w:val="superscript"/>
        </w:rPr>
        <w:t>t</w:t>
      </w:r>
      <w:r w:rsidR="00B74364" w:rsidRPr="000C06A7">
        <w:rPr>
          <w:rFonts w:ascii="Arial" w:hAnsi="Arial" w:cs="Arial"/>
          <w:i/>
          <w:iCs/>
        </w:rPr>
        <w:t xml:space="preserve"> and enrolled during the year</w:t>
      </w:r>
    </w:p>
    <w:p w14:paraId="4398F9EE" w14:textId="3F2E94BD" w:rsidR="5EF60A1F" w:rsidRPr="000C06A7" w:rsidRDefault="00446635" w:rsidP="0012567B">
      <w:pPr>
        <w:jc w:val="right"/>
        <w:rPr>
          <w:rFonts w:ascii="Arial" w:hAnsi="Arial" w:cs="Arial"/>
          <w:i/>
          <w:iCs/>
        </w:rPr>
      </w:pPr>
      <w:r w:rsidRPr="000C06A7">
        <w:rPr>
          <w:rFonts w:ascii="Arial" w:hAnsi="Arial" w:cs="Arial"/>
          <w:i/>
          <w:iCs/>
        </w:rPr>
        <w:t xml:space="preserve">*One region has declared that they no longer collect AWIF completion data that will </w:t>
      </w:r>
      <w:r w:rsidR="00333C30" w:rsidRPr="000C06A7">
        <w:rPr>
          <w:rFonts w:ascii="Arial" w:hAnsi="Arial" w:cs="Arial"/>
          <w:i/>
          <w:iCs/>
        </w:rPr>
        <w:t>affect</w:t>
      </w:r>
      <w:r w:rsidR="002D3454" w:rsidRPr="000C06A7">
        <w:rPr>
          <w:rFonts w:ascii="Arial" w:hAnsi="Arial" w:cs="Arial"/>
          <w:i/>
          <w:iCs/>
        </w:rPr>
        <w:t xml:space="preserve"> the totals and </w:t>
      </w:r>
      <w:r w:rsidR="009149EF" w:rsidRPr="000C06A7">
        <w:rPr>
          <w:rFonts w:ascii="Arial" w:hAnsi="Arial" w:cs="Arial"/>
          <w:i/>
          <w:iCs/>
        </w:rPr>
        <w:t>percentage</w:t>
      </w:r>
      <w:r w:rsidR="002D3454" w:rsidRPr="000C06A7">
        <w:rPr>
          <w:rFonts w:ascii="Arial" w:hAnsi="Arial" w:cs="Arial"/>
          <w:i/>
          <w:iCs/>
        </w:rPr>
        <w:t xml:space="preserve"> change trend.</w:t>
      </w:r>
    </w:p>
    <w:p w14:paraId="624AE0EC" w14:textId="77777777" w:rsidR="002D3454" w:rsidRPr="000C06A7" w:rsidRDefault="002D3454" w:rsidP="002D3454">
      <w:pPr>
        <w:jc w:val="right"/>
        <w:rPr>
          <w:rFonts w:ascii="Arial" w:hAnsi="Arial" w:cs="Arial"/>
          <w:i/>
          <w:iCs/>
        </w:rPr>
      </w:pPr>
    </w:p>
    <w:p w14:paraId="45F6D43B" w14:textId="77777777" w:rsidR="002D3454" w:rsidRPr="000C06A7" w:rsidRDefault="002D3454" w:rsidP="002D3454">
      <w:pPr>
        <w:jc w:val="right"/>
        <w:rPr>
          <w:rFonts w:ascii="Arial" w:hAnsi="Arial" w:cs="Arial"/>
          <w:i/>
          <w:iCs/>
        </w:rPr>
      </w:pPr>
    </w:p>
    <w:p w14:paraId="07E91000" w14:textId="77777777" w:rsidR="002D3454" w:rsidRPr="000C06A7" w:rsidRDefault="002D3454" w:rsidP="002D3454">
      <w:pPr>
        <w:jc w:val="right"/>
        <w:rPr>
          <w:rFonts w:ascii="Arial" w:hAnsi="Arial" w:cs="Arial"/>
          <w:i/>
          <w:iCs/>
        </w:rPr>
      </w:pPr>
    </w:p>
    <w:p w14:paraId="4470420D" w14:textId="77777777" w:rsidR="002D3454" w:rsidRPr="000C06A7" w:rsidRDefault="002D3454" w:rsidP="007615D2">
      <w:pPr>
        <w:rPr>
          <w:rFonts w:ascii="Arial" w:hAnsi="Arial" w:cs="Arial"/>
        </w:rPr>
      </w:pPr>
    </w:p>
    <w:p w14:paraId="4DBFA717" w14:textId="77777777" w:rsidR="002D3454" w:rsidRPr="000C06A7" w:rsidRDefault="002D3454" w:rsidP="002D3454">
      <w:pPr>
        <w:jc w:val="right"/>
        <w:rPr>
          <w:rFonts w:ascii="Arial" w:hAnsi="Arial" w:cs="Arial"/>
          <w:i/>
          <w:iCs/>
        </w:rPr>
      </w:pPr>
    </w:p>
    <w:p w14:paraId="71684722" w14:textId="77777777" w:rsidR="002D3454" w:rsidRPr="000C06A7" w:rsidRDefault="002D3454" w:rsidP="002D3454">
      <w:pPr>
        <w:jc w:val="right"/>
        <w:rPr>
          <w:rFonts w:ascii="Arial" w:hAnsi="Arial" w:cs="Arial"/>
          <w:i/>
          <w:iCs/>
        </w:rPr>
      </w:pPr>
    </w:p>
    <w:p w14:paraId="586B00D4" w14:textId="77777777" w:rsidR="002D3454" w:rsidRPr="000C06A7" w:rsidRDefault="002D3454" w:rsidP="002D3454">
      <w:pPr>
        <w:jc w:val="right"/>
        <w:rPr>
          <w:rFonts w:ascii="Arial" w:hAnsi="Arial" w:cs="Arial"/>
          <w:i/>
          <w:iCs/>
        </w:rPr>
      </w:pPr>
    </w:p>
    <w:p w14:paraId="10D4A28C" w14:textId="77777777" w:rsidR="002D3454" w:rsidRPr="000C06A7" w:rsidRDefault="002D3454" w:rsidP="002D3454">
      <w:pPr>
        <w:jc w:val="right"/>
        <w:rPr>
          <w:rFonts w:ascii="Arial" w:hAnsi="Arial" w:cs="Arial"/>
          <w:i/>
          <w:iCs/>
        </w:rPr>
      </w:pPr>
    </w:p>
    <w:p w14:paraId="48298DB9" w14:textId="77777777" w:rsidR="002D3454" w:rsidRPr="000C06A7" w:rsidRDefault="002D3454" w:rsidP="002D3454">
      <w:pPr>
        <w:jc w:val="right"/>
        <w:rPr>
          <w:rFonts w:ascii="Arial" w:hAnsi="Arial" w:cs="Arial"/>
          <w:i/>
          <w:iCs/>
        </w:rPr>
      </w:pPr>
    </w:p>
    <w:p w14:paraId="72EA07B1" w14:textId="77777777" w:rsidR="002D3454" w:rsidRPr="000C06A7" w:rsidRDefault="002D3454" w:rsidP="002D3454">
      <w:pPr>
        <w:jc w:val="right"/>
        <w:rPr>
          <w:rFonts w:ascii="Arial" w:hAnsi="Arial" w:cs="Arial"/>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D1B1F" w:rsidRPr="00B568F3" w14:paraId="2AFCFE9D" w14:textId="77777777" w:rsidTr="4BA15C28">
        <w:tc>
          <w:tcPr>
            <w:tcW w:w="9026" w:type="dxa"/>
          </w:tcPr>
          <w:p w14:paraId="3CE357BE" w14:textId="60EDEBC2" w:rsidR="002D1B1F" w:rsidRPr="00B568F3" w:rsidRDefault="002D1B1F" w:rsidP="00FC716F">
            <w:pPr>
              <w:contextualSpacing/>
              <w:rPr>
                <w:rFonts w:ascii="Arial" w:eastAsia="Calibri" w:hAnsi="Arial" w:cs="Arial"/>
                <w:b/>
                <w:bCs/>
                <w:sz w:val="24"/>
                <w:szCs w:val="24"/>
              </w:rPr>
            </w:pPr>
            <w:r w:rsidRPr="00B568F3">
              <w:rPr>
                <w:rFonts w:ascii="Arial" w:eastAsia="Calibri" w:hAnsi="Arial" w:cs="Arial"/>
                <w:b/>
                <w:bCs/>
                <w:sz w:val="24"/>
                <w:szCs w:val="24"/>
              </w:rPr>
              <w:t xml:space="preserve">Figure </w:t>
            </w:r>
            <w:r w:rsidR="000B612F" w:rsidRPr="00B568F3">
              <w:rPr>
                <w:rFonts w:ascii="Arial" w:eastAsia="Calibri" w:hAnsi="Arial" w:cs="Arial"/>
                <w:b/>
                <w:bCs/>
                <w:sz w:val="24"/>
                <w:szCs w:val="24"/>
              </w:rPr>
              <w:t>12</w:t>
            </w:r>
            <w:r w:rsidRPr="00B568F3">
              <w:rPr>
                <w:rFonts w:ascii="Arial" w:eastAsia="Calibri" w:hAnsi="Arial" w:cs="Arial"/>
                <w:b/>
                <w:bCs/>
                <w:sz w:val="24"/>
                <w:szCs w:val="24"/>
              </w:rPr>
              <w:t xml:space="preserve">: </w:t>
            </w:r>
            <w:r w:rsidR="00513153" w:rsidRPr="00B568F3">
              <w:rPr>
                <w:rFonts w:ascii="Arial" w:eastAsia="Calibri" w:hAnsi="Arial" w:cs="Arial"/>
                <w:b/>
                <w:bCs/>
                <w:sz w:val="24"/>
                <w:szCs w:val="24"/>
              </w:rPr>
              <w:t xml:space="preserve">Number of people on </w:t>
            </w:r>
            <w:r w:rsidR="00FC434B" w:rsidRPr="00B568F3">
              <w:rPr>
                <w:rFonts w:ascii="Arial" w:eastAsia="Calibri" w:hAnsi="Arial" w:cs="Arial"/>
                <w:b/>
                <w:bCs/>
                <w:sz w:val="24"/>
                <w:szCs w:val="24"/>
              </w:rPr>
              <w:t>v</w:t>
            </w:r>
            <w:r w:rsidRPr="00B568F3">
              <w:rPr>
                <w:rFonts w:ascii="Arial" w:eastAsia="Calibri" w:hAnsi="Arial" w:cs="Arial"/>
                <w:b/>
                <w:bCs/>
                <w:sz w:val="24"/>
                <w:szCs w:val="24"/>
              </w:rPr>
              <w:t xml:space="preserve">ocational awards and AWIF </w:t>
            </w:r>
            <w:r w:rsidR="00FC434B" w:rsidRPr="00B568F3">
              <w:rPr>
                <w:rFonts w:ascii="Arial" w:eastAsia="Calibri" w:hAnsi="Arial" w:cs="Arial"/>
                <w:b/>
                <w:bCs/>
                <w:sz w:val="24"/>
                <w:szCs w:val="24"/>
              </w:rPr>
              <w:t>programmes</w:t>
            </w:r>
            <w:r w:rsidRPr="00B568F3">
              <w:rPr>
                <w:rFonts w:ascii="Arial" w:eastAsia="Calibri" w:hAnsi="Arial" w:cs="Arial"/>
                <w:b/>
                <w:bCs/>
                <w:sz w:val="24"/>
                <w:szCs w:val="24"/>
              </w:rPr>
              <w:t xml:space="preserve">, </w:t>
            </w:r>
            <w:r w:rsidR="009149EF" w:rsidRPr="00B568F3">
              <w:rPr>
                <w:rFonts w:ascii="Arial" w:eastAsia="Calibri" w:hAnsi="Arial" w:cs="Arial"/>
                <w:b/>
                <w:bCs/>
                <w:sz w:val="24"/>
                <w:szCs w:val="24"/>
              </w:rPr>
              <w:t xml:space="preserve">the </w:t>
            </w:r>
            <w:r w:rsidRPr="00B568F3">
              <w:rPr>
                <w:rFonts w:ascii="Arial" w:eastAsia="Calibri" w:hAnsi="Arial" w:cs="Arial"/>
                <w:b/>
                <w:bCs/>
                <w:sz w:val="24"/>
                <w:szCs w:val="24"/>
              </w:rPr>
              <w:t>three</w:t>
            </w:r>
            <w:r w:rsidR="004A4ED5" w:rsidRPr="00B568F3">
              <w:rPr>
                <w:rFonts w:ascii="Arial" w:eastAsia="Calibri" w:hAnsi="Arial" w:cs="Arial"/>
                <w:b/>
                <w:bCs/>
                <w:sz w:val="24"/>
                <w:szCs w:val="24"/>
              </w:rPr>
              <w:t>-</w:t>
            </w:r>
            <w:r w:rsidRPr="00B568F3">
              <w:rPr>
                <w:rFonts w:ascii="Arial" w:eastAsia="Calibri" w:hAnsi="Arial" w:cs="Arial"/>
                <w:b/>
                <w:bCs/>
                <w:sz w:val="24"/>
                <w:szCs w:val="24"/>
              </w:rPr>
              <w:t xml:space="preserve">year trend </w:t>
            </w:r>
          </w:p>
          <w:p w14:paraId="78A9F3DB" w14:textId="77777777" w:rsidR="002D1B1F" w:rsidRPr="00B568F3" w:rsidRDefault="002D1B1F" w:rsidP="00FC716F">
            <w:pPr>
              <w:spacing w:before="120" w:after="120"/>
              <w:contextualSpacing/>
              <w:rPr>
                <w:rFonts w:ascii="Arial" w:eastAsia="Calibri" w:hAnsi="Arial" w:cs="Arial"/>
                <w:b/>
                <w:bCs/>
                <w:color w:val="FF0000"/>
                <w:sz w:val="24"/>
                <w:szCs w:val="24"/>
              </w:rPr>
            </w:pPr>
          </w:p>
        </w:tc>
      </w:tr>
      <w:tr w:rsidR="002D1B1F" w:rsidRPr="00B568F3" w14:paraId="645958E1" w14:textId="77777777" w:rsidTr="4BA15C28">
        <w:tc>
          <w:tcPr>
            <w:tcW w:w="9026" w:type="dxa"/>
          </w:tcPr>
          <w:p w14:paraId="46C08FCC" w14:textId="71E97BB5" w:rsidR="002D1B1F" w:rsidRPr="00B568F3" w:rsidRDefault="00733B85" w:rsidP="00FC716F">
            <w:pPr>
              <w:contextualSpacing/>
              <w:rPr>
                <w:rFonts w:ascii="Arial" w:eastAsia="Calibri" w:hAnsi="Arial" w:cs="Arial"/>
                <w:color w:val="FF0000"/>
                <w:sz w:val="24"/>
                <w:szCs w:val="24"/>
              </w:rPr>
            </w:pPr>
            <w:r w:rsidRPr="000C06A7">
              <w:rPr>
                <w:rFonts w:ascii="Arial" w:hAnsi="Arial" w:cs="Arial"/>
                <w:noProof/>
              </w:rPr>
              <w:drawing>
                <wp:inline distT="0" distB="0" distL="0" distR="0" wp14:anchorId="0F868608" wp14:editId="3CC2BA1D">
                  <wp:extent cx="5731200" cy="3744566"/>
                  <wp:effectExtent l="0" t="0" r="3175" b="8890"/>
                  <wp:docPr id="1381083807" name="Picture 3" descr="Figure 12: Bar chart showing the number of people on vocational awards and AWIF programmes, the three-year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83807" name="Picture 3" descr="Figure 12: Bar chart showing the number of people on vocational awards and AWIF programmes, the three-year tren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31200" cy="3744566"/>
                          </a:xfrm>
                          <a:prstGeom prst="rect">
                            <a:avLst/>
                          </a:prstGeom>
                        </pic:spPr>
                      </pic:pic>
                    </a:graphicData>
                  </a:graphic>
                </wp:inline>
              </w:drawing>
            </w:r>
          </w:p>
        </w:tc>
      </w:tr>
    </w:tbl>
    <w:p w14:paraId="4D1EFF86" w14:textId="6E12232E" w:rsidR="002D1B1F" w:rsidRPr="000C06A7" w:rsidRDefault="002D1B1F" w:rsidP="000C06A7">
      <w:pPr>
        <w:pStyle w:val="Heading3"/>
        <w:rPr>
          <w:lang w:eastAsia="en-GB"/>
        </w:rPr>
      </w:pPr>
      <w:bookmarkStart w:id="14" w:name="_Toc179481633"/>
      <w:r w:rsidRPr="000C06A7">
        <w:rPr>
          <w:lang w:eastAsia="en-GB"/>
        </w:rPr>
        <w:t>Social work</w:t>
      </w:r>
      <w:bookmarkEnd w:id="14"/>
    </w:p>
    <w:p w14:paraId="4DEE5106" w14:textId="5B67AA82" w:rsidR="004B3D66" w:rsidRPr="00B568F3" w:rsidRDefault="00727EDE" w:rsidP="008578B5">
      <w:pPr>
        <w:rPr>
          <w:rFonts w:ascii="Arial" w:eastAsia="Calibri" w:hAnsi="Arial" w:cs="Arial"/>
          <w:sz w:val="24"/>
          <w:szCs w:val="24"/>
        </w:rPr>
      </w:pPr>
      <w:r>
        <w:rPr>
          <w:rFonts w:ascii="Arial" w:eastAsia="Calibri" w:hAnsi="Arial" w:cs="Arial"/>
          <w:sz w:val="24"/>
          <w:szCs w:val="24"/>
        </w:rPr>
        <w:br/>
      </w:r>
      <w:r w:rsidR="004B3D66" w:rsidRPr="00B568F3">
        <w:rPr>
          <w:rFonts w:ascii="Arial" w:eastAsia="Calibri" w:hAnsi="Arial" w:cs="Arial"/>
          <w:sz w:val="24"/>
          <w:szCs w:val="24"/>
        </w:rPr>
        <w:t xml:space="preserve">Social work qualifying </w:t>
      </w:r>
      <w:r w:rsidR="00040D76" w:rsidRPr="00B568F3">
        <w:rPr>
          <w:rFonts w:ascii="Arial" w:eastAsia="Calibri" w:hAnsi="Arial" w:cs="Arial"/>
          <w:sz w:val="24"/>
          <w:szCs w:val="24"/>
        </w:rPr>
        <w:t>awards.</w:t>
      </w:r>
    </w:p>
    <w:p w14:paraId="3AA67E2B" w14:textId="77777777" w:rsidR="004B3D66" w:rsidRPr="000C06A7" w:rsidRDefault="004B3D66" w:rsidP="008578B5">
      <w:pPr>
        <w:rPr>
          <w:rFonts w:ascii="Arial" w:hAnsi="Arial" w:cs="Arial"/>
          <w:u w:val="single"/>
        </w:rPr>
      </w:pPr>
    </w:p>
    <w:p w14:paraId="1C07E844" w14:textId="58CD2E02" w:rsidR="00F04E95" w:rsidRPr="00B568F3" w:rsidRDefault="005C6981"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Figure 13 shows the levels </w:t>
      </w:r>
      <w:r w:rsidR="002B51CD" w:rsidRPr="00B568F3">
        <w:rPr>
          <w:rFonts w:ascii="Arial" w:eastAsia="Calibri" w:hAnsi="Arial" w:cs="Arial"/>
          <w:sz w:val="24"/>
          <w:szCs w:val="24"/>
          <w:lang w:eastAsia="en-GB"/>
        </w:rPr>
        <w:t>taking part in</w:t>
      </w:r>
      <w:r w:rsidRPr="00B568F3" w:rsidDel="002B51CD">
        <w:rPr>
          <w:rFonts w:ascii="Arial" w:eastAsia="Calibri" w:hAnsi="Arial" w:cs="Arial"/>
          <w:sz w:val="24"/>
          <w:szCs w:val="24"/>
          <w:lang w:eastAsia="en-GB"/>
        </w:rPr>
        <w:t xml:space="preserve"> </w:t>
      </w:r>
      <w:r w:rsidRPr="00B568F3">
        <w:rPr>
          <w:rFonts w:ascii="Arial" w:eastAsia="Calibri" w:hAnsi="Arial" w:cs="Arial"/>
          <w:sz w:val="24"/>
          <w:szCs w:val="24"/>
          <w:lang w:eastAsia="en-GB"/>
        </w:rPr>
        <w:t>social work qualifying programmes in 2023</w:t>
      </w:r>
      <w:r w:rsidR="008510D3" w:rsidRPr="00B568F3">
        <w:rPr>
          <w:rFonts w:ascii="Arial" w:eastAsia="Calibri" w:hAnsi="Arial" w:cs="Arial"/>
          <w:sz w:val="24"/>
          <w:szCs w:val="24"/>
          <w:lang w:eastAsia="en-GB"/>
        </w:rPr>
        <w:t xml:space="preserve"> to </w:t>
      </w:r>
      <w:r w:rsidRPr="00B568F3">
        <w:rPr>
          <w:rFonts w:ascii="Arial" w:eastAsia="Calibri" w:hAnsi="Arial" w:cs="Arial"/>
          <w:sz w:val="24"/>
          <w:szCs w:val="24"/>
          <w:lang w:eastAsia="en-GB"/>
        </w:rPr>
        <w:t xml:space="preserve">2024 </w:t>
      </w:r>
      <w:r w:rsidR="008510D3" w:rsidRPr="00B568F3">
        <w:rPr>
          <w:rFonts w:ascii="Arial" w:eastAsia="Calibri" w:hAnsi="Arial" w:cs="Arial"/>
          <w:sz w:val="24"/>
          <w:szCs w:val="24"/>
          <w:lang w:eastAsia="en-GB"/>
        </w:rPr>
        <w:t xml:space="preserve">and </w:t>
      </w:r>
      <w:r w:rsidR="009D5E01" w:rsidRPr="00B568F3">
        <w:rPr>
          <w:rFonts w:ascii="Arial" w:eastAsia="Calibri" w:hAnsi="Arial" w:cs="Arial"/>
          <w:sz w:val="24"/>
          <w:szCs w:val="24"/>
          <w:lang w:eastAsia="en-GB"/>
        </w:rPr>
        <w:t>t</w:t>
      </w:r>
      <w:r w:rsidRPr="00B568F3">
        <w:rPr>
          <w:rFonts w:ascii="Arial" w:eastAsia="Calibri" w:hAnsi="Arial" w:cs="Arial"/>
          <w:sz w:val="24"/>
          <w:szCs w:val="24"/>
          <w:lang w:eastAsia="en-GB"/>
        </w:rPr>
        <w:t xml:space="preserve">able </w:t>
      </w:r>
      <w:r w:rsidR="00856FF8" w:rsidRPr="00B568F3">
        <w:rPr>
          <w:rFonts w:ascii="Arial" w:eastAsia="Calibri" w:hAnsi="Arial" w:cs="Arial"/>
          <w:sz w:val="24"/>
          <w:szCs w:val="24"/>
          <w:lang w:eastAsia="en-GB"/>
        </w:rPr>
        <w:t xml:space="preserve">9 </w:t>
      </w:r>
      <w:r w:rsidR="00173678" w:rsidRPr="00B568F3">
        <w:rPr>
          <w:rFonts w:ascii="Arial" w:eastAsia="Calibri" w:hAnsi="Arial" w:cs="Arial"/>
          <w:sz w:val="24"/>
          <w:szCs w:val="24"/>
          <w:lang w:eastAsia="en-GB"/>
        </w:rPr>
        <w:t>shows the three</w:t>
      </w:r>
      <w:r w:rsidR="00E074F2" w:rsidRPr="00B568F3">
        <w:rPr>
          <w:rFonts w:ascii="Arial" w:eastAsia="Calibri" w:hAnsi="Arial" w:cs="Arial"/>
          <w:sz w:val="24"/>
          <w:szCs w:val="24"/>
          <w:lang w:eastAsia="en-GB"/>
        </w:rPr>
        <w:t>-</w:t>
      </w:r>
      <w:r w:rsidR="00173678" w:rsidRPr="00B568F3">
        <w:rPr>
          <w:rFonts w:ascii="Arial" w:eastAsia="Calibri" w:hAnsi="Arial" w:cs="Arial"/>
          <w:sz w:val="24"/>
          <w:szCs w:val="24"/>
          <w:lang w:eastAsia="en-GB"/>
        </w:rPr>
        <w:t xml:space="preserve">year trend for </w:t>
      </w:r>
      <w:r w:rsidR="00F04E95" w:rsidRPr="00B568F3">
        <w:rPr>
          <w:rFonts w:ascii="Arial" w:eastAsia="Calibri" w:hAnsi="Arial" w:cs="Arial"/>
          <w:sz w:val="24"/>
          <w:szCs w:val="24"/>
          <w:lang w:eastAsia="en-GB"/>
        </w:rPr>
        <w:t>routes into social work qualifying awards.</w:t>
      </w:r>
    </w:p>
    <w:p w14:paraId="747A73F1" w14:textId="77777777" w:rsidR="00467408" w:rsidRPr="00B568F3" w:rsidRDefault="00467408" w:rsidP="00467408">
      <w:pPr>
        <w:spacing w:after="200" w:line="276" w:lineRule="auto"/>
        <w:contextualSpacing/>
        <w:rPr>
          <w:rFonts w:ascii="Arial" w:eastAsia="Calibri" w:hAnsi="Arial" w:cs="Arial"/>
          <w:sz w:val="24"/>
          <w:szCs w:val="24"/>
          <w:lang w:eastAsia="en-GB"/>
        </w:rPr>
      </w:pPr>
    </w:p>
    <w:p w14:paraId="15BC63CF" w14:textId="77777777" w:rsidR="00467408" w:rsidRPr="00B568F3" w:rsidRDefault="00467408" w:rsidP="00467408">
      <w:pPr>
        <w:spacing w:after="200" w:line="276" w:lineRule="auto"/>
        <w:contextualSpacing/>
        <w:rPr>
          <w:rFonts w:ascii="Arial" w:eastAsia="Calibri" w:hAnsi="Arial" w:cs="Arial"/>
          <w:sz w:val="24"/>
          <w:szCs w:val="24"/>
          <w:lang w:eastAsia="en-GB"/>
        </w:rPr>
      </w:pPr>
    </w:p>
    <w:p w14:paraId="59FDD92E" w14:textId="77777777" w:rsidR="00467408" w:rsidRPr="00B568F3" w:rsidRDefault="00467408" w:rsidP="00467408">
      <w:pPr>
        <w:spacing w:after="200" w:line="276" w:lineRule="auto"/>
        <w:contextualSpacing/>
        <w:rPr>
          <w:rFonts w:ascii="Arial" w:eastAsia="Calibri" w:hAnsi="Arial" w:cs="Arial"/>
          <w:sz w:val="24"/>
          <w:szCs w:val="24"/>
          <w:lang w:eastAsia="en-GB"/>
        </w:rPr>
      </w:pPr>
    </w:p>
    <w:p w14:paraId="5D2BF068" w14:textId="77777777" w:rsidR="00467408" w:rsidRPr="00B568F3" w:rsidRDefault="00467408" w:rsidP="00467408">
      <w:pPr>
        <w:spacing w:after="200" w:line="276" w:lineRule="auto"/>
        <w:contextualSpacing/>
        <w:rPr>
          <w:rFonts w:ascii="Arial" w:eastAsia="Calibri" w:hAnsi="Arial" w:cs="Arial"/>
          <w:sz w:val="24"/>
          <w:szCs w:val="24"/>
          <w:lang w:eastAsia="en-GB"/>
        </w:rPr>
      </w:pPr>
    </w:p>
    <w:p w14:paraId="73520C89" w14:textId="77777777" w:rsidR="00467408" w:rsidRPr="00B568F3" w:rsidRDefault="00467408" w:rsidP="00467408">
      <w:pPr>
        <w:spacing w:after="200" w:line="276" w:lineRule="auto"/>
        <w:contextualSpacing/>
        <w:rPr>
          <w:rFonts w:ascii="Arial" w:eastAsia="Calibri" w:hAnsi="Arial" w:cs="Arial"/>
          <w:sz w:val="24"/>
          <w:szCs w:val="24"/>
          <w:lang w:eastAsia="en-GB"/>
        </w:rPr>
      </w:pPr>
    </w:p>
    <w:p w14:paraId="29A63141" w14:textId="77777777" w:rsidR="00467408" w:rsidRPr="00B568F3" w:rsidRDefault="00467408" w:rsidP="00467408">
      <w:pPr>
        <w:spacing w:after="200" w:line="276" w:lineRule="auto"/>
        <w:contextualSpacing/>
        <w:rPr>
          <w:rFonts w:ascii="Arial" w:eastAsia="Calibri" w:hAnsi="Arial" w:cs="Arial"/>
          <w:sz w:val="24"/>
          <w:szCs w:val="24"/>
          <w:lang w:eastAsia="en-GB"/>
        </w:rPr>
      </w:pPr>
    </w:p>
    <w:p w14:paraId="3AAD3C9D" w14:textId="77777777" w:rsidR="00467408" w:rsidRPr="00B568F3" w:rsidRDefault="00467408" w:rsidP="00467408">
      <w:pPr>
        <w:spacing w:after="200" w:line="276" w:lineRule="auto"/>
        <w:contextualSpacing/>
        <w:rPr>
          <w:rFonts w:ascii="Arial" w:eastAsia="Calibri" w:hAnsi="Arial" w:cs="Arial"/>
          <w:sz w:val="24"/>
          <w:szCs w:val="24"/>
          <w:lang w:eastAsia="en-GB"/>
        </w:rPr>
      </w:pPr>
    </w:p>
    <w:p w14:paraId="4083F419" w14:textId="77777777" w:rsidR="00467408" w:rsidRPr="00B568F3" w:rsidRDefault="00467408" w:rsidP="00467408">
      <w:pPr>
        <w:spacing w:after="200" w:line="276" w:lineRule="auto"/>
        <w:contextualSpacing/>
        <w:rPr>
          <w:rFonts w:ascii="Arial" w:eastAsia="Calibri" w:hAnsi="Arial" w:cs="Arial"/>
          <w:sz w:val="24"/>
          <w:szCs w:val="24"/>
          <w:lang w:eastAsia="en-GB"/>
        </w:rPr>
      </w:pPr>
    </w:p>
    <w:p w14:paraId="7D51DE13" w14:textId="77777777" w:rsidR="00467408" w:rsidRPr="00B568F3" w:rsidRDefault="00467408" w:rsidP="00467408">
      <w:pPr>
        <w:spacing w:after="200" w:line="276" w:lineRule="auto"/>
        <w:contextualSpacing/>
        <w:rPr>
          <w:rFonts w:ascii="Arial" w:eastAsia="Calibri" w:hAnsi="Arial" w:cs="Arial"/>
          <w:sz w:val="24"/>
          <w:szCs w:val="24"/>
          <w:lang w:eastAsia="en-GB"/>
        </w:rPr>
      </w:pPr>
    </w:p>
    <w:p w14:paraId="04C12B90" w14:textId="77777777" w:rsidR="00467408" w:rsidRPr="00B568F3" w:rsidRDefault="00467408" w:rsidP="00467408">
      <w:pPr>
        <w:spacing w:after="200" w:line="276" w:lineRule="auto"/>
        <w:contextualSpacing/>
        <w:rPr>
          <w:rFonts w:ascii="Arial" w:eastAsia="Calibri" w:hAnsi="Arial" w:cs="Arial"/>
          <w:sz w:val="24"/>
          <w:szCs w:val="24"/>
          <w:lang w:eastAsia="en-GB"/>
        </w:rPr>
      </w:pPr>
    </w:p>
    <w:p w14:paraId="4CE7F0EB" w14:textId="77777777" w:rsidR="00467408" w:rsidRPr="00B568F3" w:rsidRDefault="00467408" w:rsidP="00467408">
      <w:pPr>
        <w:spacing w:after="200" w:line="276" w:lineRule="auto"/>
        <w:contextualSpacing/>
        <w:rPr>
          <w:rFonts w:ascii="Arial" w:eastAsia="Calibri" w:hAnsi="Arial" w:cs="Arial"/>
          <w:sz w:val="24"/>
          <w:szCs w:val="24"/>
          <w:lang w:eastAsia="en-GB"/>
        </w:rPr>
      </w:pPr>
    </w:p>
    <w:p w14:paraId="4E2E52FB" w14:textId="77777777" w:rsidR="00467408" w:rsidRPr="00B568F3" w:rsidRDefault="00467408" w:rsidP="00467408">
      <w:pPr>
        <w:spacing w:after="200" w:line="276" w:lineRule="auto"/>
        <w:contextualSpacing/>
        <w:rPr>
          <w:rFonts w:ascii="Arial" w:eastAsia="Calibri" w:hAnsi="Arial" w:cs="Arial"/>
          <w:sz w:val="24"/>
          <w:szCs w:val="24"/>
          <w:lang w:eastAsia="en-GB"/>
        </w:rPr>
      </w:pPr>
    </w:p>
    <w:p w14:paraId="21FE2518" w14:textId="77777777" w:rsidR="000A72F5" w:rsidRPr="00B568F3" w:rsidRDefault="000A72F5" w:rsidP="000A72F5">
      <w:pPr>
        <w:spacing w:after="200" w:line="276" w:lineRule="auto"/>
        <w:ind w:left="709"/>
        <w:contextualSpacing/>
        <w:rPr>
          <w:rFonts w:ascii="Arial" w:eastAsia="Calibri"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80670" w:rsidRPr="00B568F3" w14:paraId="4C2593FD" w14:textId="77777777" w:rsidTr="5EF60A1F">
        <w:tc>
          <w:tcPr>
            <w:tcW w:w="9026" w:type="dxa"/>
          </w:tcPr>
          <w:p w14:paraId="2BF7C118" w14:textId="4648FC68" w:rsidR="00780670" w:rsidRPr="00B568F3" w:rsidRDefault="00780670" w:rsidP="00FC716F">
            <w:pPr>
              <w:contextualSpacing/>
              <w:rPr>
                <w:rFonts w:ascii="Arial" w:eastAsia="Calibri" w:hAnsi="Arial" w:cs="Arial"/>
                <w:b/>
                <w:bCs/>
                <w:sz w:val="24"/>
                <w:szCs w:val="24"/>
              </w:rPr>
            </w:pPr>
            <w:r w:rsidRPr="00B568F3">
              <w:rPr>
                <w:rFonts w:ascii="Arial" w:eastAsia="Calibri" w:hAnsi="Arial" w:cs="Arial"/>
                <w:b/>
                <w:bCs/>
                <w:sz w:val="24"/>
                <w:szCs w:val="24"/>
              </w:rPr>
              <w:t>Figure 1</w:t>
            </w:r>
            <w:r w:rsidR="00487F48" w:rsidRPr="00B568F3">
              <w:rPr>
                <w:rFonts w:ascii="Arial" w:eastAsia="Calibri" w:hAnsi="Arial" w:cs="Arial"/>
                <w:b/>
                <w:bCs/>
                <w:sz w:val="24"/>
                <w:szCs w:val="24"/>
              </w:rPr>
              <w:t>3</w:t>
            </w:r>
            <w:r w:rsidRPr="00B568F3">
              <w:rPr>
                <w:rFonts w:ascii="Arial" w:eastAsia="Calibri" w:hAnsi="Arial" w:cs="Arial"/>
                <w:b/>
                <w:bCs/>
                <w:sz w:val="24"/>
                <w:szCs w:val="24"/>
              </w:rPr>
              <w:t>: Social work qualifying awards, 2023</w:t>
            </w:r>
            <w:r w:rsidR="0025365F" w:rsidRPr="00B568F3">
              <w:rPr>
                <w:rFonts w:ascii="Arial" w:eastAsia="Calibri" w:hAnsi="Arial" w:cs="Arial"/>
                <w:b/>
                <w:bCs/>
                <w:sz w:val="24"/>
                <w:szCs w:val="24"/>
              </w:rPr>
              <w:t xml:space="preserve"> to </w:t>
            </w:r>
            <w:r w:rsidRPr="00B568F3">
              <w:rPr>
                <w:rFonts w:ascii="Arial" w:eastAsia="Calibri" w:hAnsi="Arial" w:cs="Arial"/>
                <w:b/>
                <w:bCs/>
                <w:sz w:val="24"/>
                <w:szCs w:val="24"/>
              </w:rPr>
              <w:t>2024</w:t>
            </w:r>
          </w:p>
          <w:p w14:paraId="5AB77C3A" w14:textId="77777777" w:rsidR="00780670" w:rsidRPr="00B568F3" w:rsidRDefault="00780670" w:rsidP="00FC716F">
            <w:pPr>
              <w:spacing w:before="120" w:after="120"/>
              <w:contextualSpacing/>
              <w:rPr>
                <w:rFonts w:ascii="Arial" w:eastAsia="Calibri" w:hAnsi="Arial" w:cs="Arial"/>
                <w:b/>
                <w:bCs/>
                <w:color w:val="FF0000"/>
                <w:sz w:val="24"/>
                <w:szCs w:val="24"/>
              </w:rPr>
            </w:pPr>
          </w:p>
        </w:tc>
      </w:tr>
      <w:tr w:rsidR="00780670" w:rsidRPr="00B568F3" w14:paraId="37DEED15" w14:textId="77777777" w:rsidTr="5EF60A1F">
        <w:tc>
          <w:tcPr>
            <w:tcW w:w="9026" w:type="dxa"/>
          </w:tcPr>
          <w:p w14:paraId="58AB1F5C" w14:textId="092F6ACA" w:rsidR="00780670" w:rsidRPr="00B568F3" w:rsidRDefault="000B0915" w:rsidP="00FC716F">
            <w:pPr>
              <w:contextualSpacing/>
              <w:rPr>
                <w:rFonts w:ascii="Arial" w:eastAsia="Calibri" w:hAnsi="Arial" w:cs="Arial"/>
                <w:color w:val="FF0000"/>
                <w:sz w:val="24"/>
                <w:szCs w:val="24"/>
              </w:rPr>
            </w:pPr>
            <w:r w:rsidRPr="000C06A7">
              <w:rPr>
                <w:rFonts w:ascii="Arial" w:hAnsi="Arial" w:cs="Arial"/>
                <w:noProof/>
              </w:rPr>
              <w:drawing>
                <wp:inline distT="0" distB="0" distL="0" distR="0" wp14:anchorId="75CBBF91" wp14:editId="45F4770E">
                  <wp:extent cx="5731200" cy="3744566"/>
                  <wp:effectExtent l="0" t="0" r="3175" b="8890"/>
                  <wp:docPr id="490895701" name="Picture 1" descr="Figure 13: Social work qualifying awards, 2023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895701" name="Picture 1" descr="Figure 13: Social work qualifying awards, 2023 to 202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31200" cy="3744566"/>
                          </a:xfrm>
                          <a:prstGeom prst="rect">
                            <a:avLst/>
                          </a:prstGeom>
                        </pic:spPr>
                      </pic:pic>
                    </a:graphicData>
                  </a:graphic>
                </wp:inline>
              </w:drawing>
            </w:r>
          </w:p>
        </w:tc>
      </w:tr>
      <w:tr w:rsidR="00A978D4" w:rsidRPr="00B568F3" w14:paraId="76E5C7BA" w14:textId="77777777" w:rsidTr="5EF60A1F">
        <w:tc>
          <w:tcPr>
            <w:tcW w:w="9026" w:type="dxa"/>
          </w:tcPr>
          <w:p w14:paraId="5A4A7E8D" w14:textId="79080AFA" w:rsidR="00A978D4" w:rsidRPr="000C06A7" w:rsidRDefault="006718FB" w:rsidP="00DD4869">
            <w:pPr>
              <w:spacing w:before="120" w:after="120"/>
              <w:contextualSpacing/>
              <w:jc w:val="right"/>
              <w:rPr>
                <w:rFonts w:ascii="Arial" w:hAnsi="Arial" w:cs="Arial"/>
                <w:noProof/>
              </w:rPr>
            </w:pPr>
            <w:r w:rsidRPr="00B568F3">
              <w:rPr>
                <w:rFonts w:ascii="Arial" w:eastAsia="Calibri" w:hAnsi="Arial" w:cs="Arial"/>
                <w:i/>
                <w:iCs/>
                <w:sz w:val="20"/>
                <w:szCs w:val="20"/>
                <w:lang w:eastAsia="en-GB"/>
              </w:rPr>
              <w:t xml:space="preserve">Number on programme = Number on programme on 1 April and enrolled during </w:t>
            </w:r>
            <w:r w:rsidR="0025365F" w:rsidRPr="00B568F3">
              <w:rPr>
                <w:rFonts w:ascii="Arial" w:eastAsia="Calibri" w:hAnsi="Arial" w:cs="Arial"/>
                <w:i/>
                <w:iCs/>
                <w:sz w:val="20"/>
                <w:szCs w:val="20"/>
                <w:lang w:eastAsia="en-GB"/>
              </w:rPr>
              <w:t xml:space="preserve">the </w:t>
            </w:r>
            <w:r w:rsidRPr="00B568F3">
              <w:rPr>
                <w:rFonts w:ascii="Arial" w:eastAsia="Calibri" w:hAnsi="Arial" w:cs="Arial"/>
                <w:i/>
                <w:iCs/>
                <w:sz w:val="20"/>
                <w:szCs w:val="20"/>
                <w:lang w:eastAsia="en-GB"/>
              </w:rPr>
              <w:t>year</w:t>
            </w:r>
          </w:p>
        </w:tc>
      </w:tr>
    </w:tbl>
    <w:p w14:paraId="58926364" w14:textId="77777777" w:rsidR="00780670" w:rsidRPr="00B568F3" w:rsidRDefault="00780670" w:rsidP="00780670">
      <w:pPr>
        <w:spacing w:after="200" w:line="276" w:lineRule="auto"/>
        <w:contextualSpacing/>
        <w:rPr>
          <w:rFonts w:ascii="Arial" w:eastAsia="Calibri" w:hAnsi="Arial" w:cs="Arial"/>
          <w:sz w:val="24"/>
          <w:szCs w:val="24"/>
          <w:lang w:eastAsia="en-GB"/>
        </w:rPr>
      </w:pPr>
    </w:p>
    <w:p w14:paraId="43C4FC6E" w14:textId="449A19EC" w:rsidR="0040484A" w:rsidRPr="00B568F3" w:rsidRDefault="0040484A" w:rsidP="0040484A">
      <w:pPr>
        <w:spacing w:after="0" w:line="240" w:lineRule="auto"/>
        <w:rPr>
          <w:rFonts w:ascii="Arial" w:eastAsia="Calibri" w:hAnsi="Arial" w:cs="Arial"/>
          <w:b/>
          <w:bCs/>
          <w:sz w:val="24"/>
          <w:szCs w:val="24"/>
          <w:lang w:eastAsia="en-GB"/>
        </w:rPr>
      </w:pPr>
      <w:r w:rsidRPr="00B568F3">
        <w:rPr>
          <w:rFonts w:ascii="Arial" w:eastAsia="Calibri" w:hAnsi="Arial" w:cs="Arial"/>
          <w:b/>
          <w:bCs/>
          <w:sz w:val="24"/>
          <w:szCs w:val="24"/>
          <w:lang w:eastAsia="en-GB"/>
        </w:rPr>
        <w:t xml:space="preserve">Table </w:t>
      </w:r>
      <w:r w:rsidR="00856FF8" w:rsidRPr="00B568F3">
        <w:rPr>
          <w:rFonts w:ascii="Arial" w:eastAsia="Calibri" w:hAnsi="Arial" w:cs="Arial"/>
          <w:b/>
          <w:bCs/>
          <w:sz w:val="24"/>
          <w:szCs w:val="24"/>
          <w:lang w:eastAsia="en-GB"/>
        </w:rPr>
        <w:t>9</w:t>
      </w:r>
      <w:r w:rsidRPr="00B568F3">
        <w:rPr>
          <w:rFonts w:ascii="Arial" w:eastAsia="Calibri" w:hAnsi="Arial" w:cs="Arial"/>
          <w:b/>
          <w:bCs/>
          <w:sz w:val="24"/>
          <w:szCs w:val="24"/>
          <w:lang w:eastAsia="en-GB"/>
        </w:rPr>
        <w:t xml:space="preserve">: Social work students, </w:t>
      </w:r>
      <w:r w:rsidR="0090086F" w:rsidRPr="00B568F3">
        <w:rPr>
          <w:rFonts w:ascii="Arial" w:eastAsia="Calibri" w:hAnsi="Arial" w:cs="Arial"/>
          <w:b/>
          <w:bCs/>
          <w:sz w:val="24"/>
          <w:szCs w:val="24"/>
          <w:lang w:eastAsia="en-GB"/>
        </w:rPr>
        <w:t xml:space="preserve">the </w:t>
      </w:r>
      <w:r w:rsidRPr="00B568F3">
        <w:rPr>
          <w:rFonts w:ascii="Arial" w:eastAsia="Calibri" w:hAnsi="Arial" w:cs="Arial"/>
          <w:b/>
          <w:bCs/>
          <w:sz w:val="24"/>
          <w:szCs w:val="24"/>
        </w:rPr>
        <w:t>three</w:t>
      </w:r>
      <w:r w:rsidR="00E074F2" w:rsidRPr="00B568F3">
        <w:rPr>
          <w:rFonts w:ascii="Arial" w:eastAsia="Calibri" w:hAnsi="Arial" w:cs="Arial"/>
          <w:b/>
          <w:bCs/>
          <w:sz w:val="24"/>
          <w:szCs w:val="24"/>
        </w:rPr>
        <w:t>-</w:t>
      </w:r>
      <w:r w:rsidRPr="00B568F3">
        <w:rPr>
          <w:rFonts w:ascii="Arial" w:eastAsia="Calibri" w:hAnsi="Arial" w:cs="Arial"/>
          <w:b/>
          <w:bCs/>
          <w:sz w:val="24"/>
          <w:szCs w:val="24"/>
        </w:rPr>
        <w:t>year trend</w:t>
      </w:r>
    </w:p>
    <w:p w14:paraId="0E1BD0F1" w14:textId="77777777" w:rsidR="004B045F" w:rsidRPr="00B568F3" w:rsidRDefault="004B045F" w:rsidP="004B045F">
      <w:pPr>
        <w:spacing w:after="200" w:line="276" w:lineRule="auto"/>
        <w:contextualSpacing/>
        <w:rPr>
          <w:rFonts w:ascii="Arial" w:eastAsia="Calibri" w:hAnsi="Arial" w:cs="Arial"/>
          <w:sz w:val="24"/>
          <w:szCs w:val="24"/>
          <w:lang w:eastAsia="en-GB"/>
        </w:rPr>
      </w:pPr>
    </w:p>
    <w:tbl>
      <w:tblPr>
        <w:tblStyle w:val="TableGrid"/>
        <w:tblW w:w="0" w:type="auto"/>
        <w:jc w:val="center"/>
        <w:tblLook w:val="04A0" w:firstRow="1" w:lastRow="0" w:firstColumn="1" w:lastColumn="0" w:noHBand="0" w:noVBand="1"/>
      </w:tblPr>
      <w:tblGrid>
        <w:gridCol w:w="1673"/>
        <w:gridCol w:w="1603"/>
        <w:gridCol w:w="1057"/>
        <w:gridCol w:w="1117"/>
        <w:gridCol w:w="1057"/>
        <w:gridCol w:w="1058"/>
        <w:gridCol w:w="1057"/>
      </w:tblGrid>
      <w:tr w:rsidR="00926CB8" w:rsidRPr="00B568F3" w14:paraId="1947DFDE" w14:textId="27C86FAD" w:rsidTr="4BA15C28">
        <w:trPr>
          <w:jc w:val="center"/>
        </w:trPr>
        <w:tc>
          <w:tcPr>
            <w:tcW w:w="1673" w:type="dxa"/>
            <w:vAlign w:val="center"/>
          </w:tcPr>
          <w:p w14:paraId="4AF3A1FC" w14:textId="77777777" w:rsidR="00926CB8" w:rsidRPr="00B568F3" w:rsidRDefault="00926CB8"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Financial Year</w:t>
            </w:r>
          </w:p>
        </w:tc>
        <w:tc>
          <w:tcPr>
            <w:tcW w:w="1603" w:type="dxa"/>
            <w:vAlign w:val="center"/>
          </w:tcPr>
          <w:p w14:paraId="7F9A0BC5" w14:textId="0B821B79" w:rsidR="00926CB8" w:rsidRPr="00B568F3" w:rsidRDefault="00926CB8"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Sponsored</w:t>
            </w:r>
          </w:p>
        </w:tc>
        <w:tc>
          <w:tcPr>
            <w:tcW w:w="1057" w:type="dxa"/>
          </w:tcPr>
          <w:p w14:paraId="42AE721D" w14:textId="71CA776B" w:rsidR="00926CB8" w:rsidRPr="00B568F3" w:rsidRDefault="00926CB8"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 change</w:t>
            </w:r>
          </w:p>
        </w:tc>
        <w:tc>
          <w:tcPr>
            <w:tcW w:w="1117" w:type="dxa"/>
            <w:vAlign w:val="center"/>
          </w:tcPr>
          <w:p w14:paraId="53C292DB" w14:textId="2C7BC694" w:rsidR="00926CB8" w:rsidRPr="00B568F3" w:rsidRDefault="00926CB8"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Other</w:t>
            </w:r>
          </w:p>
        </w:tc>
        <w:tc>
          <w:tcPr>
            <w:tcW w:w="1057" w:type="dxa"/>
          </w:tcPr>
          <w:p w14:paraId="3489C748" w14:textId="5C96B7BD" w:rsidR="00926CB8" w:rsidRPr="00B568F3" w:rsidRDefault="00926CB8"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 change</w:t>
            </w:r>
          </w:p>
        </w:tc>
        <w:tc>
          <w:tcPr>
            <w:tcW w:w="1058" w:type="dxa"/>
            <w:vAlign w:val="center"/>
          </w:tcPr>
          <w:p w14:paraId="6A88B2FF" w14:textId="6F0BD8D1" w:rsidR="00926CB8" w:rsidRPr="00B568F3" w:rsidRDefault="00926CB8"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Total</w:t>
            </w:r>
          </w:p>
        </w:tc>
        <w:tc>
          <w:tcPr>
            <w:tcW w:w="1057" w:type="dxa"/>
          </w:tcPr>
          <w:p w14:paraId="4F71060E" w14:textId="1D13A7F4" w:rsidR="00926CB8" w:rsidRPr="00B568F3" w:rsidRDefault="00926CB8"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 change</w:t>
            </w:r>
          </w:p>
        </w:tc>
      </w:tr>
      <w:tr w:rsidR="00926CB8" w:rsidRPr="00B568F3" w14:paraId="49F59A43" w14:textId="4B6A26EA" w:rsidTr="4BA15C28">
        <w:trPr>
          <w:jc w:val="center"/>
        </w:trPr>
        <w:tc>
          <w:tcPr>
            <w:tcW w:w="1673" w:type="dxa"/>
            <w:vAlign w:val="center"/>
          </w:tcPr>
          <w:p w14:paraId="75640B75" w14:textId="77777777" w:rsidR="00926CB8" w:rsidRPr="00B568F3" w:rsidRDefault="00926CB8" w:rsidP="006742DF">
            <w:pPr>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2023/2024</w:t>
            </w:r>
          </w:p>
        </w:tc>
        <w:tc>
          <w:tcPr>
            <w:tcW w:w="1603" w:type="dxa"/>
            <w:shd w:val="clear" w:color="auto" w:fill="auto"/>
            <w:vAlign w:val="center"/>
          </w:tcPr>
          <w:p w14:paraId="1A18701B" w14:textId="050689B0" w:rsidR="00926CB8" w:rsidRPr="00B568F3" w:rsidRDefault="005F25D2" w:rsidP="006742DF">
            <w:pPr>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566</w:t>
            </w:r>
          </w:p>
        </w:tc>
        <w:tc>
          <w:tcPr>
            <w:tcW w:w="1057" w:type="dxa"/>
            <w:shd w:val="clear" w:color="auto" w:fill="auto"/>
            <w:vAlign w:val="center"/>
          </w:tcPr>
          <w:p w14:paraId="034F7612" w14:textId="356093D7" w:rsidR="00926CB8" w:rsidRPr="00B568F3" w:rsidRDefault="00DC3DB8" w:rsidP="006742DF">
            <w:pPr>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+34.1%</w:t>
            </w:r>
          </w:p>
        </w:tc>
        <w:tc>
          <w:tcPr>
            <w:tcW w:w="1117" w:type="dxa"/>
            <w:shd w:val="clear" w:color="auto" w:fill="auto"/>
            <w:vAlign w:val="center"/>
          </w:tcPr>
          <w:p w14:paraId="3691852A" w14:textId="5FBDC5BB" w:rsidR="00926CB8" w:rsidRPr="00B568F3" w:rsidRDefault="005F25D2" w:rsidP="006742DF">
            <w:pPr>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790</w:t>
            </w:r>
          </w:p>
        </w:tc>
        <w:tc>
          <w:tcPr>
            <w:tcW w:w="1057" w:type="dxa"/>
            <w:shd w:val="clear" w:color="auto" w:fill="auto"/>
            <w:vAlign w:val="center"/>
          </w:tcPr>
          <w:p w14:paraId="6931F2D1" w14:textId="75C8B9B6" w:rsidR="00926CB8" w:rsidRPr="00B568F3" w:rsidRDefault="00DC3DB8" w:rsidP="006742DF">
            <w:pPr>
              <w:jc w:val="center"/>
              <w:rPr>
                <w:rFonts w:ascii="Arial" w:eastAsia="Calibri" w:hAnsi="Arial" w:cs="Arial"/>
                <w:sz w:val="24"/>
                <w:szCs w:val="24"/>
                <w:lang w:eastAsia="en-GB"/>
              </w:rPr>
            </w:pPr>
            <w:r w:rsidRPr="00B568F3">
              <w:rPr>
                <w:rFonts w:ascii="Arial" w:eastAsia="Calibri" w:hAnsi="Arial" w:cs="Arial"/>
                <w:sz w:val="24"/>
                <w:szCs w:val="24"/>
                <w:lang w:eastAsia="en-GB"/>
              </w:rPr>
              <w:t>+5.6%</w:t>
            </w:r>
          </w:p>
        </w:tc>
        <w:tc>
          <w:tcPr>
            <w:tcW w:w="1058" w:type="dxa"/>
            <w:shd w:val="clear" w:color="auto" w:fill="auto"/>
            <w:vAlign w:val="center"/>
          </w:tcPr>
          <w:p w14:paraId="07AE6F6F" w14:textId="17CA57B8" w:rsidR="00926CB8" w:rsidRPr="00B568F3" w:rsidRDefault="005F25D2" w:rsidP="006742DF">
            <w:pPr>
              <w:jc w:val="center"/>
              <w:rPr>
                <w:rFonts w:ascii="Arial" w:eastAsia="Calibri" w:hAnsi="Arial" w:cs="Arial"/>
                <w:sz w:val="24"/>
                <w:szCs w:val="24"/>
                <w:lang w:eastAsia="en-GB"/>
              </w:rPr>
            </w:pPr>
            <w:r w:rsidRPr="00B568F3">
              <w:rPr>
                <w:rFonts w:ascii="Arial" w:eastAsia="Calibri" w:hAnsi="Arial" w:cs="Arial"/>
                <w:sz w:val="24"/>
                <w:szCs w:val="24"/>
                <w:lang w:eastAsia="en-GB"/>
              </w:rPr>
              <w:t>1,356</w:t>
            </w:r>
          </w:p>
        </w:tc>
        <w:tc>
          <w:tcPr>
            <w:tcW w:w="1057" w:type="dxa"/>
            <w:shd w:val="clear" w:color="auto" w:fill="auto"/>
            <w:vAlign w:val="center"/>
          </w:tcPr>
          <w:p w14:paraId="4263ACDC" w14:textId="1E39D5F2" w:rsidR="00926CB8" w:rsidRPr="00B568F3" w:rsidRDefault="005E3F1F" w:rsidP="006742DF">
            <w:pPr>
              <w:jc w:val="center"/>
              <w:rPr>
                <w:rFonts w:ascii="Arial" w:eastAsia="Calibri" w:hAnsi="Arial" w:cs="Arial"/>
                <w:sz w:val="24"/>
                <w:szCs w:val="24"/>
                <w:lang w:eastAsia="en-GB"/>
              </w:rPr>
            </w:pPr>
            <w:r w:rsidRPr="00B568F3">
              <w:rPr>
                <w:rFonts w:ascii="Arial" w:eastAsia="Calibri" w:hAnsi="Arial" w:cs="Arial"/>
                <w:sz w:val="24"/>
                <w:szCs w:val="24"/>
                <w:lang w:eastAsia="en-GB"/>
              </w:rPr>
              <w:t>+15.9%</w:t>
            </w:r>
          </w:p>
        </w:tc>
      </w:tr>
      <w:tr w:rsidR="00926CB8" w:rsidRPr="00B568F3" w14:paraId="16DD7CFC" w14:textId="01B23F66" w:rsidTr="4BA15C28">
        <w:trPr>
          <w:jc w:val="center"/>
        </w:trPr>
        <w:tc>
          <w:tcPr>
            <w:tcW w:w="1673" w:type="dxa"/>
            <w:vAlign w:val="center"/>
          </w:tcPr>
          <w:p w14:paraId="6E2BEB3B" w14:textId="77777777" w:rsidR="00926CB8" w:rsidRPr="00B568F3" w:rsidRDefault="00926CB8" w:rsidP="006742DF">
            <w:pPr>
              <w:spacing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2022/2023</w:t>
            </w:r>
          </w:p>
        </w:tc>
        <w:tc>
          <w:tcPr>
            <w:tcW w:w="1603" w:type="dxa"/>
            <w:shd w:val="clear" w:color="auto" w:fill="auto"/>
            <w:vAlign w:val="center"/>
          </w:tcPr>
          <w:p w14:paraId="25EC300B" w14:textId="6F486658" w:rsidR="00926CB8" w:rsidRPr="00B568F3" w:rsidRDefault="005F25D2" w:rsidP="006742DF">
            <w:pPr>
              <w:spacing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422</w:t>
            </w:r>
          </w:p>
        </w:tc>
        <w:tc>
          <w:tcPr>
            <w:tcW w:w="1057" w:type="dxa"/>
            <w:shd w:val="clear" w:color="auto" w:fill="auto"/>
            <w:vAlign w:val="center"/>
          </w:tcPr>
          <w:p w14:paraId="0DDF57BD" w14:textId="60F60A98" w:rsidR="00926CB8" w:rsidRPr="00B568F3" w:rsidRDefault="00DC3DB8" w:rsidP="006742DF">
            <w:pPr>
              <w:spacing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+27.5%</w:t>
            </w:r>
          </w:p>
        </w:tc>
        <w:tc>
          <w:tcPr>
            <w:tcW w:w="1117" w:type="dxa"/>
            <w:shd w:val="clear" w:color="auto" w:fill="auto"/>
            <w:vAlign w:val="center"/>
          </w:tcPr>
          <w:p w14:paraId="70FBE857" w14:textId="08B3C524" w:rsidR="00926CB8" w:rsidRPr="00B568F3" w:rsidRDefault="005F25D2" w:rsidP="006742DF">
            <w:pPr>
              <w:spacing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748</w:t>
            </w:r>
          </w:p>
        </w:tc>
        <w:tc>
          <w:tcPr>
            <w:tcW w:w="1057" w:type="dxa"/>
            <w:shd w:val="clear" w:color="auto" w:fill="auto"/>
            <w:vAlign w:val="center"/>
          </w:tcPr>
          <w:p w14:paraId="2CFD4BC9" w14:textId="2B666B41" w:rsidR="00926CB8" w:rsidRPr="00B568F3" w:rsidRDefault="00DC3DB8" w:rsidP="006742DF">
            <w:pPr>
              <w:spacing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-3.4%</w:t>
            </w:r>
          </w:p>
        </w:tc>
        <w:tc>
          <w:tcPr>
            <w:tcW w:w="1058" w:type="dxa"/>
            <w:shd w:val="clear" w:color="auto" w:fill="auto"/>
            <w:vAlign w:val="center"/>
          </w:tcPr>
          <w:p w14:paraId="0B0D435A" w14:textId="5DAB28D3" w:rsidR="00926CB8" w:rsidRPr="00B568F3" w:rsidRDefault="005F25D2" w:rsidP="006742DF">
            <w:pPr>
              <w:spacing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1,170</w:t>
            </w:r>
          </w:p>
        </w:tc>
        <w:tc>
          <w:tcPr>
            <w:tcW w:w="1057" w:type="dxa"/>
            <w:shd w:val="clear" w:color="auto" w:fill="auto"/>
            <w:vAlign w:val="center"/>
          </w:tcPr>
          <w:p w14:paraId="2E36EBD2" w14:textId="767476CC" w:rsidR="00926CB8" w:rsidRPr="00B568F3" w:rsidRDefault="00AE0086" w:rsidP="006742DF">
            <w:pPr>
              <w:spacing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+5.9%</w:t>
            </w:r>
          </w:p>
        </w:tc>
      </w:tr>
      <w:tr w:rsidR="00C67F08" w:rsidRPr="00B568F3" w14:paraId="4D4ADD76" w14:textId="594FB2CE" w:rsidTr="4BA15C28">
        <w:trPr>
          <w:jc w:val="center"/>
        </w:trPr>
        <w:tc>
          <w:tcPr>
            <w:tcW w:w="1673" w:type="dxa"/>
            <w:tcBorders>
              <w:bottom w:val="single" w:sz="4" w:space="0" w:color="auto"/>
            </w:tcBorders>
            <w:vAlign w:val="center"/>
          </w:tcPr>
          <w:p w14:paraId="4A10863F" w14:textId="77777777" w:rsidR="00926CB8" w:rsidRPr="00B568F3" w:rsidRDefault="00926CB8" w:rsidP="006742DF">
            <w:pPr>
              <w:spacing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2021/2022</w:t>
            </w:r>
          </w:p>
        </w:tc>
        <w:tc>
          <w:tcPr>
            <w:tcW w:w="1603" w:type="dxa"/>
            <w:tcBorders>
              <w:bottom w:val="single" w:sz="4" w:space="0" w:color="auto"/>
            </w:tcBorders>
            <w:shd w:val="clear" w:color="auto" w:fill="auto"/>
            <w:vAlign w:val="center"/>
          </w:tcPr>
          <w:p w14:paraId="76FAE94A" w14:textId="1C0CE19E" w:rsidR="00926CB8" w:rsidRPr="00B568F3" w:rsidRDefault="005F25D2" w:rsidP="006742DF">
            <w:pPr>
              <w:spacing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331</w:t>
            </w:r>
          </w:p>
        </w:tc>
        <w:tc>
          <w:tcPr>
            <w:tcW w:w="1057" w:type="dxa"/>
            <w:tcBorders>
              <w:bottom w:val="single" w:sz="4" w:space="0" w:color="auto"/>
            </w:tcBorders>
            <w:shd w:val="clear" w:color="auto" w:fill="auto"/>
            <w:vAlign w:val="center"/>
          </w:tcPr>
          <w:p w14:paraId="531DD33D" w14:textId="13B8A23C" w:rsidR="00926CB8" w:rsidRPr="00B568F3" w:rsidRDefault="001A6F4D" w:rsidP="006742DF">
            <w:pPr>
              <w:spacing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+41.5%</w:t>
            </w:r>
          </w:p>
        </w:tc>
        <w:tc>
          <w:tcPr>
            <w:tcW w:w="1117" w:type="dxa"/>
            <w:tcBorders>
              <w:bottom w:val="single" w:sz="4" w:space="0" w:color="auto"/>
            </w:tcBorders>
            <w:shd w:val="clear" w:color="auto" w:fill="auto"/>
            <w:vAlign w:val="center"/>
          </w:tcPr>
          <w:p w14:paraId="12D4A3E3" w14:textId="173B1875" w:rsidR="00926CB8" w:rsidRPr="00B568F3" w:rsidRDefault="005F25D2" w:rsidP="006742DF">
            <w:pPr>
              <w:spacing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774</w:t>
            </w:r>
          </w:p>
        </w:tc>
        <w:tc>
          <w:tcPr>
            <w:tcW w:w="1057" w:type="dxa"/>
            <w:tcBorders>
              <w:bottom w:val="single" w:sz="4" w:space="0" w:color="auto"/>
            </w:tcBorders>
            <w:shd w:val="clear" w:color="auto" w:fill="auto"/>
            <w:vAlign w:val="center"/>
          </w:tcPr>
          <w:p w14:paraId="16AB6ECF" w14:textId="7B000197" w:rsidR="00926CB8" w:rsidRPr="00B568F3" w:rsidRDefault="00AA16CC" w:rsidP="006742DF">
            <w:pPr>
              <w:spacing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-6.5%</w:t>
            </w:r>
          </w:p>
        </w:tc>
        <w:tc>
          <w:tcPr>
            <w:tcW w:w="1058" w:type="dxa"/>
            <w:tcBorders>
              <w:bottom w:val="single" w:sz="4" w:space="0" w:color="auto"/>
            </w:tcBorders>
            <w:shd w:val="clear" w:color="auto" w:fill="auto"/>
            <w:vAlign w:val="center"/>
          </w:tcPr>
          <w:p w14:paraId="029FF371" w14:textId="2A4A94AE" w:rsidR="00926CB8" w:rsidRPr="00B568F3" w:rsidRDefault="005F25D2" w:rsidP="006742DF">
            <w:pPr>
              <w:spacing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1,105</w:t>
            </w:r>
          </w:p>
        </w:tc>
        <w:tc>
          <w:tcPr>
            <w:tcW w:w="1057" w:type="dxa"/>
            <w:tcBorders>
              <w:bottom w:val="single" w:sz="4" w:space="0" w:color="auto"/>
            </w:tcBorders>
            <w:shd w:val="clear" w:color="auto" w:fill="auto"/>
            <w:vAlign w:val="center"/>
          </w:tcPr>
          <w:p w14:paraId="618B79AD" w14:textId="6D5E98F4" w:rsidR="00926CB8" w:rsidRPr="00B568F3" w:rsidRDefault="00B058E0" w:rsidP="006742DF">
            <w:pPr>
              <w:spacing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+4.0%</w:t>
            </w:r>
          </w:p>
        </w:tc>
      </w:tr>
      <w:tr w:rsidR="00DA3367" w:rsidRPr="00B568F3" w14:paraId="477A872B" w14:textId="77777777" w:rsidTr="4BA15C28">
        <w:trPr>
          <w:jc w:val="center"/>
        </w:trPr>
        <w:tc>
          <w:tcPr>
            <w:tcW w:w="8622" w:type="dxa"/>
            <w:gridSpan w:val="7"/>
            <w:tcBorders>
              <w:left w:val="nil"/>
              <w:bottom w:val="nil"/>
              <w:right w:val="nil"/>
            </w:tcBorders>
            <w:vAlign w:val="center"/>
          </w:tcPr>
          <w:p w14:paraId="4E6CABA2" w14:textId="29B06BC1" w:rsidR="00DA3367" w:rsidRPr="00B568F3" w:rsidRDefault="00937DE0" w:rsidP="009B2A2E">
            <w:pPr>
              <w:spacing w:before="120" w:after="120"/>
              <w:contextualSpacing/>
              <w:jc w:val="right"/>
              <w:rPr>
                <w:rFonts w:ascii="Arial" w:eastAsia="Calibri" w:hAnsi="Arial" w:cs="Arial"/>
                <w:i/>
                <w:iCs/>
                <w:sz w:val="20"/>
                <w:szCs w:val="20"/>
                <w:lang w:eastAsia="en-GB"/>
              </w:rPr>
            </w:pPr>
            <w:r w:rsidRPr="00B568F3">
              <w:rPr>
                <w:rFonts w:ascii="Arial" w:eastAsia="Calibri" w:hAnsi="Arial" w:cs="Arial"/>
                <w:i/>
                <w:iCs/>
                <w:sz w:val="20"/>
                <w:szCs w:val="20"/>
                <w:lang w:eastAsia="en-GB"/>
              </w:rPr>
              <w:t xml:space="preserve">Figures are for those on programme </w:t>
            </w:r>
            <w:r w:rsidR="00BE4AA4" w:rsidRPr="00B568F3">
              <w:rPr>
                <w:rFonts w:ascii="Arial" w:eastAsia="Calibri" w:hAnsi="Arial" w:cs="Arial"/>
                <w:i/>
                <w:iCs/>
                <w:sz w:val="20"/>
                <w:szCs w:val="20"/>
                <w:lang w:eastAsia="en-GB"/>
              </w:rPr>
              <w:t>from</w:t>
            </w:r>
            <w:r w:rsidRPr="00B568F3">
              <w:rPr>
                <w:rFonts w:ascii="Arial" w:eastAsia="Calibri" w:hAnsi="Arial" w:cs="Arial"/>
                <w:i/>
                <w:iCs/>
                <w:sz w:val="20"/>
                <w:szCs w:val="20"/>
                <w:lang w:eastAsia="en-GB"/>
              </w:rPr>
              <w:t xml:space="preserve"> </w:t>
            </w:r>
            <w:r w:rsidR="0025365F" w:rsidRPr="00B568F3">
              <w:rPr>
                <w:rFonts w:ascii="Arial" w:eastAsia="Calibri" w:hAnsi="Arial" w:cs="Arial"/>
                <w:i/>
                <w:iCs/>
                <w:sz w:val="20"/>
                <w:szCs w:val="20"/>
                <w:lang w:eastAsia="en-GB"/>
              </w:rPr>
              <w:t>1</w:t>
            </w:r>
            <w:r w:rsidRPr="00B568F3">
              <w:rPr>
                <w:rFonts w:ascii="Arial" w:eastAsia="Calibri" w:hAnsi="Arial" w:cs="Arial"/>
                <w:i/>
                <w:iCs/>
                <w:sz w:val="20"/>
                <w:szCs w:val="20"/>
                <w:lang w:eastAsia="en-GB"/>
              </w:rPr>
              <w:t>April 1</w:t>
            </w:r>
            <w:r w:rsidR="00C817CF" w:rsidRPr="00B568F3">
              <w:rPr>
                <w:rFonts w:ascii="Arial" w:eastAsia="Calibri" w:hAnsi="Arial" w:cs="Arial"/>
                <w:i/>
                <w:iCs/>
                <w:sz w:val="20"/>
                <w:szCs w:val="20"/>
                <w:vertAlign w:val="superscript"/>
                <w:lang w:eastAsia="en-GB"/>
              </w:rPr>
              <w:t xml:space="preserve"> </w:t>
            </w:r>
            <w:r w:rsidR="00C817CF" w:rsidRPr="00B568F3">
              <w:rPr>
                <w:rFonts w:ascii="Arial" w:eastAsia="Calibri" w:hAnsi="Arial" w:cs="Arial"/>
                <w:i/>
                <w:iCs/>
                <w:sz w:val="20"/>
                <w:szCs w:val="20"/>
                <w:lang w:eastAsia="en-GB"/>
              </w:rPr>
              <w:t>and</w:t>
            </w:r>
            <w:r w:rsidR="00013A3F" w:rsidRPr="00B568F3">
              <w:rPr>
                <w:rFonts w:ascii="Arial" w:eastAsia="Calibri" w:hAnsi="Arial" w:cs="Arial"/>
                <w:i/>
                <w:iCs/>
                <w:sz w:val="20"/>
                <w:szCs w:val="20"/>
                <w:lang w:eastAsia="en-GB"/>
              </w:rPr>
              <w:t xml:space="preserve"> enrolled during the year</w:t>
            </w:r>
            <w:r w:rsidR="009D3767" w:rsidRPr="00B568F3">
              <w:rPr>
                <w:rFonts w:ascii="Arial" w:eastAsia="Calibri" w:hAnsi="Arial" w:cs="Arial"/>
                <w:i/>
                <w:iCs/>
                <w:sz w:val="20"/>
                <w:szCs w:val="20"/>
                <w:lang w:eastAsia="en-GB"/>
              </w:rPr>
              <w:t xml:space="preserve"> for </w:t>
            </w:r>
            <w:r w:rsidR="00C817CF" w:rsidRPr="00B568F3">
              <w:rPr>
                <w:rFonts w:ascii="Arial" w:eastAsia="Calibri" w:hAnsi="Arial" w:cs="Arial"/>
                <w:i/>
                <w:iCs/>
                <w:sz w:val="20"/>
                <w:szCs w:val="20"/>
                <w:lang w:eastAsia="en-GB"/>
              </w:rPr>
              <w:t xml:space="preserve">degree and master's </w:t>
            </w:r>
            <w:r w:rsidR="00040D76" w:rsidRPr="00B568F3">
              <w:rPr>
                <w:rFonts w:ascii="Arial" w:eastAsia="Calibri" w:hAnsi="Arial" w:cs="Arial"/>
                <w:i/>
                <w:iCs/>
                <w:sz w:val="20"/>
                <w:szCs w:val="20"/>
                <w:lang w:eastAsia="en-GB"/>
              </w:rPr>
              <w:t>degree.</w:t>
            </w:r>
          </w:p>
          <w:p w14:paraId="04CE78A0" w14:textId="77777777" w:rsidR="00946A2E" w:rsidRPr="00B568F3" w:rsidRDefault="00946A2E" w:rsidP="009B2A2E">
            <w:pPr>
              <w:spacing w:before="120" w:after="120"/>
              <w:contextualSpacing/>
              <w:jc w:val="right"/>
              <w:rPr>
                <w:rFonts w:ascii="Arial" w:eastAsia="Calibri" w:hAnsi="Arial" w:cs="Arial"/>
                <w:i/>
                <w:iCs/>
                <w:sz w:val="20"/>
                <w:szCs w:val="20"/>
                <w:lang w:eastAsia="en-GB"/>
              </w:rPr>
            </w:pPr>
          </w:p>
          <w:p w14:paraId="760F63F4" w14:textId="21CC793A" w:rsidR="00266918" w:rsidRPr="00B568F3" w:rsidRDefault="00266918" w:rsidP="009B2A2E">
            <w:pPr>
              <w:spacing w:before="120" w:after="120"/>
              <w:contextualSpacing/>
              <w:jc w:val="right"/>
              <w:rPr>
                <w:rFonts w:ascii="Arial" w:eastAsia="Calibri" w:hAnsi="Arial" w:cs="Arial"/>
                <w:i/>
                <w:iCs/>
                <w:sz w:val="20"/>
                <w:szCs w:val="20"/>
                <w:lang w:eastAsia="en-GB"/>
              </w:rPr>
            </w:pPr>
          </w:p>
        </w:tc>
      </w:tr>
    </w:tbl>
    <w:p w14:paraId="5EAC515B" w14:textId="575144E7" w:rsidR="00FC14ED" w:rsidRPr="00B568F3" w:rsidRDefault="00FC14ED"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The </w:t>
      </w:r>
      <w:r w:rsidR="00BA530C" w:rsidRPr="00B568F3">
        <w:rPr>
          <w:rFonts w:ascii="Arial" w:eastAsia="Calibri" w:hAnsi="Arial" w:cs="Arial"/>
          <w:sz w:val="24"/>
          <w:szCs w:val="24"/>
          <w:lang w:eastAsia="en-GB"/>
        </w:rPr>
        <w:t xml:space="preserve">total </w:t>
      </w:r>
      <w:r w:rsidRPr="00B568F3">
        <w:rPr>
          <w:rFonts w:ascii="Arial" w:eastAsia="Calibri" w:hAnsi="Arial" w:cs="Arial"/>
          <w:sz w:val="24"/>
          <w:szCs w:val="24"/>
          <w:lang w:eastAsia="en-GB"/>
        </w:rPr>
        <w:t>number of social work students (sponsored and other) involved in any part of the social work degree increased by 15.9</w:t>
      </w:r>
      <w:r w:rsidR="0025365F" w:rsidRPr="00B568F3">
        <w:rPr>
          <w:rFonts w:ascii="Arial" w:eastAsia="Calibri" w:hAnsi="Arial" w:cs="Arial"/>
          <w:sz w:val="24"/>
          <w:szCs w:val="24"/>
          <w:lang w:eastAsia="en-GB"/>
        </w:rPr>
        <w:t xml:space="preserve"> per cent</w:t>
      </w:r>
      <w:r w:rsidRPr="00B568F3">
        <w:rPr>
          <w:rFonts w:ascii="Arial" w:eastAsia="Calibri" w:hAnsi="Arial" w:cs="Arial"/>
          <w:sz w:val="24"/>
          <w:szCs w:val="24"/>
          <w:lang w:eastAsia="en-GB"/>
        </w:rPr>
        <w:t xml:space="preserve"> in 2023</w:t>
      </w:r>
      <w:r w:rsidR="0025365F" w:rsidRPr="00B568F3">
        <w:rPr>
          <w:rFonts w:ascii="Arial" w:eastAsia="Calibri" w:hAnsi="Arial" w:cs="Arial"/>
          <w:sz w:val="24"/>
          <w:szCs w:val="24"/>
          <w:lang w:eastAsia="en-GB"/>
        </w:rPr>
        <w:t xml:space="preserve"> to </w:t>
      </w:r>
      <w:r w:rsidRPr="00B568F3">
        <w:rPr>
          <w:rFonts w:ascii="Arial" w:eastAsia="Calibri" w:hAnsi="Arial" w:cs="Arial"/>
          <w:sz w:val="24"/>
          <w:szCs w:val="24"/>
          <w:lang w:eastAsia="en-GB"/>
        </w:rPr>
        <w:t>2024</w:t>
      </w:r>
      <w:r w:rsidR="00E27B21" w:rsidRPr="00B568F3">
        <w:rPr>
          <w:rFonts w:ascii="Arial" w:eastAsia="Calibri" w:hAnsi="Arial" w:cs="Arial"/>
          <w:sz w:val="24"/>
          <w:szCs w:val="24"/>
          <w:lang w:eastAsia="en-GB"/>
        </w:rPr>
        <w:t xml:space="preserve"> </w:t>
      </w:r>
      <w:r w:rsidR="00DE0689" w:rsidRPr="00B568F3">
        <w:rPr>
          <w:rFonts w:ascii="Arial" w:eastAsia="Calibri" w:hAnsi="Arial" w:cs="Arial"/>
          <w:sz w:val="24"/>
          <w:szCs w:val="24"/>
          <w:lang w:eastAsia="en-GB"/>
        </w:rPr>
        <w:t>compared to</w:t>
      </w:r>
      <w:r w:rsidR="00E27B21" w:rsidRPr="00B568F3">
        <w:rPr>
          <w:rFonts w:ascii="Arial" w:eastAsia="Calibri" w:hAnsi="Arial" w:cs="Arial"/>
          <w:sz w:val="24"/>
          <w:szCs w:val="24"/>
          <w:lang w:eastAsia="en-GB"/>
        </w:rPr>
        <w:t xml:space="preserve"> 1,170 students in 2022</w:t>
      </w:r>
      <w:r w:rsidR="0025365F" w:rsidRPr="00B568F3">
        <w:rPr>
          <w:rFonts w:ascii="Arial" w:eastAsia="Calibri" w:hAnsi="Arial" w:cs="Arial"/>
          <w:sz w:val="24"/>
          <w:szCs w:val="24"/>
          <w:lang w:eastAsia="en-GB"/>
        </w:rPr>
        <w:t xml:space="preserve"> to </w:t>
      </w:r>
      <w:r w:rsidR="00E27B21" w:rsidRPr="00B568F3">
        <w:rPr>
          <w:rFonts w:ascii="Arial" w:eastAsia="Calibri" w:hAnsi="Arial" w:cs="Arial"/>
          <w:sz w:val="24"/>
          <w:szCs w:val="24"/>
          <w:lang w:eastAsia="en-GB"/>
        </w:rPr>
        <w:t xml:space="preserve">2023 </w:t>
      </w:r>
      <w:r w:rsidR="0060175D" w:rsidRPr="00B568F3">
        <w:rPr>
          <w:rFonts w:ascii="Arial" w:eastAsia="Calibri" w:hAnsi="Arial" w:cs="Arial"/>
          <w:sz w:val="24"/>
          <w:szCs w:val="24"/>
          <w:lang w:eastAsia="en-GB"/>
        </w:rPr>
        <w:t>and</w:t>
      </w:r>
      <w:r w:rsidR="00E27B21" w:rsidRPr="00B568F3">
        <w:rPr>
          <w:rFonts w:ascii="Arial" w:eastAsia="Calibri" w:hAnsi="Arial" w:cs="Arial"/>
          <w:sz w:val="24"/>
          <w:szCs w:val="24"/>
          <w:lang w:eastAsia="en-GB"/>
        </w:rPr>
        <w:t xml:space="preserve"> 1,356 in 2023</w:t>
      </w:r>
      <w:r w:rsidR="0025365F" w:rsidRPr="00B568F3">
        <w:rPr>
          <w:rFonts w:ascii="Arial" w:eastAsia="Calibri" w:hAnsi="Arial" w:cs="Arial"/>
          <w:sz w:val="24"/>
          <w:szCs w:val="24"/>
          <w:lang w:eastAsia="en-GB"/>
        </w:rPr>
        <w:t xml:space="preserve"> to </w:t>
      </w:r>
      <w:r w:rsidR="00E27B21" w:rsidRPr="00B568F3">
        <w:rPr>
          <w:rFonts w:ascii="Arial" w:eastAsia="Calibri" w:hAnsi="Arial" w:cs="Arial"/>
          <w:sz w:val="24"/>
          <w:szCs w:val="24"/>
          <w:lang w:eastAsia="en-GB"/>
        </w:rPr>
        <w:t>2024.</w:t>
      </w:r>
    </w:p>
    <w:p w14:paraId="4CCA034B" w14:textId="77777777" w:rsidR="000A72F5" w:rsidRPr="00B568F3" w:rsidRDefault="000A72F5" w:rsidP="001E0808">
      <w:pPr>
        <w:spacing w:after="200" w:line="276" w:lineRule="auto"/>
        <w:ind w:left="567"/>
        <w:contextualSpacing/>
        <w:rPr>
          <w:rFonts w:ascii="Arial" w:eastAsia="Calibri" w:hAnsi="Arial" w:cs="Arial"/>
          <w:sz w:val="24"/>
          <w:szCs w:val="24"/>
          <w:lang w:eastAsia="en-GB"/>
        </w:rPr>
      </w:pPr>
    </w:p>
    <w:p w14:paraId="39A2248C" w14:textId="5BAEE8BE" w:rsidR="002D1B1F" w:rsidRPr="00B568F3" w:rsidRDefault="004A106C"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rPr>
        <w:t>The grow your own model has been a response to the recruitment challenges being faced and the investment</w:t>
      </w:r>
      <w:r w:rsidR="00CC5CE2" w:rsidRPr="00B568F3">
        <w:rPr>
          <w:rFonts w:ascii="Arial" w:eastAsia="Calibri" w:hAnsi="Arial" w:cs="Arial"/>
          <w:sz w:val="24"/>
          <w:szCs w:val="24"/>
        </w:rPr>
        <w:t xml:space="preserve"> </w:t>
      </w:r>
      <w:r w:rsidR="002B058D" w:rsidRPr="00B568F3">
        <w:rPr>
          <w:rFonts w:ascii="Arial" w:eastAsia="Calibri" w:hAnsi="Arial" w:cs="Arial"/>
          <w:sz w:val="24"/>
          <w:szCs w:val="24"/>
        </w:rPr>
        <w:t>has been worth it because</w:t>
      </w:r>
      <w:r w:rsidR="004030D5" w:rsidRPr="00B568F3">
        <w:rPr>
          <w:rFonts w:ascii="Arial" w:eastAsia="Calibri" w:hAnsi="Arial" w:cs="Arial"/>
          <w:sz w:val="24"/>
          <w:szCs w:val="24"/>
        </w:rPr>
        <w:t xml:space="preserve"> there continues to be a positive increase in the sponsored route for the social work </w:t>
      </w:r>
      <w:r w:rsidR="009573A2" w:rsidRPr="00B568F3">
        <w:rPr>
          <w:rFonts w:ascii="Arial" w:eastAsia="Calibri" w:hAnsi="Arial" w:cs="Arial"/>
          <w:sz w:val="24"/>
          <w:szCs w:val="24"/>
        </w:rPr>
        <w:t>qualifying</w:t>
      </w:r>
      <w:r w:rsidR="004030D5" w:rsidRPr="00B568F3">
        <w:rPr>
          <w:rFonts w:ascii="Arial" w:eastAsia="Calibri" w:hAnsi="Arial" w:cs="Arial"/>
          <w:sz w:val="24"/>
          <w:szCs w:val="24"/>
        </w:rPr>
        <w:t xml:space="preserve"> awards</w:t>
      </w:r>
      <w:r w:rsidR="007B71A5" w:rsidRPr="00B568F3">
        <w:rPr>
          <w:rFonts w:ascii="Arial" w:eastAsia="Calibri" w:hAnsi="Arial" w:cs="Arial"/>
          <w:sz w:val="24"/>
          <w:szCs w:val="24"/>
          <w:lang w:eastAsia="en-GB"/>
        </w:rPr>
        <w:t xml:space="preserve">. </w:t>
      </w:r>
      <w:r w:rsidR="0082412A" w:rsidRPr="00B568F3">
        <w:rPr>
          <w:rFonts w:ascii="Arial" w:eastAsia="Calibri" w:hAnsi="Arial" w:cs="Arial"/>
          <w:sz w:val="24"/>
          <w:szCs w:val="24"/>
        </w:rPr>
        <w:t xml:space="preserve">The </w:t>
      </w:r>
      <w:r w:rsidR="002D1B1F" w:rsidRPr="00B568F3">
        <w:rPr>
          <w:rFonts w:ascii="Arial" w:eastAsia="Calibri" w:hAnsi="Arial" w:cs="Arial"/>
          <w:sz w:val="24"/>
          <w:szCs w:val="24"/>
        </w:rPr>
        <w:t xml:space="preserve">number of sponsored social work students involved in any part of the degree </w:t>
      </w:r>
      <w:r w:rsidR="0082412A" w:rsidRPr="00B568F3">
        <w:rPr>
          <w:rFonts w:ascii="Arial" w:eastAsia="Calibri" w:hAnsi="Arial" w:cs="Arial"/>
          <w:sz w:val="24"/>
          <w:szCs w:val="24"/>
        </w:rPr>
        <w:t xml:space="preserve">has increased </w:t>
      </w:r>
      <w:r w:rsidR="007B71A5" w:rsidRPr="00B568F3">
        <w:rPr>
          <w:rFonts w:ascii="Arial" w:eastAsia="Calibri" w:hAnsi="Arial" w:cs="Arial"/>
          <w:sz w:val="24"/>
          <w:szCs w:val="24"/>
        </w:rPr>
        <w:t>by 34.1</w:t>
      </w:r>
      <w:r w:rsidR="0060175D" w:rsidRPr="00B568F3">
        <w:rPr>
          <w:rFonts w:ascii="Arial" w:eastAsia="Calibri" w:hAnsi="Arial" w:cs="Arial"/>
          <w:sz w:val="24"/>
          <w:szCs w:val="24"/>
        </w:rPr>
        <w:t xml:space="preserve"> per cent</w:t>
      </w:r>
      <w:r w:rsidR="007B71A5" w:rsidRPr="00B568F3">
        <w:rPr>
          <w:rFonts w:ascii="Arial" w:eastAsia="Calibri" w:hAnsi="Arial" w:cs="Arial"/>
          <w:sz w:val="24"/>
          <w:szCs w:val="24"/>
        </w:rPr>
        <w:t xml:space="preserve"> </w:t>
      </w:r>
      <w:r w:rsidR="002D1B1F" w:rsidRPr="00B568F3">
        <w:rPr>
          <w:rFonts w:ascii="Arial" w:eastAsia="Calibri" w:hAnsi="Arial" w:cs="Arial"/>
          <w:sz w:val="24"/>
          <w:szCs w:val="24"/>
        </w:rPr>
        <w:t>from 422 in 2022</w:t>
      </w:r>
      <w:r w:rsidR="0060175D" w:rsidRPr="00B568F3">
        <w:rPr>
          <w:rFonts w:ascii="Arial" w:eastAsia="Calibri" w:hAnsi="Arial" w:cs="Arial"/>
          <w:sz w:val="24"/>
          <w:szCs w:val="24"/>
        </w:rPr>
        <w:t xml:space="preserve"> to</w:t>
      </w:r>
      <w:r w:rsidR="003D3FDF" w:rsidRPr="00B568F3">
        <w:rPr>
          <w:rFonts w:ascii="Arial" w:eastAsia="Calibri" w:hAnsi="Arial" w:cs="Arial"/>
          <w:sz w:val="24"/>
          <w:szCs w:val="24"/>
        </w:rPr>
        <w:t xml:space="preserve"> </w:t>
      </w:r>
      <w:r w:rsidR="002D1B1F" w:rsidRPr="00B568F3">
        <w:rPr>
          <w:rFonts w:ascii="Arial" w:eastAsia="Calibri" w:hAnsi="Arial" w:cs="Arial"/>
          <w:sz w:val="24"/>
          <w:szCs w:val="24"/>
        </w:rPr>
        <w:t>2023</w:t>
      </w:r>
      <w:r w:rsidR="003D3FDF" w:rsidRPr="00B568F3">
        <w:rPr>
          <w:rFonts w:ascii="Arial" w:eastAsia="Calibri" w:hAnsi="Arial" w:cs="Arial"/>
          <w:sz w:val="24"/>
          <w:szCs w:val="24"/>
        </w:rPr>
        <w:t>,</w:t>
      </w:r>
      <w:r w:rsidR="002D1B1F" w:rsidRPr="00B568F3">
        <w:rPr>
          <w:rFonts w:ascii="Arial" w:eastAsia="Calibri" w:hAnsi="Arial" w:cs="Arial"/>
          <w:sz w:val="24"/>
          <w:szCs w:val="24"/>
        </w:rPr>
        <w:t xml:space="preserve"> to 566 in 2023</w:t>
      </w:r>
      <w:r w:rsidR="0060175D" w:rsidRPr="00B568F3">
        <w:rPr>
          <w:rFonts w:ascii="Arial" w:eastAsia="Calibri" w:hAnsi="Arial" w:cs="Arial"/>
          <w:sz w:val="24"/>
          <w:szCs w:val="24"/>
        </w:rPr>
        <w:t xml:space="preserve"> to </w:t>
      </w:r>
      <w:r w:rsidR="002D1B1F" w:rsidRPr="00B568F3">
        <w:rPr>
          <w:rFonts w:ascii="Arial" w:eastAsia="Calibri" w:hAnsi="Arial" w:cs="Arial"/>
          <w:sz w:val="24"/>
          <w:szCs w:val="24"/>
        </w:rPr>
        <w:t xml:space="preserve">2024. </w:t>
      </w:r>
    </w:p>
    <w:p w14:paraId="31C673A1" w14:textId="77777777" w:rsidR="00CC39D9" w:rsidRPr="00B568F3" w:rsidRDefault="00CC39D9" w:rsidP="001E0808">
      <w:pPr>
        <w:spacing w:after="200" w:line="276" w:lineRule="auto"/>
        <w:ind w:left="567"/>
        <w:contextualSpacing/>
        <w:rPr>
          <w:rFonts w:ascii="Arial" w:eastAsia="Calibri" w:hAnsi="Arial" w:cs="Arial"/>
          <w:sz w:val="24"/>
          <w:szCs w:val="24"/>
        </w:rPr>
      </w:pPr>
    </w:p>
    <w:p w14:paraId="4794ECAF" w14:textId="506695B7" w:rsidR="004B3D66" w:rsidRPr="00B568F3" w:rsidRDefault="003D3FDF"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rPr>
        <w:t>There are still c</w:t>
      </w:r>
      <w:r w:rsidR="007678C5" w:rsidRPr="00B568F3">
        <w:rPr>
          <w:rFonts w:ascii="Arial" w:eastAsia="Calibri" w:hAnsi="Arial" w:cs="Arial"/>
          <w:sz w:val="24"/>
          <w:szCs w:val="24"/>
        </w:rPr>
        <w:t>hallenges</w:t>
      </w:r>
      <w:r w:rsidR="007678C5" w:rsidRPr="00B568F3" w:rsidDel="003D3FDF">
        <w:rPr>
          <w:rFonts w:ascii="Arial" w:eastAsia="Calibri" w:hAnsi="Arial" w:cs="Arial"/>
          <w:sz w:val="24"/>
          <w:szCs w:val="24"/>
        </w:rPr>
        <w:t xml:space="preserve"> </w:t>
      </w:r>
      <w:r w:rsidR="007678C5" w:rsidRPr="00B568F3">
        <w:rPr>
          <w:rFonts w:ascii="Arial" w:eastAsia="Calibri" w:hAnsi="Arial" w:cs="Arial"/>
          <w:sz w:val="24"/>
          <w:szCs w:val="24"/>
        </w:rPr>
        <w:t xml:space="preserve">in areas of practice assessment and providing placements, but efforts are being made by all to </w:t>
      </w:r>
      <w:r w:rsidR="00480A4E" w:rsidRPr="00B568F3">
        <w:rPr>
          <w:rFonts w:ascii="Arial" w:eastAsia="Calibri" w:hAnsi="Arial" w:cs="Arial"/>
          <w:sz w:val="24"/>
          <w:szCs w:val="24"/>
        </w:rPr>
        <w:t>make sure</w:t>
      </w:r>
      <w:r w:rsidR="007678C5" w:rsidRPr="00B568F3">
        <w:rPr>
          <w:rFonts w:ascii="Arial" w:eastAsia="Calibri" w:hAnsi="Arial" w:cs="Arial"/>
          <w:sz w:val="24"/>
          <w:szCs w:val="24"/>
        </w:rPr>
        <w:t xml:space="preserve"> a suitable number of quality placements are open</w:t>
      </w:r>
      <w:r w:rsidR="00166B11" w:rsidRPr="00B568F3">
        <w:rPr>
          <w:rFonts w:ascii="Arial" w:eastAsia="Calibri" w:hAnsi="Arial" w:cs="Arial"/>
          <w:sz w:val="24"/>
          <w:szCs w:val="24"/>
        </w:rPr>
        <w:t>,</w:t>
      </w:r>
      <w:r w:rsidR="007678C5" w:rsidRPr="00B568F3">
        <w:rPr>
          <w:rFonts w:ascii="Arial" w:eastAsia="Calibri" w:hAnsi="Arial" w:cs="Arial"/>
          <w:sz w:val="24"/>
          <w:szCs w:val="24"/>
        </w:rPr>
        <w:t xml:space="preserve"> to manage this increase in social work student supply.</w:t>
      </w:r>
    </w:p>
    <w:p w14:paraId="56A4BFD5" w14:textId="77777777" w:rsidR="004B3D66" w:rsidRPr="00B568F3" w:rsidRDefault="004B3D66" w:rsidP="004B3D66">
      <w:pPr>
        <w:pStyle w:val="ListParagraph"/>
        <w:spacing w:after="0"/>
        <w:rPr>
          <w:rFonts w:ascii="Arial" w:eastAsia="Calibri" w:hAnsi="Arial" w:cs="Arial"/>
          <w:sz w:val="24"/>
          <w:szCs w:val="24"/>
          <w:lang w:eastAsia="en-GB"/>
        </w:rPr>
      </w:pPr>
    </w:p>
    <w:p w14:paraId="1CF8542A" w14:textId="0DC46945" w:rsidR="00E47C4A" w:rsidRPr="00B568F3" w:rsidRDefault="004B3D66" w:rsidP="004B3D66">
      <w:pPr>
        <w:rPr>
          <w:rFonts w:ascii="Arial" w:eastAsia="Calibri" w:hAnsi="Arial" w:cs="Arial"/>
          <w:sz w:val="24"/>
          <w:szCs w:val="24"/>
        </w:rPr>
      </w:pPr>
      <w:r w:rsidRPr="00B568F3">
        <w:rPr>
          <w:rFonts w:ascii="Arial" w:eastAsia="Calibri" w:hAnsi="Arial" w:cs="Arial"/>
          <w:sz w:val="24"/>
          <w:szCs w:val="24"/>
        </w:rPr>
        <w:t>First three years post qualifying awards</w:t>
      </w:r>
    </w:p>
    <w:p w14:paraId="00E2C6CC" w14:textId="7B2D445A" w:rsidR="00AC6F50" w:rsidRPr="00B568F3" w:rsidRDefault="00AC6F50"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Figure 14 shows the levels of engagement in the social work </w:t>
      </w:r>
      <w:r w:rsidR="00357B42" w:rsidRPr="00B568F3">
        <w:rPr>
          <w:rFonts w:ascii="Arial" w:eastAsia="Calibri" w:hAnsi="Arial" w:cs="Arial"/>
          <w:sz w:val="24"/>
          <w:szCs w:val="24"/>
          <w:lang w:eastAsia="en-GB"/>
        </w:rPr>
        <w:t xml:space="preserve">first three years post </w:t>
      </w:r>
      <w:r w:rsidRPr="00B568F3">
        <w:rPr>
          <w:rFonts w:ascii="Arial" w:eastAsia="Calibri" w:hAnsi="Arial" w:cs="Arial"/>
          <w:sz w:val="24"/>
          <w:szCs w:val="24"/>
          <w:lang w:eastAsia="en-GB"/>
        </w:rPr>
        <w:t>qualifying programmes in 2023</w:t>
      </w:r>
      <w:r w:rsidR="00480A4E" w:rsidRPr="00B568F3">
        <w:rPr>
          <w:rFonts w:ascii="Arial" w:eastAsia="Calibri" w:hAnsi="Arial" w:cs="Arial"/>
          <w:sz w:val="24"/>
          <w:szCs w:val="24"/>
          <w:lang w:eastAsia="en-GB"/>
        </w:rPr>
        <w:t xml:space="preserve"> to </w:t>
      </w:r>
      <w:r w:rsidRPr="00B568F3">
        <w:rPr>
          <w:rFonts w:ascii="Arial" w:eastAsia="Calibri" w:hAnsi="Arial" w:cs="Arial"/>
          <w:sz w:val="24"/>
          <w:szCs w:val="24"/>
          <w:lang w:eastAsia="en-GB"/>
        </w:rPr>
        <w:t>2024</w:t>
      </w:r>
      <w:r w:rsidR="00480A4E" w:rsidRPr="00B568F3">
        <w:rPr>
          <w:rFonts w:ascii="Arial" w:eastAsia="Calibri" w:hAnsi="Arial" w:cs="Arial"/>
          <w:sz w:val="24"/>
          <w:szCs w:val="24"/>
          <w:lang w:eastAsia="en-GB"/>
        </w:rPr>
        <w:t xml:space="preserve"> and</w:t>
      </w:r>
      <w:r w:rsidRPr="00B568F3" w:rsidDel="00480A4E">
        <w:rPr>
          <w:rFonts w:ascii="Arial" w:eastAsia="Calibri" w:hAnsi="Arial" w:cs="Arial"/>
          <w:sz w:val="24"/>
          <w:szCs w:val="24"/>
          <w:lang w:eastAsia="en-GB"/>
        </w:rPr>
        <w:t xml:space="preserve"> </w:t>
      </w:r>
      <w:r w:rsidR="00166B11" w:rsidRPr="00B568F3">
        <w:rPr>
          <w:rFonts w:ascii="Arial" w:eastAsia="Calibri" w:hAnsi="Arial" w:cs="Arial"/>
          <w:sz w:val="24"/>
          <w:szCs w:val="24"/>
          <w:lang w:eastAsia="en-GB"/>
        </w:rPr>
        <w:t>t</w:t>
      </w:r>
      <w:r w:rsidRPr="00B568F3">
        <w:rPr>
          <w:rFonts w:ascii="Arial" w:eastAsia="Calibri" w:hAnsi="Arial" w:cs="Arial"/>
          <w:sz w:val="24"/>
          <w:szCs w:val="24"/>
          <w:lang w:eastAsia="en-GB"/>
        </w:rPr>
        <w:t xml:space="preserve">able </w:t>
      </w:r>
      <w:r w:rsidR="000A7F55" w:rsidRPr="00B568F3">
        <w:rPr>
          <w:rFonts w:ascii="Arial" w:eastAsia="Calibri" w:hAnsi="Arial" w:cs="Arial"/>
          <w:sz w:val="24"/>
          <w:szCs w:val="24"/>
          <w:lang w:eastAsia="en-GB"/>
        </w:rPr>
        <w:t xml:space="preserve">10 </w:t>
      </w:r>
      <w:r w:rsidRPr="00B568F3">
        <w:rPr>
          <w:rFonts w:ascii="Arial" w:eastAsia="Calibri" w:hAnsi="Arial" w:cs="Arial"/>
          <w:sz w:val="24"/>
          <w:szCs w:val="24"/>
          <w:lang w:eastAsia="en-GB"/>
        </w:rPr>
        <w:t>shows the three</w:t>
      </w:r>
      <w:r w:rsidR="004B1107" w:rsidRPr="00B568F3">
        <w:rPr>
          <w:rFonts w:ascii="Arial" w:eastAsia="Calibri" w:hAnsi="Arial" w:cs="Arial"/>
          <w:sz w:val="24"/>
          <w:szCs w:val="24"/>
          <w:lang w:eastAsia="en-GB"/>
        </w:rPr>
        <w:t>-</w:t>
      </w:r>
      <w:r w:rsidRPr="00B568F3">
        <w:rPr>
          <w:rFonts w:ascii="Arial" w:eastAsia="Calibri" w:hAnsi="Arial" w:cs="Arial"/>
          <w:sz w:val="24"/>
          <w:szCs w:val="24"/>
          <w:lang w:eastAsia="en-GB"/>
        </w:rPr>
        <w:t>year trend</w:t>
      </w:r>
      <w:r w:rsidR="00357B42" w:rsidRPr="00B568F3">
        <w:rPr>
          <w:rFonts w:ascii="Arial" w:eastAsia="Calibri" w:hAnsi="Arial" w:cs="Arial"/>
          <w:sz w:val="24"/>
          <w:szCs w:val="24"/>
          <w:lang w:eastAsia="en-GB"/>
        </w:rPr>
        <w:t>.</w:t>
      </w:r>
    </w:p>
    <w:p w14:paraId="49F4A8EE" w14:textId="77777777" w:rsidR="004B3D66" w:rsidRPr="00B568F3" w:rsidRDefault="004B3D66" w:rsidP="004B3D66">
      <w:pPr>
        <w:rPr>
          <w:rFonts w:ascii="Arial" w:eastAsia="Calibri" w:hAnsi="Arial" w:cs="Arial"/>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E47C4A" w:rsidRPr="00B568F3" w14:paraId="2C6917BE" w14:textId="77777777" w:rsidTr="0083244C">
        <w:tc>
          <w:tcPr>
            <w:tcW w:w="9026" w:type="dxa"/>
          </w:tcPr>
          <w:p w14:paraId="2BFBA351" w14:textId="12A42403" w:rsidR="00E47C4A" w:rsidRPr="00B568F3" w:rsidRDefault="00E47C4A" w:rsidP="00E47C4A">
            <w:pPr>
              <w:contextualSpacing/>
              <w:rPr>
                <w:rFonts w:ascii="Arial" w:eastAsia="Calibri" w:hAnsi="Arial" w:cs="Arial"/>
                <w:b/>
                <w:bCs/>
                <w:sz w:val="24"/>
                <w:szCs w:val="24"/>
              </w:rPr>
            </w:pPr>
            <w:r w:rsidRPr="00B568F3">
              <w:rPr>
                <w:rFonts w:ascii="Arial" w:eastAsia="Calibri" w:hAnsi="Arial" w:cs="Arial"/>
                <w:b/>
                <w:bCs/>
                <w:sz w:val="24"/>
                <w:szCs w:val="24"/>
              </w:rPr>
              <w:t>Figure 1</w:t>
            </w:r>
            <w:r w:rsidR="00807C08" w:rsidRPr="00B568F3">
              <w:rPr>
                <w:rFonts w:ascii="Arial" w:eastAsia="Calibri" w:hAnsi="Arial" w:cs="Arial"/>
                <w:b/>
                <w:bCs/>
                <w:sz w:val="24"/>
                <w:szCs w:val="24"/>
              </w:rPr>
              <w:t>4</w:t>
            </w:r>
            <w:r w:rsidRPr="00B568F3">
              <w:rPr>
                <w:rFonts w:ascii="Arial" w:eastAsia="Calibri" w:hAnsi="Arial" w:cs="Arial"/>
                <w:b/>
                <w:bCs/>
                <w:sz w:val="24"/>
                <w:szCs w:val="24"/>
              </w:rPr>
              <w:t xml:space="preserve">: </w:t>
            </w:r>
            <w:r w:rsidR="004A0A0A" w:rsidRPr="00B568F3">
              <w:rPr>
                <w:rFonts w:ascii="Arial" w:eastAsia="Calibri" w:hAnsi="Arial" w:cs="Arial"/>
                <w:b/>
                <w:bCs/>
                <w:sz w:val="24"/>
                <w:szCs w:val="24"/>
              </w:rPr>
              <w:t xml:space="preserve">First three years post qualifying </w:t>
            </w:r>
            <w:r w:rsidRPr="00B568F3">
              <w:rPr>
                <w:rFonts w:ascii="Arial" w:eastAsia="Calibri" w:hAnsi="Arial" w:cs="Arial"/>
                <w:b/>
                <w:bCs/>
                <w:sz w:val="24"/>
                <w:szCs w:val="24"/>
              </w:rPr>
              <w:t>awards, 2023</w:t>
            </w:r>
            <w:r w:rsidR="00480A4E" w:rsidRPr="00B568F3">
              <w:rPr>
                <w:rFonts w:ascii="Arial" w:eastAsia="Calibri" w:hAnsi="Arial" w:cs="Arial"/>
                <w:b/>
                <w:bCs/>
                <w:sz w:val="24"/>
                <w:szCs w:val="24"/>
              </w:rPr>
              <w:t xml:space="preserve"> to </w:t>
            </w:r>
            <w:r w:rsidRPr="00B568F3">
              <w:rPr>
                <w:rFonts w:ascii="Arial" w:eastAsia="Calibri" w:hAnsi="Arial" w:cs="Arial"/>
                <w:b/>
                <w:bCs/>
                <w:sz w:val="24"/>
                <w:szCs w:val="24"/>
              </w:rPr>
              <w:t>2024</w:t>
            </w:r>
          </w:p>
          <w:p w14:paraId="3BD66EE5" w14:textId="77777777" w:rsidR="00E47C4A" w:rsidRPr="00B568F3" w:rsidRDefault="00E47C4A" w:rsidP="00E47C4A">
            <w:pPr>
              <w:spacing w:after="200" w:line="276" w:lineRule="auto"/>
              <w:contextualSpacing/>
              <w:rPr>
                <w:rFonts w:ascii="Arial" w:eastAsia="Calibri" w:hAnsi="Arial" w:cs="Arial"/>
                <w:sz w:val="24"/>
                <w:szCs w:val="24"/>
                <w:lang w:eastAsia="en-GB"/>
              </w:rPr>
            </w:pPr>
          </w:p>
        </w:tc>
      </w:tr>
      <w:tr w:rsidR="00E47C4A" w:rsidRPr="00B568F3" w14:paraId="349F19B7" w14:textId="77777777" w:rsidTr="0083244C">
        <w:tc>
          <w:tcPr>
            <w:tcW w:w="9026" w:type="dxa"/>
          </w:tcPr>
          <w:p w14:paraId="56C0919D" w14:textId="07BA7E76" w:rsidR="00E47C4A" w:rsidRPr="00B568F3" w:rsidRDefault="0083244C" w:rsidP="00E47C4A">
            <w:pPr>
              <w:spacing w:after="200" w:line="276" w:lineRule="auto"/>
              <w:contextualSpacing/>
              <w:rPr>
                <w:rFonts w:ascii="Arial" w:eastAsia="Calibri" w:hAnsi="Arial" w:cs="Arial"/>
                <w:sz w:val="24"/>
                <w:szCs w:val="24"/>
                <w:lang w:eastAsia="en-GB"/>
              </w:rPr>
            </w:pPr>
            <w:r w:rsidRPr="00B568F3">
              <w:rPr>
                <w:rFonts w:ascii="Arial" w:eastAsia="Calibri" w:hAnsi="Arial" w:cs="Arial"/>
                <w:noProof/>
                <w:sz w:val="24"/>
                <w:szCs w:val="24"/>
                <w:lang w:eastAsia="en-GB"/>
              </w:rPr>
              <w:drawing>
                <wp:inline distT="0" distB="0" distL="0" distR="0" wp14:anchorId="476A3939" wp14:editId="4DF54DF9">
                  <wp:extent cx="5731200" cy="3744566"/>
                  <wp:effectExtent l="0" t="0" r="3175" b="8890"/>
                  <wp:docPr id="270730837" name="Picture 2" descr="Figure 14: First three years post qualifying awards, 2023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30837" name="Picture 2" descr="Figure 14: First three years post qualifying awards, 2023 to 202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31200" cy="3744566"/>
                          </a:xfrm>
                          <a:prstGeom prst="rect">
                            <a:avLst/>
                          </a:prstGeom>
                        </pic:spPr>
                      </pic:pic>
                    </a:graphicData>
                  </a:graphic>
                </wp:inline>
              </w:drawing>
            </w:r>
          </w:p>
        </w:tc>
      </w:tr>
      <w:tr w:rsidR="0083244C" w:rsidRPr="00B568F3" w14:paraId="4437B510" w14:textId="77777777" w:rsidTr="0083244C">
        <w:tc>
          <w:tcPr>
            <w:tcW w:w="9026" w:type="dxa"/>
          </w:tcPr>
          <w:p w14:paraId="7C2F78BC" w14:textId="3E064F8C" w:rsidR="0083244C" w:rsidRPr="00B568F3" w:rsidRDefault="0083244C" w:rsidP="0083244C">
            <w:pPr>
              <w:spacing w:after="200" w:line="276" w:lineRule="auto"/>
              <w:contextualSpacing/>
              <w:jc w:val="right"/>
              <w:rPr>
                <w:rFonts w:ascii="Arial" w:eastAsia="Calibri" w:hAnsi="Arial" w:cs="Arial"/>
                <w:noProof/>
                <w:sz w:val="24"/>
                <w:szCs w:val="24"/>
                <w:lang w:eastAsia="en-GB"/>
              </w:rPr>
            </w:pPr>
            <w:r w:rsidRPr="00B568F3">
              <w:rPr>
                <w:rFonts w:ascii="Arial" w:eastAsia="Calibri" w:hAnsi="Arial" w:cs="Arial"/>
                <w:i/>
                <w:iCs/>
                <w:sz w:val="20"/>
                <w:szCs w:val="20"/>
                <w:lang w:eastAsia="en-GB"/>
              </w:rPr>
              <w:t>Number on programme = Number on programme on 1 April and enrolled during year</w:t>
            </w:r>
          </w:p>
        </w:tc>
      </w:tr>
    </w:tbl>
    <w:p w14:paraId="66AD08AC" w14:textId="77777777" w:rsidR="002D3454" w:rsidRPr="00B568F3" w:rsidRDefault="002D3454" w:rsidP="007609C8">
      <w:pPr>
        <w:spacing w:after="0" w:line="240" w:lineRule="auto"/>
        <w:rPr>
          <w:rFonts w:ascii="Arial" w:eastAsia="Calibri" w:hAnsi="Arial" w:cs="Arial"/>
          <w:b/>
          <w:bCs/>
          <w:sz w:val="24"/>
          <w:szCs w:val="24"/>
          <w:lang w:eastAsia="en-GB"/>
        </w:rPr>
      </w:pPr>
    </w:p>
    <w:p w14:paraId="4FEBBA4C" w14:textId="13267A24" w:rsidR="007609C8" w:rsidRPr="00B568F3" w:rsidRDefault="007609C8" w:rsidP="007609C8">
      <w:pPr>
        <w:spacing w:after="0" w:line="240" w:lineRule="auto"/>
        <w:rPr>
          <w:rFonts w:ascii="Arial" w:eastAsia="Calibri" w:hAnsi="Arial" w:cs="Arial"/>
          <w:b/>
          <w:bCs/>
          <w:sz w:val="24"/>
          <w:szCs w:val="24"/>
          <w:lang w:eastAsia="en-GB"/>
        </w:rPr>
      </w:pPr>
      <w:r w:rsidRPr="00B568F3">
        <w:rPr>
          <w:rFonts w:ascii="Arial" w:eastAsia="Calibri" w:hAnsi="Arial" w:cs="Arial"/>
          <w:b/>
          <w:bCs/>
          <w:sz w:val="24"/>
          <w:szCs w:val="24"/>
          <w:lang w:eastAsia="en-GB"/>
        </w:rPr>
        <w:t xml:space="preserve">Table </w:t>
      </w:r>
      <w:r w:rsidR="000A7F55" w:rsidRPr="00B568F3">
        <w:rPr>
          <w:rFonts w:ascii="Arial" w:eastAsia="Calibri" w:hAnsi="Arial" w:cs="Arial"/>
          <w:b/>
          <w:bCs/>
          <w:sz w:val="24"/>
          <w:szCs w:val="24"/>
          <w:lang w:eastAsia="en-GB"/>
        </w:rPr>
        <w:t>10</w:t>
      </w:r>
      <w:r w:rsidRPr="00B568F3">
        <w:rPr>
          <w:rFonts w:ascii="Arial" w:eastAsia="Calibri" w:hAnsi="Arial" w:cs="Arial"/>
          <w:b/>
          <w:bCs/>
          <w:sz w:val="24"/>
          <w:szCs w:val="24"/>
          <w:lang w:eastAsia="en-GB"/>
        </w:rPr>
        <w:t xml:space="preserve">: </w:t>
      </w:r>
      <w:r w:rsidRPr="00B568F3">
        <w:rPr>
          <w:rFonts w:ascii="Arial" w:eastAsia="Calibri" w:hAnsi="Arial" w:cs="Arial"/>
          <w:b/>
          <w:bCs/>
          <w:sz w:val="24"/>
          <w:szCs w:val="24"/>
        </w:rPr>
        <w:t>First three years post qualifying awards</w:t>
      </w:r>
      <w:r w:rsidRPr="00B568F3">
        <w:rPr>
          <w:rFonts w:ascii="Arial" w:eastAsia="Calibri" w:hAnsi="Arial" w:cs="Arial"/>
          <w:b/>
          <w:bCs/>
          <w:sz w:val="24"/>
          <w:szCs w:val="24"/>
          <w:lang w:eastAsia="en-GB"/>
        </w:rPr>
        <w:t>,</w:t>
      </w:r>
      <w:r w:rsidR="00480A4E" w:rsidRPr="00B568F3">
        <w:rPr>
          <w:rFonts w:ascii="Arial" w:eastAsia="Calibri" w:hAnsi="Arial" w:cs="Arial"/>
          <w:b/>
          <w:bCs/>
          <w:sz w:val="24"/>
          <w:szCs w:val="24"/>
          <w:lang w:eastAsia="en-GB"/>
        </w:rPr>
        <w:t xml:space="preserve"> the</w:t>
      </w:r>
      <w:r w:rsidRPr="00B568F3">
        <w:rPr>
          <w:rFonts w:ascii="Arial" w:eastAsia="Calibri" w:hAnsi="Arial" w:cs="Arial"/>
          <w:b/>
          <w:bCs/>
          <w:sz w:val="24"/>
          <w:szCs w:val="24"/>
          <w:lang w:eastAsia="en-GB"/>
        </w:rPr>
        <w:t xml:space="preserve"> </w:t>
      </w:r>
      <w:r w:rsidRPr="00B568F3">
        <w:rPr>
          <w:rFonts w:ascii="Arial" w:eastAsia="Calibri" w:hAnsi="Arial" w:cs="Arial"/>
          <w:b/>
          <w:bCs/>
          <w:sz w:val="24"/>
          <w:szCs w:val="24"/>
        </w:rPr>
        <w:t>three</w:t>
      </w:r>
      <w:r w:rsidR="00E833D0" w:rsidRPr="00B568F3">
        <w:rPr>
          <w:rFonts w:ascii="Arial" w:eastAsia="Calibri" w:hAnsi="Arial" w:cs="Arial"/>
          <w:b/>
          <w:bCs/>
          <w:sz w:val="24"/>
          <w:szCs w:val="24"/>
        </w:rPr>
        <w:t>-</w:t>
      </w:r>
      <w:r w:rsidRPr="00B568F3">
        <w:rPr>
          <w:rFonts w:ascii="Arial" w:eastAsia="Calibri" w:hAnsi="Arial" w:cs="Arial"/>
          <w:b/>
          <w:bCs/>
          <w:sz w:val="24"/>
          <w:szCs w:val="24"/>
        </w:rPr>
        <w:t>year trend</w:t>
      </w:r>
    </w:p>
    <w:p w14:paraId="2156DC43" w14:textId="77777777" w:rsidR="007609C8" w:rsidRPr="00B568F3" w:rsidRDefault="007609C8" w:rsidP="007609C8">
      <w:pPr>
        <w:spacing w:after="200" w:line="276" w:lineRule="auto"/>
        <w:contextualSpacing/>
        <w:rPr>
          <w:rFonts w:ascii="Arial" w:eastAsia="Calibri" w:hAnsi="Arial" w:cs="Arial"/>
          <w:sz w:val="24"/>
          <w:szCs w:val="24"/>
          <w:lang w:eastAsia="en-GB"/>
        </w:rPr>
      </w:pPr>
    </w:p>
    <w:tbl>
      <w:tblPr>
        <w:tblStyle w:val="TableGrid"/>
        <w:tblW w:w="7385" w:type="dxa"/>
        <w:jc w:val="center"/>
        <w:tblLook w:val="04A0" w:firstRow="1" w:lastRow="0" w:firstColumn="1" w:lastColumn="0" w:noHBand="0" w:noVBand="1"/>
      </w:tblPr>
      <w:tblGrid>
        <w:gridCol w:w="1670"/>
        <w:gridCol w:w="1635"/>
        <w:gridCol w:w="1110"/>
        <w:gridCol w:w="1830"/>
        <w:gridCol w:w="1140"/>
      </w:tblGrid>
      <w:tr w:rsidR="006111FD" w:rsidRPr="00B568F3" w14:paraId="76B4C32D" w14:textId="77777777" w:rsidTr="5EF60A1F">
        <w:trPr>
          <w:jc w:val="center"/>
        </w:trPr>
        <w:tc>
          <w:tcPr>
            <w:tcW w:w="1670" w:type="dxa"/>
            <w:vAlign w:val="center"/>
          </w:tcPr>
          <w:p w14:paraId="1C4CCA56" w14:textId="77777777" w:rsidR="006111FD" w:rsidRPr="00B568F3" w:rsidRDefault="006111FD"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Financial Year</w:t>
            </w:r>
          </w:p>
        </w:tc>
        <w:tc>
          <w:tcPr>
            <w:tcW w:w="1635" w:type="dxa"/>
            <w:vAlign w:val="center"/>
          </w:tcPr>
          <w:p w14:paraId="48FB1078" w14:textId="5650CC43" w:rsidR="006111FD" w:rsidRPr="00B568F3" w:rsidRDefault="006111FD"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NQSW Programme</w:t>
            </w:r>
          </w:p>
        </w:tc>
        <w:tc>
          <w:tcPr>
            <w:tcW w:w="1110" w:type="dxa"/>
          </w:tcPr>
          <w:p w14:paraId="62B3B384" w14:textId="77777777" w:rsidR="006111FD" w:rsidRPr="00B568F3" w:rsidRDefault="006111FD"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 change</w:t>
            </w:r>
          </w:p>
        </w:tc>
        <w:tc>
          <w:tcPr>
            <w:tcW w:w="1830" w:type="dxa"/>
            <w:vAlign w:val="center"/>
          </w:tcPr>
          <w:p w14:paraId="22FACCAF" w14:textId="555F06A8" w:rsidR="006111FD" w:rsidRPr="00B568F3" w:rsidRDefault="006111FD"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Consolidation</w:t>
            </w:r>
          </w:p>
        </w:tc>
        <w:tc>
          <w:tcPr>
            <w:tcW w:w="1140" w:type="dxa"/>
          </w:tcPr>
          <w:p w14:paraId="0A8B2779" w14:textId="77777777" w:rsidR="006111FD" w:rsidRPr="00B568F3" w:rsidRDefault="006111FD"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 change</w:t>
            </w:r>
          </w:p>
        </w:tc>
      </w:tr>
      <w:tr w:rsidR="006111FD" w:rsidRPr="00B568F3" w14:paraId="61660F9F" w14:textId="77777777" w:rsidTr="5EF60A1F">
        <w:trPr>
          <w:jc w:val="center"/>
        </w:trPr>
        <w:tc>
          <w:tcPr>
            <w:tcW w:w="1670" w:type="dxa"/>
            <w:vAlign w:val="center"/>
          </w:tcPr>
          <w:p w14:paraId="0FB07D20" w14:textId="77777777" w:rsidR="006111FD" w:rsidRPr="00B568F3" w:rsidRDefault="006111FD"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2023/2024</w:t>
            </w:r>
          </w:p>
        </w:tc>
        <w:tc>
          <w:tcPr>
            <w:tcW w:w="1635" w:type="dxa"/>
            <w:shd w:val="clear" w:color="auto" w:fill="auto"/>
            <w:vAlign w:val="center"/>
          </w:tcPr>
          <w:p w14:paraId="00BCFE22" w14:textId="4B4A63F2" w:rsidR="006111FD" w:rsidRPr="00B568F3" w:rsidRDefault="003A37C6"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449</w:t>
            </w:r>
          </w:p>
        </w:tc>
        <w:tc>
          <w:tcPr>
            <w:tcW w:w="1110" w:type="dxa"/>
            <w:shd w:val="clear" w:color="auto" w:fill="auto"/>
            <w:vAlign w:val="center"/>
          </w:tcPr>
          <w:p w14:paraId="6D6E1918" w14:textId="05FE0CFD" w:rsidR="006111FD" w:rsidRPr="00B568F3" w:rsidRDefault="00AA6990"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w:t>
            </w:r>
            <w:r w:rsidR="001A2CBE" w:rsidRPr="00B568F3">
              <w:rPr>
                <w:rFonts w:ascii="Arial" w:eastAsia="Calibri" w:hAnsi="Arial" w:cs="Arial"/>
                <w:sz w:val="24"/>
                <w:szCs w:val="24"/>
                <w:lang w:eastAsia="en-GB"/>
              </w:rPr>
              <w:t>15.4%</w:t>
            </w:r>
          </w:p>
        </w:tc>
        <w:tc>
          <w:tcPr>
            <w:tcW w:w="1830" w:type="dxa"/>
            <w:shd w:val="clear" w:color="auto" w:fill="auto"/>
            <w:vAlign w:val="center"/>
          </w:tcPr>
          <w:p w14:paraId="33C59725" w14:textId="6F830892" w:rsidR="006111FD" w:rsidRPr="00B568F3" w:rsidRDefault="003A37C6"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547</w:t>
            </w:r>
          </w:p>
        </w:tc>
        <w:tc>
          <w:tcPr>
            <w:tcW w:w="1140" w:type="dxa"/>
            <w:shd w:val="clear" w:color="auto" w:fill="auto"/>
            <w:vAlign w:val="center"/>
          </w:tcPr>
          <w:p w14:paraId="3E443B56" w14:textId="77058A05" w:rsidR="006111FD" w:rsidRPr="00B568F3" w:rsidRDefault="00AA6990" w:rsidP="00FC716F">
            <w:pPr>
              <w:spacing w:before="120" w:after="120"/>
              <w:jc w:val="center"/>
              <w:rPr>
                <w:rFonts w:ascii="Arial" w:eastAsia="Calibri" w:hAnsi="Arial" w:cs="Arial"/>
                <w:sz w:val="24"/>
                <w:szCs w:val="24"/>
                <w:lang w:eastAsia="en-GB"/>
              </w:rPr>
            </w:pPr>
            <w:r w:rsidRPr="00B568F3">
              <w:rPr>
                <w:rFonts w:ascii="Arial" w:eastAsia="Calibri" w:hAnsi="Arial" w:cs="Arial"/>
                <w:sz w:val="24"/>
                <w:szCs w:val="24"/>
                <w:lang w:eastAsia="en-GB"/>
              </w:rPr>
              <w:t>+</w:t>
            </w:r>
            <w:r w:rsidR="001A2CBE" w:rsidRPr="00B568F3">
              <w:rPr>
                <w:rFonts w:ascii="Arial" w:eastAsia="Calibri" w:hAnsi="Arial" w:cs="Arial"/>
                <w:sz w:val="24"/>
                <w:szCs w:val="24"/>
                <w:lang w:eastAsia="en-GB"/>
              </w:rPr>
              <w:t>17.9%</w:t>
            </w:r>
          </w:p>
        </w:tc>
      </w:tr>
      <w:tr w:rsidR="006111FD" w:rsidRPr="00B568F3" w14:paraId="43AD360F" w14:textId="77777777" w:rsidTr="5EF60A1F">
        <w:trPr>
          <w:jc w:val="center"/>
        </w:trPr>
        <w:tc>
          <w:tcPr>
            <w:tcW w:w="1670" w:type="dxa"/>
            <w:vAlign w:val="center"/>
          </w:tcPr>
          <w:p w14:paraId="23723B21" w14:textId="77777777" w:rsidR="006111FD" w:rsidRPr="00B568F3" w:rsidRDefault="006111FD"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2022/2023</w:t>
            </w:r>
          </w:p>
        </w:tc>
        <w:tc>
          <w:tcPr>
            <w:tcW w:w="1635" w:type="dxa"/>
            <w:shd w:val="clear" w:color="auto" w:fill="auto"/>
            <w:vAlign w:val="center"/>
          </w:tcPr>
          <w:p w14:paraId="705317D5" w14:textId="1D19E704" w:rsidR="006111FD" w:rsidRPr="00B568F3" w:rsidRDefault="003A37C6"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389</w:t>
            </w:r>
          </w:p>
        </w:tc>
        <w:tc>
          <w:tcPr>
            <w:tcW w:w="1110" w:type="dxa"/>
            <w:shd w:val="clear" w:color="auto" w:fill="auto"/>
            <w:vAlign w:val="center"/>
          </w:tcPr>
          <w:p w14:paraId="3EC64515" w14:textId="1A40AD34" w:rsidR="006111FD" w:rsidRPr="00B568F3" w:rsidRDefault="00AA6990"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w:t>
            </w:r>
            <w:r w:rsidR="005A25C6" w:rsidRPr="00B568F3">
              <w:rPr>
                <w:rFonts w:ascii="Arial" w:eastAsia="Calibri" w:hAnsi="Arial" w:cs="Arial"/>
                <w:sz w:val="24"/>
                <w:szCs w:val="24"/>
                <w:lang w:eastAsia="en-GB"/>
              </w:rPr>
              <w:t>2.6%</w:t>
            </w:r>
          </w:p>
        </w:tc>
        <w:tc>
          <w:tcPr>
            <w:tcW w:w="1830" w:type="dxa"/>
            <w:shd w:val="clear" w:color="auto" w:fill="auto"/>
            <w:vAlign w:val="center"/>
          </w:tcPr>
          <w:p w14:paraId="57551676" w14:textId="54609568" w:rsidR="006111FD" w:rsidRPr="00B568F3" w:rsidRDefault="003A37C6"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464</w:t>
            </w:r>
          </w:p>
        </w:tc>
        <w:tc>
          <w:tcPr>
            <w:tcW w:w="1140" w:type="dxa"/>
            <w:shd w:val="clear" w:color="auto" w:fill="auto"/>
            <w:vAlign w:val="center"/>
          </w:tcPr>
          <w:p w14:paraId="764B92EB" w14:textId="11778DF2" w:rsidR="006111FD" w:rsidRPr="00B568F3" w:rsidRDefault="005A25C6"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-7.0%</w:t>
            </w:r>
          </w:p>
        </w:tc>
      </w:tr>
      <w:tr w:rsidR="006111FD" w:rsidRPr="00B568F3" w14:paraId="0E639539" w14:textId="77777777" w:rsidTr="5EF60A1F">
        <w:trPr>
          <w:jc w:val="center"/>
        </w:trPr>
        <w:tc>
          <w:tcPr>
            <w:tcW w:w="1670" w:type="dxa"/>
            <w:tcBorders>
              <w:bottom w:val="single" w:sz="4" w:space="0" w:color="auto"/>
            </w:tcBorders>
            <w:vAlign w:val="center"/>
          </w:tcPr>
          <w:p w14:paraId="66FFA681" w14:textId="77777777" w:rsidR="006111FD" w:rsidRPr="00B568F3" w:rsidRDefault="006111FD"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2021/2022</w:t>
            </w:r>
          </w:p>
        </w:tc>
        <w:tc>
          <w:tcPr>
            <w:tcW w:w="1635" w:type="dxa"/>
            <w:tcBorders>
              <w:bottom w:val="single" w:sz="4" w:space="0" w:color="auto"/>
            </w:tcBorders>
            <w:shd w:val="clear" w:color="auto" w:fill="auto"/>
            <w:vAlign w:val="center"/>
          </w:tcPr>
          <w:p w14:paraId="78A38085" w14:textId="4F6FD2F9" w:rsidR="006111FD" w:rsidRPr="00B568F3" w:rsidRDefault="00140E1A"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379</w:t>
            </w:r>
          </w:p>
        </w:tc>
        <w:tc>
          <w:tcPr>
            <w:tcW w:w="1110" w:type="dxa"/>
            <w:tcBorders>
              <w:bottom w:val="single" w:sz="4" w:space="0" w:color="auto"/>
            </w:tcBorders>
            <w:shd w:val="clear" w:color="auto" w:fill="auto"/>
            <w:vAlign w:val="center"/>
          </w:tcPr>
          <w:p w14:paraId="33867078" w14:textId="1A4D3131" w:rsidR="006111FD" w:rsidRPr="00B568F3" w:rsidRDefault="00AA6990"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w:t>
            </w:r>
            <w:r w:rsidR="00BE5CF5" w:rsidRPr="00B568F3">
              <w:rPr>
                <w:rFonts w:ascii="Arial" w:eastAsia="Calibri" w:hAnsi="Arial" w:cs="Arial"/>
                <w:sz w:val="24"/>
                <w:szCs w:val="24"/>
                <w:lang w:eastAsia="en-GB"/>
              </w:rPr>
              <w:t>2.7%</w:t>
            </w:r>
          </w:p>
        </w:tc>
        <w:tc>
          <w:tcPr>
            <w:tcW w:w="1830" w:type="dxa"/>
            <w:tcBorders>
              <w:bottom w:val="single" w:sz="4" w:space="0" w:color="auto"/>
            </w:tcBorders>
            <w:shd w:val="clear" w:color="auto" w:fill="auto"/>
            <w:vAlign w:val="center"/>
          </w:tcPr>
          <w:p w14:paraId="479572B3" w14:textId="16503AE7" w:rsidR="006111FD" w:rsidRPr="00B568F3" w:rsidRDefault="00140E1A"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499</w:t>
            </w:r>
          </w:p>
        </w:tc>
        <w:tc>
          <w:tcPr>
            <w:tcW w:w="1140" w:type="dxa"/>
            <w:tcBorders>
              <w:bottom w:val="single" w:sz="4" w:space="0" w:color="auto"/>
            </w:tcBorders>
            <w:shd w:val="clear" w:color="auto" w:fill="auto"/>
            <w:vAlign w:val="center"/>
          </w:tcPr>
          <w:p w14:paraId="4B5E2554" w14:textId="02B47F25" w:rsidR="006111FD" w:rsidRPr="00B568F3" w:rsidRDefault="00AA6990"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w:t>
            </w:r>
            <w:r w:rsidR="00BE5CF5" w:rsidRPr="00B568F3">
              <w:rPr>
                <w:rFonts w:ascii="Arial" w:eastAsia="Calibri" w:hAnsi="Arial" w:cs="Arial"/>
                <w:sz w:val="24"/>
                <w:szCs w:val="24"/>
                <w:lang w:eastAsia="en-GB"/>
              </w:rPr>
              <w:t>2.3%</w:t>
            </w:r>
          </w:p>
        </w:tc>
      </w:tr>
      <w:tr w:rsidR="00514846" w:rsidRPr="00B568F3" w14:paraId="44019D08" w14:textId="77777777" w:rsidTr="5EF60A1F">
        <w:trPr>
          <w:jc w:val="center"/>
        </w:trPr>
        <w:tc>
          <w:tcPr>
            <w:tcW w:w="7385" w:type="dxa"/>
            <w:gridSpan w:val="5"/>
            <w:tcBorders>
              <w:left w:val="nil"/>
              <w:bottom w:val="nil"/>
              <w:right w:val="nil"/>
            </w:tcBorders>
            <w:vAlign w:val="center"/>
          </w:tcPr>
          <w:p w14:paraId="44567635" w14:textId="53573150" w:rsidR="00514846" w:rsidRPr="00B568F3" w:rsidRDefault="4D4154AC" w:rsidP="00514846">
            <w:pPr>
              <w:spacing w:before="120" w:after="120"/>
              <w:contextualSpacing/>
              <w:jc w:val="right"/>
              <w:rPr>
                <w:rFonts w:ascii="Arial" w:eastAsia="Calibri" w:hAnsi="Arial" w:cs="Arial"/>
                <w:sz w:val="24"/>
                <w:szCs w:val="24"/>
                <w:lang w:eastAsia="en-GB"/>
              </w:rPr>
            </w:pPr>
            <w:r w:rsidRPr="00B568F3">
              <w:rPr>
                <w:rFonts w:ascii="Arial" w:eastAsia="Calibri" w:hAnsi="Arial" w:cs="Arial"/>
                <w:i/>
                <w:iCs/>
                <w:lang w:eastAsia="en-GB"/>
              </w:rPr>
              <w:t>Figures are for those on programme</w:t>
            </w:r>
            <w:r w:rsidR="63120608" w:rsidRPr="00B568F3">
              <w:rPr>
                <w:rFonts w:ascii="Arial" w:eastAsia="Calibri" w:hAnsi="Arial" w:cs="Arial"/>
                <w:i/>
                <w:iCs/>
                <w:lang w:eastAsia="en-GB"/>
              </w:rPr>
              <w:t xml:space="preserve"> </w:t>
            </w:r>
            <w:r w:rsidR="00BE4AA4" w:rsidRPr="00B568F3">
              <w:rPr>
                <w:rFonts w:ascii="Arial" w:eastAsia="Calibri" w:hAnsi="Arial" w:cs="Arial"/>
                <w:i/>
                <w:iCs/>
                <w:lang w:eastAsia="en-GB"/>
              </w:rPr>
              <w:t>from</w:t>
            </w:r>
            <w:r w:rsidR="63120608" w:rsidRPr="00B568F3">
              <w:rPr>
                <w:rFonts w:ascii="Arial" w:eastAsia="Calibri" w:hAnsi="Arial" w:cs="Arial"/>
                <w:i/>
                <w:iCs/>
                <w:lang w:eastAsia="en-GB"/>
              </w:rPr>
              <w:t xml:space="preserve"> </w:t>
            </w:r>
            <w:r w:rsidR="00675AAE" w:rsidRPr="00B568F3">
              <w:rPr>
                <w:rFonts w:ascii="Arial" w:eastAsia="Calibri" w:hAnsi="Arial" w:cs="Arial"/>
                <w:i/>
                <w:iCs/>
                <w:lang w:eastAsia="en-GB"/>
              </w:rPr>
              <w:t xml:space="preserve">1 </w:t>
            </w:r>
            <w:r w:rsidR="005E7C06" w:rsidRPr="00B568F3">
              <w:rPr>
                <w:rFonts w:ascii="Arial" w:eastAsia="Calibri" w:hAnsi="Arial" w:cs="Arial"/>
                <w:i/>
                <w:iCs/>
                <w:lang w:eastAsia="en-GB"/>
              </w:rPr>
              <w:t xml:space="preserve">April </w:t>
            </w:r>
            <w:r w:rsidR="005E7C06" w:rsidRPr="000C06A7">
              <w:rPr>
                <w:rFonts w:ascii="Arial" w:hAnsi="Arial" w:cs="Arial"/>
              </w:rPr>
              <w:t>and</w:t>
            </w:r>
            <w:r w:rsidR="002461A4" w:rsidRPr="00B568F3">
              <w:rPr>
                <w:rFonts w:ascii="Arial" w:eastAsia="Calibri" w:hAnsi="Arial" w:cs="Arial"/>
                <w:i/>
                <w:iCs/>
                <w:lang w:eastAsia="en-GB"/>
              </w:rPr>
              <w:t xml:space="preserve"> enrolled during the year</w:t>
            </w:r>
          </w:p>
        </w:tc>
      </w:tr>
    </w:tbl>
    <w:p w14:paraId="2A2093BF" w14:textId="76B80F78" w:rsidR="006C7179" w:rsidRPr="00B568F3" w:rsidRDefault="00A87222"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rPr>
        <w:t>In 2023</w:t>
      </w:r>
      <w:r w:rsidR="00675AAE" w:rsidRPr="00B568F3">
        <w:rPr>
          <w:rFonts w:ascii="Arial" w:eastAsia="Calibri" w:hAnsi="Arial" w:cs="Arial"/>
          <w:sz w:val="24"/>
          <w:szCs w:val="24"/>
        </w:rPr>
        <w:t xml:space="preserve"> to </w:t>
      </w:r>
      <w:r w:rsidRPr="00B568F3">
        <w:rPr>
          <w:rFonts w:ascii="Arial" w:eastAsia="Calibri" w:hAnsi="Arial" w:cs="Arial"/>
          <w:sz w:val="24"/>
          <w:szCs w:val="24"/>
        </w:rPr>
        <w:t xml:space="preserve">2024 the </w:t>
      </w:r>
      <w:r w:rsidR="002D1B1F" w:rsidRPr="00B568F3">
        <w:rPr>
          <w:rFonts w:ascii="Arial" w:eastAsia="Calibri" w:hAnsi="Arial" w:cs="Arial"/>
          <w:sz w:val="24"/>
          <w:szCs w:val="24"/>
        </w:rPr>
        <w:t xml:space="preserve">number of newly qualified social workers completing the requirements of their first </w:t>
      </w:r>
      <w:r w:rsidR="00675AAE" w:rsidRPr="00B568F3">
        <w:rPr>
          <w:rFonts w:ascii="Arial" w:eastAsia="Calibri" w:hAnsi="Arial" w:cs="Arial"/>
          <w:sz w:val="24"/>
          <w:szCs w:val="24"/>
        </w:rPr>
        <w:t>three</w:t>
      </w:r>
      <w:r w:rsidR="002D1B1F" w:rsidRPr="00B568F3">
        <w:rPr>
          <w:rFonts w:ascii="Arial" w:eastAsia="Calibri" w:hAnsi="Arial" w:cs="Arial"/>
          <w:sz w:val="24"/>
          <w:szCs w:val="24"/>
        </w:rPr>
        <w:t xml:space="preserve"> years in practice </w:t>
      </w:r>
      <w:r w:rsidR="0072334E" w:rsidRPr="00B568F3">
        <w:rPr>
          <w:rFonts w:ascii="Arial" w:eastAsia="Calibri" w:hAnsi="Arial" w:cs="Arial"/>
          <w:sz w:val="24"/>
          <w:szCs w:val="24"/>
        </w:rPr>
        <w:t>increased by 17.9</w:t>
      </w:r>
      <w:r w:rsidR="00675AAE" w:rsidRPr="00B568F3">
        <w:rPr>
          <w:rFonts w:ascii="Arial" w:eastAsia="Calibri" w:hAnsi="Arial" w:cs="Arial"/>
          <w:sz w:val="24"/>
          <w:szCs w:val="24"/>
        </w:rPr>
        <w:t xml:space="preserve"> per cent</w:t>
      </w:r>
      <w:r w:rsidR="009E0C97" w:rsidRPr="00B568F3">
        <w:rPr>
          <w:rFonts w:ascii="Arial" w:eastAsia="Calibri" w:hAnsi="Arial" w:cs="Arial"/>
          <w:sz w:val="24"/>
          <w:szCs w:val="24"/>
        </w:rPr>
        <w:t xml:space="preserve">, which is </w:t>
      </w:r>
      <w:r w:rsidR="00675AAE" w:rsidRPr="00B568F3">
        <w:rPr>
          <w:rFonts w:ascii="Arial" w:eastAsia="Calibri" w:hAnsi="Arial" w:cs="Arial"/>
          <w:sz w:val="24"/>
          <w:szCs w:val="24"/>
        </w:rPr>
        <w:t>opposite</w:t>
      </w:r>
      <w:r w:rsidR="009E0C97" w:rsidRPr="00B568F3">
        <w:rPr>
          <w:rFonts w:ascii="Arial" w:eastAsia="Calibri" w:hAnsi="Arial" w:cs="Arial"/>
          <w:sz w:val="24"/>
          <w:szCs w:val="24"/>
        </w:rPr>
        <w:t xml:space="preserve"> to the trend seen the previous year when the number decreased by</w:t>
      </w:r>
      <w:r w:rsidR="00F20775" w:rsidRPr="00B568F3">
        <w:rPr>
          <w:rFonts w:ascii="Arial" w:eastAsia="Calibri" w:hAnsi="Arial" w:cs="Arial"/>
          <w:sz w:val="24"/>
          <w:szCs w:val="24"/>
        </w:rPr>
        <w:t xml:space="preserve"> </w:t>
      </w:r>
      <w:r w:rsidR="009E0C97" w:rsidRPr="00B568F3">
        <w:rPr>
          <w:rFonts w:ascii="Arial" w:eastAsia="Calibri" w:hAnsi="Arial" w:cs="Arial"/>
          <w:sz w:val="24"/>
          <w:szCs w:val="24"/>
        </w:rPr>
        <w:t>7.0</w:t>
      </w:r>
      <w:r w:rsidR="00675AAE" w:rsidRPr="00B568F3">
        <w:rPr>
          <w:rFonts w:ascii="Arial" w:eastAsia="Calibri" w:hAnsi="Arial" w:cs="Arial"/>
          <w:sz w:val="24"/>
          <w:szCs w:val="24"/>
        </w:rPr>
        <w:t xml:space="preserve"> per cent</w:t>
      </w:r>
      <w:r w:rsidR="5CCDC12D" w:rsidRPr="00B568F3">
        <w:rPr>
          <w:rFonts w:ascii="Arial" w:eastAsia="Calibri" w:hAnsi="Arial" w:cs="Arial"/>
          <w:sz w:val="24"/>
          <w:szCs w:val="24"/>
        </w:rPr>
        <w:t>.</w:t>
      </w:r>
    </w:p>
    <w:p w14:paraId="06B47E2C" w14:textId="77777777" w:rsidR="000C3CE0" w:rsidRPr="00B568F3" w:rsidRDefault="000C3CE0" w:rsidP="001E0808">
      <w:pPr>
        <w:spacing w:after="200" w:line="276" w:lineRule="auto"/>
        <w:ind w:left="567"/>
        <w:contextualSpacing/>
        <w:rPr>
          <w:rFonts w:ascii="Arial" w:eastAsia="Calibri" w:hAnsi="Arial" w:cs="Arial"/>
          <w:sz w:val="24"/>
          <w:szCs w:val="24"/>
          <w:lang w:eastAsia="en-GB"/>
        </w:rPr>
      </w:pPr>
    </w:p>
    <w:p w14:paraId="4BA67007" w14:textId="0E36589F" w:rsidR="002D1B1F" w:rsidRPr="00B568F3" w:rsidRDefault="006C7179"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rPr>
        <w:t>The number a</w:t>
      </w:r>
      <w:r w:rsidR="002D1B1F" w:rsidRPr="00B568F3">
        <w:rPr>
          <w:rFonts w:ascii="Arial" w:eastAsia="Calibri" w:hAnsi="Arial" w:cs="Arial"/>
          <w:sz w:val="24"/>
          <w:szCs w:val="24"/>
        </w:rPr>
        <w:t xml:space="preserve">ccessing </w:t>
      </w:r>
      <w:r w:rsidR="004D31C5" w:rsidRPr="00B568F3">
        <w:rPr>
          <w:rFonts w:ascii="Arial" w:eastAsia="Calibri" w:hAnsi="Arial" w:cs="Arial"/>
          <w:sz w:val="24"/>
          <w:szCs w:val="24"/>
        </w:rPr>
        <w:t xml:space="preserve">newly qualified </w:t>
      </w:r>
      <w:r w:rsidR="002D1B1F" w:rsidRPr="00B568F3">
        <w:rPr>
          <w:rFonts w:ascii="Arial" w:eastAsia="Calibri" w:hAnsi="Arial" w:cs="Arial"/>
          <w:sz w:val="24"/>
          <w:szCs w:val="24"/>
        </w:rPr>
        <w:t>social work programmes</w:t>
      </w:r>
      <w:r w:rsidR="00A87222" w:rsidRPr="00B568F3">
        <w:rPr>
          <w:rFonts w:ascii="Arial" w:eastAsia="Calibri" w:hAnsi="Arial" w:cs="Arial"/>
          <w:sz w:val="24"/>
          <w:szCs w:val="24"/>
        </w:rPr>
        <w:t xml:space="preserve"> increased by 15.4</w:t>
      </w:r>
      <w:r w:rsidR="00675AAE" w:rsidRPr="00B568F3">
        <w:rPr>
          <w:rFonts w:ascii="Arial" w:eastAsia="Calibri" w:hAnsi="Arial" w:cs="Arial"/>
          <w:sz w:val="24"/>
          <w:szCs w:val="24"/>
        </w:rPr>
        <w:t xml:space="preserve"> per cent</w:t>
      </w:r>
      <w:r w:rsidR="00320F81" w:rsidRPr="00B568F3">
        <w:rPr>
          <w:rFonts w:ascii="Arial" w:eastAsia="Calibri" w:hAnsi="Arial" w:cs="Arial"/>
          <w:sz w:val="24"/>
          <w:szCs w:val="24"/>
        </w:rPr>
        <w:t xml:space="preserve"> which is the same positive trend as </w:t>
      </w:r>
      <w:r w:rsidR="00045FCC" w:rsidRPr="00B568F3">
        <w:rPr>
          <w:rFonts w:ascii="Arial" w:eastAsia="Calibri" w:hAnsi="Arial" w:cs="Arial"/>
          <w:sz w:val="24"/>
          <w:szCs w:val="24"/>
        </w:rPr>
        <w:t xml:space="preserve">last </w:t>
      </w:r>
      <w:r w:rsidR="5ACBBB86" w:rsidRPr="00B568F3">
        <w:rPr>
          <w:rFonts w:ascii="Arial" w:eastAsia="Calibri" w:hAnsi="Arial" w:cs="Arial"/>
          <w:sz w:val="24"/>
          <w:szCs w:val="24"/>
        </w:rPr>
        <w:t>year,</w:t>
      </w:r>
      <w:r w:rsidR="00320F81" w:rsidRPr="00B568F3">
        <w:rPr>
          <w:rFonts w:ascii="Arial" w:eastAsia="Calibri" w:hAnsi="Arial" w:cs="Arial"/>
          <w:sz w:val="24"/>
          <w:szCs w:val="24"/>
        </w:rPr>
        <w:t xml:space="preserve"> but the </w:t>
      </w:r>
      <w:r w:rsidR="000C3CE0" w:rsidRPr="00B568F3">
        <w:rPr>
          <w:rFonts w:ascii="Arial" w:eastAsia="Calibri" w:hAnsi="Arial" w:cs="Arial"/>
          <w:sz w:val="24"/>
          <w:szCs w:val="24"/>
        </w:rPr>
        <w:t xml:space="preserve">percentage </w:t>
      </w:r>
      <w:r w:rsidR="00320F81" w:rsidRPr="00B568F3">
        <w:rPr>
          <w:rFonts w:ascii="Arial" w:eastAsia="Calibri" w:hAnsi="Arial" w:cs="Arial"/>
          <w:sz w:val="24"/>
          <w:szCs w:val="24"/>
        </w:rPr>
        <w:t>change is much highe</w:t>
      </w:r>
      <w:r w:rsidR="000C3CE0" w:rsidRPr="00B568F3">
        <w:rPr>
          <w:rFonts w:ascii="Arial" w:eastAsia="Calibri" w:hAnsi="Arial" w:cs="Arial"/>
          <w:sz w:val="24"/>
          <w:szCs w:val="24"/>
        </w:rPr>
        <w:t>r.</w:t>
      </w:r>
    </w:p>
    <w:p w14:paraId="7756DDA9" w14:textId="77777777" w:rsidR="00CF3A83" w:rsidRPr="00B568F3" w:rsidRDefault="00CF3A83" w:rsidP="00FE4149">
      <w:pPr>
        <w:spacing w:after="200" w:line="276" w:lineRule="auto"/>
        <w:contextualSpacing/>
        <w:rPr>
          <w:rFonts w:ascii="Arial" w:eastAsia="Calibri" w:hAnsi="Arial" w:cs="Arial"/>
          <w:bCs/>
          <w:sz w:val="24"/>
          <w:szCs w:val="24"/>
        </w:rPr>
      </w:pPr>
    </w:p>
    <w:p w14:paraId="064739B7" w14:textId="4B65F926" w:rsidR="00FE4149" w:rsidRPr="00040D76" w:rsidRDefault="00CF3A83" w:rsidP="00FE4149">
      <w:pPr>
        <w:spacing w:after="200" w:line="276" w:lineRule="auto"/>
        <w:contextualSpacing/>
        <w:rPr>
          <w:rFonts w:ascii="Arial" w:eastAsia="Calibri" w:hAnsi="Arial" w:cs="Arial"/>
          <w:b/>
          <w:bCs/>
          <w:sz w:val="24"/>
          <w:szCs w:val="24"/>
        </w:rPr>
      </w:pPr>
      <w:r w:rsidRPr="00040D76">
        <w:rPr>
          <w:rFonts w:ascii="Arial" w:eastAsia="Calibri" w:hAnsi="Arial" w:cs="Arial"/>
          <w:b/>
          <w:bCs/>
          <w:sz w:val="24"/>
          <w:szCs w:val="24"/>
        </w:rPr>
        <w:t>Post qualifying awards</w:t>
      </w:r>
    </w:p>
    <w:p w14:paraId="75218355" w14:textId="77777777" w:rsidR="00CF3A83" w:rsidRPr="00B568F3" w:rsidRDefault="00CF3A83" w:rsidP="00FE4149">
      <w:pPr>
        <w:spacing w:after="200" w:line="276" w:lineRule="auto"/>
        <w:contextualSpacing/>
        <w:rPr>
          <w:rFonts w:ascii="Arial" w:eastAsia="Calibri" w:hAnsi="Arial" w:cs="Arial"/>
          <w:bCs/>
          <w:sz w:val="24"/>
          <w:szCs w:val="24"/>
        </w:rPr>
      </w:pPr>
    </w:p>
    <w:p w14:paraId="5FDF32E9" w14:textId="6BCF6877" w:rsidR="00357B42" w:rsidRPr="00B568F3" w:rsidRDefault="00357B42"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lang w:eastAsia="en-GB"/>
        </w:rPr>
        <w:t>Figure 15 shows the levels of engagement</w:t>
      </w:r>
      <w:r w:rsidR="00BC54F2" w:rsidRPr="00B568F3">
        <w:rPr>
          <w:rFonts w:ascii="Arial" w:eastAsia="Calibri" w:hAnsi="Arial" w:cs="Arial"/>
          <w:sz w:val="24"/>
          <w:szCs w:val="24"/>
          <w:lang w:eastAsia="en-GB"/>
        </w:rPr>
        <w:t xml:space="preserve"> in </w:t>
      </w:r>
      <w:r w:rsidR="00867444" w:rsidRPr="00B568F3">
        <w:rPr>
          <w:rFonts w:ascii="Arial" w:eastAsia="Calibri" w:hAnsi="Arial" w:cs="Arial"/>
          <w:sz w:val="24"/>
          <w:szCs w:val="24"/>
          <w:lang w:eastAsia="en-GB"/>
        </w:rPr>
        <w:t xml:space="preserve">post qualifying </w:t>
      </w:r>
      <w:r w:rsidR="00BC54F2" w:rsidRPr="00B568F3">
        <w:rPr>
          <w:rFonts w:ascii="Arial" w:eastAsia="Calibri" w:hAnsi="Arial" w:cs="Arial"/>
          <w:sz w:val="24"/>
          <w:szCs w:val="24"/>
          <w:lang w:eastAsia="en-GB"/>
        </w:rPr>
        <w:t xml:space="preserve">specialist </w:t>
      </w:r>
      <w:r w:rsidRPr="00B568F3">
        <w:rPr>
          <w:rFonts w:ascii="Arial" w:eastAsia="Calibri" w:hAnsi="Arial" w:cs="Arial"/>
          <w:sz w:val="24"/>
          <w:szCs w:val="24"/>
          <w:lang w:eastAsia="en-GB"/>
        </w:rPr>
        <w:t>awards in 2023</w:t>
      </w:r>
      <w:r w:rsidR="00051ABE" w:rsidRPr="00B568F3">
        <w:rPr>
          <w:rFonts w:ascii="Arial" w:eastAsia="Calibri" w:hAnsi="Arial" w:cs="Arial"/>
          <w:sz w:val="24"/>
          <w:szCs w:val="24"/>
          <w:lang w:eastAsia="en-GB"/>
        </w:rPr>
        <w:t xml:space="preserve"> to </w:t>
      </w:r>
      <w:r w:rsidRPr="00B568F3">
        <w:rPr>
          <w:rFonts w:ascii="Arial" w:eastAsia="Calibri" w:hAnsi="Arial" w:cs="Arial"/>
          <w:sz w:val="24"/>
          <w:szCs w:val="24"/>
          <w:lang w:eastAsia="en-GB"/>
        </w:rPr>
        <w:t xml:space="preserve">2024 </w:t>
      </w:r>
      <w:r w:rsidR="00051ABE" w:rsidRPr="00B568F3">
        <w:rPr>
          <w:rFonts w:ascii="Arial" w:eastAsia="Calibri" w:hAnsi="Arial" w:cs="Arial"/>
          <w:sz w:val="24"/>
          <w:szCs w:val="24"/>
          <w:lang w:eastAsia="en-GB"/>
        </w:rPr>
        <w:t>and</w:t>
      </w:r>
      <w:r w:rsidR="004219C5" w:rsidRPr="00B568F3">
        <w:rPr>
          <w:rFonts w:ascii="Arial" w:eastAsia="Calibri" w:hAnsi="Arial" w:cs="Arial"/>
          <w:sz w:val="24"/>
          <w:szCs w:val="24"/>
          <w:lang w:eastAsia="en-GB"/>
        </w:rPr>
        <w:t xml:space="preserve"> t</w:t>
      </w:r>
      <w:r w:rsidRPr="00B568F3">
        <w:rPr>
          <w:rFonts w:ascii="Arial" w:eastAsia="Calibri" w:hAnsi="Arial" w:cs="Arial"/>
          <w:sz w:val="24"/>
          <w:szCs w:val="24"/>
          <w:lang w:eastAsia="en-GB"/>
        </w:rPr>
        <w:t xml:space="preserve">able </w:t>
      </w:r>
      <w:r w:rsidR="00721B16" w:rsidRPr="00B568F3">
        <w:rPr>
          <w:rFonts w:ascii="Arial" w:eastAsia="Calibri" w:hAnsi="Arial" w:cs="Arial"/>
          <w:sz w:val="24"/>
          <w:szCs w:val="24"/>
          <w:lang w:eastAsia="en-GB"/>
        </w:rPr>
        <w:t xml:space="preserve">11 </w:t>
      </w:r>
      <w:r w:rsidRPr="00B568F3">
        <w:rPr>
          <w:rFonts w:ascii="Arial" w:eastAsia="Calibri" w:hAnsi="Arial" w:cs="Arial"/>
          <w:sz w:val="24"/>
          <w:szCs w:val="24"/>
          <w:lang w:eastAsia="en-GB"/>
        </w:rPr>
        <w:t>shows the three</w:t>
      </w:r>
      <w:r w:rsidR="00E833D0" w:rsidRPr="00B568F3">
        <w:rPr>
          <w:rFonts w:ascii="Arial" w:eastAsia="Calibri" w:hAnsi="Arial" w:cs="Arial"/>
          <w:sz w:val="24"/>
          <w:szCs w:val="24"/>
          <w:lang w:eastAsia="en-GB"/>
        </w:rPr>
        <w:t>-</w:t>
      </w:r>
      <w:r w:rsidRPr="00B568F3">
        <w:rPr>
          <w:rFonts w:ascii="Arial" w:eastAsia="Calibri" w:hAnsi="Arial" w:cs="Arial"/>
          <w:sz w:val="24"/>
          <w:szCs w:val="24"/>
          <w:lang w:eastAsia="en-GB"/>
        </w:rPr>
        <w:t>year trend.</w:t>
      </w:r>
    </w:p>
    <w:p w14:paraId="4F67E594" w14:textId="77777777" w:rsidR="00357B42" w:rsidRPr="00B568F3" w:rsidRDefault="00357B42" w:rsidP="00FE4149">
      <w:pPr>
        <w:spacing w:after="200" w:line="276" w:lineRule="auto"/>
        <w:contextualSpacing/>
        <w:rPr>
          <w:rFonts w:ascii="Arial" w:eastAsia="Calibri" w:hAnsi="Arial" w:cs="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A4D78" w:rsidRPr="00B568F3" w14:paraId="3406A930" w14:textId="77777777" w:rsidTr="000A72F5">
        <w:tc>
          <w:tcPr>
            <w:tcW w:w="9026" w:type="dxa"/>
          </w:tcPr>
          <w:p w14:paraId="49E86233" w14:textId="3DE0F23E" w:rsidR="006A4D78" w:rsidRPr="00B568F3" w:rsidRDefault="006A4D78" w:rsidP="00FC716F">
            <w:pPr>
              <w:contextualSpacing/>
              <w:rPr>
                <w:rFonts w:ascii="Arial" w:eastAsia="Calibri" w:hAnsi="Arial" w:cs="Arial"/>
                <w:b/>
                <w:bCs/>
                <w:sz w:val="24"/>
                <w:szCs w:val="24"/>
              </w:rPr>
            </w:pPr>
            <w:r w:rsidRPr="00B568F3">
              <w:rPr>
                <w:rFonts w:ascii="Arial" w:eastAsia="Calibri" w:hAnsi="Arial" w:cs="Arial"/>
                <w:b/>
                <w:bCs/>
                <w:sz w:val="24"/>
                <w:szCs w:val="24"/>
              </w:rPr>
              <w:t>Figure 1</w:t>
            </w:r>
            <w:r w:rsidR="00CF3A83" w:rsidRPr="00B568F3">
              <w:rPr>
                <w:rFonts w:ascii="Arial" w:eastAsia="Calibri" w:hAnsi="Arial" w:cs="Arial"/>
                <w:b/>
                <w:bCs/>
                <w:sz w:val="24"/>
                <w:szCs w:val="24"/>
              </w:rPr>
              <w:t>5</w:t>
            </w:r>
            <w:r w:rsidRPr="00B568F3">
              <w:rPr>
                <w:rFonts w:ascii="Arial" w:eastAsia="Calibri" w:hAnsi="Arial" w:cs="Arial"/>
                <w:b/>
                <w:bCs/>
                <w:sz w:val="24"/>
                <w:szCs w:val="24"/>
              </w:rPr>
              <w:t xml:space="preserve">: </w:t>
            </w:r>
            <w:r w:rsidR="00E06C61" w:rsidRPr="00B568F3">
              <w:rPr>
                <w:rFonts w:ascii="Arial" w:eastAsia="Calibri" w:hAnsi="Arial" w:cs="Arial"/>
                <w:b/>
                <w:bCs/>
                <w:sz w:val="24"/>
                <w:szCs w:val="24"/>
              </w:rPr>
              <w:t>P</w:t>
            </w:r>
            <w:r w:rsidRPr="00B568F3">
              <w:rPr>
                <w:rFonts w:ascii="Arial" w:eastAsia="Calibri" w:hAnsi="Arial" w:cs="Arial"/>
                <w:b/>
                <w:bCs/>
                <w:sz w:val="24"/>
                <w:szCs w:val="24"/>
              </w:rPr>
              <w:t xml:space="preserve">ost qualifying </w:t>
            </w:r>
            <w:r w:rsidR="00867444" w:rsidRPr="00B568F3">
              <w:rPr>
                <w:rFonts w:ascii="Arial" w:eastAsia="Calibri" w:hAnsi="Arial" w:cs="Arial"/>
                <w:b/>
                <w:bCs/>
                <w:sz w:val="24"/>
                <w:szCs w:val="24"/>
              </w:rPr>
              <w:t xml:space="preserve">specialist </w:t>
            </w:r>
            <w:r w:rsidRPr="00B568F3">
              <w:rPr>
                <w:rFonts w:ascii="Arial" w:eastAsia="Calibri" w:hAnsi="Arial" w:cs="Arial"/>
                <w:b/>
                <w:bCs/>
                <w:sz w:val="24"/>
                <w:szCs w:val="24"/>
              </w:rPr>
              <w:t>awards, 2023</w:t>
            </w:r>
            <w:r w:rsidR="00051ABE" w:rsidRPr="00B568F3">
              <w:rPr>
                <w:rFonts w:ascii="Arial" w:eastAsia="Calibri" w:hAnsi="Arial" w:cs="Arial"/>
                <w:b/>
                <w:bCs/>
                <w:sz w:val="24"/>
                <w:szCs w:val="24"/>
              </w:rPr>
              <w:t xml:space="preserve"> to </w:t>
            </w:r>
            <w:r w:rsidRPr="00B568F3">
              <w:rPr>
                <w:rFonts w:ascii="Arial" w:eastAsia="Calibri" w:hAnsi="Arial" w:cs="Arial"/>
                <w:b/>
                <w:bCs/>
                <w:sz w:val="24"/>
                <w:szCs w:val="24"/>
              </w:rPr>
              <w:t>2024</w:t>
            </w:r>
          </w:p>
          <w:p w14:paraId="730C257A" w14:textId="77777777" w:rsidR="006A4D78" w:rsidRPr="00B568F3" w:rsidRDefault="006A4D78" w:rsidP="00FC716F">
            <w:pPr>
              <w:spacing w:after="200" w:line="276" w:lineRule="auto"/>
              <w:contextualSpacing/>
              <w:rPr>
                <w:rFonts w:ascii="Arial" w:eastAsia="Calibri" w:hAnsi="Arial" w:cs="Arial"/>
                <w:sz w:val="24"/>
                <w:szCs w:val="24"/>
                <w:lang w:eastAsia="en-GB"/>
              </w:rPr>
            </w:pPr>
          </w:p>
        </w:tc>
      </w:tr>
      <w:tr w:rsidR="006A4D78" w:rsidRPr="00B568F3" w14:paraId="471AD8CA" w14:textId="77777777" w:rsidTr="000A72F5">
        <w:tc>
          <w:tcPr>
            <w:tcW w:w="9026" w:type="dxa"/>
          </w:tcPr>
          <w:p w14:paraId="7E95779E" w14:textId="400D3E76" w:rsidR="006A4D78" w:rsidRPr="00B568F3" w:rsidRDefault="0015715C" w:rsidP="00FC716F">
            <w:pPr>
              <w:spacing w:after="200" w:line="276" w:lineRule="auto"/>
              <w:contextualSpacing/>
              <w:rPr>
                <w:rFonts w:ascii="Arial" w:eastAsia="Calibri" w:hAnsi="Arial" w:cs="Arial"/>
                <w:sz w:val="24"/>
                <w:szCs w:val="24"/>
                <w:lang w:eastAsia="en-GB"/>
              </w:rPr>
            </w:pPr>
            <w:r w:rsidRPr="00B568F3">
              <w:rPr>
                <w:rFonts w:ascii="Arial" w:eastAsia="Calibri" w:hAnsi="Arial" w:cs="Arial"/>
                <w:noProof/>
                <w:sz w:val="24"/>
                <w:szCs w:val="24"/>
                <w:lang w:eastAsia="en-GB"/>
              </w:rPr>
              <w:drawing>
                <wp:inline distT="0" distB="0" distL="0" distR="0" wp14:anchorId="7567B3DD" wp14:editId="02D6DF94">
                  <wp:extent cx="5731200" cy="3744566"/>
                  <wp:effectExtent l="0" t="0" r="3175" b="8890"/>
                  <wp:docPr id="1212776386" name="Picture 3" descr="Figure 15: Post qualifying specialist awards, 2023 t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76386" name="Picture 3" descr="Figure 15: Post qualifying specialist awards, 2023 to 2024"/>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1200" cy="3744566"/>
                          </a:xfrm>
                          <a:prstGeom prst="rect">
                            <a:avLst/>
                          </a:prstGeom>
                        </pic:spPr>
                      </pic:pic>
                    </a:graphicData>
                  </a:graphic>
                </wp:inline>
              </w:drawing>
            </w:r>
          </w:p>
        </w:tc>
      </w:tr>
      <w:tr w:rsidR="0095438E" w:rsidRPr="00B568F3" w14:paraId="68A509E3" w14:textId="77777777" w:rsidTr="000A72F5">
        <w:tc>
          <w:tcPr>
            <w:tcW w:w="9026" w:type="dxa"/>
          </w:tcPr>
          <w:p w14:paraId="6167DD63" w14:textId="61828158" w:rsidR="0095438E" w:rsidRPr="00B568F3" w:rsidRDefault="0095438E" w:rsidP="00601837">
            <w:pPr>
              <w:spacing w:after="200" w:line="276" w:lineRule="auto"/>
              <w:contextualSpacing/>
              <w:jc w:val="right"/>
              <w:rPr>
                <w:rFonts w:ascii="Arial" w:eastAsia="Calibri" w:hAnsi="Arial" w:cs="Arial"/>
                <w:noProof/>
                <w:sz w:val="24"/>
                <w:szCs w:val="24"/>
                <w:lang w:eastAsia="en-GB"/>
              </w:rPr>
            </w:pPr>
            <w:r w:rsidRPr="00B568F3">
              <w:rPr>
                <w:rFonts w:ascii="Arial" w:eastAsia="Calibri" w:hAnsi="Arial" w:cs="Arial"/>
                <w:i/>
                <w:iCs/>
                <w:sz w:val="20"/>
                <w:szCs w:val="20"/>
                <w:lang w:eastAsia="en-GB"/>
              </w:rPr>
              <w:t>Number on programme = Number on programme on 1 April and enrolled during year</w:t>
            </w:r>
          </w:p>
        </w:tc>
      </w:tr>
    </w:tbl>
    <w:p w14:paraId="4E8B326B" w14:textId="77777777" w:rsidR="00601837" w:rsidRPr="00B568F3" w:rsidRDefault="00601837" w:rsidP="00CF3A83">
      <w:pPr>
        <w:spacing w:after="0" w:line="240" w:lineRule="auto"/>
        <w:rPr>
          <w:rFonts w:ascii="Arial" w:eastAsia="Calibri" w:hAnsi="Arial" w:cs="Arial"/>
          <w:b/>
          <w:bCs/>
          <w:sz w:val="24"/>
          <w:szCs w:val="24"/>
          <w:lang w:eastAsia="en-GB"/>
        </w:rPr>
      </w:pPr>
    </w:p>
    <w:p w14:paraId="7DFEAA25" w14:textId="77777777" w:rsidR="00601837" w:rsidRPr="00B568F3" w:rsidRDefault="00601837" w:rsidP="00CF3A83">
      <w:pPr>
        <w:spacing w:after="0" w:line="240" w:lineRule="auto"/>
        <w:rPr>
          <w:rFonts w:ascii="Arial" w:eastAsia="Calibri" w:hAnsi="Arial" w:cs="Arial"/>
          <w:b/>
          <w:bCs/>
          <w:sz w:val="24"/>
          <w:szCs w:val="24"/>
          <w:lang w:eastAsia="en-GB"/>
        </w:rPr>
      </w:pPr>
    </w:p>
    <w:p w14:paraId="1714B420" w14:textId="77777777" w:rsidR="00601837" w:rsidRPr="00B568F3" w:rsidRDefault="00601837" w:rsidP="00CF3A83">
      <w:pPr>
        <w:spacing w:after="0" w:line="240" w:lineRule="auto"/>
        <w:rPr>
          <w:rFonts w:ascii="Arial" w:eastAsia="Calibri" w:hAnsi="Arial" w:cs="Arial"/>
          <w:b/>
          <w:bCs/>
          <w:sz w:val="24"/>
          <w:szCs w:val="24"/>
          <w:lang w:eastAsia="en-GB"/>
        </w:rPr>
      </w:pPr>
    </w:p>
    <w:p w14:paraId="67C38E13" w14:textId="77777777" w:rsidR="00601837" w:rsidRPr="00B568F3" w:rsidRDefault="00601837" w:rsidP="00CF3A83">
      <w:pPr>
        <w:spacing w:after="0" w:line="240" w:lineRule="auto"/>
        <w:rPr>
          <w:rFonts w:ascii="Arial" w:eastAsia="Calibri" w:hAnsi="Arial" w:cs="Arial"/>
          <w:b/>
          <w:bCs/>
          <w:sz w:val="24"/>
          <w:szCs w:val="24"/>
          <w:lang w:eastAsia="en-GB"/>
        </w:rPr>
      </w:pPr>
    </w:p>
    <w:p w14:paraId="61E46832" w14:textId="77777777" w:rsidR="00601837" w:rsidRPr="00B568F3" w:rsidRDefault="00601837" w:rsidP="00CF3A83">
      <w:pPr>
        <w:spacing w:after="0" w:line="240" w:lineRule="auto"/>
        <w:rPr>
          <w:rFonts w:ascii="Arial" w:eastAsia="Calibri" w:hAnsi="Arial" w:cs="Arial"/>
          <w:b/>
          <w:bCs/>
          <w:sz w:val="24"/>
          <w:szCs w:val="24"/>
          <w:lang w:eastAsia="en-GB"/>
        </w:rPr>
      </w:pPr>
    </w:p>
    <w:p w14:paraId="1161AB67" w14:textId="77777777" w:rsidR="00601837" w:rsidRPr="00B568F3" w:rsidRDefault="00601837" w:rsidP="00CF3A83">
      <w:pPr>
        <w:spacing w:after="0" w:line="240" w:lineRule="auto"/>
        <w:rPr>
          <w:rFonts w:ascii="Arial" w:eastAsia="Calibri" w:hAnsi="Arial" w:cs="Arial"/>
          <w:b/>
          <w:bCs/>
          <w:sz w:val="24"/>
          <w:szCs w:val="24"/>
          <w:lang w:eastAsia="en-GB"/>
        </w:rPr>
      </w:pPr>
    </w:p>
    <w:p w14:paraId="51569852" w14:textId="77777777" w:rsidR="00601837" w:rsidRPr="00B568F3" w:rsidRDefault="00601837" w:rsidP="00CF3A83">
      <w:pPr>
        <w:spacing w:after="0" w:line="240" w:lineRule="auto"/>
        <w:rPr>
          <w:rFonts w:ascii="Arial" w:eastAsia="Calibri" w:hAnsi="Arial" w:cs="Arial"/>
          <w:b/>
          <w:bCs/>
          <w:sz w:val="24"/>
          <w:szCs w:val="24"/>
          <w:lang w:eastAsia="en-GB"/>
        </w:rPr>
      </w:pPr>
    </w:p>
    <w:p w14:paraId="4EB91640" w14:textId="77777777" w:rsidR="00601837" w:rsidRPr="00B568F3" w:rsidRDefault="00601837" w:rsidP="00CF3A83">
      <w:pPr>
        <w:spacing w:after="0" w:line="240" w:lineRule="auto"/>
        <w:rPr>
          <w:rFonts w:ascii="Arial" w:eastAsia="Calibri" w:hAnsi="Arial" w:cs="Arial"/>
          <w:b/>
          <w:bCs/>
          <w:sz w:val="24"/>
          <w:szCs w:val="24"/>
          <w:lang w:eastAsia="en-GB"/>
        </w:rPr>
      </w:pPr>
    </w:p>
    <w:p w14:paraId="473C1D38" w14:textId="77777777" w:rsidR="00601837" w:rsidRPr="00B568F3" w:rsidRDefault="00601837" w:rsidP="00CF3A83">
      <w:pPr>
        <w:spacing w:after="0" w:line="240" w:lineRule="auto"/>
        <w:rPr>
          <w:rFonts w:ascii="Arial" w:eastAsia="Calibri" w:hAnsi="Arial" w:cs="Arial"/>
          <w:b/>
          <w:bCs/>
          <w:sz w:val="24"/>
          <w:szCs w:val="24"/>
          <w:lang w:eastAsia="en-GB"/>
        </w:rPr>
      </w:pPr>
    </w:p>
    <w:p w14:paraId="65568316" w14:textId="1B6E9D10" w:rsidR="00CF3A83" w:rsidRPr="00B568F3" w:rsidRDefault="00CF3A83" w:rsidP="00CF3A83">
      <w:pPr>
        <w:spacing w:after="0" w:line="240" w:lineRule="auto"/>
        <w:rPr>
          <w:rFonts w:ascii="Arial" w:eastAsia="Calibri" w:hAnsi="Arial" w:cs="Arial"/>
          <w:b/>
          <w:bCs/>
          <w:sz w:val="24"/>
          <w:szCs w:val="24"/>
          <w:lang w:eastAsia="en-GB"/>
        </w:rPr>
      </w:pPr>
      <w:r w:rsidRPr="00B568F3">
        <w:rPr>
          <w:rFonts w:ascii="Arial" w:eastAsia="Calibri" w:hAnsi="Arial" w:cs="Arial"/>
          <w:b/>
          <w:bCs/>
          <w:sz w:val="24"/>
          <w:szCs w:val="24"/>
          <w:lang w:eastAsia="en-GB"/>
        </w:rPr>
        <w:t xml:space="preserve">Table </w:t>
      </w:r>
      <w:r w:rsidR="00721B16" w:rsidRPr="00B568F3">
        <w:rPr>
          <w:rFonts w:ascii="Arial" w:eastAsia="Calibri" w:hAnsi="Arial" w:cs="Arial"/>
          <w:b/>
          <w:bCs/>
          <w:sz w:val="24"/>
          <w:szCs w:val="24"/>
          <w:lang w:eastAsia="en-GB"/>
        </w:rPr>
        <w:t>11</w:t>
      </w:r>
      <w:r w:rsidRPr="00B568F3">
        <w:rPr>
          <w:rFonts w:ascii="Arial" w:eastAsia="Calibri" w:hAnsi="Arial" w:cs="Arial"/>
          <w:b/>
          <w:bCs/>
          <w:sz w:val="24"/>
          <w:szCs w:val="24"/>
          <w:lang w:eastAsia="en-GB"/>
        </w:rPr>
        <w:t xml:space="preserve">: </w:t>
      </w:r>
      <w:r w:rsidRPr="00B568F3">
        <w:rPr>
          <w:rFonts w:ascii="Arial" w:eastAsia="Calibri" w:hAnsi="Arial" w:cs="Arial"/>
          <w:b/>
          <w:bCs/>
          <w:sz w:val="24"/>
          <w:szCs w:val="24"/>
        </w:rPr>
        <w:t xml:space="preserve">Post qualifying </w:t>
      </w:r>
      <w:r w:rsidR="00867444" w:rsidRPr="00B568F3">
        <w:rPr>
          <w:rFonts w:ascii="Arial" w:eastAsia="Calibri" w:hAnsi="Arial" w:cs="Arial"/>
          <w:b/>
          <w:bCs/>
          <w:sz w:val="24"/>
          <w:szCs w:val="24"/>
        </w:rPr>
        <w:t xml:space="preserve">specialist </w:t>
      </w:r>
      <w:r w:rsidRPr="00B568F3">
        <w:rPr>
          <w:rFonts w:ascii="Arial" w:eastAsia="Calibri" w:hAnsi="Arial" w:cs="Arial"/>
          <w:b/>
          <w:bCs/>
          <w:sz w:val="24"/>
          <w:szCs w:val="24"/>
        </w:rPr>
        <w:t>awards</w:t>
      </w:r>
      <w:r w:rsidRPr="00B568F3">
        <w:rPr>
          <w:rFonts w:ascii="Arial" w:eastAsia="Calibri" w:hAnsi="Arial" w:cs="Arial"/>
          <w:b/>
          <w:bCs/>
          <w:sz w:val="24"/>
          <w:szCs w:val="24"/>
          <w:lang w:eastAsia="en-GB"/>
        </w:rPr>
        <w:t xml:space="preserve">, </w:t>
      </w:r>
      <w:r w:rsidR="00051ABE" w:rsidRPr="00B568F3">
        <w:rPr>
          <w:rFonts w:ascii="Arial" w:eastAsia="Calibri" w:hAnsi="Arial" w:cs="Arial"/>
          <w:b/>
          <w:bCs/>
          <w:sz w:val="24"/>
          <w:szCs w:val="24"/>
          <w:lang w:eastAsia="en-GB"/>
        </w:rPr>
        <w:t xml:space="preserve">the </w:t>
      </w:r>
      <w:r w:rsidRPr="00B568F3">
        <w:rPr>
          <w:rFonts w:ascii="Arial" w:eastAsia="Calibri" w:hAnsi="Arial" w:cs="Arial"/>
          <w:b/>
          <w:bCs/>
          <w:sz w:val="24"/>
          <w:szCs w:val="24"/>
        </w:rPr>
        <w:t>three</w:t>
      </w:r>
      <w:r w:rsidR="000D3094" w:rsidRPr="00B568F3">
        <w:rPr>
          <w:rFonts w:ascii="Arial" w:eastAsia="Calibri" w:hAnsi="Arial" w:cs="Arial"/>
          <w:b/>
          <w:bCs/>
          <w:sz w:val="24"/>
          <w:szCs w:val="24"/>
        </w:rPr>
        <w:t>-</w:t>
      </w:r>
      <w:r w:rsidRPr="00B568F3">
        <w:rPr>
          <w:rFonts w:ascii="Arial" w:eastAsia="Calibri" w:hAnsi="Arial" w:cs="Arial"/>
          <w:b/>
          <w:bCs/>
          <w:sz w:val="24"/>
          <w:szCs w:val="24"/>
        </w:rPr>
        <w:t>year trend</w:t>
      </w:r>
    </w:p>
    <w:p w14:paraId="42EFCF44" w14:textId="77777777" w:rsidR="00CF3A83" w:rsidRPr="00B568F3" w:rsidRDefault="00CF3A83" w:rsidP="00CF3A83">
      <w:pPr>
        <w:spacing w:after="200" w:line="276" w:lineRule="auto"/>
        <w:contextualSpacing/>
        <w:rPr>
          <w:rFonts w:ascii="Arial" w:eastAsia="Calibri" w:hAnsi="Arial" w:cs="Arial"/>
          <w:sz w:val="24"/>
          <w:szCs w:val="24"/>
          <w:lang w:eastAsia="en-GB"/>
        </w:rPr>
      </w:pPr>
    </w:p>
    <w:tbl>
      <w:tblPr>
        <w:tblStyle w:val="TableGrid"/>
        <w:tblW w:w="9245" w:type="dxa"/>
        <w:jc w:val="center"/>
        <w:tblLook w:val="04A0" w:firstRow="1" w:lastRow="0" w:firstColumn="1" w:lastColumn="0" w:noHBand="0" w:noVBand="1"/>
      </w:tblPr>
      <w:tblGrid>
        <w:gridCol w:w="1617"/>
        <w:gridCol w:w="1644"/>
        <w:gridCol w:w="1138"/>
        <w:gridCol w:w="1647"/>
        <w:gridCol w:w="1138"/>
        <w:gridCol w:w="923"/>
        <w:gridCol w:w="992"/>
        <w:gridCol w:w="146"/>
      </w:tblGrid>
      <w:tr w:rsidR="006302BD" w:rsidRPr="00B568F3" w14:paraId="1B432F0C" w14:textId="2761F5BB" w:rsidTr="006302BD">
        <w:trPr>
          <w:jc w:val="center"/>
        </w:trPr>
        <w:tc>
          <w:tcPr>
            <w:tcW w:w="1617" w:type="dxa"/>
            <w:vAlign w:val="center"/>
          </w:tcPr>
          <w:p w14:paraId="04EF293E" w14:textId="77777777" w:rsidR="00734C59" w:rsidRPr="00B568F3" w:rsidRDefault="00734C59" w:rsidP="003263C2">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Financial Year</w:t>
            </w:r>
          </w:p>
        </w:tc>
        <w:tc>
          <w:tcPr>
            <w:tcW w:w="1644" w:type="dxa"/>
            <w:vAlign w:val="center"/>
          </w:tcPr>
          <w:p w14:paraId="718E1448" w14:textId="696368DF" w:rsidR="00BA3101" w:rsidRPr="00B568F3" w:rsidRDefault="00BA3101" w:rsidP="003263C2">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Practice Assessor</w:t>
            </w:r>
          </w:p>
          <w:p w14:paraId="660DD237" w14:textId="1583274D" w:rsidR="00734C59" w:rsidRPr="00B568F3" w:rsidRDefault="00734C59" w:rsidP="003263C2">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 xml:space="preserve"> </w:t>
            </w:r>
            <w:r w:rsidR="00E47572" w:rsidRPr="00B568F3">
              <w:rPr>
                <w:rFonts w:ascii="Arial" w:eastAsia="Calibri" w:hAnsi="Arial" w:cs="Arial"/>
                <w:b/>
                <w:bCs/>
                <w:sz w:val="24"/>
                <w:szCs w:val="24"/>
                <w:lang w:eastAsia="en-GB"/>
              </w:rPr>
              <w:t>Level 6 or 7</w:t>
            </w:r>
          </w:p>
        </w:tc>
        <w:tc>
          <w:tcPr>
            <w:tcW w:w="1138" w:type="dxa"/>
            <w:vAlign w:val="center"/>
          </w:tcPr>
          <w:p w14:paraId="3B4665A4" w14:textId="77777777" w:rsidR="00734C59" w:rsidRPr="00B568F3" w:rsidRDefault="00734C59" w:rsidP="003263C2">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 change</w:t>
            </w:r>
          </w:p>
        </w:tc>
        <w:tc>
          <w:tcPr>
            <w:tcW w:w="1647" w:type="dxa"/>
            <w:vAlign w:val="center"/>
          </w:tcPr>
          <w:p w14:paraId="16B6205E" w14:textId="5815083E" w:rsidR="00734C59" w:rsidRPr="00B568F3" w:rsidRDefault="00734C59" w:rsidP="003263C2">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Best Interest Assessor</w:t>
            </w:r>
          </w:p>
        </w:tc>
        <w:tc>
          <w:tcPr>
            <w:tcW w:w="1138" w:type="dxa"/>
            <w:vAlign w:val="center"/>
          </w:tcPr>
          <w:p w14:paraId="64047D2E" w14:textId="77777777" w:rsidR="00734C59" w:rsidRPr="00B568F3" w:rsidRDefault="00734C59" w:rsidP="003263C2">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 change</w:t>
            </w:r>
          </w:p>
        </w:tc>
        <w:tc>
          <w:tcPr>
            <w:tcW w:w="923" w:type="dxa"/>
            <w:vAlign w:val="center"/>
          </w:tcPr>
          <w:p w14:paraId="01040978" w14:textId="677F401E" w:rsidR="00734C59" w:rsidRPr="00B568F3" w:rsidRDefault="00734C59" w:rsidP="003263C2">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A</w:t>
            </w:r>
            <w:r w:rsidR="003263C2" w:rsidRPr="00B568F3">
              <w:rPr>
                <w:rFonts w:ascii="Arial" w:eastAsia="Calibri" w:hAnsi="Arial" w:cs="Arial"/>
                <w:b/>
                <w:bCs/>
                <w:sz w:val="24"/>
                <w:szCs w:val="24"/>
                <w:lang w:eastAsia="en-GB"/>
              </w:rPr>
              <w:t>MHP</w:t>
            </w:r>
          </w:p>
        </w:tc>
        <w:tc>
          <w:tcPr>
            <w:tcW w:w="1138" w:type="dxa"/>
            <w:gridSpan w:val="2"/>
            <w:vAlign w:val="center"/>
          </w:tcPr>
          <w:p w14:paraId="741CD72E" w14:textId="7E49BBCB" w:rsidR="00734C59" w:rsidRPr="00B568F3" w:rsidRDefault="003263C2" w:rsidP="003263C2">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 change</w:t>
            </w:r>
          </w:p>
        </w:tc>
      </w:tr>
      <w:tr w:rsidR="006302BD" w:rsidRPr="00B568F3" w14:paraId="652CD4BD" w14:textId="0F67F542" w:rsidTr="006302BD">
        <w:trPr>
          <w:jc w:val="center"/>
        </w:trPr>
        <w:tc>
          <w:tcPr>
            <w:tcW w:w="1617" w:type="dxa"/>
            <w:vAlign w:val="center"/>
          </w:tcPr>
          <w:p w14:paraId="7B7090F5" w14:textId="77777777" w:rsidR="00734C59" w:rsidRPr="00B568F3" w:rsidRDefault="00734C59"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2023/2024</w:t>
            </w:r>
          </w:p>
        </w:tc>
        <w:tc>
          <w:tcPr>
            <w:tcW w:w="1644" w:type="dxa"/>
            <w:shd w:val="clear" w:color="auto" w:fill="auto"/>
            <w:vAlign w:val="center"/>
          </w:tcPr>
          <w:p w14:paraId="287610A6" w14:textId="0C338C4A" w:rsidR="00734C59" w:rsidRPr="00B568F3" w:rsidRDefault="00BA3193"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316</w:t>
            </w:r>
          </w:p>
        </w:tc>
        <w:tc>
          <w:tcPr>
            <w:tcW w:w="1138" w:type="dxa"/>
            <w:shd w:val="clear" w:color="auto" w:fill="auto"/>
            <w:vAlign w:val="center"/>
          </w:tcPr>
          <w:p w14:paraId="54697DB4" w14:textId="67C9F28A" w:rsidR="00734C59" w:rsidRPr="00B568F3" w:rsidRDefault="00BE0EE0"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w:t>
            </w:r>
            <w:r w:rsidR="000F216E" w:rsidRPr="00B568F3">
              <w:rPr>
                <w:rFonts w:ascii="Arial" w:eastAsia="Calibri" w:hAnsi="Arial" w:cs="Arial"/>
                <w:sz w:val="24"/>
                <w:szCs w:val="24"/>
                <w:lang w:eastAsia="en-GB"/>
              </w:rPr>
              <w:t>18.8%</w:t>
            </w:r>
          </w:p>
        </w:tc>
        <w:tc>
          <w:tcPr>
            <w:tcW w:w="1647" w:type="dxa"/>
            <w:shd w:val="clear" w:color="auto" w:fill="auto"/>
            <w:vAlign w:val="center"/>
          </w:tcPr>
          <w:p w14:paraId="6E085494" w14:textId="42BD6218" w:rsidR="00734C59" w:rsidRPr="00B568F3" w:rsidRDefault="00A718CB"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72</w:t>
            </w:r>
          </w:p>
        </w:tc>
        <w:tc>
          <w:tcPr>
            <w:tcW w:w="1138" w:type="dxa"/>
            <w:shd w:val="clear" w:color="auto" w:fill="auto"/>
            <w:vAlign w:val="center"/>
          </w:tcPr>
          <w:p w14:paraId="50A1AB13" w14:textId="5D594AE4" w:rsidR="00734C59" w:rsidRPr="00B568F3" w:rsidRDefault="001E48D6" w:rsidP="00FC716F">
            <w:pPr>
              <w:spacing w:before="120" w:after="120"/>
              <w:jc w:val="center"/>
              <w:rPr>
                <w:rFonts w:ascii="Arial" w:eastAsia="Calibri" w:hAnsi="Arial" w:cs="Arial"/>
                <w:sz w:val="24"/>
                <w:szCs w:val="24"/>
                <w:lang w:eastAsia="en-GB"/>
              </w:rPr>
            </w:pPr>
            <w:r w:rsidRPr="00B568F3">
              <w:rPr>
                <w:rFonts w:ascii="Arial" w:eastAsia="Calibri" w:hAnsi="Arial" w:cs="Arial"/>
                <w:sz w:val="24"/>
                <w:szCs w:val="24"/>
                <w:lang w:eastAsia="en-GB"/>
              </w:rPr>
              <w:t>+</w:t>
            </w:r>
            <w:r w:rsidR="00A718CB" w:rsidRPr="00B568F3">
              <w:rPr>
                <w:rFonts w:ascii="Arial" w:eastAsia="Calibri" w:hAnsi="Arial" w:cs="Arial"/>
                <w:sz w:val="24"/>
                <w:szCs w:val="24"/>
                <w:lang w:eastAsia="en-GB"/>
              </w:rPr>
              <w:t>7.5%</w:t>
            </w:r>
          </w:p>
        </w:tc>
        <w:tc>
          <w:tcPr>
            <w:tcW w:w="923" w:type="dxa"/>
          </w:tcPr>
          <w:p w14:paraId="474C2EFA" w14:textId="3741998D" w:rsidR="00734C59" w:rsidRPr="00B568F3" w:rsidRDefault="00A718CB" w:rsidP="00FC716F">
            <w:pPr>
              <w:spacing w:before="120" w:after="120"/>
              <w:jc w:val="center"/>
              <w:rPr>
                <w:rFonts w:ascii="Arial" w:eastAsia="Calibri" w:hAnsi="Arial" w:cs="Arial"/>
                <w:sz w:val="24"/>
                <w:szCs w:val="24"/>
                <w:lang w:eastAsia="en-GB"/>
              </w:rPr>
            </w:pPr>
            <w:r w:rsidRPr="00B568F3">
              <w:rPr>
                <w:rFonts w:ascii="Arial" w:eastAsia="Calibri" w:hAnsi="Arial" w:cs="Arial"/>
                <w:sz w:val="24"/>
                <w:szCs w:val="24"/>
                <w:lang w:eastAsia="en-GB"/>
              </w:rPr>
              <w:t>60</w:t>
            </w:r>
          </w:p>
        </w:tc>
        <w:tc>
          <w:tcPr>
            <w:tcW w:w="1138" w:type="dxa"/>
            <w:gridSpan w:val="2"/>
          </w:tcPr>
          <w:p w14:paraId="22389EE6" w14:textId="4DABAE23" w:rsidR="00734C59" w:rsidRPr="00B568F3" w:rsidRDefault="00BE0EE0" w:rsidP="00FC716F">
            <w:pPr>
              <w:spacing w:before="120" w:after="120"/>
              <w:jc w:val="center"/>
              <w:rPr>
                <w:rFonts w:ascii="Arial" w:eastAsia="Calibri" w:hAnsi="Arial" w:cs="Arial"/>
                <w:sz w:val="24"/>
                <w:szCs w:val="24"/>
                <w:lang w:eastAsia="en-GB"/>
              </w:rPr>
            </w:pPr>
            <w:r w:rsidRPr="00B568F3">
              <w:rPr>
                <w:rFonts w:ascii="Arial" w:eastAsia="Calibri" w:hAnsi="Arial" w:cs="Arial"/>
                <w:sz w:val="24"/>
                <w:szCs w:val="24"/>
                <w:lang w:eastAsia="en-GB"/>
              </w:rPr>
              <w:t>+</w:t>
            </w:r>
            <w:r w:rsidR="00A718CB" w:rsidRPr="00B568F3">
              <w:rPr>
                <w:rFonts w:ascii="Arial" w:eastAsia="Calibri" w:hAnsi="Arial" w:cs="Arial"/>
                <w:sz w:val="24"/>
                <w:szCs w:val="24"/>
                <w:lang w:eastAsia="en-GB"/>
              </w:rPr>
              <w:t>7.1%</w:t>
            </w:r>
          </w:p>
        </w:tc>
      </w:tr>
      <w:tr w:rsidR="006302BD" w:rsidRPr="00B568F3" w14:paraId="1291E9FB" w14:textId="6BA1C760" w:rsidTr="006302BD">
        <w:trPr>
          <w:jc w:val="center"/>
        </w:trPr>
        <w:tc>
          <w:tcPr>
            <w:tcW w:w="1617" w:type="dxa"/>
            <w:vAlign w:val="center"/>
          </w:tcPr>
          <w:p w14:paraId="03EA3287" w14:textId="77777777" w:rsidR="00734C59" w:rsidRPr="00B568F3" w:rsidRDefault="00734C59"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2022/2023</w:t>
            </w:r>
          </w:p>
        </w:tc>
        <w:tc>
          <w:tcPr>
            <w:tcW w:w="1644" w:type="dxa"/>
            <w:shd w:val="clear" w:color="auto" w:fill="auto"/>
            <w:vAlign w:val="center"/>
          </w:tcPr>
          <w:p w14:paraId="4AA10CAE" w14:textId="4DCF29B9" w:rsidR="00734C59" w:rsidRPr="00B568F3" w:rsidRDefault="000F216E"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266</w:t>
            </w:r>
          </w:p>
        </w:tc>
        <w:tc>
          <w:tcPr>
            <w:tcW w:w="1138" w:type="dxa"/>
            <w:shd w:val="clear" w:color="auto" w:fill="auto"/>
            <w:vAlign w:val="center"/>
          </w:tcPr>
          <w:p w14:paraId="1F704C6D" w14:textId="77D6F92B" w:rsidR="00734C59" w:rsidRPr="00B568F3" w:rsidRDefault="000B788C"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-7.3%</w:t>
            </w:r>
          </w:p>
        </w:tc>
        <w:tc>
          <w:tcPr>
            <w:tcW w:w="1647" w:type="dxa"/>
            <w:shd w:val="clear" w:color="auto" w:fill="auto"/>
            <w:vAlign w:val="center"/>
          </w:tcPr>
          <w:p w14:paraId="3230A393" w14:textId="21C330EB" w:rsidR="00734C59" w:rsidRPr="00B568F3" w:rsidRDefault="000F216E"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67</w:t>
            </w:r>
          </w:p>
        </w:tc>
        <w:tc>
          <w:tcPr>
            <w:tcW w:w="1138" w:type="dxa"/>
            <w:shd w:val="clear" w:color="auto" w:fill="auto"/>
            <w:vAlign w:val="center"/>
          </w:tcPr>
          <w:p w14:paraId="0F001E2A" w14:textId="2EDA3A9C" w:rsidR="00734C59" w:rsidRPr="00B568F3" w:rsidRDefault="001E48D6"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w:t>
            </w:r>
            <w:r w:rsidR="000B788C" w:rsidRPr="00B568F3">
              <w:rPr>
                <w:rFonts w:ascii="Arial" w:eastAsia="Calibri" w:hAnsi="Arial" w:cs="Arial"/>
                <w:sz w:val="24"/>
                <w:szCs w:val="24"/>
                <w:lang w:eastAsia="en-GB"/>
              </w:rPr>
              <w:t>59.5%</w:t>
            </w:r>
          </w:p>
        </w:tc>
        <w:tc>
          <w:tcPr>
            <w:tcW w:w="923" w:type="dxa"/>
          </w:tcPr>
          <w:p w14:paraId="33ECB45A" w14:textId="05EADE08" w:rsidR="00734C59" w:rsidRPr="00B568F3" w:rsidRDefault="000F216E"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56</w:t>
            </w:r>
          </w:p>
        </w:tc>
        <w:tc>
          <w:tcPr>
            <w:tcW w:w="1138" w:type="dxa"/>
            <w:gridSpan w:val="2"/>
          </w:tcPr>
          <w:p w14:paraId="386AAB02" w14:textId="02AA7F3F" w:rsidR="00734C59" w:rsidRPr="00B568F3" w:rsidRDefault="000B788C"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-5.1%</w:t>
            </w:r>
          </w:p>
        </w:tc>
      </w:tr>
      <w:tr w:rsidR="006302BD" w:rsidRPr="00B568F3" w14:paraId="11B4A5DB" w14:textId="08123D9D" w:rsidTr="006302BD">
        <w:trPr>
          <w:jc w:val="center"/>
        </w:trPr>
        <w:tc>
          <w:tcPr>
            <w:tcW w:w="1617" w:type="dxa"/>
            <w:tcBorders>
              <w:bottom w:val="single" w:sz="4" w:space="0" w:color="auto"/>
            </w:tcBorders>
            <w:vAlign w:val="center"/>
          </w:tcPr>
          <w:p w14:paraId="02CA08EC" w14:textId="77777777" w:rsidR="00734C59" w:rsidRPr="00B568F3" w:rsidRDefault="00734C59" w:rsidP="00FC716F">
            <w:pPr>
              <w:spacing w:before="120" w:after="120"/>
              <w:contextualSpacing/>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2021/2022</w:t>
            </w:r>
          </w:p>
        </w:tc>
        <w:tc>
          <w:tcPr>
            <w:tcW w:w="1644" w:type="dxa"/>
            <w:tcBorders>
              <w:bottom w:val="single" w:sz="4" w:space="0" w:color="auto"/>
            </w:tcBorders>
            <w:shd w:val="clear" w:color="auto" w:fill="auto"/>
            <w:vAlign w:val="center"/>
          </w:tcPr>
          <w:p w14:paraId="1BC4E4D5" w14:textId="7EC8C002" w:rsidR="00734C59" w:rsidRPr="00B568F3" w:rsidRDefault="000B788C"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287</w:t>
            </w:r>
          </w:p>
        </w:tc>
        <w:tc>
          <w:tcPr>
            <w:tcW w:w="1138" w:type="dxa"/>
            <w:tcBorders>
              <w:bottom w:val="single" w:sz="4" w:space="0" w:color="auto"/>
            </w:tcBorders>
            <w:shd w:val="clear" w:color="auto" w:fill="auto"/>
            <w:vAlign w:val="center"/>
          </w:tcPr>
          <w:p w14:paraId="6B8B8177" w14:textId="1447A67E" w:rsidR="00734C59" w:rsidRPr="00B568F3" w:rsidRDefault="00BE0EE0"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w:t>
            </w:r>
            <w:r w:rsidR="00BE2DA3" w:rsidRPr="00B568F3">
              <w:rPr>
                <w:rFonts w:ascii="Arial" w:eastAsia="Calibri" w:hAnsi="Arial" w:cs="Arial"/>
                <w:sz w:val="24"/>
                <w:szCs w:val="24"/>
                <w:lang w:eastAsia="en-GB"/>
              </w:rPr>
              <w:t>16.2%</w:t>
            </w:r>
          </w:p>
        </w:tc>
        <w:tc>
          <w:tcPr>
            <w:tcW w:w="1647" w:type="dxa"/>
            <w:tcBorders>
              <w:bottom w:val="single" w:sz="4" w:space="0" w:color="auto"/>
            </w:tcBorders>
            <w:shd w:val="clear" w:color="auto" w:fill="auto"/>
            <w:vAlign w:val="center"/>
          </w:tcPr>
          <w:p w14:paraId="61F2AB03" w14:textId="69E5559E" w:rsidR="00734C59" w:rsidRPr="00B568F3" w:rsidRDefault="000B788C"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42</w:t>
            </w:r>
          </w:p>
        </w:tc>
        <w:tc>
          <w:tcPr>
            <w:tcW w:w="1138" w:type="dxa"/>
            <w:tcBorders>
              <w:bottom w:val="single" w:sz="4" w:space="0" w:color="auto"/>
            </w:tcBorders>
            <w:shd w:val="clear" w:color="auto" w:fill="auto"/>
            <w:vAlign w:val="center"/>
          </w:tcPr>
          <w:p w14:paraId="35978ACD" w14:textId="7878623E" w:rsidR="00734C59" w:rsidRPr="00B568F3" w:rsidRDefault="00BE2DA3"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-19.2%</w:t>
            </w:r>
          </w:p>
        </w:tc>
        <w:tc>
          <w:tcPr>
            <w:tcW w:w="923" w:type="dxa"/>
            <w:tcBorders>
              <w:bottom w:val="single" w:sz="4" w:space="0" w:color="auto"/>
            </w:tcBorders>
          </w:tcPr>
          <w:p w14:paraId="31526EBB" w14:textId="77BF666E" w:rsidR="00734C59" w:rsidRPr="00B568F3" w:rsidRDefault="00BE2DA3"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59</w:t>
            </w:r>
          </w:p>
        </w:tc>
        <w:tc>
          <w:tcPr>
            <w:tcW w:w="1138" w:type="dxa"/>
            <w:gridSpan w:val="2"/>
            <w:tcBorders>
              <w:bottom w:val="single" w:sz="4" w:space="0" w:color="auto"/>
            </w:tcBorders>
          </w:tcPr>
          <w:p w14:paraId="3ED25B1F" w14:textId="6D4B47B4" w:rsidR="00734C59" w:rsidRPr="00B568F3" w:rsidRDefault="00AC6F50" w:rsidP="00FC716F">
            <w:pPr>
              <w:spacing w:before="120" w:after="120"/>
              <w:contextualSpacing/>
              <w:jc w:val="center"/>
              <w:rPr>
                <w:rFonts w:ascii="Arial" w:eastAsia="Calibri" w:hAnsi="Arial" w:cs="Arial"/>
                <w:sz w:val="24"/>
                <w:szCs w:val="24"/>
                <w:lang w:eastAsia="en-GB"/>
              </w:rPr>
            </w:pPr>
            <w:r w:rsidRPr="00B568F3">
              <w:rPr>
                <w:rFonts w:ascii="Arial" w:eastAsia="Calibri" w:hAnsi="Arial" w:cs="Arial"/>
                <w:sz w:val="24"/>
                <w:szCs w:val="24"/>
                <w:lang w:eastAsia="en-GB"/>
              </w:rPr>
              <w:t>0%</w:t>
            </w:r>
          </w:p>
        </w:tc>
      </w:tr>
      <w:tr w:rsidR="00194369" w:rsidRPr="00B568F3" w14:paraId="1A6F5ACA" w14:textId="259D6E73" w:rsidTr="006302BD">
        <w:trPr>
          <w:gridAfter w:val="1"/>
          <w:wAfter w:w="146" w:type="dxa"/>
          <w:jc w:val="center"/>
        </w:trPr>
        <w:tc>
          <w:tcPr>
            <w:tcW w:w="9099" w:type="dxa"/>
            <w:gridSpan w:val="7"/>
            <w:tcBorders>
              <w:left w:val="nil"/>
              <w:bottom w:val="nil"/>
              <w:right w:val="nil"/>
            </w:tcBorders>
            <w:vAlign w:val="center"/>
          </w:tcPr>
          <w:p w14:paraId="23A30852" w14:textId="003FAABC" w:rsidR="00194369" w:rsidRPr="00B568F3" w:rsidRDefault="6E5EAC69" w:rsidP="5EF60A1F">
            <w:pPr>
              <w:spacing w:before="120" w:after="120"/>
              <w:contextualSpacing/>
              <w:jc w:val="right"/>
              <w:rPr>
                <w:rFonts w:ascii="Arial" w:eastAsia="Calibri" w:hAnsi="Arial" w:cs="Arial"/>
                <w:i/>
                <w:iCs/>
                <w:lang w:eastAsia="en-GB"/>
              </w:rPr>
            </w:pPr>
            <w:r w:rsidRPr="00B568F3">
              <w:rPr>
                <w:rFonts w:ascii="Arial" w:eastAsia="Calibri" w:hAnsi="Arial" w:cs="Arial"/>
                <w:i/>
                <w:iCs/>
                <w:lang w:eastAsia="en-GB"/>
              </w:rPr>
              <w:t xml:space="preserve">Figures are for those on programme </w:t>
            </w:r>
            <w:r w:rsidR="009A6329" w:rsidRPr="00B568F3">
              <w:rPr>
                <w:rFonts w:ascii="Arial" w:eastAsia="Calibri" w:hAnsi="Arial" w:cs="Arial"/>
                <w:i/>
                <w:iCs/>
                <w:lang w:eastAsia="en-GB"/>
              </w:rPr>
              <w:t xml:space="preserve">from 1 </w:t>
            </w:r>
            <w:r w:rsidRPr="00B568F3">
              <w:rPr>
                <w:rFonts w:ascii="Arial" w:eastAsia="Calibri" w:hAnsi="Arial" w:cs="Arial"/>
                <w:i/>
                <w:iCs/>
                <w:lang w:eastAsia="en-GB"/>
              </w:rPr>
              <w:t>April</w:t>
            </w:r>
            <w:r w:rsidR="008C2965" w:rsidRPr="00B568F3">
              <w:rPr>
                <w:rFonts w:ascii="Arial" w:eastAsia="Calibri" w:hAnsi="Arial" w:cs="Arial"/>
                <w:i/>
                <w:iCs/>
                <w:vertAlign w:val="superscript"/>
                <w:lang w:eastAsia="en-GB"/>
              </w:rPr>
              <w:t xml:space="preserve"> </w:t>
            </w:r>
            <w:r w:rsidR="008D6FFE" w:rsidRPr="00B568F3">
              <w:rPr>
                <w:rFonts w:ascii="Arial" w:eastAsia="Calibri" w:hAnsi="Arial" w:cs="Arial"/>
                <w:i/>
                <w:iCs/>
                <w:lang w:eastAsia="en-GB"/>
              </w:rPr>
              <w:t xml:space="preserve">and enrolled during the year </w:t>
            </w:r>
          </w:p>
        </w:tc>
      </w:tr>
    </w:tbl>
    <w:p w14:paraId="7B744531" w14:textId="77777777" w:rsidR="000A72F5" w:rsidRPr="00B568F3" w:rsidRDefault="000A72F5" w:rsidP="000A72F5">
      <w:pPr>
        <w:pStyle w:val="ListParagraph"/>
        <w:spacing w:after="200" w:line="276" w:lineRule="auto"/>
        <w:rPr>
          <w:rFonts w:ascii="Arial" w:eastAsia="Calibri" w:hAnsi="Arial" w:cs="Arial"/>
          <w:bCs/>
          <w:sz w:val="24"/>
          <w:szCs w:val="24"/>
        </w:rPr>
      </w:pPr>
    </w:p>
    <w:p w14:paraId="32D2DEF5" w14:textId="4A9C0237" w:rsidR="00854956" w:rsidRPr="00B568F3" w:rsidRDefault="004A1520"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The n</w:t>
      </w:r>
      <w:r w:rsidR="005E006D" w:rsidRPr="00B568F3">
        <w:rPr>
          <w:rFonts w:ascii="Arial" w:eastAsia="Calibri" w:hAnsi="Arial" w:cs="Arial"/>
          <w:sz w:val="24"/>
          <w:szCs w:val="24"/>
        </w:rPr>
        <w:t>umbers</w:t>
      </w:r>
      <w:r w:rsidRPr="00B568F3">
        <w:rPr>
          <w:rFonts w:ascii="Arial" w:eastAsia="Calibri" w:hAnsi="Arial" w:cs="Arial"/>
          <w:sz w:val="24"/>
          <w:szCs w:val="24"/>
        </w:rPr>
        <w:t xml:space="preserve"> of those </w:t>
      </w:r>
      <w:r w:rsidR="00036FEA" w:rsidRPr="00B568F3">
        <w:rPr>
          <w:rFonts w:ascii="Arial" w:eastAsia="Calibri" w:hAnsi="Arial" w:cs="Arial"/>
          <w:sz w:val="24"/>
          <w:szCs w:val="24"/>
        </w:rPr>
        <w:t xml:space="preserve">taking </w:t>
      </w:r>
      <w:r w:rsidRPr="00B568F3">
        <w:rPr>
          <w:rFonts w:ascii="Arial" w:eastAsia="Calibri" w:hAnsi="Arial" w:cs="Arial"/>
          <w:sz w:val="24"/>
          <w:szCs w:val="24"/>
        </w:rPr>
        <w:t>p</w:t>
      </w:r>
      <w:r w:rsidR="005E006D" w:rsidRPr="00B568F3">
        <w:rPr>
          <w:rFonts w:ascii="Arial" w:eastAsia="Calibri" w:hAnsi="Arial" w:cs="Arial"/>
          <w:sz w:val="24"/>
          <w:szCs w:val="24"/>
        </w:rPr>
        <w:t xml:space="preserve">ost </w:t>
      </w:r>
      <w:r w:rsidRPr="00B568F3">
        <w:rPr>
          <w:rFonts w:ascii="Arial" w:eastAsia="Calibri" w:hAnsi="Arial" w:cs="Arial"/>
          <w:sz w:val="24"/>
          <w:szCs w:val="24"/>
        </w:rPr>
        <w:t>q</w:t>
      </w:r>
      <w:r w:rsidR="005E006D" w:rsidRPr="00B568F3">
        <w:rPr>
          <w:rFonts w:ascii="Arial" w:eastAsia="Calibri" w:hAnsi="Arial" w:cs="Arial"/>
          <w:sz w:val="24"/>
          <w:szCs w:val="24"/>
        </w:rPr>
        <w:t xml:space="preserve">ualifying </w:t>
      </w:r>
      <w:r w:rsidR="00385710" w:rsidRPr="00B568F3">
        <w:rPr>
          <w:rFonts w:ascii="Arial" w:eastAsia="Calibri" w:hAnsi="Arial" w:cs="Arial"/>
          <w:sz w:val="24"/>
          <w:szCs w:val="24"/>
        </w:rPr>
        <w:t xml:space="preserve">specialists </w:t>
      </w:r>
      <w:r w:rsidR="005E006D" w:rsidRPr="00B568F3">
        <w:rPr>
          <w:rFonts w:ascii="Arial" w:eastAsia="Calibri" w:hAnsi="Arial" w:cs="Arial"/>
          <w:sz w:val="24"/>
          <w:szCs w:val="24"/>
        </w:rPr>
        <w:t xml:space="preserve">awards </w:t>
      </w:r>
      <w:r w:rsidR="00523CF0" w:rsidRPr="00B568F3">
        <w:rPr>
          <w:rFonts w:ascii="Arial" w:eastAsia="Calibri" w:hAnsi="Arial" w:cs="Arial"/>
          <w:sz w:val="24"/>
          <w:szCs w:val="24"/>
        </w:rPr>
        <w:t>have all increased in 2023</w:t>
      </w:r>
      <w:r w:rsidR="009A6329" w:rsidRPr="00B568F3">
        <w:rPr>
          <w:rFonts w:ascii="Arial" w:eastAsia="Calibri" w:hAnsi="Arial" w:cs="Arial"/>
          <w:sz w:val="24"/>
          <w:szCs w:val="24"/>
        </w:rPr>
        <w:t xml:space="preserve"> to </w:t>
      </w:r>
      <w:r w:rsidR="00523CF0" w:rsidRPr="00B568F3">
        <w:rPr>
          <w:rFonts w:ascii="Arial" w:eastAsia="Calibri" w:hAnsi="Arial" w:cs="Arial"/>
          <w:sz w:val="24"/>
          <w:szCs w:val="24"/>
        </w:rPr>
        <w:t xml:space="preserve">2024. </w:t>
      </w:r>
    </w:p>
    <w:p w14:paraId="59AC7855" w14:textId="77777777" w:rsidR="002A37EB" w:rsidRPr="00B568F3" w:rsidRDefault="002A37EB" w:rsidP="00CC062B">
      <w:pPr>
        <w:spacing w:after="200" w:line="276" w:lineRule="auto"/>
        <w:ind w:left="567"/>
        <w:contextualSpacing/>
        <w:rPr>
          <w:rFonts w:ascii="Arial" w:eastAsia="Calibri" w:hAnsi="Arial" w:cs="Arial"/>
          <w:sz w:val="24"/>
          <w:szCs w:val="24"/>
        </w:rPr>
      </w:pPr>
    </w:p>
    <w:p w14:paraId="6622F2AE" w14:textId="180912A5" w:rsidR="003D7DF0" w:rsidRPr="00B568F3" w:rsidRDefault="00854956"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In 2023</w:t>
      </w:r>
      <w:r w:rsidR="009A6329" w:rsidRPr="00B568F3">
        <w:rPr>
          <w:rFonts w:ascii="Arial" w:eastAsia="Calibri" w:hAnsi="Arial" w:cs="Arial"/>
          <w:sz w:val="24"/>
          <w:szCs w:val="24"/>
        </w:rPr>
        <w:t xml:space="preserve"> to </w:t>
      </w:r>
      <w:r w:rsidRPr="00B568F3">
        <w:rPr>
          <w:rFonts w:ascii="Arial" w:eastAsia="Calibri" w:hAnsi="Arial" w:cs="Arial"/>
          <w:sz w:val="24"/>
          <w:szCs w:val="24"/>
        </w:rPr>
        <w:t xml:space="preserve">2024 the number </w:t>
      </w:r>
      <w:r w:rsidR="00EE7EA9" w:rsidRPr="00B568F3">
        <w:rPr>
          <w:rFonts w:ascii="Arial" w:eastAsia="Calibri" w:hAnsi="Arial" w:cs="Arial"/>
          <w:sz w:val="24"/>
          <w:szCs w:val="24"/>
        </w:rPr>
        <w:t xml:space="preserve">undertaking </w:t>
      </w:r>
      <w:r w:rsidR="007D5165" w:rsidRPr="00B568F3">
        <w:rPr>
          <w:rFonts w:ascii="Arial" w:eastAsia="Calibri" w:hAnsi="Arial" w:cs="Arial"/>
          <w:sz w:val="24"/>
          <w:szCs w:val="24"/>
        </w:rPr>
        <w:t xml:space="preserve">an approved qualification to enable them to become a </w:t>
      </w:r>
      <w:r w:rsidR="002557F2" w:rsidRPr="00B568F3">
        <w:rPr>
          <w:rFonts w:ascii="Arial" w:eastAsia="Calibri" w:hAnsi="Arial" w:cs="Arial"/>
          <w:sz w:val="24"/>
          <w:szCs w:val="24"/>
        </w:rPr>
        <w:t xml:space="preserve">social work Practice Assessor </w:t>
      </w:r>
      <w:r w:rsidRPr="00B568F3">
        <w:rPr>
          <w:rFonts w:ascii="Arial" w:eastAsia="Calibri" w:hAnsi="Arial" w:cs="Arial"/>
          <w:sz w:val="24"/>
          <w:szCs w:val="24"/>
        </w:rPr>
        <w:t>(</w:t>
      </w:r>
      <w:r w:rsidR="00473832" w:rsidRPr="00B568F3">
        <w:rPr>
          <w:rFonts w:ascii="Arial" w:eastAsia="Calibri" w:hAnsi="Arial" w:cs="Arial"/>
          <w:sz w:val="24"/>
          <w:szCs w:val="24"/>
        </w:rPr>
        <w:t>Practice Assessor Awards</w:t>
      </w:r>
      <w:r w:rsidR="00BA3101" w:rsidRPr="00B568F3">
        <w:rPr>
          <w:rFonts w:ascii="Arial" w:eastAsia="Calibri" w:hAnsi="Arial" w:cs="Arial"/>
          <w:sz w:val="24"/>
          <w:szCs w:val="24"/>
        </w:rPr>
        <w:t xml:space="preserve"> at level 6 or 7</w:t>
      </w:r>
      <w:r w:rsidR="00473832" w:rsidRPr="00B568F3">
        <w:rPr>
          <w:rFonts w:ascii="Arial" w:eastAsia="Calibri" w:hAnsi="Arial" w:cs="Arial"/>
          <w:sz w:val="24"/>
          <w:szCs w:val="24"/>
        </w:rPr>
        <w:t>) increased by 18.8</w:t>
      </w:r>
      <w:r w:rsidR="00874497" w:rsidRPr="00B568F3">
        <w:rPr>
          <w:rFonts w:ascii="Arial" w:eastAsia="Calibri" w:hAnsi="Arial" w:cs="Arial"/>
          <w:sz w:val="24"/>
          <w:szCs w:val="24"/>
        </w:rPr>
        <w:t xml:space="preserve"> per cent</w:t>
      </w:r>
      <w:r w:rsidR="00473832" w:rsidRPr="00B568F3">
        <w:rPr>
          <w:rFonts w:ascii="Arial" w:eastAsia="Calibri" w:hAnsi="Arial" w:cs="Arial"/>
          <w:sz w:val="24"/>
          <w:szCs w:val="24"/>
        </w:rPr>
        <w:t xml:space="preserve">, the number </w:t>
      </w:r>
      <w:r w:rsidR="00874497" w:rsidRPr="00B568F3">
        <w:rPr>
          <w:rFonts w:ascii="Arial" w:eastAsia="Calibri" w:hAnsi="Arial" w:cs="Arial"/>
          <w:sz w:val="24"/>
          <w:szCs w:val="24"/>
        </w:rPr>
        <w:t xml:space="preserve">taking part </w:t>
      </w:r>
      <w:r w:rsidR="00473832" w:rsidRPr="00B568F3">
        <w:rPr>
          <w:rFonts w:ascii="Arial" w:eastAsia="Calibri" w:hAnsi="Arial" w:cs="Arial"/>
          <w:sz w:val="24"/>
          <w:szCs w:val="24"/>
        </w:rPr>
        <w:t>in the best interest assessor</w:t>
      </w:r>
      <w:r w:rsidR="009E3E92" w:rsidRPr="00B568F3">
        <w:rPr>
          <w:rFonts w:ascii="Arial" w:eastAsia="Calibri" w:hAnsi="Arial" w:cs="Arial"/>
          <w:sz w:val="24"/>
          <w:szCs w:val="24"/>
        </w:rPr>
        <w:t xml:space="preserve"> increased by 7.5</w:t>
      </w:r>
      <w:r w:rsidR="00874497" w:rsidRPr="00B568F3">
        <w:rPr>
          <w:rFonts w:ascii="Arial" w:eastAsia="Calibri" w:hAnsi="Arial" w:cs="Arial"/>
          <w:sz w:val="24"/>
          <w:szCs w:val="24"/>
        </w:rPr>
        <w:t xml:space="preserve"> per cent</w:t>
      </w:r>
      <w:r w:rsidR="009E3E92" w:rsidRPr="00B568F3" w:rsidDel="00874497">
        <w:rPr>
          <w:rFonts w:ascii="Arial" w:eastAsia="Calibri" w:hAnsi="Arial" w:cs="Arial"/>
          <w:sz w:val="24"/>
          <w:szCs w:val="24"/>
        </w:rPr>
        <w:t xml:space="preserve"> </w:t>
      </w:r>
      <w:r w:rsidR="00874497" w:rsidRPr="00B568F3">
        <w:rPr>
          <w:rFonts w:ascii="Arial" w:eastAsia="Calibri" w:hAnsi="Arial" w:cs="Arial"/>
          <w:sz w:val="24"/>
          <w:szCs w:val="24"/>
        </w:rPr>
        <w:t xml:space="preserve">and </w:t>
      </w:r>
      <w:r w:rsidR="009E3E92" w:rsidRPr="00B568F3">
        <w:rPr>
          <w:rFonts w:ascii="Arial" w:eastAsia="Calibri" w:hAnsi="Arial" w:cs="Arial"/>
          <w:sz w:val="24"/>
          <w:szCs w:val="24"/>
        </w:rPr>
        <w:t>the number</w:t>
      </w:r>
      <w:r w:rsidR="004219C5" w:rsidRPr="00B568F3">
        <w:rPr>
          <w:rFonts w:ascii="Arial" w:eastAsia="Calibri" w:hAnsi="Arial" w:cs="Arial"/>
          <w:sz w:val="24"/>
          <w:szCs w:val="24"/>
        </w:rPr>
        <w:t xml:space="preserve"> </w:t>
      </w:r>
      <w:r w:rsidR="00874497" w:rsidRPr="00B568F3">
        <w:rPr>
          <w:rFonts w:ascii="Arial" w:eastAsia="Calibri" w:hAnsi="Arial" w:cs="Arial"/>
          <w:sz w:val="24"/>
          <w:szCs w:val="24"/>
        </w:rPr>
        <w:t>taking part</w:t>
      </w:r>
      <w:r w:rsidR="009E3E92" w:rsidRPr="00B568F3">
        <w:rPr>
          <w:rFonts w:ascii="Arial" w:eastAsia="Calibri" w:hAnsi="Arial" w:cs="Arial"/>
          <w:sz w:val="24"/>
          <w:szCs w:val="24"/>
        </w:rPr>
        <w:t xml:space="preserve"> in the Approved Mental Health Practitioner (AMHP) increased b</w:t>
      </w:r>
      <w:r w:rsidR="003D7DF0" w:rsidRPr="00B568F3">
        <w:rPr>
          <w:rFonts w:ascii="Arial" w:eastAsia="Calibri" w:hAnsi="Arial" w:cs="Arial"/>
          <w:sz w:val="24"/>
          <w:szCs w:val="24"/>
        </w:rPr>
        <w:t>y 7.1</w:t>
      </w:r>
      <w:r w:rsidR="00874497" w:rsidRPr="00B568F3">
        <w:rPr>
          <w:rFonts w:ascii="Arial" w:eastAsia="Calibri" w:hAnsi="Arial" w:cs="Arial"/>
          <w:sz w:val="24"/>
          <w:szCs w:val="24"/>
        </w:rPr>
        <w:t xml:space="preserve"> per cent</w:t>
      </w:r>
      <w:r w:rsidR="003D7DF0" w:rsidRPr="00B568F3">
        <w:rPr>
          <w:rFonts w:ascii="Arial" w:eastAsia="Calibri" w:hAnsi="Arial" w:cs="Arial"/>
          <w:sz w:val="24"/>
          <w:szCs w:val="24"/>
        </w:rPr>
        <w:t>.</w:t>
      </w:r>
    </w:p>
    <w:p w14:paraId="74805670" w14:textId="77777777" w:rsidR="00EF307D" w:rsidRPr="00B568F3" w:rsidRDefault="00EF307D" w:rsidP="00CC062B">
      <w:pPr>
        <w:spacing w:after="200" w:line="276" w:lineRule="auto"/>
        <w:ind w:left="567"/>
        <w:contextualSpacing/>
        <w:rPr>
          <w:rFonts w:ascii="Arial" w:eastAsia="Calibri" w:hAnsi="Arial" w:cs="Arial"/>
          <w:sz w:val="24"/>
          <w:szCs w:val="24"/>
        </w:rPr>
      </w:pPr>
    </w:p>
    <w:p w14:paraId="53E79E10" w14:textId="2F1D08CD" w:rsidR="00B61C7F" w:rsidRPr="00B568F3" w:rsidRDefault="003D7DF0"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The trend for </w:t>
      </w:r>
      <w:r w:rsidR="004C3E31" w:rsidRPr="00B568F3">
        <w:rPr>
          <w:rFonts w:ascii="Arial" w:eastAsia="Calibri" w:hAnsi="Arial" w:cs="Arial"/>
          <w:sz w:val="24"/>
          <w:szCs w:val="24"/>
        </w:rPr>
        <w:t>the approved qualification to become a social work Practice Assessor</w:t>
      </w:r>
      <w:r w:rsidRPr="00B568F3">
        <w:rPr>
          <w:rFonts w:ascii="Arial" w:eastAsia="Calibri" w:hAnsi="Arial" w:cs="Arial"/>
          <w:sz w:val="24"/>
          <w:szCs w:val="24"/>
        </w:rPr>
        <w:t xml:space="preserve"> and AMHP is </w:t>
      </w:r>
      <w:r w:rsidR="00542D07" w:rsidRPr="00B568F3">
        <w:rPr>
          <w:rFonts w:ascii="Arial" w:eastAsia="Calibri" w:hAnsi="Arial" w:cs="Arial"/>
          <w:sz w:val="24"/>
          <w:szCs w:val="24"/>
        </w:rPr>
        <w:t>opposite</w:t>
      </w:r>
      <w:r w:rsidRPr="00B568F3">
        <w:rPr>
          <w:rFonts w:ascii="Arial" w:eastAsia="Calibri" w:hAnsi="Arial" w:cs="Arial"/>
          <w:sz w:val="24"/>
          <w:szCs w:val="24"/>
        </w:rPr>
        <w:t xml:space="preserve"> to the negative trend last year</w:t>
      </w:r>
      <w:r w:rsidR="00036FEA" w:rsidRPr="00B568F3">
        <w:rPr>
          <w:rFonts w:ascii="Arial" w:eastAsia="Calibri" w:hAnsi="Arial" w:cs="Arial"/>
          <w:sz w:val="24"/>
          <w:szCs w:val="24"/>
        </w:rPr>
        <w:t>,</w:t>
      </w:r>
      <w:r w:rsidRPr="00B568F3">
        <w:rPr>
          <w:rFonts w:ascii="Arial" w:eastAsia="Calibri" w:hAnsi="Arial" w:cs="Arial"/>
          <w:sz w:val="24"/>
          <w:szCs w:val="24"/>
        </w:rPr>
        <w:t xml:space="preserve"> whil</w:t>
      </w:r>
      <w:r w:rsidR="00036FEA" w:rsidRPr="00B568F3">
        <w:rPr>
          <w:rFonts w:ascii="Arial" w:eastAsia="Calibri" w:hAnsi="Arial" w:cs="Arial"/>
          <w:sz w:val="24"/>
          <w:szCs w:val="24"/>
        </w:rPr>
        <w:t>e</w:t>
      </w:r>
      <w:r w:rsidRPr="00B568F3">
        <w:rPr>
          <w:rFonts w:ascii="Arial" w:eastAsia="Calibri" w:hAnsi="Arial" w:cs="Arial"/>
          <w:sz w:val="24"/>
          <w:szCs w:val="24"/>
        </w:rPr>
        <w:t xml:space="preserve"> the trend for the best interest assessor is the same</w:t>
      </w:r>
      <w:r w:rsidR="00B61C7F" w:rsidRPr="00B568F3" w:rsidDel="00542D07">
        <w:rPr>
          <w:rFonts w:ascii="Arial" w:eastAsia="Calibri" w:hAnsi="Arial" w:cs="Arial"/>
          <w:sz w:val="24"/>
          <w:szCs w:val="24"/>
        </w:rPr>
        <w:t>.</w:t>
      </w:r>
    </w:p>
    <w:p w14:paraId="57D826AC" w14:textId="77777777" w:rsidR="00FE4149" w:rsidRPr="00B568F3" w:rsidRDefault="00FE4149" w:rsidP="00FE4149">
      <w:pPr>
        <w:spacing w:after="200" w:line="276" w:lineRule="auto"/>
        <w:contextualSpacing/>
        <w:rPr>
          <w:rFonts w:ascii="Arial" w:eastAsia="Calibri" w:hAnsi="Arial" w:cs="Arial"/>
          <w:bCs/>
          <w:sz w:val="24"/>
          <w:szCs w:val="24"/>
        </w:rPr>
      </w:pPr>
    </w:p>
    <w:p w14:paraId="1E6B0C60" w14:textId="66753811" w:rsidR="00FE4149" w:rsidRPr="00B568F3" w:rsidRDefault="002A37EB" w:rsidP="00FE4149">
      <w:pPr>
        <w:spacing w:after="200" w:line="276" w:lineRule="auto"/>
        <w:contextualSpacing/>
        <w:rPr>
          <w:rFonts w:ascii="Arial" w:eastAsia="Calibri" w:hAnsi="Arial" w:cs="Arial"/>
          <w:sz w:val="24"/>
          <w:szCs w:val="24"/>
        </w:rPr>
      </w:pPr>
      <w:r w:rsidRPr="00B568F3">
        <w:rPr>
          <w:rFonts w:ascii="Arial" w:eastAsia="Calibri" w:hAnsi="Arial" w:cs="Arial"/>
          <w:sz w:val="24"/>
          <w:szCs w:val="24"/>
        </w:rPr>
        <w:t>Management awards (other than vocational awards)</w:t>
      </w:r>
    </w:p>
    <w:p w14:paraId="56827F5A" w14:textId="77777777" w:rsidR="00FE4149" w:rsidRPr="00B568F3" w:rsidRDefault="00FE4149" w:rsidP="00FE4149">
      <w:pPr>
        <w:spacing w:after="200" w:line="276" w:lineRule="auto"/>
        <w:contextualSpacing/>
        <w:rPr>
          <w:rFonts w:ascii="Arial" w:eastAsia="Calibri" w:hAnsi="Arial" w:cs="Arial"/>
          <w:sz w:val="24"/>
          <w:szCs w:val="24"/>
          <w:lang w:eastAsia="en-GB"/>
        </w:rPr>
      </w:pPr>
    </w:p>
    <w:p w14:paraId="09DE3096" w14:textId="26142D53" w:rsidR="00FB1EFC" w:rsidRPr="00B568F3" w:rsidRDefault="00D16B24"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rPr>
        <w:t xml:space="preserve">Table 12 shows </w:t>
      </w:r>
      <w:r w:rsidR="002D1B1F" w:rsidRPr="00B568F3">
        <w:rPr>
          <w:rFonts w:ascii="Arial" w:eastAsia="Calibri" w:hAnsi="Arial" w:cs="Arial"/>
          <w:sz w:val="24"/>
          <w:szCs w:val="24"/>
        </w:rPr>
        <w:t xml:space="preserve">a drop in the numbers </w:t>
      </w:r>
      <w:r w:rsidR="00542D07" w:rsidRPr="00B568F3">
        <w:rPr>
          <w:rFonts w:ascii="Arial" w:eastAsia="Calibri" w:hAnsi="Arial" w:cs="Arial"/>
          <w:sz w:val="24"/>
          <w:szCs w:val="24"/>
        </w:rPr>
        <w:t xml:space="preserve">taking on </w:t>
      </w:r>
      <w:r w:rsidR="00184607" w:rsidRPr="00B568F3">
        <w:rPr>
          <w:rFonts w:ascii="Arial" w:eastAsia="Calibri" w:hAnsi="Arial" w:cs="Arial"/>
          <w:sz w:val="24"/>
          <w:szCs w:val="24"/>
        </w:rPr>
        <w:t xml:space="preserve">a </w:t>
      </w:r>
      <w:r w:rsidR="00114DD5" w:rsidRPr="00B568F3">
        <w:rPr>
          <w:rFonts w:ascii="Arial" w:eastAsia="Calibri" w:hAnsi="Arial" w:cs="Arial"/>
          <w:sz w:val="24"/>
          <w:szCs w:val="24"/>
        </w:rPr>
        <w:t xml:space="preserve">national management programme </w:t>
      </w:r>
      <w:r w:rsidR="3EE4EFC0" w:rsidRPr="00B568F3">
        <w:rPr>
          <w:rFonts w:ascii="Arial" w:eastAsia="Calibri" w:hAnsi="Arial" w:cs="Arial"/>
          <w:sz w:val="24"/>
          <w:szCs w:val="24"/>
        </w:rPr>
        <w:t>funded through SCWWDP</w:t>
      </w:r>
      <w:r w:rsidR="00114DD5" w:rsidRPr="00B568F3">
        <w:rPr>
          <w:rFonts w:ascii="Arial" w:eastAsia="Calibri" w:hAnsi="Arial" w:cs="Arial"/>
          <w:sz w:val="24"/>
          <w:szCs w:val="24"/>
        </w:rPr>
        <w:t xml:space="preserve"> </w:t>
      </w:r>
      <w:r w:rsidR="00632AA3" w:rsidRPr="00B568F3">
        <w:rPr>
          <w:rFonts w:ascii="Arial" w:eastAsia="Calibri" w:hAnsi="Arial" w:cs="Arial"/>
          <w:sz w:val="24"/>
          <w:szCs w:val="24"/>
        </w:rPr>
        <w:t>over the last three years</w:t>
      </w:r>
      <w:r w:rsidR="00FB1EFC" w:rsidRPr="00B568F3">
        <w:rPr>
          <w:rFonts w:ascii="Arial" w:eastAsia="Calibri" w:hAnsi="Arial" w:cs="Arial"/>
          <w:sz w:val="24"/>
          <w:szCs w:val="24"/>
        </w:rPr>
        <w:t xml:space="preserve">. </w:t>
      </w:r>
    </w:p>
    <w:p w14:paraId="1145F209" w14:textId="77777777" w:rsidR="00ED33D9" w:rsidRPr="00B568F3" w:rsidRDefault="00ED33D9" w:rsidP="00ED33D9">
      <w:pPr>
        <w:spacing w:after="200" w:line="276" w:lineRule="auto"/>
        <w:contextualSpacing/>
        <w:rPr>
          <w:rFonts w:ascii="Arial" w:eastAsia="Calibri" w:hAnsi="Arial" w:cs="Arial"/>
          <w:bCs/>
          <w:sz w:val="24"/>
          <w:szCs w:val="24"/>
        </w:rPr>
      </w:pPr>
    </w:p>
    <w:p w14:paraId="1C61D34A" w14:textId="6F1B97E6" w:rsidR="00ED33D9" w:rsidRPr="00B568F3" w:rsidRDefault="00ED33D9" w:rsidP="00ED33D9">
      <w:pPr>
        <w:spacing w:after="0" w:line="240" w:lineRule="auto"/>
        <w:rPr>
          <w:rFonts w:ascii="Arial" w:eastAsia="Calibri" w:hAnsi="Arial" w:cs="Arial"/>
          <w:b/>
          <w:bCs/>
          <w:sz w:val="24"/>
          <w:szCs w:val="24"/>
          <w:lang w:eastAsia="en-GB"/>
        </w:rPr>
      </w:pPr>
      <w:r w:rsidRPr="00B568F3">
        <w:rPr>
          <w:rFonts w:ascii="Arial" w:eastAsia="Calibri" w:hAnsi="Arial" w:cs="Arial"/>
          <w:b/>
          <w:bCs/>
          <w:sz w:val="24"/>
          <w:szCs w:val="24"/>
          <w:lang w:eastAsia="en-GB"/>
        </w:rPr>
        <w:t xml:space="preserve">Table </w:t>
      </w:r>
      <w:r w:rsidR="00721B16" w:rsidRPr="00B568F3">
        <w:rPr>
          <w:rFonts w:ascii="Arial" w:eastAsia="Calibri" w:hAnsi="Arial" w:cs="Arial"/>
          <w:b/>
          <w:bCs/>
          <w:sz w:val="24"/>
          <w:szCs w:val="24"/>
          <w:lang w:eastAsia="en-GB"/>
        </w:rPr>
        <w:t>12</w:t>
      </w:r>
      <w:r w:rsidRPr="00B568F3">
        <w:rPr>
          <w:rFonts w:ascii="Arial" w:eastAsia="Calibri" w:hAnsi="Arial" w:cs="Arial"/>
          <w:b/>
          <w:bCs/>
          <w:sz w:val="24"/>
          <w:szCs w:val="24"/>
          <w:lang w:eastAsia="en-GB"/>
        </w:rPr>
        <w:t xml:space="preserve">: TMDP &amp; MMDP Engagement, </w:t>
      </w:r>
      <w:r w:rsidR="00542D07" w:rsidRPr="00B568F3">
        <w:rPr>
          <w:rFonts w:ascii="Arial" w:eastAsia="Calibri" w:hAnsi="Arial" w:cs="Arial"/>
          <w:b/>
          <w:bCs/>
          <w:sz w:val="24"/>
          <w:szCs w:val="24"/>
          <w:lang w:eastAsia="en-GB"/>
        </w:rPr>
        <w:t xml:space="preserve">the </w:t>
      </w:r>
      <w:r w:rsidRPr="00B568F3">
        <w:rPr>
          <w:rFonts w:ascii="Arial" w:eastAsia="Calibri" w:hAnsi="Arial" w:cs="Arial"/>
          <w:b/>
          <w:bCs/>
          <w:sz w:val="24"/>
          <w:szCs w:val="24"/>
        </w:rPr>
        <w:t>three</w:t>
      </w:r>
      <w:r w:rsidR="000D3094" w:rsidRPr="00B568F3">
        <w:rPr>
          <w:rFonts w:ascii="Arial" w:eastAsia="Calibri" w:hAnsi="Arial" w:cs="Arial"/>
          <w:b/>
          <w:bCs/>
          <w:sz w:val="24"/>
          <w:szCs w:val="24"/>
        </w:rPr>
        <w:t>-</w:t>
      </w:r>
      <w:r w:rsidRPr="00B568F3">
        <w:rPr>
          <w:rFonts w:ascii="Arial" w:eastAsia="Calibri" w:hAnsi="Arial" w:cs="Arial"/>
          <w:b/>
          <w:bCs/>
          <w:sz w:val="24"/>
          <w:szCs w:val="24"/>
        </w:rPr>
        <w:t>year trend</w:t>
      </w:r>
    </w:p>
    <w:p w14:paraId="6FF3740E" w14:textId="77777777" w:rsidR="00ED33D9" w:rsidRPr="00B568F3" w:rsidRDefault="00ED33D9" w:rsidP="00ED33D9">
      <w:pPr>
        <w:pStyle w:val="ListParagraph"/>
        <w:spacing w:after="0" w:line="240" w:lineRule="auto"/>
        <w:ind w:left="1440"/>
        <w:rPr>
          <w:rFonts w:ascii="Arial" w:eastAsia="Calibri" w:hAnsi="Arial" w:cs="Arial"/>
          <w:color w:val="FF0000"/>
          <w:sz w:val="24"/>
          <w:szCs w:val="24"/>
          <w:lang w:eastAsia="en-GB"/>
        </w:rPr>
      </w:pPr>
    </w:p>
    <w:tbl>
      <w:tblPr>
        <w:tblStyle w:val="TableGrid"/>
        <w:tblW w:w="7738" w:type="dxa"/>
        <w:jc w:val="center"/>
        <w:tblLook w:val="04A0" w:firstRow="1" w:lastRow="0" w:firstColumn="1" w:lastColumn="0" w:noHBand="0" w:noVBand="1"/>
      </w:tblPr>
      <w:tblGrid>
        <w:gridCol w:w="1351"/>
        <w:gridCol w:w="1621"/>
        <w:gridCol w:w="1559"/>
        <w:gridCol w:w="1542"/>
        <w:gridCol w:w="1665"/>
      </w:tblGrid>
      <w:tr w:rsidR="00ED33D9" w:rsidRPr="00B568F3" w14:paraId="77AF6E65" w14:textId="77777777" w:rsidTr="4D3BE396">
        <w:trPr>
          <w:jc w:val="center"/>
        </w:trPr>
        <w:tc>
          <w:tcPr>
            <w:tcW w:w="1351" w:type="dxa"/>
            <w:vAlign w:val="center"/>
          </w:tcPr>
          <w:p w14:paraId="69B82370" w14:textId="77777777" w:rsidR="00ED33D9" w:rsidRPr="00B568F3" w:rsidRDefault="00ED33D9" w:rsidP="00FC716F">
            <w:pPr>
              <w:pStyle w:val="ListParagraph"/>
              <w:ind w:left="0"/>
              <w:jc w:val="center"/>
              <w:rPr>
                <w:rFonts w:ascii="Arial" w:eastAsia="Calibri" w:hAnsi="Arial" w:cs="Arial"/>
                <w:b/>
                <w:bCs/>
                <w:sz w:val="24"/>
                <w:szCs w:val="24"/>
                <w:lang w:eastAsia="en-GB"/>
              </w:rPr>
            </w:pPr>
            <w:r w:rsidRPr="00B568F3">
              <w:rPr>
                <w:rFonts w:ascii="Arial" w:eastAsia="Calibri" w:hAnsi="Arial" w:cs="Arial"/>
                <w:b/>
                <w:bCs/>
                <w:sz w:val="24"/>
                <w:szCs w:val="24"/>
                <w:lang w:eastAsia="en-GB"/>
              </w:rPr>
              <w:t>Year</w:t>
            </w:r>
          </w:p>
        </w:tc>
        <w:tc>
          <w:tcPr>
            <w:tcW w:w="1621" w:type="dxa"/>
            <w:vAlign w:val="center"/>
          </w:tcPr>
          <w:p w14:paraId="58345E52" w14:textId="77777777" w:rsidR="00ED33D9" w:rsidRPr="00B568F3" w:rsidRDefault="00ED33D9" w:rsidP="00FC716F">
            <w:pPr>
              <w:pStyle w:val="ListParagraph"/>
              <w:ind w:left="0"/>
              <w:jc w:val="center"/>
              <w:rPr>
                <w:rFonts w:ascii="Arial" w:eastAsia="Calibri" w:hAnsi="Arial" w:cs="Arial"/>
                <w:b/>
                <w:bCs/>
                <w:lang w:eastAsia="en-GB"/>
              </w:rPr>
            </w:pPr>
            <w:r w:rsidRPr="00B568F3">
              <w:rPr>
                <w:rFonts w:ascii="Arial" w:eastAsia="Calibri" w:hAnsi="Arial" w:cs="Arial"/>
                <w:b/>
                <w:bCs/>
                <w:lang w:eastAsia="en-GB"/>
              </w:rPr>
              <w:t>TMDP</w:t>
            </w:r>
          </w:p>
        </w:tc>
        <w:tc>
          <w:tcPr>
            <w:tcW w:w="1559" w:type="dxa"/>
            <w:vAlign w:val="center"/>
          </w:tcPr>
          <w:p w14:paraId="6C135970" w14:textId="77777777" w:rsidR="00ED33D9" w:rsidRPr="00B568F3" w:rsidRDefault="00ED33D9" w:rsidP="00FC716F">
            <w:pPr>
              <w:pStyle w:val="ListParagraph"/>
              <w:ind w:left="0"/>
              <w:jc w:val="center"/>
              <w:rPr>
                <w:rFonts w:ascii="Arial" w:eastAsia="Calibri" w:hAnsi="Arial" w:cs="Arial"/>
                <w:b/>
                <w:bCs/>
                <w:lang w:eastAsia="en-GB"/>
              </w:rPr>
            </w:pPr>
            <w:r w:rsidRPr="00B568F3">
              <w:rPr>
                <w:rFonts w:ascii="Arial" w:eastAsia="Calibri" w:hAnsi="Arial" w:cs="Arial"/>
                <w:b/>
                <w:bCs/>
                <w:lang w:eastAsia="en-GB"/>
              </w:rPr>
              <w:t>% change</w:t>
            </w:r>
          </w:p>
        </w:tc>
        <w:tc>
          <w:tcPr>
            <w:tcW w:w="1542" w:type="dxa"/>
            <w:vAlign w:val="center"/>
          </w:tcPr>
          <w:p w14:paraId="3D5AFBDF" w14:textId="77777777" w:rsidR="00ED33D9" w:rsidRPr="00B568F3" w:rsidRDefault="00ED33D9" w:rsidP="00FC716F">
            <w:pPr>
              <w:pStyle w:val="ListParagraph"/>
              <w:ind w:left="0"/>
              <w:jc w:val="center"/>
              <w:rPr>
                <w:rFonts w:ascii="Arial" w:eastAsia="Calibri" w:hAnsi="Arial" w:cs="Arial"/>
                <w:b/>
                <w:bCs/>
                <w:lang w:eastAsia="en-GB"/>
              </w:rPr>
            </w:pPr>
            <w:r w:rsidRPr="00B568F3">
              <w:rPr>
                <w:rFonts w:ascii="Arial" w:eastAsia="Calibri" w:hAnsi="Arial" w:cs="Arial"/>
                <w:b/>
                <w:bCs/>
                <w:lang w:eastAsia="en-GB"/>
              </w:rPr>
              <w:t>MMDP</w:t>
            </w:r>
          </w:p>
        </w:tc>
        <w:tc>
          <w:tcPr>
            <w:tcW w:w="1665" w:type="dxa"/>
            <w:vAlign w:val="center"/>
          </w:tcPr>
          <w:p w14:paraId="667D8049" w14:textId="77777777" w:rsidR="00ED33D9" w:rsidRPr="00B568F3" w:rsidRDefault="00ED33D9" w:rsidP="00FC716F">
            <w:pPr>
              <w:pStyle w:val="ListParagraph"/>
              <w:ind w:left="0"/>
              <w:jc w:val="center"/>
              <w:rPr>
                <w:rFonts w:ascii="Arial" w:eastAsia="Calibri" w:hAnsi="Arial" w:cs="Arial"/>
                <w:b/>
                <w:bCs/>
                <w:lang w:eastAsia="en-GB"/>
              </w:rPr>
            </w:pPr>
            <w:r w:rsidRPr="00B568F3">
              <w:rPr>
                <w:rFonts w:ascii="Arial" w:eastAsia="Calibri" w:hAnsi="Arial" w:cs="Arial"/>
                <w:b/>
                <w:bCs/>
                <w:lang w:eastAsia="en-GB"/>
              </w:rPr>
              <w:t>% change</w:t>
            </w:r>
          </w:p>
        </w:tc>
      </w:tr>
      <w:tr w:rsidR="00ED33D9" w:rsidRPr="00B568F3" w14:paraId="02C8CCC4" w14:textId="77777777" w:rsidTr="4D3BE396">
        <w:trPr>
          <w:jc w:val="center"/>
        </w:trPr>
        <w:tc>
          <w:tcPr>
            <w:tcW w:w="1351" w:type="dxa"/>
            <w:vAlign w:val="center"/>
          </w:tcPr>
          <w:p w14:paraId="202B1EE4" w14:textId="77777777" w:rsidR="00ED33D9" w:rsidRPr="00B568F3" w:rsidRDefault="00ED33D9" w:rsidP="00FC716F">
            <w:pPr>
              <w:pStyle w:val="ListParagraph"/>
              <w:ind w:left="0"/>
              <w:rPr>
                <w:rFonts w:ascii="Arial" w:eastAsia="Calibri" w:hAnsi="Arial" w:cs="Arial"/>
                <w:sz w:val="24"/>
                <w:szCs w:val="24"/>
                <w:lang w:eastAsia="en-GB"/>
              </w:rPr>
            </w:pPr>
            <w:r w:rsidRPr="00B568F3">
              <w:rPr>
                <w:rFonts w:ascii="Arial" w:eastAsia="Calibri" w:hAnsi="Arial" w:cs="Arial"/>
                <w:b/>
                <w:bCs/>
                <w:sz w:val="24"/>
                <w:szCs w:val="24"/>
                <w:lang w:eastAsia="en-GB"/>
              </w:rPr>
              <w:t>2023/2024</w:t>
            </w:r>
          </w:p>
        </w:tc>
        <w:tc>
          <w:tcPr>
            <w:tcW w:w="1621" w:type="dxa"/>
            <w:vAlign w:val="center"/>
          </w:tcPr>
          <w:p w14:paraId="314CD098" w14:textId="367DF787" w:rsidR="00ED33D9" w:rsidRPr="00B568F3" w:rsidRDefault="007969B8"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64</w:t>
            </w:r>
          </w:p>
        </w:tc>
        <w:tc>
          <w:tcPr>
            <w:tcW w:w="1559" w:type="dxa"/>
            <w:vAlign w:val="center"/>
          </w:tcPr>
          <w:p w14:paraId="6AEB20CC" w14:textId="3CBB8720" w:rsidR="00ED33D9" w:rsidRPr="00B568F3" w:rsidRDefault="00ED33D9"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w:t>
            </w:r>
            <w:r w:rsidR="00002BBB" w:rsidRPr="00B568F3">
              <w:rPr>
                <w:rFonts w:ascii="Arial" w:eastAsia="Calibri" w:hAnsi="Arial" w:cs="Arial"/>
                <w:sz w:val="24"/>
                <w:szCs w:val="24"/>
                <w:lang w:eastAsia="en-GB"/>
              </w:rPr>
              <w:t>12.3</w:t>
            </w:r>
            <w:r w:rsidRPr="00B568F3">
              <w:rPr>
                <w:rFonts w:ascii="Arial" w:eastAsia="Calibri" w:hAnsi="Arial" w:cs="Arial"/>
                <w:sz w:val="24"/>
                <w:szCs w:val="24"/>
                <w:lang w:eastAsia="en-GB"/>
              </w:rPr>
              <w:t>%</w:t>
            </w:r>
          </w:p>
        </w:tc>
        <w:tc>
          <w:tcPr>
            <w:tcW w:w="1542" w:type="dxa"/>
            <w:vAlign w:val="center"/>
          </w:tcPr>
          <w:p w14:paraId="59561A2F" w14:textId="74FC60A0" w:rsidR="00ED33D9" w:rsidRPr="00B568F3" w:rsidRDefault="007969B8"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20</w:t>
            </w:r>
          </w:p>
        </w:tc>
        <w:tc>
          <w:tcPr>
            <w:tcW w:w="1665" w:type="dxa"/>
            <w:vAlign w:val="center"/>
          </w:tcPr>
          <w:p w14:paraId="57376273" w14:textId="4B36F2EC" w:rsidR="00ED33D9" w:rsidRPr="00B568F3" w:rsidRDefault="00002BBB"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+5.3</w:t>
            </w:r>
            <w:r w:rsidR="00ED33D9" w:rsidRPr="00B568F3">
              <w:rPr>
                <w:rFonts w:ascii="Arial" w:eastAsia="Calibri" w:hAnsi="Arial" w:cs="Arial"/>
                <w:sz w:val="24"/>
                <w:szCs w:val="24"/>
                <w:lang w:eastAsia="en-GB"/>
              </w:rPr>
              <w:t>%</w:t>
            </w:r>
          </w:p>
        </w:tc>
      </w:tr>
      <w:tr w:rsidR="00ED33D9" w:rsidRPr="00B568F3" w14:paraId="238B0937" w14:textId="77777777" w:rsidTr="4D3BE396">
        <w:trPr>
          <w:jc w:val="center"/>
        </w:trPr>
        <w:tc>
          <w:tcPr>
            <w:tcW w:w="1351" w:type="dxa"/>
            <w:vAlign w:val="center"/>
          </w:tcPr>
          <w:p w14:paraId="6C643FC3" w14:textId="77777777" w:rsidR="00ED33D9" w:rsidRPr="00B568F3" w:rsidRDefault="00ED33D9" w:rsidP="00FC716F">
            <w:pPr>
              <w:pStyle w:val="ListParagraph"/>
              <w:ind w:left="0"/>
              <w:rPr>
                <w:rFonts w:ascii="Arial" w:eastAsia="Calibri" w:hAnsi="Arial" w:cs="Arial"/>
                <w:sz w:val="24"/>
                <w:szCs w:val="24"/>
                <w:lang w:eastAsia="en-GB"/>
              </w:rPr>
            </w:pPr>
            <w:r w:rsidRPr="00B568F3">
              <w:rPr>
                <w:rFonts w:ascii="Arial" w:eastAsia="Calibri" w:hAnsi="Arial" w:cs="Arial"/>
                <w:b/>
                <w:bCs/>
                <w:sz w:val="24"/>
                <w:szCs w:val="24"/>
                <w:lang w:eastAsia="en-GB"/>
              </w:rPr>
              <w:t>2022/2023</w:t>
            </w:r>
          </w:p>
        </w:tc>
        <w:tc>
          <w:tcPr>
            <w:tcW w:w="1621" w:type="dxa"/>
            <w:vAlign w:val="center"/>
          </w:tcPr>
          <w:p w14:paraId="5CEEFD66" w14:textId="11199F48" w:rsidR="00ED33D9" w:rsidRPr="00B568F3" w:rsidRDefault="002510A0"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73</w:t>
            </w:r>
          </w:p>
        </w:tc>
        <w:tc>
          <w:tcPr>
            <w:tcW w:w="1559" w:type="dxa"/>
            <w:vAlign w:val="center"/>
          </w:tcPr>
          <w:p w14:paraId="577C0FA4" w14:textId="6DA0DFA8" w:rsidR="00ED33D9" w:rsidRPr="00B568F3" w:rsidRDefault="00ED33D9"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w:t>
            </w:r>
            <w:r w:rsidR="00076794" w:rsidRPr="00B568F3">
              <w:rPr>
                <w:rFonts w:ascii="Arial" w:eastAsia="Calibri" w:hAnsi="Arial" w:cs="Arial"/>
                <w:sz w:val="24"/>
                <w:szCs w:val="24"/>
                <w:lang w:eastAsia="en-GB"/>
              </w:rPr>
              <w:t>28.4</w:t>
            </w:r>
            <w:r w:rsidRPr="00B568F3">
              <w:rPr>
                <w:rFonts w:ascii="Arial" w:eastAsia="Calibri" w:hAnsi="Arial" w:cs="Arial"/>
                <w:sz w:val="24"/>
                <w:szCs w:val="24"/>
                <w:lang w:eastAsia="en-GB"/>
              </w:rPr>
              <w:t>%</w:t>
            </w:r>
          </w:p>
        </w:tc>
        <w:tc>
          <w:tcPr>
            <w:tcW w:w="1542" w:type="dxa"/>
            <w:vAlign w:val="center"/>
          </w:tcPr>
          <w:p w14:paraId="4D70DB65" w14:textId="126E7A69" w:rsidR="00ED33D9" w:rsidRPr="00B568F3" w:rsidRDefault="002510A0"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19</w:t>
            </w:r>
          </w:p>
        </w:tc>
        <w:tc>
          <w:tcPr>
            <w:tcW w:w="1665" w:type="dxa"/>
            <w:vAlign w:val="center"/>
          </w:tcPr>
          <w:p w14:paraId="7D9DA334" w14:textId="02543B8F" w:rsidR="00ED33D9" w:rsidRPr="00B568F3" w:rsidRDefault="00ED33D9"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w:t>
            </w:r>
            <w:r w:rsidR="00076794" w:rsidRPr="00B568F3">
              <w:rPr>
                <w:rFonts w:ascii="Arial" w:eastAsia="Calibri" w:hAnsi="Arial" w:cs="Arial"/>
                <w:sz w:val="24"/>
                <w:szCs w:val="24"/>
                <w:lang w:eastAsia="en-GB"/>
              </w:rPr>
              <w:t>44.1</w:t>
            </w:r>
            <w:r w:rsidRPr="00B568F3">
              <w:rPr>
                <w:rFonts w:ascii="Arial" w:eastAsia="Calibri" w:hAnsi="Arial" w:cs="Arial"/>
                <w:sz w:val="24"/>
                <w:szCs w:val="24"/>
                <w:lang w:eastAsia="en-GB"/>
              </w:rPr>
              <w:t>%</w:t>
            </w:r>
          </w:p>
        </w:tc>
      </w:tr>
      <w:tr w:rsidR="00ED33D9" w:rsidRPr="00B568F3" w14:paraId="0A119114" w14:textId="77777777" w:rsidTr="4D3BE396">
        <w:trPr>
          <w:jc w:val="center"/>
        </w:trPr>
        <w:tc>
          <w:tcPr>
            <w:tcW w:w="1351" w:type="dxa"/>
            <w:tcBorders>
              <w:bottom w:val="single" w:sz="4" w:space="0" w:color="auto"/>
            </w:tcBorders>
            <w:vAlign w:val="center"/>
          </w:tcPr>
          <w:p w14:paraId="27ED3842" w14:textId="77777777" w:rsidR="00ED33D9" w:rsidRPr="00B568F3" w:rsidRDefault="00ED33D9" w:rsidP="00FC716F">
            <w:pPr>
              <w:pStyle w:val="ListParagraph"/>
              <w:ind w:left="0"/>
              <w:rPr>
                <w:rFonts w:ascii="Arial" w:eastAsia="Calibri" w:hAnsi="Arial" w:cs="Arial"/>
                <w:sz w:val="24"/>
                <w:szCs w:val="24"/>
                <w:lang w:eastAsia="en-GB"/>
              </w:rPr>
            </w:pPr>
            <w:r w:rsidRPr="00B568F3">
              <w:rPr>
                <w:rFonts w:ascii="Arial" w:eastAsia="Calibri" w:hAnsi="Arial" w:cs="Arial"/>
                <w:b/>
                <w:bCs/>
                <w:sz w:val="24"/>
                <w:szCs w:val="24"/>
                <w:lang w:eastAsia="en-GB"/>
              </w:rPr>
              <w:t>2021/2022</w:t>
            </w:r>
          </w:p>
        </w:tc>
        <w:tc>
          <w:tcPr>
            <w:tcW w:w="1621" w:type="dxa"/>
            <w:tcBorders>
              <w:bottom w:val="single" w:sz="4" w:space="0" w:color="auto"/>
            </w:tcBorders>
            <w:vAlign w:val="center"/>
          </w:tcPr>
          <w:p w14:paraId="5293F512" w14:textId="7EFB6F6D" w:rsidR="00ED33D9" w:rsidRPr="00B568F3" w:rsidRDefault="002364A7"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102</w:t>
            </w:r>
          </w:p>
        </w:tc>
        <w:tc>
          <w:tcPr>
            <w:tcW w:w="1559" w:type="dxa"/>
            <w:tcBorders>
              <w:bottom w:val="single" w:sz="4" w:space="0" w:color="auto"/>
            </w:tcBorders>
            <w:shd w:val="clear" w:color="auto" w:fill="auto"/>
            <w:vAlign w:val="center"/>
          </w:tcPr>
          <w:p w14:paraId="112D9D1E" w14:textId="2D0386A4" w:rsidR="00ED33D9" w:rsidRPr="00B568F3" w:rsidRDefault="00ED33D9"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w:t>
            </w:r>
            <w:r w:rsidR="00C67A8E" w:rsidRPr="00B568F3">
              <w:rPr>
                <w:rFonts w:ascii="Arial" w:eastAsia="Calibri" w:hAnsi="Arial" w:cs="Arial"/>
                <w:sz w:val="24"/>
                <w:szCs w:val="24"/>
                <w:lang w:eastAsia="en-GB"/>
              </w:rPr>
              <w:t>3.0</w:t>
            </w:r>
            <w:r w:rsidRPr="00B568F3">
              <w:rPr>
                <w:rFonts w:ascii="Arial" w:eastAsia="Calibri" w:hAnsi="Arial" w:cs="Arial"/>
                <w:sz w:val="24"/>
                <w:szCs w:val="24"/>
                <w:lang w:eastAsia="en-GB"/>
              </w:rPr>
              <w:t>%</w:t>
            </w:r>
          </w:p>
        </w:tc>
        <w:tc>
          <w:tcPr>
            <w:tcW w:w="1542" w:type="dxa"/>
            <w:tcBorders>
              <w:bottom w:val="single" w:sz="4" w:space="0" w:color="auto"/>
            </w:tcBorders>
            <w:vAlign w:val="center"/>
          </w:tcPr>
          <w:p w14:paraId="1DF138C1" w14:textId="43ABA2DA" w:rsidR="00ED33D9" w:rsidRPr="00B568F3" w:rsidRDefault="002364A7"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34</w:t>
            </w:r>
          </w:p>
        </w:tc>
        <w:tc>
          <w:tcPr>
            <w:tcW w:w="1665" w:type="dxa"/>
            <w:tcBorders>
              <w:bottom w:val="single" w:sz="4" w:space="0" w:color="auto"/>
            </w:tcBorders>
            <w:shd w:val="clear" w:color="auto" w:fill="auto"/>
            <w:vAlign w:val="center"/>
          </w:tcPr>
          <w:p w14:paraId="4A1B0813" w14:textId="21487EE4" w:rsidR="00ED33D9" w:rsidRPr="00B568F3" w:rsidRDefault="00ED33D9" w:rsidP="00FC716F">
            <w:pPr>
              <w:pStyle w:val="ListParagraph"/>
              <w:ind w:left="0"/>
              <w:jc w:val="center"/>
              <w:rPr>
                <w:rFonts w:ascii="Arial" w:eastAsia="Calibri" w:hAnsi="Arial" w:cs="Arial"/>
                <w:sz w:val="24"/>
                <w:szCs w:val="24"/>
                <w:lang w:eastAsia="en-GB"/>
              </w:rPr>
            </w:pPr>
            <w:r w:rsidRPr="00B568F3">
              <w:rPr>
                <w:rFonts w:ascii="Arial" w:eastAsia="Calibri" w:hAnsi="Arial" w:cs="Arial"/>
                <w:sz w:val="24"/>
                <w:szCs w:val="24"/>
                <w:lang w:eastAsia="en-GB"/>
              </w:rPr>
              <w:t>+</w:t>
            </w:r>
            <w:r w:rsidR="00C67A8E" w:rsidRPr="00B568F3">
              <w:rPr>
                <w:rFonts w:ascii="Arial" w:eastAsia="Calibri" w:hAnsi="Arial" w:cs="Arial"/>
                <w:sz w:val="24"/>
                <w:szCs w:val="24"/>
                <w:lang w:eastAsia="en-GB"/>
              </w:rPr>
              <w:t>17.2</w:t>
            </w:r>
            <w:r w:rsidRPr="00B568F3">
              <w:rPr>
                <w:rFonts w:ascii="Arial" w:eastAsia="Calibri" w:hAnsi="Arial" w:cs="Arial"/>
                <w:sz w:val="24"/>
                <w:szCs w:val="24"/>
                <w:lang w:eastAsia="en-GB"/>
              </w:rPr>
              <w:t>%</w:t>
            </w:r>
          </w:p>
        </w:tc>
      </w:tr>
      <w:tr w:rsidR="00ED33D9" w:rsidRPr="00B568F3" w14:paraId="552BF628" w14:textId="77777777" w:rsidTr="4D3BE396">
        <w:trPr>
          <w:trHeight w:val="309"/>
          <w:jc w:val="center"/>
        </w:trPr>
        <w:tc>
          <w:tcPr>
            <w:tcW w:w="7738" w:type="dxa"/>
            <w:gridSpan w:val="5"/>
            <w:tcBorders>
              <w:left w:val="nil"/>
              <w:bottom w:val="nil"/>
              <w:right w:val="nil"/>
            </w:tcBorders>
            <w:vAlign w:val="center"/>
          </w:tcPr>
          <w:p w14:paraId="152DF9AF" w14:textId="4EE1E006" w:rsidR="00ED33D9" w:rsidRPr="00B568F3" w:rsidRDefault="00ED33D9" w:rsidP="4D3BE396">
            <w:pPr>
              <w:pStyle w:val="ListParagraph"/>
              <w:ind w:left="0"/>
              <w:jc w:val="right"/>
              <w:rPr>
                <w:rFonts w:ascii="Arial" w:eastAsia="Calibri" w:hAnsi="Arial" w:cs="Arial"/>
                <w:i/>
                <w:iCs/>
                <w:lang w:eastAsia="en-GB"/>
              </w:rPr>
            </w:pPr>
            <w:r w:rsidRPr="00B568F3">
              <w:rPr>
                <w:rFonts w:ascii="Arial" w:eastAsia="Calibri" w:hAnsi="Arial" w:cs="Arial"/>
                <w:i/>
                <w:iCs/>
                <w:lang w:eastAsia="en-GB"/>
              </w:rPr>
              <w:t xml:space="preserve">Figures are for those on programme </w:t>
            </w:r>
            <w:r w:rsidR="00542D07" w:rsidRPr="00B568F3">
              <w:rPr>
                <w:rFonts w:ascii="Arial" w:eastAsia="Calibri" w:hAnsi="Arial" w:cs="Arial"/>
                <w:i/>
                <w:iCs/>
                <w:lang w:eastAsia="en-GB"/>
              </w:rPr>
              <w:t>fro</w:t>
            </w:r>
            <w:r w:rsidR="005427C0" w:rsidRPr="00B568F3">
              <w:rPr>
                <w:rFonts w:ascii="Arial" w:eastAsia="Calibri" w:hAnsi="Arial" w:cs="Arial"/>
                <w:i/>
                <w:iCs/>
                <w:lang w:eastAsia="en-GB"/>
              </w:rPr>
              <w:t>m 1</w:t>
            </w:r>
            <w:r w:rsidRPr="00B568F3">
              <w:rPr>
                <w:rFonts w:ascii="Arial" w:eastAsia="Calibri" w:hAnsi="Arial" w:cs="Arial"/>
                <w:i/>
                <w:iCs/>
                <w:lang w:eastAsia="en-GB"/>
              </w:rPr>
              <w:t xml:space="preserve"> </w:t>
            </w:r>
            <w:r w:rsidR="005E7C06" w:rsidRPr="00B568F3">
              <w:rPr>
                <w:rFonts w:ascii="Arial" w:eastAsia="Calibri" w:hAnsi="Arial" w:cs="Arial"/>
                <w:i/>
                <w:iCs/>
                <w:lang w:eastAsia="en-GB"/>
              </w:rPr>
              <w:t xml:space="preserve">April </w:t>
            </w:r>
            <w:r w:rsidR="005E7C06" w:rsidRPr="00B568F3">
              <w:rPr>
                <w:rFonts w:ascii="Arial" w:eastAsia="Calibri" w:hAnsi="Arial" w:cs="Arial"/>
                <w:i/>
                <w:iCs/>
                <w:vertAlign w:val="superscript"/>
                <w:lang w:eastAsia="en-GB"/>
              </w:rPr>
              <w:t>and</w:t>
            </w:r>
            <w:r w:rsidR="0091413F" w:rsidRPr="00B568F3">
              <w:rPr>
                <w:rFonts w:ascii="Arial" w:eastAsia="Calibri" w:hAnsi="Arial" w:cs="Arial"/>
                <w:i/>
                <w:iCs/>
                <w:lang w:eastAsia="en-GB"/>
              </w:rPr>
              <w:t xml:space="preserve"> enrolled during the </w:t>
            </w:r>
            <w:r w:rsidR="002E1436" w:rsidRPr="00B568F3">
              <w:rPr>
                <w:rFonts w:ascii="Arial" w:eastAsia="Calibri" w:hAnsi="Arial" w:cs="Arial"/>
                <w:i/>
                <w:iCs/>
                <w:lang w:eastAsia="en-GB"/>
              </w:rPr>
              <w:t>year.</w:t>
            </w:r>
            <w:r w:rsidR="1FE4C62B" w:rsidRPr="00B568F3">
              <w:rPr>
                <w:rFonts w:ascii="Arial" w:eastAsia="Calibri" w:hAnsi="Arial" w:cs="Arial"/>
                <w:i/>
                <w:iCs/>
                <w:lang w:eastAsia="en-GB"/>
              </w:rPr>
              <w:t xml:space="preserve"> </w:t>
            </w:r>
          </w:p>
          <w:p w14:paraId="5EF76D60" w14:textId="11682F2B" w:rsidR="00ED33D9" w:rsidRPr="00B568F3" w:rsidRDefault="00ED33D9" w:rsidP="4D3BE396">
            <w:pPr>
              <w:pStyle w:val="ListParagraph"/>
              <w:ind w:left="0"/>
              <w:jc w:val="right"/>
              <w:rPr>
                <w:rFonts w:ascii="Arial" w:eastAsia="Calibri" w:hAnsi="Arial" w:cs="Arial"/>
                <w:i/>
                <w:iCs/>
                <w:lang w:eastAsia="en-GB"/>
              </w:rPr>
            </w:pPr>
          </w:p>
        </w:tc>
      </w:tr>
    </w:tbl>
    <w:p w14:paraId="302C250E" w14:textId="4B3F71BF"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rPr>
        <w:t>In 2023</w:t>
      </w:r>
      <w:r w:rsidR="005427C0" w:rsidRPr="00B568F3">
        <w:rPr>
          <w:rFonts w:ascii="Arial" w:eastAsia="Calibri" w:hAnsi="Arial" w:cs="Arial"/>
          <w:sz w:val="24"/>
          <w:szCs w:val="24"/>
        </w:rPr>
        <w:t xml:space="preserve"> to </w:t>
      </w:r>
      <w:r w:rsidRPr="00B568F3">
        <w:rPr>
          <w:rFonts w:ascii="Arial" w:eastAsia="Calibri" w:hAnsi="Arial" w:cs="Arial"/>
          <w:sz w:val="24"/>
          <w:szCs w:val="24"/>
        </w:rPr>
        <w:t xml:space="preserve">2024 the numbers </w:t>
      </w:r>
      <w:r w:rsidR="005427C0" w:rsidRPr="00B568F3">
        <w:rPr>
          <w:rFonts w:ascii="Arial" w:eastAsia="Calibri" w:hAnsi="Arial" w:cs="Arial"/>
          <w:sz w:val="24"/>
          <w:szCs w:val="24"/>
        </w:rPr>
        <w:t xml:space="preserve">taking </w:t>
      </w:r>
      <w:r w:rsidRPr="00B568F3">
        <w:rPr>
          <w:rFonts w:ascii="Arial" w:eastAsia="Calibri" w:hAnsi="Arial" w:cs="Arial"/>
          <w:sz w:val="24"/>
          <w:szCs w:val="24"/>
        </w:rPr>
        <w:t xml:space="preserve">the </w:t>
      </w:r>
      <w:r w:rsidR="00DD2F56" w:rsidRPr="00B568F3">
        <w:rPr>
          <w:rFonts w:ascii="Arial" w:eastAsia="Calibri" w:hAnsi="Arial" w:cs="Arial"/>
          <w:sz w:val="24"/>
          <w:szCs w:val="24"/>
        </w:rPr>
        <w:t xml:space="preserve">Team Manager Development Programme (TMDP) </w:t>
      </w:r>
      <w:r w:rsidRPr="00B568F3">
        <w:rPr>
          <w:rFonts w:ascii="Arial" w:eastAsia="Calibri" w:hAnsi="Arial" w:cs="Arial"/>
          <w:sz w:val="24"/>
          <w:szCs w:val="24"/>
        </w:rPr>
        <w:t xml:space="preserve">decreased by </w:t>
      </w:r>
      <w:r w:rsidR="00721B16" w:rsidRPr="00B568F3">
        <w:rPr>
          <w:rFonts w:ascii="Arial" w:eastAsia="Calibri" w:hAnsi="Arial" w:cs="Arial"/>
          <w:sz w:val="24"/>
          <w:szCs w:val="24"/>
        </w:rPr>
        <w:t>12.3</w:t>
      </w:r>
      <w:r w:rsidR="005427C0" w:rsidRPr="00B568F3">
        <w:rPr>
          <w:rFonts w:ascii="Arial" w:eastAsia="Calibri" w:hAnsi="Arial" w:cs="Arial"/>
          <w:sz w:val="24"/>
          <w:szCs w:val="24"/>
        </w:rPr>
        <w:t xml:space="preserve"> per cent and</w:t>
      </w:r>
      <w:r w:rsidRPr="00B568F3" w:rsidDel="005427C0">
        <w:rPr>
          <w:rFonts w:ascii="Arial" w:eastAsia="Calibri" w:hAnsi="Arial" w:cs="Arial"/>
          <w:sz w:val="24"/>
          <w:szCs w:val="24"/>
        </w:rPr>
        <w:t xml:space="preserve"> </w:t>
      </w:r>
      <w:r w:rsidRPr="00B568F3">
        <w:rPr>
          <w:rFonts w:ascii="Arial" w:eastAsia="Calibri" w:hAnsi="Arial" w:cs="Arial"/>
          <w:sz w:val="24"/>
          <w:szCs w:val="24"/>
        </w:rPr>
        <w:t xml:space="preserve">the number </w:t>
      </w:r>
      <w:r w:rsidR="005427C0" w:rsidRPr="00B568F3">
        <w:rPr>
          <w:rFonts w:ascii="Arial" w:eastAsia="Calibri" w:hAnsi="Arial" w:cs="Arial"/>
          <w:sz w:val="24"/>
          <w:szCs w:val="24"/>
        </w:rPr>
        <w:t xml:space="preserve">doing </w:t>
      </w:r>
      <w:r w:rsidRPr="00B568F3">
        <w:rPr>
          <w:rFonts w:ascii="Arial" w:eastAsia="Calibri" w:hAnsi="Arial" w:cs="Arial"/>
          <w:sz w:val="24"/>
          <w:szCs w:val="24"/>
        </w:rPr>
        <w:t xml:space="preserve">the </w:t>
      </w:r>
      <w:r w:rsidR="00DD2F56" w:rsidRPr="00B568F3">
        <w:rPr>
          <w:rFonts w:ascii="Arial" w:eastAsia="Calibri" w:hAnsi="Arial" w:cs="Arial"/>
          <w:sz w:val="24"/>
          <w:szCs w:val="24"/>
        </w:rPr>
        <w:t>Middle Manager Development Programme (MMDP)</w:t>
      </w:r>
      <w:r w:rsidRPr="00B568F3">
        <w:rPr>
          <w:rFonts w:ascii="Arial" w:eastAsia="Calibri" w:hAnsi="Arial" w:cs="Arial"/>
          <w:sz w:val="24"/>
          <w:szCs w:val="24"/>
        </w:rPr>
        <w:t xml:space="preserve"> </w:t>
      </w:r>
      <w:r w:rsidR="007B4DEE" w:rsidRPr="00B568F3">
        <w:rPr>
          <w:rFonts w:ascii="Arial" w:eastAsia="Calibri" w:hAnsi="Arial" w:cs="Arial"/>
          <w:sz w:val="24"/>
          <w:szCs w:val="24"/>
        </w:rPr>
        <w:t xml:space="preserve">increased </w:t>
      </w:r>
      <w:r w:rsidRPr="00B568F3">
        <w:rPr>
          <w:rFonts w:ascii="Arial" w:eastAsia="Calibri" w:hAnsi="Arial" w:cs="Arial"/>
          <w:sz w:val="24"/>
          <w:szCs w:val="24"/>
        </w:rPr>
        <w:t xml:space="preserve">by </w:t>
      </w:r>
      <w:r w:rsidR="007B4DEE" w:rsidRPr="00B568F3">
        <w:rPr>
          <w:rFonts w:ascii="Arial" w:eastAsia="Calibri" w:hAnsi="Arial" w:cs="Arial"/>
          <w:sz w:val="24"/>
          <w:szCs w:val="24"/>
        </w:rPr>
        <w:t>5.3</w:t>
      </w:r>
      <w:r w:rsidR="005427C0" w:rsidRPr="00B568F3">
        <w:rPr>
          <w:rFonts w:ascii="Arial" w:eastAsia="Calibri" w:hAnsi="Arial" w:cs="Arial"/>
          <w:sz w:val="24"/>
          <w:szCs w:val="24"/>
        </w:rPr>
        <w:t xml:space="preserve"> per </w:t>
      </w:r>
      <w:r w:rsidR="005E7C06" w:rsidRPr="00B568F3">
        <w:rPr>
          <w:rFonts w:ascii="Arial" w:eastAsia="Calibri" w:hAnsi="Arial" w:cs="Arial"/>
          <w:sz w:val="24"/>
          <w:szCs w:val="24"/>
        </w:rPr>
        <w:t>cent but</w:t>
      </w:r>
      <w:r w:rsidR="00015C96" w:rsidRPr="00B568F3">
        <w:rPr>
          <w:rFonts w:ascii="Arial" w:eastAsia="Calibri" w:hAnsi="Arial" w:cs="Arial"/>
          <w:sz w:val="24"/>
          <w:szCs w:val="24"/>
        </w:rPr>
        <w:t xml:space="preserve"> following a significant drop last year</w:t>
      </w:r>
      <w:r w:rsidRPr="00B568F3">
        <w:rPr>
          <w:rFonts w:ascii="Arial" w:eastAsia="Calibri" w:hAnsi="Arial" w:cs="Arial"/>
          <w:sz w:val="24"/>
          <w:szCs w:val="24"/>
        </w:rPr>
        <w:t xml:space="preserve">. </w:t>
      </w:r>
    </w:p>
    <w:p w14:paraId="18E2FD6E" w14:textId="77777777" w:rsidR="00CC062B" w:rsidRPr="00B568F3" w:rsidRDefault="00CC062B" w:rsidP="00CC062B">
      <w:pPr>
        <w:spacing w:after="200" w:line="276" w:lineRule="auto"/>
        <w:ind w:left="567"/>
        <w:contextualSpacing/>
        <w:rPr>
          <w:rFonts w:ascii="Arial" w:eastAsia="Calibri" w:hAnsi="Arial" w:cs="Arial"/>
          <w:sz w:val="24"/>
          <w:szCs w:val="24"/>
          <w:lang w:eastAsia="en-GB"/>
        </w:rPr>
      </w:pPr>
    </w:p>
    <w:p w14:paraId="28964C40" w14:textId="56D222EF" w:rsidR="002D1B1F" w:rsidRPr="00B568F3" w:rsidRDefault="004F6DD4"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rPr>
        <w:t xml:space="preserve">Some </w:t>
      </w:r>
      <w:r w:rsidR="002D1B1F" w:rsidRPr="00B568F3">
        <w:rPr>
          <w:rFonts w:ascii="Arial" w:eastAsia="Calibri" w:hAnsi="Arial" w:cs="Arial"/>
          <w:sz w:val="24"/>
          <w:szCs w:val="24"/>
        </w:rPr>
        <w:t>evidence from the regions suggests that bite size learning opportunities are more attractive to the workforce</w:t>
      </w:r>
      <w:r w:rsidR="002D1B1F" w:rsidRPr="00B568F3" w:rsidDel="00DA6E5A">
        <w:rPr>
          <w:rFonts w:ascii="Arial" w:eastAsia="Calibri" w:hAnsi="Arial" w:cs="Arial"/>
          <w:sz w:val="24"/>
          <w:szCs w:val="24"/>
        </w:rPr>
        <w:t xml:space="preserve"> </w:t>
      </w:r>
      <w:r w:rsidR="002D1B1F" w:rsidRPr="00B568F3">
        <w:rPr>
          <w:rFonts w:ascii="Arial" w:eastAsia="Calibri" w:hAnsi="Arial" w:cs="Arial"/>
          <w:sz w:val="24"/>
          <w:szCs w:val="24"/>
        </w:rPr>
        <w:t>than longer, intensive, accredited programmes.</w:t>
      </w:r>
      <w:r w:rsidR="007F062F" w:rsidRPr="00B568F3">
        <w:rPr>
          <w:rFonts w:ascii="Arial" w:eastAsia="Calibri" w:hAnsi="Arial" w:cs="Arial"/>
          <w:sz w:val="24"/>
          <w:szCs w:val="24"/>
        </w:rPr>
        <w:t xml:space="preserve"> The TMDP</w:t>
      </w:r>
      <w:r w:rsidR="00502BE5" w:rsidRPr="00B568F3">
        <w:rPr>
          <w:rFonts w:ascii="Arial" w:eastAsia="Calibri" w:hAnsi="Arial" w:cs="Arial"/>
          <w:sz w:val="24"/>
          <w:szCs w:val="24"/>
        </w:rPr>
        <w:t xml:space="preserve"> </w:t>
      </w:r>
      <w:r w:rsidR="004F4E6F" w:rsidRPr="00B568F3">
        <w:rPr>
          <w:rFonts w:ascii="Arial" w:eastAsia="Calibri" w:hAnsi="Arial" w:cs="Arial"/>
          <w:sz w:val="24"/>
          <w:szCs w:val="24"/>
        </w:rPr>
        <w:t>and MMDP programmes are</w:t>
      </w:r>
      <w:r w:rsidR="00502BE5" w:rsidRPr="00B568F3">
        <w:rPr>
          <w:rFonts w:ascii="Arial" w:eastAsia="Calibri" w:hAnsi="Arial" w:cs="Arial"/>
          <w:sz w:val="24"/>
          <w:szCs w:val="24"/>
        </w:rPr>
        <w:t xml:space="preserve"> studied on a part-time ba</w:t>
      </w:r>
      <w:r w:rsidR="00424962" w:rsidRPr="00B568F3">
        <w:rPr>
          <w:rFonts w:ascii="Arial" w:eastAsia="Calibri" w:hAnsi="Arial" w:cs="Arial"/>
          <w:sz w:val="24"/>
          <w:szCs w:val="24"/>
        </w:rPr>
        <w:t xml:space="preserve">sis and designed to be </w:t>
      </w:r>
      <w:r w:rsidR="008A7F03" w:rsidRPr="00B568F3">
        <w:rPr>
          <w:rFonts w:ascii="Arial" w:eastAsia="Calibri" w:hAnsi="Arial" w:cs="Arial"/>
          <w:sz w:val="24"/>
          <w:szCs w:val="24"/>
        </w:rPr>
        <w:t xml:space="preserve">finished </w:t>
      </w:r>
      <w:r w:rsidR="00424962" w:rsidRPr="00B568F3">
        <w:rPr>
          <w:rFonts w:ascii="Arial" w:eastAsia="Calibri" w:hAnsi="Arial" w:cs="Arial"/>
          <w:sz w:val="24"/>
          <w:szCs w:val="24"/>
        </w:rPr>
        <w:t xml:space="preserve">in around 18 months of study. </w:t>
      </w:r>
    </w:p>
    <w:p w14:paraId="2B21A215" w14:textId="1E50C5CD" w:rsidR="5EF60A1F" w:rsidRPr="00B568F3" w:rsidRDefault="5EF60A1F" w:rsidP="00CC062B">
      <w:pPr>
        <w:spacing w:after="200" w:line="276" w:lineRule="auto"/>
        <w:ind w:left="567"/>
        <w:contextualSpacing/>
        <w:rPr>
          <w:rFonts w:ascii="Arial" w:eastAsia="Calibri" w:hAnsi="Arial" w:cs="Arial"/>
          <w:sz w:val="24"/>
          <w:szCs w:val="24"/>
          <w:lang w:eastAsia="en-GB"/>
        </w:rPr>
      </w:pPr>
    </w:p>
    <w:p w14:paraId="226B5792" w14:textId="6130E43E"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lang w:eastAsia="en-GB"/>
        </w:rPr>
      </w:pPr>
      <w:r w:rsidRPr="00B568F3">
        <w:rPr>
          <w:rFonts w:ascii="Arial" w:eastAsia="Calibri" w:hAnsi="Arial" w:cs="Arial"/>
          <w:sz w:val="24"/>
          <w:szCs w:val="24"/>
        </w:rPr>
        <w:t>Well</w:t>
      </w:r>
      <w:r w:rsidR="00677047" w:rsidRPr="00B568F3">
        <w:rPr>
          <w:rFonts w:ascii="Arial" w:eastAsia="Calibri" w:hAnsi="Arial" w:cs="Arial"/>
          <w:sz w:val="24"/>
          <w:szCs w:val="24"/>
        </w:rPr>
        <w:t>-</w:t>
      </w:r>
      <w:r w:rsidRPr="00B568F3">
        <w:rPr>
          <w:rFonts w:ascii="Arial" w:eastAsia="Calibri" w:hAnsi="Arial" w:cs="Arial"/>
          <w:sz w:val="24"/>
          <w:szCs w:val="24"/>
        </w:rPr>
        <w:t xml:space="preserve">being support, especially for managers, </w:t>
      </w:r>
      <w:r w:rsidR="00A8474B" w:rsidRPr="00B568F3">
        <w:rPr>
          <w:rFonts w:ascii="Arial" w:eastAsia="Calibri" w:hAnsi="Arial" w:cs="Arial"/>
          <w:sz w:val="24"/>
          <w:szCs w:val="24"/>
        </w:rPr>
        <w:t>continues to be a priority</w:t>
      </w:r>
      <w:r w:rsidR="00A6398C" w:rsidRPr="00B568F3">
        <w:rPr>
          <w:rFonts w:ascii="Arial" w:eastAsia="Calibri" w:hAnsi="Arial" w:cs="Arial"/>
          <w:sz w:val="24"/>
          <w:szCs w:val="24"/>
        </w:rPr>
        <w:t>. There’s</w:t>
      </w:r>
      <w:r w:rsidR="00A8474B" w:rsidRPr="00B568F3" w:rsidDel="00A6398C">
        <w:rPr>
          <w:rFonts w:ascii="Arial" w:eastAsia="Calibri" w:hAnsi="Arial" w:cs="Arial"/>
          <w:sz w:val="24"/>
          <w:szCs w:val="24"/>
        </w:rPr>
        <w:t xml:space="preserve"> </w:t>
      </w:r>
      <w:r w:rsidRPr="00B568F3">
        <w:rPr>
          <w:rFonts w:ascii="Arial" w:eastAsia="Calibri" w:hAnsi="Arial" w:cs="Arial"/>
          <w:sz w:val="24"/>
          <w:szCs w:val="24"/>
        </w:rPr>
        <w:t xml:space="preserve">a range of provision in place </w:t>
      </w:r>
      <w:r w:rsidR="002C5219" w:rsidRPr="00B568F3">
        <w:rPr>
          <w:rFonts w:ascii="Arial" w:eastAsia="Calibri" w:hAnsi="Arial" w:cs="Arial"/>
          <w:sz w:val="24"/>
          <w:szCs w:val="24"/>
        </w:rPr>
        <w:t>such as</w:t>
      </w:r>
      <w:r w:rsidRPr="00B568F3">
        <w:rPr>
          <w:rFonts w:ascii="Arial" w:eastAsia="Calibri" w:hAnsi="Arial" w:cs="Arial"/>
          <w:sz w:val="24"/>
          <w:szCs w:val="24"/>
        </w:rPr>
        <w:t xml:space="preserve"> mindfulness, </w:t>
      </w:r>
      <w:bookmarkStart w:id="15" w:name="_Int_pNXmP8pQ"/>
      <w:r w:rsidRPr="00B568F3">
        <w:rPr>
          <w:rFonts w:ascii="Arial" w:eastAsia="Calibri" w:hAnsi="Arial" w:cs="Arial"/>
          <w:sz w:val="24"/>
          <w:szCs w:val="24"/>
        </w:rPr>
        <w:t>resilience</w:t>
      </w:r>
      <w:bookmarkEnd w:id="15"/>
      <w:r w:rsidRPr="00B568F3">
        <w:rPr>
          <w:rFonts w:ascii="Arial" w:eastAsia="Calibri" w:hAnsi="Arial" w:cs="Arial"/>
          <w:sz w:val="24"/>
          <w:szCs w:val="24"/>
        </w:rPr>
        <w:t xml:space="preserve"> and bereavement</w:t>
      </w:r>
      <w:r w:rsidR="00015C96" w:rsidRPr="00B568F3">
        <w:rPr>
          <w:rFonts w:ascii="Arial" w:eastAsia="Calibri" w:hAnsi="Arial" w:cs="Arial"/>
          <w:sz w:val="24"/>
          <w:szCs w:val="24"/>
        </w:rPr>
        <w:t>,</w:t>
      </w:r>
      <w:r w:rsidRPr="00B568F3">
        <w:rPr>
          <w:rFonts w:ascii="Arial" w:eastAsia="Calibri" w:hAnsi="Arial" w:cs="Arial"/>
          <w:sz w:val="24"/>
          <w:szCs w:val="24"/>
        </w:rPr>
        <w:t xml:space="preserve"> as well as the signposting </w:t>
      </w:r>
      <w:r w:rsidR="001E7C9E" w:rsidRPr="00B568F3">
        <w:rPr>
          <w:rFonts w:ascii="Arial" w:eastAsia="Calibri" w:hAnsi="Arial" w:cs="Arial"/>
          <w:sz w:val="24"/>
          <w:szCs w:val="24"/>
        </w:rPr>
        <w:t>to</w:t>
      </w:r>
      <w:r w:rsidR="00084F19" w:rsidRPr="00B568F3">
        <w:rPr>
          <w:rFonts w:ascii="Arial" w:eastAsia="Calibri" w:hAnsi="Arial" w:cs="Arial"/>
          <w:sz w:val="24"/>
          <w:szCs w:val="24"/>
        </w:rPr>
        <w:t xml:space="preserve"> </w:t>
      </w:r>
      <w:r w:rsidRPr="00B568F3">
        <w:rPr>
          <w:rFonts w:ascii="Arial" w:eastAsia="Calibri" w:hAnsi="Arial" w:cs="Arial"/>
          <w:sz w:val="24"/>
          <w:szCs w:val="24"/>
        </w:rPr>
        <w:t>support and</w:t>
      </w:r>
      <w:r w:rsidRPr="00B568F3" w:rsidDel="001E7C9E">
        <w:rPr>
          <w:rFonts w:ascii="Arial" w:eastAsia="Calibri" w:hAnsi="Arial" w:cs="Arial"/>
          <w:sz w:val="24"/>
          <w:szCs w:val="24"/>
        </w:rPr>
        <w:t xml:space="preserve"> </w:t>
      </w:r>
      <w:r w:rsidRPr="00B568F3">
        <w:rPr>
          <w:rFonts w:ascii="Arial" w:eastAsia="Calibri" w:hAnsi="Arial" w:cs="Arial"/>
          <w:sz w:val="24"/>
          <w:szCs w:val="24"/>
        </w:rPr>
        <w:t xml:space="preserve">resources </w:t>
      </w:r>
      <w:r w:rsidR="001E7C9E" w:rsidRPr="00B568F3">
        <w:rPr>
          <w:rFonts w:ascii="Arial" w:eastAsia="Calibri" w:hAnsi="Arial" w:cs="Arial"/>
          <w:sz w:val="24"/>
          <w:szCs w:val="24"/>
        </w:rPr>
        <w:t>that</w:t>
      </w:r>
      <w:r w:rsidRPr="00B568F3">
        <w:rPr>
          <w:rFonts w:ascii="Arial" w:eastAsia="Calibri" w:hAnsi="Arial" w:cs="Arial"/>
          <w:sz w:val="24"/>
          <w:szCs w:val="24"/>
        </w:rPr>
        <w:t xml:space="preserve"> support positive well</w:t>
      </w:r>
      <w:r w:rsidR="001E7C9E" w:rsidRPr="00B568F3">
        <w:rPr>
          <w:rFonts w:ascii="Arial" w:eastAsia="Calibri" w:hAnsi="Arial" w:cs="Arial"/>
          <w:sz w:val="24"/>
          <w:szCs w:val="24"/>
        </w:rPr>
        <w:t>-</w:t>
      </w:r>
      <w:r w:rsidRPr="00B568F3">
        <w:rPr>
          <w:rFonts w:ascii="Arial" w:eastAsia="Calibri" w:hAnsi="Arial" w:cs="Arial"/>
          <w:sz w:val="24"/>
          <w:szCs w:val="24"/>
        </w:rPr>
        <w:t>being</w:t>
      </w:r>
      <w:r w:rsidR="0A6973F2" w:rsidRPr="00B568F3">
        <w:rPr>
          <w:rFonts w:ascii="Arial" w:eastAsia="Calibri" w:hAnsi="Arial" w:cs="Arial"/>
          <w:sz w:val="24"/>
          <w:szCs w:val="24"/>
        </w:rPr>
        <w:t>.</w:t>
      </w:r>
    </w:p>
    <w:p w14:paraId="2EFF62D4" w14:textId="77777777" w:rsidR="002D1B1F" w:rsidRPr="00B568F3" w:rsidRDefault="002D1B1F" w:rsidP="00CC062B">
      <w:pPr>
        <w:pStyle w:val="ListParagraph"/>
        <w:rPr>
          <w:rFonts w:ascii="Arial" w:eastAsia="Calibri" w:hAnsi="Arial" w:cs="Arial"/>
          <w:sz w:val="24"/>
          <w:szCs w:val="24"/>
          <w:lang w:eastAsia="en-GB"/>
        </w:rPr>
      </w:pPr>
    </w:p>
    <w:p w14:paraId="148AAE38" w14:textId="29F4116E" w:rsidR="002D1B1F" w:rsidRPr="000C06A7" w:rsidRDefault="002D1B1F" w:rsidP="000C06A7">
      <w:pPr>
        <w:pStyle w:val="Heading2"/>
      </w:pPr>
      <w:bookmarkStart w:id="16" w:name="_Toc179481634"/>
      <w:r w:rsidRPr="000C06A7">
        <w:t xml:space="preserve">National </w:t>
      </w:r>
      <w:bookmarkStart w:id="17" w:name="_Int_FbgM508O"/>
      <w:r w:rsidRPr="000C06A7">
        <w:t>priorities</w:t>
      </w:r>
      <w:bookmarkEnd w:id="17"/>
      <w:r w:rsidR="008A2CA1" w:rsidRPr="000C06A7">
        <w:t>’</w:t>
      </w:r>
      <w:r w:rsidRPr="000C06A7">
        <w:t xml:space="preserve"> key themes and analysis</w:t>
      </w:r>
      <w:bookmarkEnd w:id="16"/>
    </w:p>
    <w:p w14:paraId="274A5A69" w14:textId="77777777" w:rsidR="002D1B1F" w:rsidRPr="00B568F3" w:rsidRDefault="002D1B1F" w:rsidP="002D1B1F">
      <w:pPr>
        <w:spacing w:after="200" w:line="276" w:lineRule="auto"/>
        <w:contextualSpacing/>
        <w:rPr>
          <w:rFonts w:ascii="Arial" w:eastAsia="Times New Roman" w:hAnsi="Arial" w:cs="Arial"/>
          <w:color w:val="FF0000"/>
          <w:sz w:val="24"/>
          <w:szCs w:val="24"/>
          <w:lang w:eastAsia="en-GB"/>
        </w:rPr>
      </w:pPr>
    </w:p>
    <w:p w14:paraId="1B72B923" w14:textId="1A6A2B08" w:rsidR="00E6010F"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The following </w:t>
      </w:r>
      <w:r w:rsidR="00252086" w:rsidRPr="00B568F3">
        <w:rPr>
          <w:rFonts w:ascii="Arial" w:eastAsia="Calibri" w:hAnsi="Arial" w:cs="Arial"/>
          <w:sz w:val="24"/>
          <w:szCs w:val="24"/>
        </w:rPr>
        <w:t>shows</w:t>
      </w:r>
      <w:r w:rsidR="00CA332E" w:rsidRPr="00B568F3">
        <w:rPr>
          <w:rFonts w:ascii="Arial" w:eastAsia="Calibri" w:hAnsi="Arial" w:cs="Arial"/>
          <w:sz w:val="24"/>
          <w:szCs w:val="24"/>
        </w:rPr>
        <w:t xml:space="preserve"> a summary</w:t>
      </w:r>
      <w:r w:rsidR="00252086" w:rsidRPr="00B568F3">
        <w:rPr>
          <w:rFonts w:ascii="Arial" w:eastAsia="Calibri" w:hAnsi="Arial" w:cs="Arial"/>
          <w:sz w:val="24"/>
          <w:szCs w:val="24"/>
        </w:rPr>
        <w:t xml:space="preserve"> </w:t>
      </w:r>
      <w:r w:rsidR="00BB0221" w:rsidRPr="00B568F3">
        <w:rPr>
          <w:rFonts w:ascii="Arial" w:eastAsia="Calibri" w:hAnsi="Arial" w:cs="Arial"/>
          <w:sz w:val="24"/>
          <w:szCs w:val="24"/>
        </w:rPr>
        <w:t xml:space="preserve">of </w:t>
      </w:r>
      <w:r w:rsidRPr="00B568F3">
        <w:rPr>
          <w:rFonts w:ascii="Arial" w:eastAsia="Calibri" w:hAnsi="Arial" w:cs="Arial"/>
          <w:sz w:val="24"/>
          <w:szCs w:val="24"/>
        </w:rPr>
        <w:t xml:space="preserve">the key themes and analysis </w:t>
      </w:r>
      <w:r w:rsidR="00730093" w:rsidRPr="00B568F3">
        <w:rPr>
          <w:rFonts w:ascii="Arial" w:eastAsia="Calibri" w:hAnsi="Arial" w:cs="Arial"/>
          <w:sz w:val="24"/>
          <w:szCs w:val="24"/>
        </w:rPr>
        <w:t>from the regional end of year</w:t>
      </w:r>
      <w:r w:rsidRPr="00B568F3">
        <w:rPr>
          <w:rFonts w:ascii="Arial" w:eastAsia="Calibri" w:hAnsi="Arial" w:cs="Arial"/>
          <w:sz w:val="24"/>
          <w:szCs w:val="24"/>
        </w:rPr>
        <w:t xml:space="preserve"> reports in line with the national priorities</w:t>
      </w:r>
      <w:r w:rsidR="00855A35" w:rsidRPr="00B568F3">
        <w:rPr>
          <w:rFonts w:ascii="Arial" w:eastAsia="Calibri" w:hAnsi="Arial" w:cs="Arial"/>
          <w:sz w:val="24"/>
          <w:szCs w:val="24"/>
        </w:rPr>
        <w:t xml:space="preserve">. </w:t>
      </w:r>
    </w:p>
    <w:p w14:paraId="6E0F8D79" w14:textId="77777777" w:rsidR="0022407C" w:rsidRPr="00B568F3" w:rsidRDefault="0022407C" w:rsidP="00497BF2">
      <w:pPr>
        <w:spacing w:after="200" w:line="276" w:lineRule="auto"/>
        <w:ind w:left="567"/>
        <w:contextualSpacing/>
        <w:rPr>
          <w:rFonts w:ascii="Arial" w:eastAsia="Calibri" w:hAnsi="Arial" w:cs="Arial"/>
          <w:sz w:val="24"/>
          <w:szCs w:val="24"/>
        </w:rPr>
      </w:pPr>
    </w:p>
    <w:p w14:paraId="5834C863" w14:textId="081B2B4D" w:rsidR="00A1668E" w:rsidRPr="00B568F3" w:rsidRDefault="00E27C30"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The information</w:t>
      </w:r>
      <w:r w:rsidRPr="00B568F3" w:rsidDel="003D0A37">
        <w:rPr>
          <w:rFonts w:ascii="Arial" w:eastAsia="Calibri" w:hAnsi="Arial" w:cs="Arial"/>
          <w:sz w:val="24"/>
          <w:szCs w:val="24"/>
        </w:rPr>
        <w:t xml:space="preserve"> </w:t>
      </w:r>
      <w:r w:rsidRPr="00B568F3">
        <w:rPr>
          <w:rFonts w:ascii="Arial" w:eastAsia="Calibri" w:hAnsi="Arial" w:cs="Arial"/>
          <w:sz w:val="24"/>
          <w:szCs w:val="24"/>
        </w:rPr>
        <w:t xml:space="preserve">includes ‘highlights’ </w:t>
      </w:r>
      <w:r w:rsidR="00E6010F" w:rsidRPr="00B568F3">
        <w:rPr>
          <w:rFonts w:ascii="Arial" w:eastAsia="Calibri" w:hAnsi="Arial" w:cs="Arial"/>
          <w:sz w:val="24"/>
          <w:szCs w:val="24"/>
        </w:rPr>
        <w:t>from the regional delivery</w:t>
      </w:r>
      <w:r w:rsidR="008C3B0E" w:rsidRPr="00B568F3">
        <w:rPr>
          <w:rFonts w:ascii="Arial" w:eastAsia="Calibri" w:hAnsi="Arial" w:cs="Arial"/>
          <w:sz w:val="24"/>
          <w:szCs w:val="24"/>
        </w:rPr>
        <w:t xml:space="preserve"> and</w:t>
      </w:r>
      <w:r w:rsidR="00E6010F" w:rsidRPr="00B568F3" w:rsidDel="008C3B0E">
        <w:rPr>
          <w:rFonts w:ascii="Arial" w:eastAsia="Calibri" w:hAnsi="Arial" w:cs="Arial"/>
          <w:sz w:val="24"/>
          <w:szCs w:val="24"/>
        </w:rPr>
        <w:t xml:space="preserve"> </w:t>
      </w:r>
      <w:r w:rsidR="00F24003" w:rsidRPr="00B568F3">
        <w:rPr>
          <w:rFonts w:ascii="Arial" w:eastAsia="Calibri" w:hAnsi="Arial" w:cs="Arial"/>
          <w:sz w:val="24"/>
          <w:szCs w:val="24"/>
        </w:rPr>
        <w:t>more localised solutions</w:t>
      </w:r>
      <w:r w:rsidR="00E6010F" w:rsidRPr="00B568F3">
        <w:rPr>
          <w:rFonts w:ascii="Arial" w:eastAsia="Calibri" w:hAnsi="Arial" w:cs="Arial"/>
          <w:sz w:val="24"/>
          <w:szCs w:val="24"/>
        </w:rPr>
        <w:t xml:space="preserve">. </w:t>
      </w:r>
    </w:p>
    <w:p w14:paraId="7BF86D61" w14:textId="6E11745B" w:rsidR="00A1668E" w:rsidRPr="00B568F3" w:rsidRDefault="00A1668E" w:rsidP="00E1590C">
      <w:pPr>
        <w:spacing w:after="200" w:line="276" w:lineRule="auto"/>
        <w:ind w:left="567"/>
        <w:contextualSpacing/>
        <w:rPr>
          <w:rFonts w:ascii="Arial" w:eastAsia="Calibri" w:hAnsi="Arial" w:cs="Arial"/>
          <w:sz w:val="24"/>
          <w:szCs w:val="24"/>
        </w:rPr>
      </w:pPr>
    </w:p>
    <w:p w14:paraId="4FD736EC" w14:textId="566419AE" w:rsidR="00B947D0" w:rsidRPr="00B568F3" w:rsidRDefault="00CC12A0"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The information</w:t>
      </w:r>
      <w:r w:rsidR="00D24D96" w:rsidRPr="00B568F3" w:rsidDel="00E22CA6">
        <w:rPr>
          <w:rFonts w:ascii="Arial" w:eastAsia="Calibri" w:hAnsi="Arial" w:cs="Arial"/>
          <w:sz w:val="24"/>
          <w:szCs w:val="24"/>
        </w:rPr>
        <w:t xml:space="preserve"> </w:t>
      </w:r>
      <w:r w:rsidR="00D24D96" w:rsidRPr="00B568F3">
        <w:rPr>
          <w:rFonts w:ascii="Arial" w:eastAsia="Calibri" w:hAnsi="Arial" w:cs="Arial"/>
          <w:sz w:val="24"/>
          <w:szCs w:val="24"/>
        </w:rPr>
        <w:t xml:space="preserve">in the end-of-year reporting by regions is </w:t>
      </w:r>
      <w:r w:rsidR="00E22CA6" w:rsidRPr="00B568F3">
        <w:rPr>
          <w:rFonts w:ascii="Arial" w:eastAsia="Calibri" w:hAnsi="Arial" w:cs="Arial"/>
          <w:sz w:val="24"/>
          <w:szCs w:val="24"/>
        </w:rPr>
        <w:t>mainly</w:t>
      </w:r>
      <w:r w:rsidR="00D24D96" w:rsidRPr="00B568F3">
        <w:rPr>
          <w:rFonts w:ascii="Arial" w:eastAsia="Calibri" w:hAnsi="Arial" w:cs="Arial"/>
          <w:sz w:val="24"/>
          <w:szCs w:val="24"/>
        </w:rPr>
        <w:t xml:space="preserve"> a mixture of </w:t>
      </w:r>
      <w:r w:rsidR="00044430" w:rsidRPr="00B568F3">
        <w:rPr>
          <w:rFonts w:ascii="Arial" w:eastAsia="Calibri" w:hAnsi="Arial" w:cs="Arial"/>
          <w:sz w:val="24"/>
          <w:szCs w:val="24"/>
        </w:rPr>
        <w:t>numbers and stories</w:t>
      </w:r>
      <w:r w:rsidR="006E7805" w:rsidRPr="00B568F3">
        <w:rPr>
          <w:rFonts w:ascii="Arial" w:eastAsia="Calibri" w:hAnsi="Arial" w:cs="Arial"/>
          <w:sz w:val="24"/>
          <w:szCs w:val="24"/>
        </w:rPr>
        <w:t xml:space="preserve"> about the results</w:t>
      </w:r>
      <w:r w:rsidR="008C3B0E" w:rsidRPr="00B568F3">
        <w:rPr>
          <w:rFonts w:ascii="Arial" w:eastAsia="Calibri" w:hAnsi="Arial" w:cs="Arial"/>
          <w:sz w:val="24"/>
          <w:szCs w:val="24"/>
        </w:rPr>
        <w:t xml:space="preserve">, </w:t>
      </w:r>
      <w:r w:rsidR="006E7805" w:rsidRPr="00B568F3">
        <w:rPr>
          <w:rFonts w:ascii="Arial" w:eastAsia="Calibri" w:hAnsi="Arial" w:cs="Arial"/>
          <w:sz w:val="24"/>
          <w:szCs w:val="24"/>
        </w:rPr>
        <w:t>but don’t</w:t>
      </w:r>
      <w:r w:rsidR="008C3B0E" w:rsidRPr="00B568F3">
        <w:rPr>
          <w:rFonts w:ascii="Arial" w:eastAsia="Calibri" w:hAnsi="Arial" w:cs="Arial"/>
          <w:sz w:val="24"/>
          <w:szCs w:val="24"/>
        </w:rPr>
        <w:t xml:space="preserve"> </w:t>
      </w:r>
      <w:r w:rsidR="009C2172" w:rsidRPr="00B568F3">
        <w:rPr>
          <w:rFonts w:ascii="Arial" w:eastAsia="Calibri" w:hAnsi="Arial" w:cs="Arial"/>
          <w:sz w:val="24"/>
          <w:szCs w:val="24"/>
        </w:rPr>
        <w:t xml:space="preserve">show the </w:t>
      </w:r>
      <w:r w:rsidR="007D14B7" w:rsidRPr="00B568F3">
        <w:rPr>
          <w:rFonts w:ascii="Arial" w:eastAsia="Calibri" w:hAnsi="Arial" w:cs="Arial"/>
          <w:sz w:val="24"/>
          <w:szCs w:val="24"/>
        </w:rPr>
        <w:t>full story of the difference the SCWWDP funding</w:t>
      </w:r>
      <w:r w:rsidR="00473309" w:rsidRPr="00B568F3">
        <w:rPr>
          <w:rFonts w:ascii="Arial" w:eastAsia="Calibri" w:hAnsi="Arial" w:cs="Arial"/>
          <w:sz w:val="24"/>
          <w:szCs w:val="24"/>
        </w:rPr>
        <w:t xml:space="preserve"> is making</w:t>
      </w:r>
      <w:r w:rsidR="00D24D96" w:rsidRPr="00B568F3">
        <w:rPr>
          <w:rFonts w:ascii="Arial" w:eastAsia="Calibri" w:hAnsi="Arial" w:cs="Arial"/>
          <w:sz w:val="24"/>
          <w:szCs w:val="24"/>
        </w:rPr>
        <w:t xml:space="preserve">. </w:t>
      </w:r>
    </w:p>
    <w:p w14:paraId="0C910443" w14:textId="625EAA0C" w:rsidR="00B947D0" w:rsidRPr="00B568F3" w:rsidRDefault="00B947D0" w:rsidP="00E1590C">
      <w:pPr>
        <w:spacing w:after="200" w:line="276" w:lineRule="auto"/>
        <w:ind w:left="709"/>
        <w:contextualSpacing/>
        <w:rPr>
          <w:rFonts w:ascii="Arial" w:eastAsia="Calibri" w:hAnsi="Arial" w:cs="Arial"/>
          <w:sz w:val="24"/>
          <w:szCs w:val="24"/>
        </w:rPr>
      </w:pPr>
    </w:p>
    <w:p w14:paraId="2850E82E" w14:textId="54D8E37E" w:rsidR="00273316" w:rsidRPr="00B568F3" w:rsidRDefault="00E01100" w:rsidP="00E11A60">
      <w:pPr>
        <w:numPr>
          <w:ilvl w:val="0"/>
          <w:numId w:val="6"/>
        </w:numPr>
        <w:spacing w:after="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During 2025 to 2026 we’ll consider future developments in our </w:t>
      </w:r>
      <w:r w:rsidR="0012078E" w:rsidRPr="00B568F3">
        <w:rPr>
          <w:rFonts w:ascii="Arial" w:eastAsia="Calibri" w:hAnsi="Arial" w:cs="Arial"/>
          <w:sz w:val="24"/>
          <w:szCs w:val="24"/>
        </w:rPr>
        <w:t>work</w:t>
      </w:r>
      <w:r w:rsidR="00473309" w:rsidRPr="00B568F3">
        <w:rPr>
          <w:rFonts w:ascii="Arial" w:eastAsia="Calibri" w:hAnsi="Arial" w:cs="Arial"/>
          <w:sz w:val="24"/>
          <w:szCs w:val="24"/>
        </w:rPr>
        <w:t xml:space="preserve"> </w:t>
      </w:r>
      <w:r w:rsidR="00473309" w:rsidRPr="00B568F3" w:rsidDel="004B5BCE">
        <w:rPr>
          <w:rFonts w:ascii="Arial" w:eastAsia="Calibri" w:hAnsi="Arial" w:cs="Arial"/>
          <w:sz w:val="24"/>
          <w:szCs w:val="24"/>
        </w:rPr>
        <w:t>with</w:t>
      </w:r>
      <w:r w:rsidR="00F455BD" w:rsidRPr="00B568F3" w:rsidDel="004B5BCE">
        <w:rPr>
          <w:rFonts w:ascii="Arial" w:eastAsia="Calibri" w:hAnsi="Arial" w:cs="Arial"/>
          <w:sz w:val="24"/>
          <w:szCs w:val="24"/>
        </w:rPr>
        <w:t xml:space="preserve"> </w:t>
      </w:r>
      <w:r w:rsidR="00F455BD" w:rsidRPr="00B568F3">
        <w:rPr>
          <w:rFonts w:ascii="Arial" w:eastAsia="Calibri" w:hAnsi="Arial" w:cs="Arial"/>
          <w:sz w:val="24"/>
          <w:szCs w:val="24"/>
        </w:rPr>
        <w:t>local authorities and regions</w:t>
      </w:r>
      <w:r w:rsidR="00473309" w:rsidRPr="00B568F3">
        <w:rPr>
          <w:rFonts w:ascii="Arial" w:eastAsia="Calibri" w:hAnsi="Arial" w:cs="Arial"/>
          <w:sz w:val="24"/>
          <w:szCs w:val="24"/>
        </w:rPr>
        <w:t>,</w:t>
      </w:r>
      <w:r w:rsidR="00C2117E" w:rsidRPr="00B568F3">
        <w:rPr>
          <w:rFonts w:ascii="Arial" w:eastAsia="Calibri" w:hAnsi="Arial" w:cs="Arial"/>
          <w:sz w:val="24"/>
          <w:szCs w:val="24"/>
        </w:rPr>
        <w:t xml:space="preserve"> and</w:t>
      </w:r>
      <w:r w:rsidR="004B5BCE" w:rsidRPr="00B568F3">
        <w:rPr>
          <w:rFonts w:ascii="Arial" w:eastAsia="Calibri" w:hAnsi="Arial" w:cs="Arial"/>
          <w:sz w:val="24"/>
          <w:szCs w:val="24"/>
        </w:rPr>
        <w:t xml:space="preserve"> </w:t>
      </w:r>
      <w:r w:rsidRPr="00B568F3">
        <w:rPr>
          <w:rFonts w:ascii="Arial" w:eastAsia="Calibri" w:hAnsi="Arial" w:cs="Arial"/>
          <w:sz w:val="24"/>
          <w:szCs w:val="24"/>
        </w:rPr>
        <w:t xml:space="preserve">we’ll look at </w:t>
      </w:r>
      <w:r w:rsidR="00473309" w:rsidRPr="00B568F3">
        <w:rPr>
          <w:rFonts w:ascii="Arial" w:eastAsia="Calibri" w:hAnsi="Arial" w:cs="Arial"/>
          <w:sz w:val="24"/>
          <w:szCs w:val="24"/>
        </w:rPr>
        <w:t xml:space="preserve">how </w:t>
      </w:r>
      <w:r w:rsidRPr="00B568F3">
        <w:rPr>
          <w:rFonts w:ascii="Arial" w:eastAsia="Calibri" w:hAnsi="Arial" w:cs="Arial"/>
          <w:sz w:val="24"/>
          <w:szCs w:val="24"/>
        </w:rPr>
        <w:t xml:space="preserve">we can </w:t>
      </w:r>
      <w:r w:rsidR="00823990" w:rsidRPr="00B568F3">
        <w:rPr>
          <w:rFonts w:ascii="Arial" w:eastAsia="Calibri" w:hAnsi="Arial" w:cs="Arial"/>
          <w:sz w:val="24"/>
          <w:szCs w:val="24"/>
        </w:rPr>
        <w:t>present</w:t>
      </w:r>
      <w:r w:rsidR="00FC3D9A" w:rsidRPr="00B568F3">
        <w:rPr>
          <w:rFonts w:ascii="Arial" w:eastAsia="Calibri" w:hAnsi="Arial" w:cs="Arial"/>
          <w:sz w:val="24"/>
          <w:szCs w:val="24"/>
        </w:rPr>
        <w:t xml:space="preserve"> a </w:t>
      </w:r>
      <w:r w:rsidR="0000574C" w:rsidRPr="00B568F3">
        <w:rPr>
          <w:rFonts w:ascii="Arial" w:eastAsia="Calibri" w:hAnsi="Arial" w:cs="Arial"/>
          <w:sz w:val="24"/>
          <w:szCs w:val="24"/>
        </w:rPr>
        <w:t xml:space="preserve">strong and </w:t>
      </w:r>
      <w:r w:rsidR="001A5BB0" w:rsidRPr="00B568F3">
        <w:rPr>
          <w:rFonts w:ascii="Arial" w:eastAsia="Calibri" w:hAnsi="Arial" w:cs="Arial"/>
          <w:sz w:val="24"/>
          <w:szCs w:val="24"/>
        </w:rPr>
        <w:t xml:space="preserve">meaningful story </w:t>
      </w:r>
      <w:r w:rsidR="00C83F9F" w:rsidRPr="00B568F3">
        <w:rPr>
          <w:rFonts w:ascii="Arial" w:eastAsia="Calibri" w:hAnsi="Arial" w:cs="Arial"/>
          <w:sz w:val="24"/>
          <w:szCs w:val="24"/>
        </w:rPr>
        <w:t xml:space="preserve">showing </w:t>
      </w:r>
      <w:r w:rsidR="00823990" w:rsidRPr="00B568F3">
        <w:rPr>
          <w:rFonts w:ascii="Arial" w:eastAsia="Calibri" w:hAnsi="Arial" w:cs="Arial"/>
          <w:sz w:val="24"/>
          <w:szCs w:val="24"/>
        </w:rPr>
        <w:t xml:space="preserve">SCWWDP’s </w:t>
      </w:r>
      <w:r w:rsidR="001A5BB0" w:rsidRPr="00B568F3" w:rsidDel="00823990">
        <w:rPr>
          <w:rFonts w:ascii="Arial" w:eastAsia="Calibri" w:hAnsi="Arial" w:cs="Arial"/>
          <w:sz w:val="24"/>
          <w:szCs w:val="24"/>
        </w:rPr>
        <w:t>impact</w:t>
      </w:r>
      <w:r w:rsidR="001A5BB0" w:rsidRPr="00B568F3" w:rsidDel="004B5BCE">
        <w:rPr>
          <w:rFonts w:ascii="Arial" w:eastAsia="Calibri" w:hAnsi="Arial" w:cs="Arial"/>
          <w:sz w:val="24"/>
          <w:szCs w:val="24"/>
        </w:rPr>
        <w:t>.</w:t>
      </w:r>
      <w:r w:rsidR="001A5BB0" w:rsidRPr="00B568F3">
        <w:rPr>
          <w:rFonts w:ascii="Arial" w:eastAsia="Calibri" w:hAnsi="Arial" w:cs="Arial"/>
          <w:sz w:val="24"/>
          <w:szCs w:val="24"/>
        </w:rPr>
        <w:t xml:space="preserve"> </w:t>
      </w:r>
    </w:p>
    <w:p w14:paraId="42E7E907" w14:textId="77777777" w:rsidR="00273316" w:rsidRPr="00B568F3" w:rsidRDefault="00273316" w:rsidP="00273316">
      <w:pPr>
        <w:pStyle w:val="ListParagraph"/>
        <w:spacing w:after="0"/>
        <w:rPr>
          <w:rFonts w:ascii="Arial" w:eastAsia="Times New Roman" w:hAnsi="Arial" w:cs="Arial"/>
          <w:sz w:val="24"/>
          <w:szCs w:val="24"/>
          <w:lang w:eastAsia="en-GB"/>
        </w:rPr>
      </w:pPr>
    </w:p>
    <w:p w14:paraId="4D9772C4" w14:textId="107D9B4D" w:rsidR="002D1B1F" w:rsidRPr="000C06A7" w:rsidRDefault="002D1B1F" w:rsidP="00BC7EBC">
      <w:pPr>
        <w:pStyle w:val="Heading2"/>
      </w:pPr>
      <w:bookmarkStart w:id="18" w:name="_Toc179481635"/>
      <w:r w:rsidRPr="000C06A7">
        <w:t>Priority 1:</w:t>
      </w:r>
      <w:r w:rsidR="000A2CD4" w:rsidRPr="00B568F3">
        <w:t xml:space="preserve"> </w:t>
      </w:r>
      <w:r w:rsidRPr="000C06A7">
        <w:t>Building a digitally ready workforce</w:t>
      </w:r>
      <w:bookmarkEnd w:id="18"/>
    </w:p>
    <w:p w14:paraId="461AAB22" w14:textId="77777777" w:rsidR="002D1B1F" w:rsidRPr="00B568F3" w:rsidRDefault="002D1B1F" w:rsidP="002D1B1F">
      <w:pPr>
        <w:spacing w:after="0" w:line="240" w:lineRule="auto"/>
        <w:rPr>
          <w:rFonts w:ascii="Arial" w:eastAsia="Calibri" w:hAnsi="Arial" w:cs="Arial"/>
          <w:b/>
          <w:bCs/>
          <w:color w:val="FF0000"/>
          <w:sz w:val="24"/>
          <w:szCs w:val="24"/>
        </w:rPr>
      </w:pPr>
    </w:p>
    <w:p w14:paraId="082420B4" w14:textId="1CD400B6" w:rsidR="002D1B1F" w:rsidRPr="00B568F3" w:rsidRDefault="005524F4" w:rsidP="00E24AEB">
      <w:pPr>
        <w:spacing w:after="0" w:line="240" w:lineRule="auto"/>
        <w:rPr>
          <w:rFonts w:ascii="Arial" w:eastAsia="Calibri" w:hAnsi="Arial" w:cs="Arial"/>
          <w:sz w:val="24"/>
          <w:szCs w:val="24"/>
        </w:rPr>
      </w:pPr>
      <w:r w:rsidRPr="00B568F3">
        <w:rPr>
          <w:rFonts w:ascii="Arial" w:eastAsia="Calibri" w:hAnsi="Arial" w:cs="Arial"/>
          <w:sz w:val="24"/>
          <w:szCs w:val="24"/>
        </w:rPr>
        <w:t>By</w:t>
      </w:r>
      <w:r w:rsidR="002D1B1F" w:rsidRPr="00B568F3">
        <w:rPr>
          <w:rFonts w:ascii="Arial" w:eastAsia="Calibri" w:hAnsi="Arial" w:cs="Arial"/>
          <w:sz w:val="24"/>
          <w:szCs w:val="24"/>
        </w:rPr>
        <w:t xml:space="preserve"> 2030</w:t>
      </w:r>
      <w:r w:rsidR="00ED6F7C" w:rsidRPr="00B568F3">
        <w:rPr>
          <w:rFonts w:ascii="Arial" w:eastAsia="Calibri" w:hAnsi="Arial" w:cs="Arial"/>
          <w:sz w:val="24"/>
          <w:szCs w:val="24"/>
        </w:rPr>
        <w:t>, we aim to have a workforce with</w:t>
      </w:r>
      <w:r w:rsidR="002D1B1F" w:rsidRPr="00B568F3" w:rsidDel="00ED6F7C">
        <w:rPr>
          <w:rFonts w:ascii="Arial" w:eastAsia="Calibri" w:hAnsi="Arial" w:cs="Arial"/>
          <w:sz w:val="24"/>
          <w:szCs w:val="24"/>
        </w:rPr>
        <w:t xml:space="preserve"> </w:t>
      </w:r>
      <w:r w:rsidR="003D3620" w:rsidRPr="00B568F3">
        <w:rPr>
          <w:rFonts w:ascii="Arial" w:eastAsia="Calibri" w:hAnsi="Arial" w:cs="Arial"/>
          <w:sz w:val="24"/>
          <w:szCs w:val="24"/>
        </w:rPr>
        <w:t>good</w:t>
      </w:r>
      <w:r w:rsidR="002D1B1F" w:rsidRPr="00B568F3">
        <w:rPr>
          <w:rFonts w:ascii="Arial" w:eastAsia="Calibri" w:hAnsi="Arial" w:cs="Arial"/>
          <w:sz w:val="24"/>
          <w:szCs w:val="24"/>
        </w:rPr>
        <w:t xml:space="preserve"> digital and technological </w:t>
      </w:r>
      <w:r w:rsidR="003D3620" w:rsidRPr="00B568F3">
        <w:rPr>
          <w:rFonts w:ascii="Arial" w:eastAsia="Calibri" w:hAnsi="Arial" w:cs="Arial"/>
          <w:sz w:val="24"/>
          <w:szCs w:val="24"/>
        </w:rPr>
        <w:t>skills</w:t>
      </w:r>
      <w:r w:rsidR="00962F81" w:rsidRPr="00B568F3">
        <w:rPr>
          <w:rFonts w:ascii="Arial" w:eastAsia="Calibri" w:hAnsi="Arial" w:cs="Arial"/>
          <w:sz w:val="24"/>
          <w:szCs w:val="24"/>
        </w:rPr>
        <w:t xml:space="preserve"> </w:t>
      </w:r>
      <w:r w:rsidR="009A2DC1" w:rsidRPr="00B568F3">
        <w:rPr>
          <w:rFonts w:ascii="Arial" w:eastAsia="Calibri" w:hAnsi="Arial" w:cs="Arial"/>
          <w:sz w:val="24"/>
          <w:szCs w:val="24"/>
        </w:rPr>
        <w:t>that are widely used to</w:t>
      </w:r>
      <w:r w:rsidR="009A2DC1" w:rsidRPr="00B568F3" w:rsidDel="00962F81">
        <w:rPr>
          <w:rFonts w:ascii="Arial" w:eastAsia="Calibri" w:hAnsi="Arial" w:cs="Arial"/>
          <w:sz w:val="24"/>
          <w:szCs w:val="24"/>
        </w:rPr>
        <w:t xml:space="preserve"> </w:t>
      </w:r>
      <w:r w:rsidR="001900D2" w:rsidRPr="00B568F3">
        <w:rPr>
          <w:rFonts w:ascii="Arial" w:eastAsia="Calibri" w:hAnsi="Arial" w:cs="Arial"/>
          <w:sz w:val="24"/>
          <w:szCs w:val="24"/>
        </w:rPr>
        <w:t>improve</w:t>
      </w:r>
      <w:r w:rsidR="00962F81" w:rsidRPr="00B568F3">
        <w:rPr>
          <w:rFonts w:ascii="Arial" w:eastAsia="Calibri" w:hAnsi="Arial" w:cs="Arial"/>
          <w:sz w:val="24"/>
          <w:szCs w:val="24"/>
        </w:rPr>
        <w:t xml:space="preserve"> </w:t>
      </w:r>
      <w:r w:rsidR="002D1B1F" w:rsidRPr="00B568F3">
        <w:rPr>
          <w:rFonts w:ascii="Arial" w:eastAsia="Calibri" w:hAnsi="Arial" w:cs="Arial"/>
          <w:sz w:val="24"/>
          <w:szCs w:val="24"/>
        </w:rPr>
        <w:t>the way we work, to help us deliver the best possible care for people</w:t>
      </w:r>
      <w:r w:rsidR="77587720" w:rsidRPr="00B568F3">
        <w:rPr>
          <w:rFonts w:ascii="Arial" w:eastAsia="Calibri" w:hAnsi="Arial" w:cs="Arial"/>
          <w:sz w:val="24"/>
          <w:szCs w:val="24"/>
        </w:rPr>
        <w:t xml:space="preserve">. </w:t>
      </w:r>
    </w:p>
    <w:p w14:paraId="6D075BB3" w14:textId="77777777" w:rsidR="002D1B1F" w:rsidRPr="00B568F3" w:rsidRDefault="002D1B1F" w:rsidP="00F4229D">
      <w:pPr>
        <w:spacing w:after="0" w:line="240" w:lineRule="auto"/>
        <w:ind w:left="720"/>
        <w:rPr>
          <w:rFonts w:ascii="Arial" w:eastAsia="Calibri" w:hAnsi="Arial" w:cs="Arial"/>
          <w:sz w:val="24"/>
          <w:szCs w:val="24"/>
        </w:rPr>
      </w:pPr>
    </w:p>
    <w:p w14:paraId="4E55D8B7" w14:textId="0F99FC4E" w:rsidR="002D1B1F" w:rsidRPr="00B568F3" w:rsidRDefault="002D1B1F" w:rsidP="00E24AEB">
      <w:pPr>
        <w:spacing w:after="0" w:line="240" w:lineRule="auto"/>
        <w:rPr>
          <w:rFonts w:ascii="Arial" w:eastAsia="Calibri" w:hAnsi="Arial" w:cs="Arial"/>
          <w:sz w:val="24"/>
          <w:szCs w:val="24"/>
        </w:rPr>
      </w:pPr>
      <w:r w:rsidRPr="00B568F3">
        <w:rPr>
          <w:rFonts w:ascii="Arial" w:eastAsia="Calibri" w:hAnsi="Arial" w:cs="Arial"/>
          <w:sz w:val="24"/>
          <w:szCs w:val="24"/>
        </w:rPr>
        <w:t>SCWWDP in 2023</w:t>
      </w:r>
      <w:r w:rsidR="008B14D3" w:rsidRPr="00B568F3">
        <w:rPr>
          <w:rFonts w:ascii="Arial" w:eastAsia="Calibri" w:hAnsi="Arial" w:cs="Arial"/>
          <w:sz w:val="24"/>
          <w:szCs w:val="24"/>
        </w:rPr>
        <w:t xml:space="preserve"> to </w:t>
      </w:r>
      <w:r w:rsidRPr="00B568F3">
        <w:rPr>
          <w:rFonts w:ascii="Arial" w:eastAsia="Calibri" w:hAnsi="Arial" w:cs="Arial"/>
          <w:sz w:val="24"/>
          <w:szCs w:val="24"/>
        </w:rPr>
        <w:t xml:space="preserve">2024 has </w:t>
      </w:r>
      <w:r w:rsidR="00ED4C90" w:rsidRPr="00B568F3">
        <w:rPr>
          <w:rFonts w:ascii="Arial" w:eastAsia="Calibri" w:hAnsi="Arial" w:cs="Arial"/>
          <w:sz w:val="24"/>
          <w:szCs w:val="24"/>
        </w:rPr>
        <w:t xml:space="preserve">helped with </w:t>
      </w:r>
      <w:r w:rsidRPr="00B568F3">
        <w:rPr>
          <w:rFonts w:ascii="Arial" w:eastAsia="Calibri" w:hAnsi="Arial" w:cs="Arial"/>
          <w:sz w:val="24"/>
          <w:szCs w:val="24"/>
        </w:rPr>
        <w:t>the following:</w:t>
      </w:r>
    </w:p>
    <w:p w14:paraId="52C16233" w14:textId="77777777" w:rsidR="00D536DB" w:rsidRPr="00B568F3" w:rsidRDefault="00D536DB" w:rsidP="002D1B1F">
      <w:pPr>
        <w:spacing w:after="0" w:line="240" w:lineRule="auto"/>
        <w:rPr>
          <w:rFonts w:ascii="Arial" w:eastAsia="Calibri" w:hAnsi="Arial" w:cs="Arial"/>
          <w:sz w:val="24"/>
          <w:szCs w:val="24"/>
        </w:rPr>
      </w:pPr>
    </w:p>
    <w:p w14:paraId="3DFFE62C" w14:textId="77777777" w:rsidR="00D536DB" w:rsidRPr="00B568F3" w:rsidRDefault="00D536DB" w:rsidP="002D1B1F">
      <w:pPr>
        <w:spacing w:after="0" w:line="240" w:lineRule="auto"/>
        <w:rPr>
          <w:rFonts w:ascii="Arial" w:eastAsia="Calibri" w:hAnsi="Arial" w:cs="Arial"/>
          <w:sz w:val="24"/>
          <w:szCs w:val="24"/>
        </w:rPr>
      </w:pPr>
    </w:p>
    <w:tbl>
      <w:tblPr>
        <w:tblStyle w:val="TableGrid"/>
        <w:tblW w:w="0" w:type="auto"/>
        <w:tblInd w:w="-5" w:type="dxa"/>
        <w:tblLook w:val="04A0" w:firstRow="1" w:lastRow="0" w:firstColumn="1" w:lastColumn="0" w:noHBand="0" w:noVBand="1"/>
      </w:tblPr>
      <w:tblGrid>
        <w:gridCol w:w="9016"/>
      </w:tblGrid>
      <w:tr w:rsidR="002D1B1F" w:rsidRPr="00B568F3" w14:paraId="05A82649" w14:textId="77777777" w:rsidTr="611FAC9C">
        <w:tc>
          <w:tcPr>
            <w:tcW w:w="9016" w:type="dxa"/>
          </w:tcPr>
          <w:p w14:paraId="7B5F3415" w14:textId="77777777" w:rsidR="002D1B1F" w:rsidRPr="00B568F3" w:rsidRDefault="002D1B1F" w:rsidP="00FC716F">
            <w:pPr>
              <w:spacing w:line="276" w:lineRule="auto"/>
              <w:rPr>
                <w:rFonts w:ascii="Arial" w:eastAsia="Calibri" w:hAnsi="Arial" w:cs="Arial"/>
                <w:b/>
                <w:bCs/>
              </w:rPr>
            </w:pPr>
            <w:r w:rsidRPr="00B568F3">
              <w:rPr>
                <w:rFonts w:ascii="Arial" w:eastAsia="Calibri" w:hAnsi="Arial" w:cs="Arial"/>
                <w:b/>
                <w:bCs/>
              </w:rPr>
              <w:t>Highlight</w:t>
            </w:r>
          </w:p>
          <w:p w14:paraId="0E5DF501" w14:textId="77777777" w:rsidR="002D1B1F" w:rsidRPr="00B568F3" w:rsidRDefault="002D1B1F" w:rsidP="00FC716F">
            <w:pPr>
              <w:spacing w:line="276" w:lineRule="auto"/>
              <w:rPr>
                <w:rFonts w:ascii="Arial" w:eastAsia="Calibri" w:hAnsi="Arial" w:cs="Arial"/>
                <w:b/>
                <w:bCs/>
              </w:rPr>
            </w:pPr>
          </w:p>
          <w:p w14:paraId="02E2FCB3" w14:textId="07E7778B" w:rsidR="00437D4A" w:rsidRPr="00B568F3" w:rsidRDefault="00642359" w:rsidP="00E307B4">
            <w:pPr>
              <w:spacing w:line="276" w:lineRule="auto"/>
              <w:rPr>
                <w:rFonts w:ascii="Arial" w:eastAsia="Calibri" w:hAnsi="Arial" w:cs="Arial"/>
                <w:sz w:val="24"/>
                <w:szCs w:val="24"/>
              </w:rPr>
            </w:pPr>
            <w:r w:rsidRPr="00B568F3">
              <w:rPr>
                <w:rFonts w:ascii="Arial" w:eastAsia="Calibri" w:hAnsi="Arial" w:cs="Arial"/>
                <w:sz w:val="24"/>
                <w:szCs w:val="24"/>
              </w:rPr>
              <w:t>A local authority has created</w:t>
            </w:r>
            <w:r w:rsidR="1C622EB4" w:rsidRPr="00B568F3">
              <w:rPr>
                <w:rFonts w:ascii="Arial" w:eastAsia="Calibri" w:hAnsi="Arial" w:cs="Arial"/>
                <w:sz w:val="24"/>
                <w:szCs w:val="24"/>
              </w:rPr>
              <w:t xml:space="preserve"> a </w:t>
            </w:r>
            <w:r w:rsidR="002D1B1F" w:rsidRPr="00B568F3">
              <w:rPr>
                <w:rFonts w:ascii="Arial" w:eastAsia="Calibri" w:hAnsi="Arial" w:cs="Arial"/>
                <w:sz w:val="24"/>
                <w:szCs w:val="24"/>
              </w:rPr>
              <w:t>programme of training and learning webinars to upskill and develop the practice development teams</w:t>
            </w:r>
            <w:r w:rsidR="097790E6" w:rsidRPr="00B568F3">
              <w:rPr>
                <w:rFonts w:ascii="Arial" w:eastAsia="Calibri" w:hAnsi="Arial" w:cs="Arial"/>
                <w:sz w:val="24"/>
                <w:szCs w:val="24"/>
              </w:rPr>
              <w:t>’</w:t>
            </w:r>
            <w:r w:rsidR="002D1B1F" w:rsidRPr="00B568F3">
              <w:rPr>
                <w:rFonts w:ascii="Arial" w:eastAsia="Calibri" w:hAnsi="Arial" w:cs="Arial"/>
                <w:sz w:val="24"/>
                <w:szCs w:val="24"/>
              </w:rPr>
              <w:t xml:space="preserve"> knowledge of delivering and administrating digital learning programmes for the sector. </w:t>
            </w:r>
          </w:p>
          <w:p w14:paraId="6D53A2C9" w14:textId="77777777" w:rsidR="00437D4A" w:rsidRPr="00B568F3" w:rsidRDefault="00437D4A" w:rsidP="00E307B4">
            <w:pPr>
              <w:spacing w:line="276" w:lineRule="auto"/>
              <w:rPr>
                <w:rFonts w:ascii="Arial" w:eastAsia="Calibri" w:hAnsi="Arial" w:cs="Arial"/>
                <w:sz w:val="24"/>
                <w:szCs w:val="24"/>
              </w:rPr>
            </w:pPr>
          </w:p>
          <w:p w14:paraId="2F8D81A8" w14:textId="6B747259" w:rsidR="002D1B1F" w:rsidRPr="00B568F3" w:rsidRDefault="009D6BD8" w:rsidP="000A72F5">
            <w:pPr>
              <w:spacing w:line="276" w:lineRule="auto"/>
              <w:rPr>
                <w:rFonts w:ascii="Arial" w:eastAsia="Calibri" w:hAnsi="Arial" w:cs="Arial"/>
                <w:sz w:val="24"/>
                <w:szCs w:val="24"/>
              </w:rPr>
            </w:pPr>
            <w:r w:rsidRPr="00B568F3">
              <w:rPr>
                <w:rFonts w:ascii="Arial" w:eastAsia="Calibri" w:hAnsi="Arial" w:cs="Arial"/>
                <w:sz w:val="24"/>
                <w:szCs w:val="24"/>
              </w:rPr>
              <w:t>A</w:t>
            </w:r>
            <w:r w:rsidR="00C9006A" w:rsidRPr="00B568F3">
              <w:rPr>
                <w:rFonts w:ascii="Arial" w:eastAsia="Calibri" w:hAnsi="Arial" w:cs="Arial"/>
                <w:sz w:val="24"/>
                <w:szCs w:val="24"/>
              </w:rPr>
              <w:t>fter completing</w:t>
            </w:r>
            <w:r w:rsidR="002D1B1F" w:rsidRPr="00B568F3">
              <w:rPr>
                <w:rFonts w:ascii="Arial" w:eastAsia="Calibri" w:hAnsi="Arial" w:cs="Arial"/>
                <w:sz w:val="24"/>
                <w:szCs w:val="24"/>
              </w:rPr>
              <w:t xml:space="preserve"> training in the use of Book Creator Software, the team</w:t>
            </w:r>
            <w:r w:rsidRPr="00B568F3">
              <w:rPr>
                <w:rFonts w:ascii="Arial" w:eastAsia="Calibri" w:hAnsi="Arial" w:cs="Arial"/>
                <w:sz w:val="24"/>
                <w:szCs w:val="24"/>
              </w:rPr>
              <w:t xml:space="preserve"> put what they’d learned </w:t>
            </w:r>
            <w:r w:rsidR="001235CC" w:rsidRPr="00B568F3">
              <w:rPr>
                <w:rFonts w:ascii="Arial" w:eastAsia="Calibri" w:hAnsi="Arial" w:cs="Arial"/>
                <w:sz w:val="24"/>
                <w:szCs w:val="24"/>
              </w:rPr>
              <w:t>in</w:t>
            </w:r>
            <w:r w:rsidRPr="00B568F3">
              <w:rPr>
                <w:rFonts w:ascii="Arial" w:eastAsia="Calibri" w:hAnsi="Arial" w:cs="Arial"/>
                <w:sz w:val="24"/>
                <w:szCs w:val="24"/>
              </w:rPr>
              <w:t>to practice and</w:t>
            </w:r>
            <w:r w:rsidR="002D1B1F" w:rsidRPr="00B568F3">
              <w:rPr>
                <w:rFonts w:ascii="Arial" w:eastAsia="Calibri" w:hAnsi="Arial" w:cs="Arial"/>
                <w:sz w:val="24"/>
                <w:szCs w:val="24"/>
              </w:rPr>
              <w:t xml:space="preserve"> used this software to start creating a library of eBook resources on </w:t>
            </w:r>
            <w:r w:rsidR="00C9006A" w:rsidRPr="00B568F3">
              <w:rPr>
                <w:rFonts w:ascii="Arial" w:eastAsia="Calibri" w:hAnsi="Arial" w:cs="Arial"/>
                <w:sz w:val="24"/>
                <w:szCs w:val="24"/>
              </w:rPr>
              <w:t xml:space="preserve">different </w:t>
            </w:r>
            <w:r w:rsidR="002D1B1F" w:rsidRPr="00B568F3">
              <w:rPr>
                <w:rFonts w:ascii="Arial" w:eastAsia="Calibri" w:hAnsi="Arial" w:cs="Arial"/>
                <w:sz w:val="24"/>
                <w:szCs w:val="24"/>
              </w:rPr>
              <w:t>learning and development opportunities available to the sector in the region.</w:t>
            </w:r>
          </w:p>
          <w:p w14:paraId="49636861" w14:textId="05DE81EA" w:rsidR="00447E95" w:rsidRPr="00B568F3" w:rsidRDefault="00447E95" w:rsidP="000A72F5">
            <w:pPr>
              <w:spacing w:line="276" w:lineRule="auto"/>
              <w:rPr>
                <w:rFonts w:ascii="Arial" w:eastAsia="Calibri" w:hAnsi="Arial" w:cs="Arial"/>
                <w:b/>
                <w:bCs/>
              </w:rPr>
            </w:pPr>
          </w:p>
        </w:tc>
      </w:tr>
      <w:tr w:rsidR="002D1B1F" w:rsidRPr="00B568F3" w14:paraId="7285A603" w14:textId="77777777" w:rsidTr="611FAC9C">
        <w:tc>
          <w:tcPr>
            <w:tcW w:w="9016" w:type="dxa"/>
            <w:tcBorders>
              <w:top w:val="nil"/>
              <w:left w:val="nil"/>
              <w:bottom w:val="nil"/>
              <w:right w:val="nil"/>
            </w:tcBorders>
          </w:tcPr>
          <w:p w14:paraId="64FDAA93" w14:textId="77777777" w:rsidR="002D1B1F" w:rsidRPr="00B568F3" w:rsidRDefault="002D1B1F" w:rsidP="00FC716F">
            <w:pPr>
              <w:spacing w:line="276" w:lineRule="auto"/>
              <w:rPr>
                <w:rFonts w:ascii="Arial" w:eastAsia="Calibri" w:hAnsi="Arial" w:cs="Arial"/>
                <w:b/>
                <w:bCs/>
              </w:rPr>
            </w:pPr>
          </w:p>
        </w:tc>
      </w:tr>
      <w:tr w:rsidR="002D1B1F" w:rsidRPr="00B568F3" w14:paraId="332D9925" w14:textId="77777777" w:rsidTr="611FAC9C">
        <w:tc>
          <w:tcPr>
            <w:tcW w:w="9016" w:type="dxa"/>
          </w:tcPr>
          <w:p w14:paraId="5BB5CC95" w14:textId="77777777" w:rsidR="002D1B1F" w:rsidRPr="00B568F3" w:rsidRDefault="002D1B1F" w:rsidP="00FC716F">
            <w:pPr>
              <w:spacing w:line="276" w:lineRule="auto"/>
              <w:rPr>
                <w:rFonts w:ascii="Arial" w:eastAsia="Calibri" w:hAnsi="Arial" w:cs="Arial"/>
                <w:b/>
                <w:bCs/>
              </w:rPr>
            </w:pPr>
            <w:r w:rsidRPr="00B568F3">
              <w:rPr>
                <w:rFonts w:ascii="Arial" w:eastAsia="Calibri" w:hAnsi="Arial" w:cs="Arial"/>
                <w:b/>
                <w:bCs/>
              </w:rPr>
              <w:t xml:space="preserve">Highlight </w:t>
            </w:r>
          </w:p>
          <w:p w14:paraId="552F029F" w14:textId="77777777" w:rsidR="00DC212C" w:rsidRPr="00B568F3" w:rsidRDefault="00DC212C" w:rsidP="00FC716F">
            <w:pPr>
              <w:spacing w:line="276" w:lineRule="auto"/>
              <w:rPr>
                <w:rFonts w:ascii="Arial" w:eastAsia="Calibri" w:hAnsi="Arial" w:cs="Arial"/>
                <w:b/>
                <w:bCs/>
              </w:rPr>
            </w:pPr>
          </w:p>
          <w:p w14:paraId="71F38E49" w14:textId="55E1C585" w:rsidR="001235CC" w:rsidRPr="00B568F3" w:rsidRDefault="00542BCF" w:rsidP="00FC716F">
            <w:pPr>
              <w:rPr>
                <w:rFonts w:ascii="Arial" w:eastAsia="Calibri" w:hAnsi="Arial" w:cs="Arial"/>
                <w:sz w:val="24"/>
                <w:szCs w:val="24"/>
              </w:rPr>
            </w:pPr>
            <w:r w:rsidRPr="00B568F3">
              <w:rPr>
                <w:rFonts w:ascii="Arial" w:eastAsia="Calibri" w:hAnsi="Arial" w:cs="Arial"/>
                <w:sz w:val="24"/>
                <w:szCs w:val="24"/>
              </w:rPr>
              <w:t>A</w:t>
            </w:r>
            <w:r w:rsidR="00D8300A" w:rsidRPr="00B568F3">
              <w:rPr>
                <w:rFonts w:ascii="Arial" w:eastAsia="Calibri" w:hAnsi="Arial" w:cs="Arial"/>
                <w:sz w:val="24"/>
                <w:szCs w:val="24"/>
              </w:rPr>
              <w:t xml:space="preserve"> region is </w:t>
            </w:r>
            <w:r w:rsidRPr="00B568F3">
              <w:rPr>
                <w:rFonts w:ascii="Arial" w:eastAsia="Calibri" w:hAnsi="Arial" w:cs="Arial"/>
                <w:sz w:val="24"/>
                <w:szCs w:val="24"/>
              </w:rPr>
              <w:t>w</w:t>
            </w:r>
            <w:r w:rsidR="00444098" w:rsidRPr="00B568F3">
              <w:rPr>
                <w:rFonts w:ascii="Arial" w:eastAsia="Calibri" w:hAnsi="Arial" w:cs="Arial"/>
                <w:sz w:val="24"/>
                <w:szCs w:val="24"/>
              </w:rPr>
              <w:t>orking</w:t>
            </w:r>
            <w:r w:rsidR="002D1B1F" w:rsidRPr="00B568F3">
              <w:rPr>
                <w:rFonts w:ascii="Arial" w:eastAsia="Calibri" w:hAnsi="Arial" w:cs="Arial"/>
                <w:sz w:val="24"/>
                <w:szCs w:val="24"/>
              </w:rPr>
              <w:t xml:space="preserve"> with local education providers and Digital Community Wales to offer a range of digital skills training across the sector. </w:t>
            </w:r>
          </w:p>
          <w:p w14:paraId="6F3DDDE7" w14:textId="77777777" w:rsidR="001235CC" w:rsidRPr="00B568F3" w:rsidRDefault="001235CC" w:rsidP="00FC716F">
            <w:pPr>
              <w:rPr>
                <w:rFonts w:ascii="Arial" w:eastAsia="Calibri" w:hAnsi="Arial" w:cs="Arial"/>
                <w:sz w:val="24"/>
                <w:szCs w:val="24"/>
              </w:rPr>
            </w:pPr>
          </w:p>
          <w:p w14:paraId="6876532F" w14:textId="12C04403" w:rsidR="002D1B1F" w:rsidRPr="00B568F3" w:rsidRDefault="002D1B1F" w:rsidP="00FC716F">
            <w:pPr>
              <w:rPr>
                <w:rFonts w:ascii="Arial" w:eastAsia="Calibri" w:hAnsi="Arial" w:cs="Arial"/>
                <w:sz w:val="24"/>
                <w:szCs w:val="24"/>
              </w:rPr>
            </w:pPr>
            <w:r w:rsidRPr="00B568F3">
              <w:rPr>
                <w:rFonts w:ascii="Arial" w:eastAsia="Calibri" w:hAnsi="Arial" w:cs="Arial"/>
                <w:sz w:val="24"/>
                <w:szCs w:val="24"/>
              </w:rPr>
              <w:t>There are different levels of digital literacy across the sector</w:t>
            </w:r>
            <w:r w:rsidR="00F052BC" w:rsidRPr="00B568F3">
              <w:rPr>
                <w:rFonts w:ascii="Arial" w:eastAsia="Calibri" w:hAnsi="Arial" w:cs="Arial"/>
                <w:sz w:val="24"/>
                <w:szCs w:val="24"/>
              </w:rPr>
              <w:t xml:space="preserve">, </w:t>
            </w:r>
            <w:r w:rsidR="00310A96" w:rsidRPr="00B568F3">
              <w:rPr>
                <w:rFonts w:ascii="Arial" w:eastAsia="Calibri" w:hAnsi="Arial" w:cs="Arial"/>
                <w:sz w:val="24"/>
                <w:szCs w:val="24"/>
              </w:rPr>
              <w:t>and</w:t>
            </w:r>
            <w:r w:rsidR="003D16FA" w:rsidRPr="00B568F3">
              <w:rPr>
                <w:rFonts w:ascii="Arial" w:eastAsia="Calibri" w:hAnsi="Arial" w:cs="Arial"/>
                <w:sz w:val="24"/>
                <w:szCs w:val="24"/>
              </w:rPr>
              <w:t xml:space="preserve"> </w:t>
            </w:r>
            <w:r w:rsidR="00037ADE" w:rsidRPr="00B568F3">
              <w:rPr>
                <w:rFonts w:ascii="Arial" w:eastAsia="Calibri" w:hAnsi="Arial" w:cs="Arial"/>
                <w:sz w:val="24"/>
                <w:szCs w:val="24"/>
              </w:rPr>
              <w:t xml:space="preserve">there are </w:t>
            </w:r>
            <w:r w:rsidR="003D16FA" w:rsidRPr="00B568F3">
              <w:rPr>
                <w:rFonts w:ascii="Arial" w:eastAsia="Calibri" w:hAnsi="Arial" w:cs="Arial"/>
                <w:sz w:val="24"/>
                <w:szCs w:val="24"/>
              </w:rPr>
              <w:t>courses</w:t>
            </w:r>
            <w:r w:rsidR="00310A96" w:rsidRPr="00B568F3">
              <w:rPr>
                <w:rFonts w:ascii="Arial" w:eastAsia="Calibri" w:hAnsi="Arial" w:cs="Arial"/>
                <w:sz w:val="24"/>
                <w:szCs w:val="24"/>
              </w:rPr>
              <w:t xml:space="preserve"> </w:t>
            </w:r>
            <w:r w:rsidR="003D16FA" w:rsidRPr="00B568F3">
              <w:rPr>
                <w:rFonts w:ascii="Arial" w:eastAsia="Calibri" w:hAnsi="Arial" w:cs="Arial"/>
                <w:sz w:val="24"/>
                <w:szCs w:val="24"/>
              </w:rPr>
              <w:t>available</w:t>
            </w:r>
            <w:r w:rsidR="00310A96" w:rsidRPr="00B568F3">
              <w:rPr>
                <w:rFonts w:ascii="Arial" w:eastAsia="Calibri" w:hAnsi="Arial" w:cs="Arial"/>
                <w:sz w:val="24"/>
                <w:szCs w:val="24"/>
              </w:rPr>
              <w:t xml:space="preserve"> at all levels,</w:t>
            </w:r>
            <w:r w:rsidR="003D16FA" w:rsidRPr="00B568F3">
              <w:rPr>
                <w:rFonts w:ascii="Arial" w:eastAsia="Calibri" w:hAnsi="Arial" w:cs="Arial"/>
                <w:sz w:val="24"/>
                <w:szCs w:val="24"/>
              </w:rPr>
              <w:t xml:space="preserve"> from</w:t>
            </w:r>
            <w:r w:rsidRPr="00B568F3" w:rsidDel="00F052BC">
              <w:rPr>
                <w:rFonts w:ascii="Arial" w:eastAsia="Calibri" w:hAnsi="Arial" w:cs="Arial"/>
                <w:sz w:val="24"/>
                <w:szCs w:val="24"/>
              </w:rPr>
              <w:t xml:space="preserve"> </w:t>
            </w:r>
            <w:r w:rsidRPr="00B568F3">
              <w:rPr>
                <w:rFonts w:ascii="Arial" w:eastAsia="Calibri" w:hAnsi="Arial" w:cs="Arial"/>
                <w:sz w:val="24"/>
                <w:szCs w:val="24"/>
              </w:rPr>
              <w:t>basic to advanced.</w:t>
            </w:r>
            <w:r w:rsidRPr="000C06A7">
              <w:rPr>
                <w:rFonts w:ascii="Arial" w:hAnsi="Arial" w:cs="Arial"/>
              </w:rPr>
              <w:t xml:space="preserve"> </w:t>
            </w:r>
            <w:r w:rsidRPr="00B568F3">
              <w:rPr>
                <w:rFonts w:ascii="Arial" w:eastAsia="Calibri" w:hAnsi="Arial" w:cs="Arial"/>
                <w:sz w:val="24"/>
                <w:szCs w:val="24"/>
              </w:rPr>
              <w:t xml:space="preserve">The region is also designing a skills audit tool </w:t>
            </w:r>
            <w:r w:rsidR="00310A96" w:rsidRPr="00B568F3">
              <w:rPr>
                <w:rFonts w:ascii="Arial" w:eastAsia="Calibri" w:hAnsi="Arial" w:cs="Arial"/>
                <w:sz w:val="24"/>
                <w:szCs w:val="24"/>
              </w:rPr>
              <w:t xml:space="preserve">to </w:t>
            </w:r>
            <w:r w:rsidR="00B77767" w:rsidRPr="00B568F3">
              <w:rPr>
                <w:rFonts w:ascii="Arial" w:eastAsia="Calibri" w:hAnsi="Arial" w:cs="Arial"/>
                <w:sz w:val="24"/>
                <w:szCs w:val="24"/>
              </w:rPr>
              <w:t>get simple</w:t>
            </w:r>
            <w:r w:rsidRPr="00B568F3">
              <w:rPr>
                <w:rFonts w:ascii="Arial" w:eastAsia="Calibri" w:hAnsi="Arial" w:cs="Arial"/>
                <w:sz w:val="24"/>
                <w:szCs w:val="24"/>
              </w:rPr>
              <w:t xml:space="preserve"> data</w:t>
            </w:r>
            <w:r w:rsidR="00310A96" w:rsidRPr="00B568F3">
              <w:rPr>
                <w:rFonts w:ascii="Arial" w:eastAsia="Calibri" w:hAnsi="Arial" w:cs="Arial"/>
                <w:sz w:val="24"/>
                <w:szCs w:val="24"/>
              </w:rPr>
              <w:t xml:space="preserve"> about</w:t>
            </w:r>
            <w:r w:rsidRPr="00B568F3" w:rsidDel="00310A96">
              <w:rPr>
                <w:rFonts w:ascii="Arial" w:eastAsia="Calibri" w:hAnsi="Arial" w:cs="Arial"/>
                <w:sz w:val="24"/>
                <w:szCs w:val="24"/>
              </w:rPr>
              <w:t xml:space="preserve"> </w:t>
            </w:r>
            <w:r w:rsidRPr="00B568F3">
              <w:rPr>
                <w:rFonts w:ascii="Arial" w:eastAsia="Calibri" w:hAnsi="Arial" w:cs="Arial"/>
                <w:sz w:val="24"/>
                <w:szCs w:val="24"/>
              </w:rPr>
              <w:t>level</w:t>
            </w:r>
            <w:r w:rsidR="00B77767" w:rsidRPr="00B568F3">
              <w:rPr>
                <w:rFonts w:ascii="Arial" w:eastAsia="Calibri" w:hAnsi="Arial" w:cs="Arial"/>
                <w:sz w:val="24"/>
                <w:szCs w:val="24"/>
              </w:rPr>
              <w:t>s</w:t>
            </w:r>
            <w:r w:rsidRPr="00B568F3">
              <w:rPr>
                <w:rFonts w:ascii="Arial" w:eastAsia="Calibri" w:hAnsi="Arial" w:cs="Arial"/>
                <w:sz w:val="24"/>
                <w:szCs w:val="24"/>
              </w:rPr>
              <w:t xml:space="preserve"> and understanding of digital literacy.</w:t>
            </w:r>
          </w:p>
          <w:p w14:paraId="1E6210DC" w14:textId="77777777" w:rsidR="002D1B1F" w:rsidRPr="00B568F3" w:rsidRDefault="002D1B1F" w:rsidP="00FC716F">
            <w:pPr>
              <w:rPr>
                <w:rFonts w:ascii="Arial" w:eastAsia="Calibri" w:hAnsi="Arial" w:cs="Arial"/>
                <w:color w:val="FF0000"/>
                <w:sz w:val="24"/>
                <w:szCs w:val="24"/>
              </w:rPr>
            </w:pPr>
          </w:p>
        </w:tc>
      </w:tr>
    </w:tbl>
    <w:p w14:paraId="7758F662" w14:textId="77777777" w:rsidR="002D1B1F" w:rsidRPr="00B568F3" w:rsidRDefault="002D1B1F" w:rsidP="002D1B1F">
      <w:pPr>
        <w:spacing w:after="0" w:line="240" w:lineRule="auto"/>
        <w:rPr>
          <w:rFonts w:ascii="Arial" w:eastAsia="Calibri" w:hAnsi="Arial" w:cs="Arial"/>
          <w:color w:val="FF0000"/>
          <w:sz w:val="24"/>
          <w:szCs w:val="24"/>
        </w:rPr>
      </w:pPr>
    </w:p>
    <w:tbl>
      <w:tblPr>
        <w:tblStyle w:val="TableGrid"/>
        <w:tblW w:w="0" w:type="auto"/>
        <w:tblLook w:val="04A0" w:firstRow="1" w:lastRow="0" w:firstColumn="1" w:lastColumn="0" w:noHBand="0" w:noVBand="1"/>
      </w:tblPr>
      <w:tblGrid>
        <w:gridCol w:w="9016"/>
      </w:tblGrid>
      <w:tr w:rsidR="002D1B1F" w:rsidRPr="00B568F3" w14:paraId="0D8CB03A" w14:textId="77777777" w:rsidTr="4BA15C28">
        <w:tc>
          <w:tcPr>
            <w:tcW w:w="9016" w:type="dxa"/>
          </w:tcPr>
          <w:p w14:paraId="2AF0F48E" w14:textId="77777777" w:rsidR="002D1B1F" w:rsidRPr="00B568F3" w:rsidRDefault="002D1B1F" w:rsidP="00FC716F">
            <w:pPr>
              <w:spacing w:line="276" w:lineRule="auto"/>
              <w:rPr>
                <w:rFonts w:ascii="Arial" w:eastAsia="Calibri" w:hAnsi="Arial" w:cs="Arial"/>
                <w:b/>
                <w:bCs/>
              </w:rPr>
            </w:pPr>
            <w:r w:rsidRPr="00B568F3">
              <w:rPr>
                <w:rFonts w:ascii="Arial" w:eastAsia="Calibri" w:hAnsi="Arial" w:cs="Arial"/>
                <w:b/>
                <w:bCs/>
              </w:rPr>
              <w:t xml:space="preserve">Highlight </w:t>
            </w:r>
          </w:p>
          <w:p w14:paraId="78E2B53D" w14:textId="77777777" w:rsidR="002D1B1F" w:rsidRPr="00B568F3" w:rsidRDefault="002D1B1F" w:rsidP="00FC716F">
            <w:pPr>
              <w:rPr>
                <w:rFonts w:ascii="Arial" w:eastAsia="Calibri" w:hAnsi="Arial" w:cs="Arial"/>
                <w:sz w:val="24"/>
                <w:szCs w:val="24"/>
              </w:rPr>
            </w:pPr>
          </w:p>
          <w:p w14:paraId="228C2C7B" w14:textId="302E5564" w:rsidR="00325D85" w:rsidRPr="00B568F3" w:rsidRDefault="00C87B01" w:rsidP="00FC716F">
            <w:pPr>
              <w:rPr>
                <w:rFonts w:ascii="Arial" w:eastAsia="Calibri" w:hAnsi="Arial" w:cs="Arial"/>
                <w:sz w:val="24"/>
                <w:szCs w:val="24"/>
              </w:rPr>
            </w:pPr>
            <w:r w:rsidRPr="00B568F3">
              <w:rPr>
                <w:rFonts w:ascii="Arial" w:eastAsia="Calibri" w:hAnsi="Arial" w:cs="Arial"/>
                <w:sz w:val="24"/>
                <w:szCs w:val="24"/>
              </w:rPr>
              <w:t xml:space="preserve">A local authority has </w:t>
            </w:r>
            <w:r w:rsidR="00E200E5" w:rsidRPr="00B568F3">
              <w:rPr>
                <w:rFonts w:ascii="Arial" w:eastAsia="Calibri" w:hAnsi="Arial" w:cs="Arial"/>
                <w:sz w:val="24"/>
                <w:szCs w:val="24"/>
              </w:rPr>
              <w:t>increased i</w:t>
            </w:r>
            <w:r w:rsidR="002D1B1F" w:rsidRPr="00B568F3">
              <w:rPr>
                <w:rFonts w:ascii="Arial" w:eastAsia="Calibri" w:hAnsi="Arial" w:cs="Arial"/>
                <w:sz w:val="24"/>
                <w:szCs w:val="24"/>
              </w:rPr>
              <w:t xml:space="preserve">nvestment in </w:t>
            </w:r>
            <w:r w:rsidR="00325D85" w:rsidRPr="00B568F3">
              <w:rPr>
                <w:rFonts w:ascii="Arial" w:eastAsia="Calibri" w:hAnsi="Arial" w:cs="Arial"/>
                <w:sz w:val="24"/>
                <w:szCs w:val="24"/>
              </w:rPr>
              <w:t>virtual reality (VR) t</w:t>
            </w:r>
            <w:r w:rsidR="002D1B1F" w:rsidRPr="00B568F3">
              <w:rPr>
                <w:rFonts w:ascii="Arial" w:eastAsia="Calibri" w:hAnsi="Arial" w:cs="Arial"/>
                <w:sz w:val="24"/>
                <w:szCs w:val="24"/>
              </w:rPr>
              <w:t>rainer</w:t>
            </w:r>
            <w:r w:rsidR="002D1B1F" w:rsidRPr="00B568F3" w:rsidDel="00325D85">
              <w:rPr>
                <w:rFonts w:ascii="Arial" w:eastAsia="Calibri" w:hAnsi="Arial" w:cs="Arial"/>
                <w:sz w:val="24"/>
                <w:szCs w:val="24"/>
              </w:rPr>
              <w:t xml:space="preserve"> </w:t>
            </w:r>
            <w:r w:rsidR="00325D85" w:rsidRPr="00B568F3">
              <w:rPr>
                <w:rFonts w:ascii="Arial" w:eastAsia="Calibri" w:hAnsi="Arial" w:cs="Arial"/>
                <w:sz w:val="24"/>
                <w:szCs w:val="24"/>
              </w:rPr>
              <w:t xml:space="preserve">certification </w:t>
            </w:r>
            <w:r w:rsidR="002D1B1F" w:rsidRPr="00B568F3">
              <w:rPr>
                <w:rFonts w:ascii="Arial" w:eastAsia="Calibri" w:hAnsi="Arial" w:cs="Arial"/>
                <w:sz w:val="24"/>
                <w:szCs w:val="24"/>
              </w:rPr>
              <w:t>courses</w:t>
            </w:r>
            <w:r w:rsidR="00325D85" w:rsidRPr="00B568F3">
              <w:rPr>
                <w:rFonts w:ascii="Arial" w:eastAsia="Calibri" w:hAnsi="Arial" w:cs="Arial"/>
                <w:sz w:val="24"/>
                <w:szCs w:val="24"/>
              </w:rPr>
              <w:t>,</w:t>
            </w:r>
            <w:r w:rsidR="002D1B1F" w:rsidRPr="00B568F3">
              <w:rPr>
                <w:rFonts w:ascii="Arial" w:eastAsia="Calibri" w:hAnsi="Arial" w:cs="Arial"/>
                <w:sz w:val="24"/>
                <w:szCs w:val="24"/>
              </w:rPr>
              <w:t xml:space="preserve"> and </w:t>
            </w:r>
            <w:r w:rsidR="002D1B1F" w:rsidRPr="00B568F3" w:rsidDel="00325D85">
              <w:rPr>
                <w:rFonts w:ascii="Arial" w:eastAsia="Calibri" w:hAnsi="Arial" w:cs="Arial"/>
                <w:sz w:val="24"/>
                <w:szCs w:val="24"/>
              </w:rPr>
              <w:t xml:space="preserve">VR </w:t>
            </w:r>
            <w:r w:rsidR="002D1B1F" w:rsidRPr="00B568F3">
              <w:rPr>
                <w:rFonts w:ascii="Arial" w:eastAsia="Calibri" w:hAnsi="Arial" w:cs="Arial"/>
                <w:sz w:val="24"/>
                <w:szCs w:val="24"/>
              </w:rPr>
              <w:t xml:space="preserve">training delivery </w:t>
            </w:r>
            <w:r w:rsidR="002D1B1F" w:rsidRPr="00B568F3" w:rsidDel="00771C16">
              <w:rPr>
                <w:rFonts w:ascii="Arial" w:eastAsia="Calibri" w:hAnsi="Arial" w:cs="Arial"/>
                <w:sz w:val="24"/>
                <w:szCs w:val="24"/>
              </w:rPr>
              <w:t xml:space="preserve">has been </w:t>
            </w:r>
            <w:r w:rsidR="005E7C06" w:rsidRPr="00B568F3" w:rsidDel="00771C16">
              <w:rPr>
                <w:rFonts w:ascii="Arial" w:eastAsia="Calibri" w:hAnsi="Arial" w:cs="Arial"/>
                <w:sz w:val="24"/>
                <w:szCs w:val="24"/>
              </w:rPr>
              <w:t>expanded,</w:t>
            </w:r>
            <w:r w:rsidR="002D1B1F" w:rsidRPr="00B568F3" w:rsidDel="00771C16">
              <w:rPr>
                <w:rFonts w:ascii="Arial" w:eastAsia="Calibri" w:hAnsi="Arial" w:cs="Arial"/>
                <w:sz w:val="24"/>
                <w:szCs w:val="24"/>
              </w:rPr>
              <w:t xml:space="preserve"> </w:t>
            </w:r>
            <w:r w:rsidR="00771C16" w:rsidRPr="00B568F3">
              <w:rPr>
                <w:rFonts w:ascii="Arial" w:eastAsia="Calibri" w:hAnsi="Arial" w:cs="Arial"/>
                <w:sz w:val="24"/>
                <w:szCs w:val="24"/>
              </w:rPr>
              <w:t xml:space="preserve">and </w:t>
            </w:r>
            <w:r w:rsidR="002D1B1F" w:rsidRPr="00B568F3">
              <w:rPr>
                <w:rFonts w:ascii="Arial" w:eastAsia="Calibri" w:hAnsi="Arial" w:cs="Arial"/>
                <w:sz w:val="24"/>
                <w:szCs w:val="24"/>
              </w:rPr>
              <w:t xml:space="preserve">content </w:t>
            </w:r>
            <w:r w:rsidR="00771C16" w:rsidRPr="00B568F3">
              <w:rPr>
                <w:rFonts w:ascii="Arial" w:eastAsia="Calibri" w:hAnsi="Arial" w:cs="Arial"/>
                <w:sz w:val="24"/>
                <w:szCs w:val="24"/>
              </w:rPr>
              <w:t>is now</w:t>
            </w:r>
            <w:r w:rsidR="002D1B1F" w:rsidRPr="00B568F3">
              <w:rPr>
                <w:rFonts w:ascii="Arial" w:eastAsia="Calibri" w:hAnsi="Arial" w:cs="Arial"/>
                <w:sz w:val="24"/>
                <w:szCs w:val="24"/>
              </w:rPr>
              <w:t xml:space="preserve"> available bi-lingually. </w:t>
            </w:r>
            <w:r w:rsidR="002D1B1F" w:rsidRPr="00B568F3" w:rsidDel="00325D85">
              <w:rPr>
                <w:rFonts w:ascii="Arial" w:eastAsia="Calibri" w:hAnsi="Arial" w:cs="Arial"/>
                <w:sz w:val="24"/>
                <w:szCs w:val="24"/>
              </w:rPr>
              <w:t>VR</w:t>
            </w:r>
            <w:r w:rsidR="002D1B1F" w:rsidRPr="00B568F3">
              <w:rPr>
                <w:rFonts w:ascii="Arial" w:eastAsia="Calibri" w:hAnsi="Arial" w:cs="Arial"/>
                <w:sz w:val="24"/>
                <w:szCs w:val="24"/>
              </w:rPr>
              <w:t xml:space="preserve"> has been </w:t>
            </w:r>
            <w:r w:rsidR="000111E1" w:rsidRPr="00B568F3">
              <w:rPr>
                <w:rFonts w:ascii="Arial" w:eastAsia="Calibri" w:hAnsi="Arial" w:cs="Arial"/>
                <w:sz w:val="24"/>
                <w:szCs w:val="24"/>
              </w:rPr>
              <w:t xml:space="preserve">used </w:t>
            </w:r>
            <w:r w:rsidR="00CF2DAE" w:rsidRPr="00B568F3">
              <w:rPr>
                <w:rFonts w:ascii="Arial" w:eastAsia="Calibri" w:hAnsi="Arial" w:cs="Arial"/>
                <w:sz w:val="24"/>
                <w:szCs w:val="24"/>
              </w:rPr>
              <w:t>for</w:t>
            </w:r>
            <w:r w:rsidR="002D1B1F" w:rsidRPr="00B568F3">
              <w:rPr>
                <w:rFonts w:ascii="Arial" w:eastAsia="Calibri" w:hAnsi="Arial" w:cs="Arial"/>
                <w:sz w:val="24"/>
                <w:szCs w:val="24"/>
              </w:rPr>
              <w:t xml:space="preserve"> training and development including</w:t>
            </w:r>
            <w:r w:rsidR="00325D85" w:rsidRPr="00B568F3">
              <w:rPr>
                <w:rFonts w:ascii="Arial" w:eastAsia="Calibri" w:hAnsi="Arial" w:cs="Arial"/>
                <w:sz w:val="24"/>
                <w:szCs w:val="24"/>
              </w:rPr>
              <w:t>:</w:t>
            </w:r>
          </w:p>
          <w:p w14:paraId="1009AC12" w14:textId="2670BBCA" w:rsidR="00325D85" w:rsidRPr="00B568F3" w:rsidRDefault="002D1B1F" w:rsidP="00632461">
            <w:pPr>
              <w:pStyle w:val="ListParagraph"/>
              <w:numPr>
                <w:ilvl w:val="0"/>
                <w:numId w:val="25"/>
              </w:numPr>
              <w:rPr>
                <w:rFonts w:ascii="Arial" w:eastAsia="Calibri" w:hAnsi="Arial" w:cs="Arial"/>
                <w:sz w:val="24"/>
                <w:szCs w:val="24"/>
              </w:rPr>
            </w:pPr>
            <w:r w:rsidRPr="00B568F3">
              <w:rPr>
                <w:rFonts w:ascii="Arial" w:eastAsia="Calibri" w:hAnsi="Arial" w:cs="Arial"/>
                <w:sz w:val="24"/>
                <w:szCs w:val="24"/>
              </w:rPr>
              <w:t>ACE</w:t>
            </w:r>
            <w:r w:rsidR="00325D85" w:rsidRPr="00B568F3">
              <w:rPr>
                <w:rFonts w:ascii="Arial" w:eastAsia="Calibri" w:hAnsi="Arial" w:cs="Arial"/>
                <w:sz w:val="24"/>
                <w:szCs w:val="24"/>
              </w:rPr>
              <w:t>s</w:t>
            </w:r>
          </w:p>
          <w:p w14:paraId="60D392C2" w14:textId="4AA9D7E2" w:rsidR="00325D85" w:rsidRPr="00B568F3" w:rsidRDefault="002D1B1F" w:rsidP="00632461">
            <w:pPr>
              <w:pStyle w:val="ListParagraph"/>
              <w:numPr>
                <w:ilvl w:val="0"/>
                <w:numId w:val="25"/>
              </w:numPr>
              <w:rPr>
                <w:rFonts w:ascii="Arial" w:eastAsia="Calibri" w:hAnsi="Arial" w:cs="Arial"/>
                <w:sz w:val="24"/>
                <w:szCs w:val="24"/>
              </w:rPr>
            </w:pPr>
            <w:r w:rsidRPr="00B568F3">
              <w:rPr>
                <w:rFonts w:ascii="Arial" w:eastAsia="Calibri" w:hAnsi="Arial" w:cs="Arial"/>
                <w:sz w:val="24"/>
                <w:szCs w:val="24"/>
              </w:rPr>
              <w:t xml:space="preserve">Trauma Informed Practice </w:t>
            </w:r>
          </w:p>
          <w:p w14:paraId="58B2DC66" w14:textId="70CBD855" w:rsidR="00325D85" w:rsidRPr="00B568F3" w:rsidRDefault="64D8021A" w:rsidP="00632461">
            <w:pPr>
              <w:pStyle w:val="ListParagraph"/>
              <w:numPr>
                <w:ilvl w:val="0"/>
                <w:numId w:val="25"/>
              </w:numPr>
              <w:rPr>
                <w:rFonts w:ascii="Arial" w:eastAsia="Calibri" w:hAnsi="Arial" w:cs="Arial"/>
                <w:sz w:val="24"/>
                <w:szCs w:val="24"/>
              </w:rPr>
            </w:pPr>
            <w:r w:rsidRPr="00B568F3">
              <w:rPr>
                <w:rFonts w:ascii="Arial" w:eastAsia="Calibri" w:hAnsi="Arial" w:cs="Arial"/>
                <w:sz w:val="24"/>
                <w:szCs w:val="24"/>
              </w:rPr>
              <w:t>understanding</w:t>
            </w:r>
            <w:r w:rsidR="002D1B1F" w:rsidRPr="00B568F3">
              <w:rPr>
                <w:rFonts w:ascii="Arial" w:eastAsia="Calibri" w:hAnsi="Arial" w:cs="Arial"/>
                <w:sz w:val="24"/>
                <w:szCs w:val="24"/>
              </w:rPr>
              <w:t xml:space="preserve"> domestic abuse through the eyes of a child </w:t>
            </w:r>
          </w:p>
          <w:p w14:paraId="5EF0B505" w14:textId="57372FE9" w:rsidR="00325D85" w:rsidRPr="00B568F3" w:rsidRDefault="2CC67ED4" w:rsidP="00632461">
            <w:pPr>
              <w:pStyle w:val="ListParagraph"/>
              <w:numPr>
                <w:ilvl w:val="0"/>
                <w:numId w:val="25"/>
              </w:numPr>
              <w:rPr>
                <w:rFonts w:ascii="Arial" w:eastAsia="Calibri" w:hAnsi="Arial" w:cs="Arial"/>
                <w:sz w:val="24"/>
                <w:szCs w:val="24"/>
              </w:rPr>
            </w:pPr>
            <w:r w:rsidRPr="00B568F3">
              <w:rPr>
                <w:rFonts w:ascii="Arial" w:eastAsia="Calibri" w:hAnsi="Arial" w:cs="Arial"/>
                <w:sz w:val="24"/>
                <w:szCs w:val="24"/>
              </w:rPr>
              <w:t>working</w:t>
            </w:r>
            <w:r w:rsidR="002D1B1F" w:rsidRPr="00B568F3">
              <w:rPr>
                <w:rFonts w:ascii="Arial" w:eastAsia="Calibri" w:hAnsi="Arial" w:cs="Arial"/>
                <w:sz w:val="24"/>
                <w:szCs w:val="24"/>
              </w:rPr>
              <w:t xml:space="preserve"> with adults with unresolved trauma </w:t>
            </w:r>
          </w:p>
          <w:p w14:paraId="6C763A81" w14:textId="7B35E15F" w:rsidR="00325D85" w:rsidRPr="00B568F3" w:rsidRDefault="5380327A" w:rsidP="00632461">
            <w:pPr>
              <w:pStyle w:val="ListParagraph"/>
              <w:numPr>
                <w:ilvl w:val="0"/>
                <w:numId w:val="25"/>
              </w:numPr>
              <w:rPr>
                <w:rFonts w:ascii="Arial" w:eastAsia="Calibri" w:hAnsi="Arial" w:cs="Arial"/>
                <w:sz w:val="24"/>
                <w:szCs w:val="24"/>
              </w:rPr>
            </w:pPr>
            <w:r w:rsidRPr="00B568F3">
              <w:rPr>
                <w:rFonts w:ascii="Arial" w:eastAsia="Calibri" w:hAnsi="Arial" w:cs="Arial"/>
                <w:sz w:val="24"/>
                <w:szCs w:val="24"/>
              </w:rPr>
              <w:t>preparing</w:t>
            </w:r>
            <w:r w:rsidR="002D1B1F" w:rsidRPr="00B568F3">
              <w:rPr>
                <w:rFonts w:ascii="Arial" w:eastAsia="Calibri" w:hAnsi="Arial" w:cs="Arial"/>
                <w:sz w:val="24"/>
                <w:szCs w:val="24"/>
              </w:rPr>
              <w:t xml:space="preserve"> for </w:t>
            </w:r>
            <w:r w:rsidR="009B2013" w:rsidRPr="00B568F3">
              <w:rPr>
                <w:rFonts w:ascii="Arial" w:eastAsia="Calibri" w:hAnsi="Arial" w:cs="Arial"/>
                <w:sz w:val="24"/>
                <w:szCs w:val="24"/>
              </w:rPr>
              <w:t>and</w:t>
            </w:r>
            <w:r w:rsidR="002D1B1F" w:rsidRPr="00B568F3">
              <w:rPr>
                <w:rFonts w:ascii="Arial" w:eastAsia="Calibri" w:hAnsi="Arial" w:cs="Arial"/>
                <w:sz w:val="24"/>
                <w:szCs w:val="24"/>
              </w:rPr>
              <w:t xml:space="preserve"> supporting foster placements</w:t>
            </w:r>
          </w:p>
          <w:p w14:paraId="1DC3A000" w14:textId="60051800" w:rsidR="00325D85" w:rsidRPr="00B568F3" w:rsidRDefault="4E688BF4" w:rsidP="00632461">
            <w:pPr>
              <w:pStyle w:val="ListParagraph"/>
              <w:numPr>
                <w:ilvl w:val="0"/>
                <w:numId w:val="25"/>
              </w:numPr>
              <w:rPr>
                <w:rFonts w:ascii="Arial" w:eastAsia="Calibri" w:hAnsi="Arial" w:cs="Arial"/>
                <w:sz w:val="24"/>
                <w:szCs w:val="24"/>
              </w:rPr>
            </w:pPr>
            <w:r w:rsidRPr="00B568F3">
              <w:rPr>
                <w:rFonts w:ascii="Arial" w:eastAsia="Calibri" w:hAnsi="Arial" w:cs="Arial"/>
                <w:sz w:val="24"/>
                <w:szCs w:val="24"/>
              </w:rPr>
              <w:t>social media</w:t>
            </w:r>
            <w:r w:rsidR="002D1B1F" w:rsidRPr="00B568F3">
              <w:rPr>
                <w:rFonts w:ascii="Arial" w:eastAsia="Calibri" w:hAnsi="Arial" w:cs="Arial"/>
                <w:sz w:val="24"/>
                <w:szCs w:val="24"/>
              </w:rPr>
              <w:t xml:space="preserve"> </w:t>
            </w:r>
            <w:r w:rsidR="009B2013" w:rsidRPr="00B568F3">
              <w:rPr>
                <w:rFonts w:ascii="Arial" w:eastAsia="Calibri" w:hAnsi="Arial" w:cs="Arial"/>
                <w:sz w:val="24"/>
                <w:szCs w:val="24"/>
              </w:rPr>
              <w:t>and</w:t>
            </w:r>
            <w:r w:rsidR="002D1B1F" w:rsidRPr="00B568F3">
              <w:rPr>
                <w:rFonts w:ascii="Arial" w:eastAsia="Calibri" w:hAnsi="Arial" w:cs="Arial"/>
                <w:sz w:val="24"/>
                <w:szCs w:val="24"/>
              </w:rPr>
              <w:t xml:space="preserve"> </w:t>
            </w:r>
            <w:r w:rsidR="009B2013" w:rsidRPr="00B568F3">
              <w:rPr>
                <w:rFonts w:ascii="Arial" w:eastAsia="Calibri" w:hAnsi="Arial" w:cs="Arial"/>
                <w:sz w:val="24"/>
                <w:szCs w:val="24"/>
              </w:rPr>
              <w:t>y</w:t>
            </w:r>
            <w:r w:rsidR="002D1B1F" w:rsidRPr="00B568F3">
              <w:rPr>
                <w:rFonts w:ascii="Arial" w:eastAsia="Calibri" w:hAnsi="Arial" w:cs="Arial"/>
                <w:sz w:val="24"/>
                <w:szCs w:val="24"/>
              </w:rPr>
              <w:t xml:space="preserve">oung </w:t>
            </w:r>
            <w:r w:rsidR="009B2013" w:rsidRPr="00B568F3">
              <w:rPr>
                <w:rFonts w:ascii="Arial" w:eastAsia="Calibri" w:hAnsi="Arial" w:cs="Arial"/>
                <w:sz w:val="24"/>
                <w:szCs w:val="24"/>
              </w:rPr>
              <w:t>p</w:t>
            </w:r>
            <w:r w:rsidR="002D1B1F" w:rsidRPr="00B568F3">
              <w:rPr>
                <w:rFonts w:ascii="Arial" w:eastAsia="Calibri" w:hAnsi="Arial" w:cs="Arial"/>
                <w:sz w:val="24"/>
                <w:szCs w:val="24"/>
              </w:rPr>
              <w:t xml:space="preserve">eople. </w:t>
            </w:r>
          </w:p>
          <w:p w14:paraId="469C6327" w14:textId="77777777" w:rsidR="00325D85" w:rsidRPr="00B568F3" w:rsidRDefault="00325D85" w:rsidP="00FC716F">
            <w:pPr>
              <w:rPr>
                <w:rFonts w:ascii="Arial" w:eastAsia="Calibri" w:hAnsi="Arial" w:cs="Arial"/>
                <w:sz w:val="24"/>
                <w:szCs w:val="24"/>
              </w:rPr>
            </w:pPr>
          </w:p>
          <w:p w14:paraId="304858C3" w14:textId="68101C65" w:rsidR="002D1B1F" w:rsidRPr="00B568F3" w:rsidRDefault="002D1B1F" w:rsidP="00FC716F">
            <w:pPr>
              <w:rPr>
                <w:rFonts w:ascii="Arial" w:eastAsia="Calibri" w:hAnsi="Arial" w:cs="Arial"/>
                <w:sz w:val="24"/>
                <w:szCs w:val="24"/>
              </w:rPr>
            </w:pPr>
            <w:r w:rsidRPr="00B568F3">
              <w:rPr>
                <w:rFonts w:ascii="Arial" w:eastAsia="Calibri" w:hAnsi="Arial" w:cs="Arial"/>
                <w:sz w:val="24"/>
                <w:szCs w:val="24"/>
              </w:rPr>
              <w:t>The</w:t>
            </w:r>
            <w:r w:rsidR="000913DB" w:rsidRPr="00B568F3">
              <w:rPr>
                <w:rFonts w:ascii="Arial" w:eastAsia="Calibri" w:hAnsi="Arial" w:cs="Arial"/>
                <w:sz w:val="24"/>
                <w:szCs w:val="24"/>
              </w:rPr>
              <w:t>re has been exceptional</w:t>
            </w:r>
            <w:r w:rsidRPr="00B568F3">
              <w:rPr>
                <w:rFonts w:ascii="Arial" w:eastAsia="Calibri" w:hAnsi="Arial" w:cs="Arial"/>
                <w:sz w:val="24"/>
                <w:szCs w:val="24"/>
              </w:rPr>
              <w:t xml:space="preserve"> feedback from staff attending training using VR</w:t>
            </w:r>
            <w:r w:rsidR="000913DB" w:rsidRPr="00B568F3">
              <w:rPr>
                <w:rFonts w:ascii="Arial" w:eastAsia="Calibri" w:hAnsi="Arial" w:cs="Arial"/>
                <w:sz w:val="24"/>
                <w:szCs w:val="24"/>
              </w:rPr>
              <w:t>.</w:t>
            </w:r>
            <w:r w:rsidR="5683C9B8" w:rsidRPr="00B568F3">
              <w:rPr>
                <w:rFonts w:ascii="Arial" w:eastAsia="Calibri" w:hAnsi="Arial" w:cs="Arial"/>
                <w:sz w:val="24"/>
                <w:szCs w:val="24"/>
              </w:rPr>
              <w:t xml:space="preserve"> </w:t>
            </w:r>
          </w:p>
          <w:p w14:paraId="2C4FD435" w14:textId="77777777" w:rsidR="00447E95" w:rsidRPr="00B568F3" w:rsidRDefault="00447E95" w:rsidP="00FC716F">
            <w:pPr>
              <w:rPr>
                <w:rFonts w:ascii="Arial" w:eastAsia="Calibri" w:hAnsi="Arial" w:cs="Arial"/>
                <w:color w:val="FF0000"/>
                <w:sz w:val="24"/>
                <w:szCs w:val="24"/>
              </w:rPr>
            </w:pPr>
          </w:p>
        </w:tc>
      </w:tr>
    </w:tbl>
    <w:p w14:paraId="695152AC" w14:textId="77777777" w:rsidR="002D1B1F" w:rsidRPr="00B568F3" w:rsidRDefault="002D1B1F" w:rsidP="002D1B1F">
      <w:pPr>
        <w:spacing w:after="0" w:line="240" w:lineRule="auto"/>
        <w:rPr>
          <w:rFonts w:ascii="Arial" w:eastAsia="Calibri" w:hAnsi="Arial" w:cs="Arial"/>
          <w:color w:val="FF0000"/>
          <w:sz w:val="24"/>
          <w:szCs w:val="24"/>
        </w:rPr>
      </w:pPr>
    </w:p>
    <w:tbl>
      <w:tblPr>
        <w:tblStyle w:val="TableGrid"/>
        <w:tblW w:w="0" w:type="auto"/>
        <w:tblLook w:val="04A0" w:firstRow="1" w:lastRow="0" w:firstColumn="1" w:lastColumn="0" w:noHBand="0" w:noVBand="1"/>
      </w:tblPr>
      <w:tblGrid>
        <w:gridCol w:w="9016"/>
      </w:tblGrid>
      <w:tr w:rsidR="002D1B1F" w:rsidRPr="00B568F3" w14:paraId="2689A0C6" w14:textId="77777777" w:rsidTr="4BA15C28">
        <w:tc>
          <w:tcPr>
            <w:tcW w:w="9016" w:type="dxa"/>
          </w:tcPr>
          <w:p w14:paraId="6FDD73C3" w14:textId="77777777" w:rsidR="002D1B1F" w:rsidRPr="00B568F3" w:rsidRDefault="002D1B1F" w:rsidP="00FC716F">
            <w:pPr>
              <w:spacing w:line="276" w:lineRule="auto"/>
              <w:rPr>
                <w:rFonts w:ascii="Arial" w:eastAsia="Calibri" w:hAnsi="Arial" w:cs="Arial"/>
                <w:b/>
                <w:bCs/>
              </w:rPr>
            </w:pPr>
            <w:r w:rsidRPr="00B568F3">
              <w:rPr>
                <w:rFonts w:ascii="Arial" w:eastAsia="Calibri" w:hAnsi="Arial" w:cs="Arial"/>
                <w:b/>
                <w:bCs/>
              </w:rPr>
              <w:t xml:space="preserve">Highlight </w:t>
            </w:r>
          </w:p>
          <w:p w14:paraId="1DAEF388" w14:textId="77777777" w:rsidR="002D1B1F" w:rsidRPr="00B568F3" w:rsidRDefault="002D1B1F" w:rsidP="00FC716F">
            <w:pPr>
              <w:rPr>
                <w:rFonts w:ascii="Arial" w:eastAsia="Calibri" w:hAnsi="Arial" w:cs="Arial"/>
                <w:sz w:val="24"/>
                <w:szCs w:val="24"/>
              </w:rPr>
            </w:pPr>
          </w:p>
          <w:p w14:paraId="105CA4CC" w14:textId="42BEBA37" w:rsidR="004A1683" w:rsidRPr="00B568F3" w:rsidRDefault="00052DC4" w:rsidP="00FC716F">
            <w:pPr>
              <w:rPr>
                <w:rFonts w:ascii="Arial" w:eastAsia="Calibri" w:hAnsi="Arial" w:cs="Arial"/>
                <w:sz w:val="24"/>
                <w:szCs w:val="24"/>
              </w:rPr>
            </w:pPr>
            <w:r w:rsidRPr="00B568F3">
              <w:rPr>
                <w:rFonts w:ascii="Arial" w:eastAsia="Calibri" w:hAnsi="Arial" w:cs="Arial"/>
                <w:sz w:val="24"/>
                <w:szCs w:val="24"/>
              </w:rPr>
              <w:t>We see c</w:t>
            </w:r>
            <w:r w:rsidR="002D1B1F" w:rsidRPr="00B568F3">
              <w:rPr>
                <w:rFonts w:ascii="Arial" w:eastAsia="Calibri" w:hAnsi="Arial" w:cs="Arial"/>
                <w:sz w:val="24"/>
                <w:szCs w:val="24"/>
              </w:rPr>
              <w:t>ontinued growth in a region</w:t>
            </w:r>
            <w:r w:rsidRPr="00B568F3">
              <w:rPr>
                <w:rFonts w:ascii="Arial" w:eastAsia="Calibri" w:hAnsi="Arial" w:cs="Arial"/>
                <w:sz w:val="24"/>
                <w:szCs w:val="24"/>
              </w:rPr>
              <w:t>’</w:t>
            </w:r>
            <w:r w:rsidR="002D1B1F" w:rsidRPr="00B568F3">
              <w:rPr>
                <w:rFonts w:ascii="Arial" w:eastAsia="Calibri" w:hAnsi="Arial" w:cs="Arial"/>
                <w:sz w:val="24"/>
                <w:szCs w:val="24"/>
              </w:rPr>
              <w:t xml:space="preserve">s Digital Partner programme as a way of supporting colleagues with digital skills. </w:t>
            </w:r>
          </w:p>
          <w:p w14:paraId="26F4EE51" w14:textId="77777777" w:rsidR="004A1683" w:rsidRPr="00B568F3" w:rsidRDefault="004A1683" w:rsidP="00FC716F">
            <w:pPr>
              <w:rPr>
                <w:rFonts w:ascii="Arial" w:eastAsia="Calibri" w:hAnsi="Arial" w:cs="Arial"/>
                <w:sz w:val="24"/>
                <w:szCs w:val="24"/>
              </w:rPr>
            </w:pPr>
          </w:p>
          <w:p w14:paraId="1B8EC544" w14:textId="7C8EBA9C" w:rsidR="004A1683" w:rsidRPr="00B568F3" w:rsidRDefault="002D1B1F" w:rsidP="00FC716F">
            <w:pPr>
              <w:rPr>
                <w:rFonts w:ascii="Arial" w:eastAsia="Calibri" w:hAnsi="Arial" w:cs="Arial"/>
                <w:sz w:val="24"/>
                <w:szCs w:val="24"/>
              </w:rPr>
            </w:pPr>
            <w:r w:rsidRPr="00B568F3">
              <w:rPr>
                <w:rFonts w:ascii="Arial" w:eastAsia="Calibri" w:hAnsi="Arial" w:cs="Arial"/>
                <w:sz w:val="24"/>
                <w:szCs w:val="24"/>
              </w:rPr>
              <w:t xml:space="preserve">The digital partners help staff across the wider social care workforce, private care providers, </w:t>
            </w:r>
            <w:r w:rsidR="00052DC4" w:rsidRPr="00B568F3">
              <w:rPr>
                <w:rFonts w:ascii="Arial" w:eastAsia="Calibri" w:hAnsi="Arial" w:cs="Arial"/>
                <w:sz w:val="24"/>
                <w:szCs w:val="24"/>
              </w:rPr>
              <w:t xml:space="preserve">personal </w:t>
            </w:r>
            <w:r w:rsidR="008562CE" w:rsidRPr="00B568F3">
              <w:rPr>
                <w:rFonts w:ascii="Arial" w:eastAsia="Calibri" w:hAnsi="Arial" w:cs="Arial"/>
                <w:sz w:val="24"/>
                <w:szCs w:val="24"/>
              </w:rPr>
              <w:t>assistants,</w:t>
            </w:r>
            <w:r w:rsidRPr="00B568F3">
              <w:rPr>
                <w:rFonts w:ascii="Arial" w:eastAsia="Calibri" w:hAnsi="Arial" w:cs="Arial"/>
                <w:sz w:val="24"/>
                <w:szCs w:val="24"/>
              </w:rPr>
              <w:t xml:space="preserve"> and foster carers. </w:t>
            </w:r>
          </w:p>
          <w:p w14:paraId="5B64FAE1" w14:textId="77777777" w:rsidR="004A1683" w:rsidRPr="00B568F3" w:rsidRDefault="004A1683" w:rsidP="00FC716F">
            <w:pPr>
              <w:rPr>
                <w:rFonts w:ascii="Arial" w:eastAsia="Calibri" w:hAnsi="Arial" w:cs="Arial"/>
                <w:sz w:val="24"/>
                <w:szCs w:val="24"/>
              </w:rPr>
            </w:pPr>
          </w:p>
          <w:p w14:paraId="4542C71D" w14:textId="552A3B82" w:rsidR="004A1683" w:rsidRPr="00B568F3" w:rsidRDefault="002D1B1F" w:rsidP="00FC716F">
            <w:pPr>
              <w:rPr>
                <w:rFonts w:ascii="Arial" w:eastAsia="Calibri" w:hAnsi="Arial" w:cs="Arial"/>
                <w:sz w:val="24"/>
                <w:szCs w:val="24"/>
              </w:rPr>
            </w:pPr>
            <w:r w:rsidRPr="00B568F3">
              <w:rPr>
                <w:rFonts w:ascii="Arial" w:eastAsia="Calibri" w:hAnsi="Arial" w:cs="Arial"/>
                <w:sz w:val="24"/>
                <w:szCs w:val="24"/>
              </w:rPr>
              <w:t xml:space="preserve">One digital partner is the </w:t>
            </w:r>
            <w:r w:rsidR="004A1683" w:rsidRPr="00B568F3">
              <w:rPr>
                <w:rFonts w:ascii="Arial" w:eastAsia="Calibri" w:hAnsi="Arial" w:cs="Arial"/>
                <w:sz w:val="24"/>
                <w:szCs w:val="24"/>
              </w:rPr>
              <w:t xml:space="preserve">training </w:t>
            </w:r>
            <w:r w:rsidRPr="00B568F3">
              <w:rPr>
                <w:rFonts w:ascii="Arial" w:eastAsia="Calibri" w:hAnsi="Arial" w:cs="Arial"/>
                <w:sz w:val="24"/>
                <w:szCs w:val="24"/>
              </w:rPr>
              <w:t xml:space="preserve">and </w:t>
            </w:r>
            <w:r w:rsidR="004A1683" w:rsidRPr="00B568F3">
              <w:rPr>
                <w:rFonts w:ascii="Arial" w:eastAsia="Calibri" w:hAnsi="Arial" w:cs="Arial"/>
                <w:sz w:val="24"/>
                <w:szCs w:val="24"/>
              </w:rPr>
              <w:t xml:space="preserve">development officer </w:t>
            </w:r>
            <w:r w:rsidRPr="00B568F3">
              <w:rPr>
                <w:rFonts w:ascii="Arial" w:eastAsia="Calibri" w:hAnsi="Arial" w:cs="Arial"/>
                <w:sz w:val="24"/>
                <w:szCs w:val="24"/>
              </w:rPr>
              <w:t xml:space="preserve">for Children’s Services and Fostering. Their aim is to build </w:t>
            </w:r>
            <w:r w:rsidR="00052DC4" w:rsidRPr="00B568F3">
              <w:rPr>
                <w:rFonts w:ascii="Arial" w:eastAsia="Calibri" w:hAnsi="Arial" w:cs="Arial"/>
                <w:sz w:val="24"/>
                <w:szCs w:val="24"/>
              </w:rPr>
              <w:t>f</w:t>
            </w:r>
            <w:r w:rsidRPr="00B568F3">
              <w:rPr>
                <w:rFonts w:ascii="Arial" w:eastAsia="Calibri" w:hAnsi="Arial" w:cs="Arial"/>
                <w:sz w:val="24"/>
                <w:szCs w:val="24"/>
              </w:rPr>
              <w:t xml:space="preserve">oster </w:t>
            </w:r>
            <w:r w:rsidR="00052DC4" w:rsidRPr="00B568F3">
              <w:rPr>
                <w:rFonts w:ascii="Arial" w:eastAsia="Calibri" w:hAnsi="Arial" w:cs="Arial"/>
                <w:sz w:val="24"/>
                <w:szCs w:val="24"/>
              </w:rPr>
              <w:t>c</w:t>
            </w:r>
            <w:r w:rsidRPr="00B568F3">
              <w:rPr>
                <w:rFonts w:ascii="Arial" w:eastAsia="Calibri" w:hAnsi="Arial" w:cs="Arial"/>
                <w:sz w:val="24"/>
                <w:szCs w:val="24"/>
              </w:rPr>
              <w:t xml:space="preserve">arers’ confidence in using technology and </w:t>
            </w:r>
            <w:r w:rsidR="00096381" w:rsidRPr="00B568F3">
              <w:rPr>
                <w:rFonts w:ascii="Arial" w:eastAsia="Calibri" w:hAnsi="Arial" w:cs="Arial"/>
                <w:sz w:val="24"/>
                <w:szCs w:val="24"/>
              </w:rPr>
              <w:t>help them</w:t>
            </w:r>
            <w:r w:rsidRPr="00B568F3">
              <w:rPr>
                <w:rFonts w:ascii="Arial" w:eastAsia="Calibri" w:hAnsi="Arial" w:cs="Arial"/>
                <w:sz w:val="24"/>
                <w:szCs w:val="24"/>
              </w:rPr>
              <w:t xml:space="preserve"> take part in live training sessions </w:t>
            </w:r>
            <w:r w:rsidR="53E1BAC4" w:rsidRPr="00B568F3">
              <w:rPr>
                <w:rFonts w:ascii="Arial" w:eastAsia="Calibri" w:hAnsi="Arial" w:cs="Arial"/>
                <w:sz w:val="24"/>
                <w:szCs w:val="24"/>
              </w:rPr>
              <w:t>and meetings</w:t>
            </w:r>
            <w:r w:rsidRPr="00B568F3">
              <w:rPr>
                <w:rFonts w:ascii="Arial" w:eastAsia="Calibri" w:hAnsi="Arial" w:cs="Arial"/>
                <w:sz w:val="24"/>
                <w:szCs w:val="24"/>
              </w:rPr>
              <w:t xml:space="preserve"> using Teams. </w:t>
            </w:r>
          </w:p>
          <w:p w14:paraId="0AAAFB05" w14:textId="77777777" w:rsidR="004A1683" w:rsidRPr="00B568F3" w:rsidRDefault="004A1683" w:rsidP="00FC716F">
            <w:pPr>
              <w:rPr>
                <w:rFonts w:ascii="Arial" w:eastAsia="Calibri" w:hAnsi="Arial" w:cs="Arial"/>
                <w:sz w:val="24"/>
                <w:szCs w:val="24"/>
              </w:rPr>
            </w:pPr>
          </w:p>
          <w:p w14:paraId="5BC16D44" w14:textId="0C47F6BD" w:rsidR="00447E95" w:rsidRPr="00B568F3" w:rsidRDefault="002D1B1F" w:rsidP="00FC716F">
            <w:pPr>
              <w:rPr>
                <w:rFonts w:ascii="Arial" w:eastAsia="Calibri" w:hAnsi="Arial" w:cs="Arial"/>
                <w:color w:val="FF0000"/>
                <w:sz w:val="24"/>
                <w:szCs w:val="24"/>
              </w:rPr>
            </w:pPr>
            <w:r w:rsidRPr="00B568F3">
              <w:rPr>
                <w:rFonts w:ascii="Arial" w:eastAsia="Calibri" w:hAnsi="Arial" w:cs="Arial"/>
                <w:sz w:val="24"/>
                <w:szCs w:val="24"/>
              </w:rPr>
              <w:t xml:space="preserve">Another digital partner is an </w:t>
            </w:r>
            <w:r w:rsidR="004A1683" w:rsidRPr="00B568F3">
              <w:rPr>
                <w:rFonts w:ascii="Arial" w:eastAsia="Calibri" w:hAnsi="Arial" w:cs="Arial"/>
                <w:sz w:val="24"/>
                <w:szCs w:val="24"/>
              </w:rPr>
              <w:t>occupational therapist</w:t>
            </w:r>
            <w:r w:rsidRPr="00B568F3">
              <w:rPr>
                <w:rFonts w:ascii="Arial" w:eastAsia="Calibri" w:hAnsi="Arial" w:cs="Arial"/>
                <w:sz w:val="24"/>
                <w:szCs w:val="24"/>
              </w:rPr>
              <w:t>, who uses this role to find better ways to support colleagues and clients in using IT</w:t>
            </w:r>
            <w:r w:rsidR="007D6B5F" w:rsidRPr="00B568F3">
              <w:rPr>
                <w:rFonts w:ascii="Arial" w:eastAsia="Calibri" w:hAnsi="Arial" w:cs="Arial"/>
                <w:sz w:val="24"/>
                <w:szCs w:val="24"/>
              </w:rPr>
              <w:t xml:space="preserve"> and</w:t>
            </w:r>
            <w:r w:rsidRPr="00B568F3" w:rsidDel="007D6B5F">
              <w:rPr>
                <w:rFonts w:ascii="Arial" w:eastAsia="Calibri" w:hAnsi="Arial" w:cs="Arial"/>
                <w:sz w:val="24"/>
                <w:szCs w:val="24"/>
              </w:rPr>
              <w:t xml:space="preserve"> </w:t>
            </w:r>
            <w:r w:rsidRPr="00B568F3">
              <w:rPr>
                <w:rFonts w:ascii="Arial" w:eastAsia="Calibri" w:hAnsi="Arial" w:cs="Arial"/>
                <w:sz w:val="24"/>
                <w:szCs w:val="24"/>
              </w:rPr>
              <w:t>technology in everyday practice</w:t>
            </w:r>
            <w:r w:rsidR="0053677B" w:rsidRPr="00B568F3">
              <w:rPr>
                <w:rFonts w:ascii="Arial" w:eastAsia="Calibri" w:hAnsi="Arial" w:cs="Arial"/>
                <w:sz w:val="24"/>
                <w:szCs w:val="24"/>
              </w:rPr>
              <w:t>,</w:t>
            </w:r>
            <w:r w:rsidRPr="00B568F3">
              <w:rPr>
                <w:rFonts w:ascii="Arial" w:eastAsia="Calibri" w:hAnsi="Arial" w:cs="Arial"/>
                <w:sz w:val="24"/>
                <w:szCs w:val="24"/>
              </w:rPr>
              <w:t xml:space="preserve"> </w:t>
            </w:r>
            <w:r w:rsidR="007D6B5F" w:rsidRPr="00B568F3">
              <w:rPr>
                <w:rFonts w:ascii="Arial" w:eastAsia="Calibri" w:hAnsi="Arial" w:cs="Arial"/>
                <w:sz w:val="24"/>
                <w:szCs w:val="24"/>
              </w:rPr>
              <w:t>to</w:t>
            </w:r>
            <w:r w:rsidRPr="00B568F3">
              <w:rPr>
                <w:rFonts w:ascii="Arial" w:eastAsia="Calibri" w:hAnsi="Arial" w:cs="Arial"/>
                <w:sz w:val="24"/>
                <w:szCs w:val="24"/>
              </w:rPr>
              <w:t xml:space="preserve"> help individuals</w:t>
            </w:r>
            <w:r w:rsidRPr="00B568F3" w:rsidDel="0053677B">
              <w:rPr>
                <w:rFonts w:ascii="Arial" w:eastAsia="Calibri" w:hAnsi="Arial" w:cs="Arial"/>
                <w:sz w:val="24"/>
                <w:szCs w:val="24"/>
              </w:rPr>
              <w:t xml:space="preserve"> </w:t>
            </w:r>
            <w:r w:rsidRPr="00B568F3">
              <w:rPr>
                <w:rFonts w:ascii="Arial" w:eastAsia="Calibri" w:hAnsi="Arial" w:cs="Arial"/>
                <w:sz w:val="24"/>
                <w:szCs w:val="24"/>
              </w:rPr>
              <w:t xml:space="preserve">be confident </w:t>
            </w:r>
            <w:r w:rsidR="0053677B" w:rsidRPr="00B568F3">
              <w:rPr>
                <w:rFonts w:ascii="Arial" w:eastAsia="Calibri" w:hAnsi="Arial" w:cs="Arial"/>
                <w:sz w:val="24"/>
                <w:szCs w:val="24"/>
              </w:rPr>
              <w:t xml:space="preserve">with </w:t>
            </w:r>
            <w:r w:rsidRPr="00B568F3">
              <w:rPr>
                <w:rFonts w:ascii="Arial" w:eastAsia="Calibri" w:hAnsi="Arial" w:cs="Arial"/>
                <w:sz w:val="24"/>
                <w:szCs w:val="24"/>
              </w:rPr>
              <w:t>technology</w:t>
            </w:r>
            <w:r w:rsidR="007D6B5F" w:rsidRPr="00B568F3">
              <w:rPr>
                <w:rFonts w:ascii="Arial" w:eastAsia="Calibri" w:hAnsi="Arial" w:cs="Arial"/>
                <w:sz w:val="24"/>
                <w:szCs w:val="24"/>
              </w:rPr>
              <w:t>.</w:t>
            </w:r>
          </w:p>
        </w:tc>
      </w:tr>
    </w:tbl>
    <w:p w14:paraId="08E981F5" w14:textId="77777777" w:rsidR="002D1B1F" w:rsidRPr="00B568F3" w:rsidRDefault="002D1B1F" w:rsidP="002D1B1F">
      <w:pPr>
        <w:spacing w:after="0" w:line="240" w:lineRule="auto"/>
        <w:rPr>
          <w:rFonts w:ascii="Arial" w:eastAsia="Calibri" w:hAnsi="Arial" w:cs="Arial"/>
          <w:color w:val="FF0000"/>
          <w:sz w:val="24"/>
          <w:szCs w:val="24"/>
        </w:rPr>
      </w:pPr>
    </w:p>
    <w:p w14:paraId="012B460F" w14:textId="77777777" w:rsidR="002D1B1F" w:rsidRPr="00B568F3" w:rsidRDefault="002D1B1F" w:rsidP="002D1B1F">
      <w:pPr>
        <w:spacing w:after="0" w:line="240" w:lineRule="auto"/>
        <w:rPr>
          <w:rFonts w:ascii="Arial" w:eastAsia="Calibri" w:hAnsi="Arial" w:cs="Arial"/>
          <w:color w:val="FF0000"/>
          <w:sz w:val="24"/>
          <w:szCs w:val="24"/>
        </w:rPr>
      </w:pPr>
    </w:p>
    <w:p w14:paraId="742B6DCF" w14:textId="0EF6C046"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There</w:t>
      </w:r>
      <w:r w:rsidR="0053677B" w:rsidRPr="00B568F3">
        <w:rPr>
          <w:rFonts w:ascii="Arial" w:eastAsia="Calibri" w:hAnsi="Arial" w:cs="Arial"/>
          <w:sz w:val="24"/>
          <w:szCs w:val="24"/>
        </w:rPr>
        <w:t>’s</w:t>
      </w:r>
      <w:r w:rsidRPr="00B568F3" w:rsidDel="0053677B">
        <w:rPr>
          <w:rFonts w:ascii="Arial" w:eastAsia="Calibri" w:hAnsi="Arial" w:cs="Arial"/>
          <w:sz w:val="24"/>
          <w:szCs w:val="24"/>
        </w:rPr>
        <w:t xml:space="preserve"> </w:t>
      </w:r>
      <w:r w:rsidRPr="00B568F3">
        <w:rPr>
          <w:rFonts w:ascii="Arial" w:eastAsia="Calibri" w:hAnsi="Arial" w:cs="Arial"/>
          <w:sz w:val="24"/>
          <w:szCs w:val="24"/>
        </w:rPr>
        <w:t>continued reporting of investment in Community Care Inform</w:t>
      </w:r>
      <w:r w:rsidR="00E74341" w:rsidRPr="00B568F3">
        <w:rPr>
          <w:rFonts w:ascii="Arial" w:eastAsia="Calibri" w:hAnsi="Arial" w:cs="Arial"/>
          <w:sz w:val="24"/>
          <w:szCs w:val="24"/>
        </w:rPr>
        <w:t>,</w:t>
      </w:r>
      <w:r w:rsidRPr="00B568F3">
        <w:rPr>
          <w:rFonts w:ascii="Arial" w:eastAsia="Calibri" w:hAnsi="Arial" w:cs="Arial"/>
          <w:sz w:val="24"/>
          <w:szCs w:val="24"/>
        </w:rPr>
        <w:t xml:space="preserve"> to </w:t>
      </w:r>
      <w:r w:rsidR="00021E04" w:rsidRPr="00B568F3">
        <w:rPr>
          <w:rFonts w:ascii="Arial" w:eastAsia="Calibri" w:hAnsi="Arial" w:cs="Arial"/>
          <w:sz w:val="24"/>
          <w:szCs w:val="24"/>
        </w:rPr>
        <w:t xml:space="preserve">give </w:t>
      </w:r>
      <w:r w:rsidRPr="00B568F3">
        <w:rPr>
          <w:rFonts w:ascii="Arial" w:eastAsia="Calibri" w:hAnsi="Arial" w:cs="Arial"/>
          <w:sz w:val="24"/>
          <w:szCs w:val="24"/>
        </w:rPr>
        <w:t>access to online resources for learning and research for social workers and social care professionals.</w:t>
      </w:r>
    </w:p>
    <w:p w14:paraId="683A8682" w14:textId="77777777" w:rsidR="00ED33D9" w:rsidRPr="00B568F3" w:rsidRDefault="00ED33D9" w:rsidP="00E24AEB">
      <w:pPr>
        <w:spacing w:after="200" w:line="276" w:lineRule="auto"/>
        <w:ind w:left="567"/>
        <w:contextualSpacing/>
        <w:rPr>
          <w:rFonts w:ascii="Arial" w:eastAsia="Calibri" w:hAnsi="Arial" w:cs="Arial"/>
          <w:sz w:val="24"/>
          <w:szCs w:val="24"/>
        </w:rPr>
      </w:pPr>
    </w:p>
    <w:p w14:paraId="41209F87" w14:textId="1366AE23" w:rsidR="002D1B1F" w:rsidRPr="00B568F3" w:rsidRDefault="00155967"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There are d</w:t>
      </w:r>
      <w:r w:rsidR="002D1B1F" w:rsidRPr="00B568F3">
        <w:rPr>
          <w:rFonts w:ascii="Arial" w:eastAsia="Calibri" w:hAnsi="Arial" w:cs="Arial"/>
          <w:sz w:val="24"/>
          <w:szCs w:val="24"/>
        </w:rPr>
        <w:t>igital skills programmes</w:t>
      </w:r>
      <w:r w:rsidR="002D1B1F" w:rsidRPr="00B568F3" w:rsidDel="00155967">
        <w:rPr>
          <w:rFonts w:ascii="Arial" w:eastAsia="Calibri" w:hAnsi="Arial" w:cs="Arial"/>
          <w:sz w:val="24"/>
          <w:szCs w:val="24"/>
        </w:rPr>
        <w:t xml:space="preserve"> </w:t>
      </w:r>
      <w:r w:rsidR="002D1B1F" w:rsidRPr="00B568F3">
        <w:rPr>
          <w:rFonts w:ascii="Arial" w:eastAsia="Calibri" w:hAnsi="Arial" w:cs="Arial"/>
          <w:sz w:val="24"/>
          <w:szCs w:val="24"/>
        </w:rPr>
        <w:t>in place to improve digital literacy</w:t>
      </w:r>
      <w:r w:rsidRPr="00B568F3">
        <w:rPr>
          <w:rFonts w:ascii="Arial" w:eastAsia="Calibri" w:hAnsi="Arial" w:cs="Arial"/>
          <w:sz w:val="24"/>
          <w:szCs w:val="24"/>
        </w:rPr>
        <w:t>,</w:t>
      </w:r>
      <w:r w:rsidR="002D1B1F" w:rsidRPr="00B568F3">
        <w:rPr>
          <w:rFonts w:ascii="Arial" w:eastAsia="Calibri" w:hAnsi="Arial" w:cs="Arial"/>
          <w:sz w:val="24"/>
          <w:szCs w:val="24"/>
        </w:rPr>
        <w:t xml:space="preserve"> with examples of working with local education providers and Digital Communities Wales to offer support to meet the</w:t>
      </w:r>
      <w:r w:rsidRPr="00B568F3">
        <w:rPr>
          <w:rFonts w:ascii="Arial" w:eastAsia="Calibri" w:hAnsi="Arial" w:cs="Arial"/>
          <w:sz w:val="24"/>
          <w:szCs w:val="24"/>
        </w:rPr>
        <w:t xml:space="preserve"> different</w:t>
      </w:r>
      <w:r w:rsidR="002D1B1F" w:rsidRPr="00B568F3" w:rsidDel="00155967">
        <w:rPr>
          <w:rFonts w:ascii="Arial" w:eastAsia="Calibri" w:hAnsi="Arial" w:cs="Arial"/>
          <w:sz w:val="24"/>
          <w:szCs w:val="24"/>
        </w:rPr>
        <w:t xml:space="preserve"> </w:t>
      </w:r>
      <w:r w:rsidR="002D1B1F" w:rsidRPr="00B568F3">
        <w:rPr>
          <w:rFonts w:ascii="Arial" w:eastAsia="Calibri" w:hAnsi="Arial" w:cs="Arial"/>
          <w:sz w:val="24"/>
          <w:szCs w:val="24"/>
        </w:rPr>
        <w:t>digital literacy needs of the workforce across the whole sector.</w:t>
      </w:r>
    </w:p>
    <w:p w14:paraId="0DAA951D" w14:textId="77777777" w:rsidR="00ED33D9" w:rsidRPr="00B568F3" w:rsidRDefault="00ED33D9" w:rsidP="00F4229D">
      <w:pPr>
        <w:spacing w:after="200" w:line="276" w:lineRule="auto"/>
        <w:ind w:left="567"/>
        <w:contextualSpacing/>
        <w:rPr>
          <w:rFonts w:ascii="Arial" w:eastAsia="Calibri" w:hAnsi="Arial" w:cs="Arial"/>
          <w:sz w:val="24"/>
          <w:szCs w:val="24"/>
        </w:rPr>
      </w:pPr>
    </w:p>
    <w:p w14:paraId="1B94D0B1" w14:textId="0A99F859"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Many regions </w:t>
      </w:r>
      <w:r w:rsidR="00BC33F4" w:rsidRPr="00B568F3">
        <w:rPr>
          <w:rFonts w:ascii="Arial" w:eastAsia="Calibri" w:hAnsi="Arial" w:cs="Arial"/>
          <w:sz w:val="24"/>
          <w:szCs w:val="24"/>
        </w:rPr>
        <w:t xml:space="preserve">use </w:t>
      </w:r>
      <w:r w:rsidRPr="00B568F3">
        <w:rPr>
          <w:rFonts w:ascii="Arial" w:eastAsia="Calibri" w:hAnsi="Arial" w:cs="Arial"/>
          <w:sz w:val="24"/>
          <w:szCs w:val="24"/>
        </w:rPr>
        <w:t>a digital champion</w:t>
      </w:r>
      <w:r w:rsidR="00BC33F4" w:rsidRPr="00B568F3">
        <w:rPr>
          <w:rFonts w:ascii="Arial" w:eastAsia="Calibri" w:hAnsi="Arial" w:cs="Arial"/>
          <w:sz w:val="24"/>
          <w:szCs w:val="24"/>
        </w:rPr>
        <w:t>,</w:t>
      </w:r>
      <w:r w:rsidRPr="00B568F3" w:rsidDel="00BC33F4">
        <w:rPr>
          <w:rFonts w:ascii="Arial" w:eastAsia="Calibri" w:hAnsi="Arial" w:cs="Arial"/>
          <w:sz w:val="24"/>
          <w:szCs w:val="24"/>
        </w:rPr>
        <w:t xml:space="preserve"> </w:t>
      </w:r>
      <w:r w:rsidR="008562CE" w:rsidRPr="00B568F3">
        <w:rPr>
          <w:rFonts w:ascii="Arial" w:eastAsia="Calibri" w:hAnsi="Arial" w:cs="Arial"/>
          <w:sz w:val="24"/>
          <w:szCs w:val="24"/>
        </w:rPr>
        <w:t>mentor,</w:t>
      </w:r>
      <w:r w:rsidRPr="00B568F3">
        <w:rPr>
          <w:rFonts w:ascii="Arial" w:eastAsia="Calibri" w:hAnsi="Arial" w:cs="Arial"/>
          <w:sz w:val="24"/>
          <w:szCs w:val="24"/>
        </w:rPr>
        <w:t xml:space="preserve"> </w:t>
      </w:r>
      <w:r w:rsidR="00BC33F4" w:rsidRPr="00B568F3">
        <w:rPr>
          <w:rFonts w:ascii="Arial" w:eastAsia="Calibri" w:hAnsi="Arial" w:cs="Arial"/>
          <w:sz w:val="24"/>
          <w:szCs w:val="24"/>
        </w:rPr>
        <w:t>or</w:t>
      </w:r>
      <w:r w:rsidRPr="00B568F3">
        <w:rPr>
          <w:rFonts w:ascii="Arial" w:eastAsia="Calibri" w:hAnsi="Arial" w:cs="Arial"/>
          <w:sz w:val="24"/>
          <w:szCs w:val="24"/>
        </w:rPr>
        <w:t xml:space="preserve"> partner approach</w:t>
      </w:r>
      <w:r w:rsidR="00155967" w:rsidRPr="00B568F3">
        <w:rPr>
          <w:rFonts w:ascii="Arial" w:eastAsia="Calibri" w:hAnsi="Arial" w:cs="Arial"/>
          <w:sz w:val="24"/>
          <w:szCs w:val="24"/>
        </w:rPr>
        <w:t>. This</w:t>
      </w:r>
      <w:r w:rsidR="00B968C8" w:rsidRPr="00B568F3">
        <w:rPr>
          <w:rFonts w:ascii="Arial" w:eastAsia="Calibri" w:hAnsi="Arial" w:cs="Arial"/>
          <w:sz w:val="24"/>
          <w:szCs w:val="24"/>
        </w:rPr>
        <w:t xml:space="preserve"> </w:t>
      </w:r>
      <w:r w:rsidRPr="00B568F3">
        <w:rPr>
          <w:rFonts w:ascii="Arial" w:eastAsia="Calibri" w:hAnsi="Arial" w:cs="Arial"/>
          <w:sz w:val="24"/>
          <w:szCs w:val="24"/>
        </w:rPr>
        <w:t>upskill</w:t>
      </w:r>
      <w:r w:rsidR="00155967" w:rsidRPr="00B568F3">
        <w:rPr>
          <w:rFonts w:ascii="Arial" w:eastAsia="Calibri" w:hAnsi="Arial" w:cs="Arial"/>
          <w:sz w:val="24"/>
          <w:szCs w:val="24"/>
        </w:rPr>
        <w:t>s</w:t>
      </w:r>
      <w:r w:rsidRPr="00B568F3">
        <w:rPr>
          <w:rFonts w:ascii="Arial" w:eastAsia="Calibri" w:hAnsi="Arial" w:cs="Arial"/>
          <w:sz w:val="24"/>
          <w:szCs w:val="24"/>
        </w:rPr>
        <w:t xml:space="preserve"> workers from the social care workforce to support their colleagues with digital skills and confidence.</w:t>
      </w:r>
    </w:p>
    <w:p w14:paraId="0F2A5B8A" w14:textId="77777777" w:rsidR="00ED33D9" w:rsidRPr="00B568F3" w:rsidRDefault="00ED33D9" w:rsidP="00ED33D9">
      <w:pPr>
        <w:spacing w:after="200" w:line="276" w:lineRule="auto"/>
        <w:contextualSpacing/>
        <w:rPr>
          <w:rFonts w:ascii="Arial" w:eastAsia="Calibri" w:hAnsi="Arial" w:cs="Arial"/>
          <w:bCs/>
          <w:sz w:val="24"/>
          <w:szCs w:val="24"/>
        </w:rPr>
      </w:pPr>
    </w:p>
    <w:p w14:paraId="3716D731" w14:textId="67CB5231"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Regions</w:t>
      </w:r>
      <w:r w:rsidRPr="00B568F3" w:rsidDel="009F29BF">
        <w:rPr>
          <w:rFonts w:ascii="Arial" w:eastAsia="Calibri" w:hAnsi="Arial" w:cs="Arial"/>
          <w:sz w:val="24"/>
          <w:szCs w:val="24"/>
        </w:rPr>
        <w:t xml:space="preserve"> </w:t>
      </w:r>
      <w:r w:rsidR="009F29BF" w:rsidRPr="00B568F3">
        <w:rPr>
          <w:rFonts w:ascii="Arial" w:eastAsia="Calibri" w:hAnsi="Arial" w:cs="Arial"/>
          <w:sz w:val="24"/>
          <w:szCs w:val="24"/>
        </w:rPr>
        <w:t xml:space="preserve">keep </w:t>
      </w:r>
      <w:r w:rsidRPr="00B568F3">
        <w:rPr>
          <w:rFonts w:ascii="Arial" w:eastAsia="Calibri" w:hAnsi="Arial" w:cs="Arial"/>
          <w:sz w:val="24"/>
          <w:szCs w:val="24"/>
        </w:rPr>
        <w:t>invest</w:t>
      </w:r>
      <w:r w:rsidR="009F29BF" w:rsidRPr="00B568F3">
        <w:rPr>
          <w:rFonts w:ascii="Arial" w:eastAsia="Calibri" w:hAnsi="Arial" w:cs="Arial"/>
          <w:sz w:val="24"/>
          <w:szCs w:val="24"/>
        </w:rPr>
        <w:t>ing</w:t>
      </w:r>
      <w:r w:rsidRPr="00B568F3">
        <w:rPr>
          <w:rFonts w:ascii="Arial" w:eastAsia="Calibri" w:hAnsi="Arial" w:cs="Arial"/>
          <w:sz w:val="24"/>
          <w:szCs w:val="24"/>
        </w:rPr>
        <w:t xml:space="preserve"> in improving access to digital learning and support to the whole sector with examples including:</w:t>
      </w:r>
    </w:p>
    <w:p w14:paraId="024A31D2" w14:textId="7E1D1AF5" w:rsidR="002D1B1F" w:rsidRPr="00B568F3" w:rsidRDefault="002D1B1F" w:rsidP="00632461">
      <w:pPr>
        <w:numPr>
          <w:ilvl w:val="0"/>
          <w:numId w:val="12"/>
        </w:numPr>
        <w:spacing w:after="0" w:line="276" w:lineRule="auto"/>
        <w:contextualSpacing/>
        <w:rPr>
          <w:rFonts w:ascii="Arial" w:eastAsia="Calibri" w:hAnsi="Arial" w:cs="Arial"/>
          <w:sz w:val="24"/>
          <w:szCs w:val="24"/>
        </w:rPr>
      </w:pPr>
      <w:r w:rsidRPr="00B568F3">
        <w:rPr>
          <w:rFonts w:ascii="Arial" w:eastAsia="Calibri" w:hAnsi="Arial" w:cs="Arial"/>
          <w:sz w:val="24"/>
          <w:szCs w:val="24"/>
        </w:rPr>
        <w:t>Maintaining ICT licenses and continuing to build up stock of hardware for training use</w:t>
      </w:r>
    </w:p>
    <w:p w14:paraId="7365EF8C" w14:textId="3DA01E31" w:rsidR="002D1B1F" w:rsidRPr="00B568F3" w:rsidRDefault="00E648DB" w:rsidP="00632461">
      <w:pPr>
        <w:numPr>
          <w:ilvl w:val="0"/>
          <w:numId w:val="12"/>
        </w:numPr>
        <w:spacing w:after="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Buying</w:t>
      </w:r>
      <w:r w:rsidR="002D1B1F" w:rsidRPr="00B568F3">
        <w:rPr>
          <w:rFonts w:ascii="Arial" w:eastAsia="Calibri" w:hAnsi="Arial" w:cs="Arial"/>
          <w:sz w:val="24"/>
          <w:szCs w:val="24"/>
          <w:lang w:eastAsia="en-GB"/>
        </w:rPr>
        <w:t xml:space="preserve"> equipment to support learning and development</w:t>
      </w:r>
    </w:p>
    <w:p w14:paraId="28A3B8C9" w14:textId="68992182" w:rsidR="002D1B1F" w:rsidRPr="00B568F3" w:rsidRDefault="00FF4775" w:rsidP="00632461">
      <w:pPr>
        <w:numPr>
          <w:ilvl w:val="0"/>
          <w:numId w:val="12"/>
        </w:numPr>
        <w:spacing w:after="0" w:line="276" w:lineRule="auto"/>
        <w:contextualSpacing/>
        <w:rPr>
          <w:rFonts w:ascii="Arial" w:eastAsia="Calibri" w:hAnsi="Arial" w:cs="Arial"/>
          <w:sz w:val="24"/>
          <w:szCs w:val="24"/>
        </w:rPr>
      </w:pPr>
      <w:r w:rsidRPr="00B568F3">
        <w:rPr>
          <w:rFonts w:ascii="Arial" w:eastAsia="Calibri" w:hAnsi="Arial" w:cs="Arial"/>
          <w:sz w:val="24"/>
          <w:szCs w:val="24"/>
        </w:rPr>
        <w:t>Loaning</w:t>
      </w:r>
      <w:r w:rsidR="002D1B1F" w:rsidRPr="00B568F3">
        <w:rPr>
          <w:rFonts w:ascii="Arial" w:eastAsia="Calibri" w:hAnsi="Arial" w:cs="Arial"/>
          <w:sz w:val="24"/>
          <w:szCs w:val="24"/>
        </w:rPr>
        <w:t xml:space="preserve"> equipment to </w:t>
      </w:r>
      <w:r w:rsidR="005E7C06" w:rsidRPr="00B568F3">
        <w:rPr>
          <w:rFonts w:ascii="Arial" w:eastAsia="Calibri" w:hAnsi="Arial" w:cs="Arial"/>
          <w:sz w:val="24"/>
          <w:szCs w:val="24"/>
        </w:rPr>
        <w:t>settings which</w:t>
      </w:r>
      <w:r w:rsidR="00D8316B" w:rsidRPr="00B568F3">
        <w:rPr>
          <w:rFonts w:ascii="Arial" w:eastAsia="Calibri" w:hAnsi="Arial" w:cs="Arial"/>
          <w:sz w:val="24"/>
          <w:szCs w:val="24"/>
        </w:rPr>
        <w:t xml:space="preserve"> allows</w:t>
      </w:r>
      <w:r w:rsidR="002D1B1F" w:rsidRPr="00B568F3">
        <w:rPr>
          <w:rFonts w:ascii="Arial" w:eastAsia="Calibri" w:hAnsi="Arial" w:cs="Arial"/>
          <w:sz w:val="24"/>
          <w:szCs w:val="24"/>
        </w:rPr>
        <w:t xml:space="preserve"> group</w:t>
      </w:r>
      <w:r w:rsidR="00D8316B" w:rsidRPr="00B568F3">
        <w:rPr>
          <w:rFonts w:ascii="Arial" w:eastAsia="Calibri" w:hAnsi="Arial" w:cs="Arial"/>
          <w:sz w:val="24"/>
          <w:szCs w:val="24"/>
        </w:rPr>
        <w:t>s</w:t>
      </w:r>
      <w:r w:rsidR="00B43453" w:rsidRPr="00B568F3">
        <w:rPr>
          <w:rFonts w:ascii="Arial" w:eastAsia="Calibri" w:hAnsi="Arial" w:cs="Arial"/>
          <w:sz w:val="24"/>
          <w:szCs w:val="24"/>
        </w:rPr>
        <w:t xml:space="preserve"> </w:t>
      </w:r>
      <w:r w:rsidR="00D8316B" w:rsidRPr="00B568F3">
        <w:rPr>
          <w:rFonts w:ascii="Arial" w:eastAsia="Calibri" w:hAnsi="Arial" w:cs="Arial"/>
          <w:sz w:val="24"/>
          <w:szCs w:val="24"/>
        </w:rPr>
        <w:t xml:space="preserve">to take </w:t>
      </w:r>
      <w:r w:rsidR="002E1436" w:rsidRPr="00B568F3">
        <w:rPr>
          <w:rFonts w:ascii="Arial" w:eastAsia="Calibri" w:hAnsi="Arial" w:cs="Arial"/>
          <w:sz w:val="24"/>
          <w:szCs w:val="24"/>
        </w:rPr>
        <w:t>part in</w:t>
      </w:r>
      <w:r w:rsidR="002D1B1F" w:rsidRPr="00B568F3">
        <w:rPr>
          <w:rFonts w:ascii="Arial" w:eastAsia="Calibri" w:hAnsi="Arial" w:cs="Arial"/>
          <w:sz w:val="24"/>
          <w:szCs w:val="24"/>
        </w:rPr>
        <w:t xml:space="preserve"> digital learning and </w:t>
      </w:r>
      <w:r w:rsidR="00D8316B" w:rsidRPr="00B568F3">
        <w:rPr>
          <w:rFonts w:ascii="Arial" w:eastAsia="Calibri" w:hAnsi="Arial" w:cs="Arial"/>
          <w:sz w:val="24"/>
          <w:szCs w:val="24"/>
        </w:rPr>
        <w:t>to</w:t>
      </w:r>
      <w:r w:rsidR="002D1B1F" w:rsidRPr="00B568F3">
        <w:rPr>
          <w:rFonts w:ascii="Arial" w:eastAsia="Calibri" w:hAnsi="Arial" w:cs="Arial"/>
          <w:sz w:val="24"/>
          <w:szCs w:val="24"/>
        </w:rPr>
        <w:t xml:space="preserve"> </w:t>
      </w:r>
      <w:r w:rsidR="00D8316B" w:rsidRPr="00B568F3">
        <w:rPr>
          <w:rFonts w:ascii="Arial" w:eastAsia="Calibri" w:hAnsi="Arial" w:cs="Arial"/>
          <w:sz w:val="24"/>
          <w:szCs w:val="24"/>
        </w:rPr>
        <w:t xml:space="preserve">fill </w:t>
      </w:r>
      <w:r w:rsidR="002D1B1F" w:rsidRPr="00B568F3">
        <w:rPr>
          <w:rFonts w:ascii="Arial" w:eastAsia="Calibri" w:hAnsi="Arial" w:cs="Arial"/>
          <w:sz w:val="24"/>
          <w:szCs w:val="24"/>
        </w:rPr>
        <w:t xml:space="preserve">gaps in </w:t>
      </w:r>
      <w:r w:rsidR="00D8316B" w:rsidRPr="00B568F3">
        <w:rPr>
          <w:rFonts w:ascii="Arial" w:eastAsia="Calibri" w:hAnsi="Arial" w:cs="Arial"/>
          <w:sz w:val="24"/>
          <w:szCs w:val="24"/>
        </w:rPr>
        <w:t>the system</w:t>
      </w:r>
    </w:p>
    <w:p w14:paraId="2BF4C938" w14:textId="5596EE56" w:rsidR="002D1B1F" w:rsidRPr="00B568F3" w:rsidRDefault="002D1B1F" w:rsidP="00632461">
      <w:pPr>
        <w:numPr>
          <w:ilvl w:val="0"/>
          <w:numId w:val="12"/>
        </w:numPr>
        <w:spacing w:after="0" w:line="276" w:lineRule="auto"/>
        <w:contextualSpacing/>
        <w:rPr>
          <w:rFonts w:ascii="Arial" w:eastAsia="Calibri" w:hAnsi="Arial" w:cs="Arial"/>
          <w:sz w:val="24"/>
          <w:szCs w:val="24"/>
          <w:lang w:eastAsia="en-GB"/>
        </w:rPr>
      </w:pPr>
      <w:r w:rsidRPr="00B568F3">
        <w:rPr>
          <w:rFonts w:ascii="Arial" w:eastAsia="Calibri" w:hAnsi="Arial" w:cs="Arial"/>
          <w:sz w:val="24"/>
          <w:szCs w:val="24"/>
          <w:lang w:eastAsia="en-GB"/>
        </w:rPr>
        <w:t>Teams going into</w:t>
      </w:r>
      <w:r w:rsidR="004B45FF" w:rsidRPr="00B568F3">
        <w:rPr>
          <w:rFonts w:ascii="Arial" w:eastAsia="Calibri" w:hAnsi="Arial" w:cs="Arial"/>
          <w:sz w:val="24"/>
          <w:szCs w:val="24"/>
          <w:lang w:eastAsia="en-GB"/>
        </w:rPr>
        <w:t xml:space="preserve"> places</w:t>
      </w:r>
      <w:r w:rsidRPr="00B568F3" w:rsidDel="004B45FF">
        <w:rPr>
          <w:rFonts w:ascii="Arial" w:eastAsia="Calibri" w:hAnsi="Arial" w:cs="Arial"/>
          <w:sz w:val="24"/>
          <w:szCs w:val="24"/>
          <w:lang w:eastAsia="en-GB"/>
        </w:rPr>
        <w:t xml:space="preserve"> </w:t>
      </w:r>
      <w:r w:rsidRPr="00B568F3">
        <w:rPr>
          <w:rFonts w:ascii="Arial" w:eastAsia="Calibri" w:hAnsi="Arial" w:cs="Arial"/>
          <w:sz w:val="24"/>
          <w:szCs w:val="24"/>
          <w:lang w:eastAsia="en-GB"/>
        </w:rPr>
        <w:t xml:space="preserve">to offer support and </w:t>
      </w:r>
      <w:r w:rsidR="004B45FF" w:rsidRPr="00B568F3">
        <w:rPr>
          <w:rFonts w:ascii="Arial" w:eastAsia="Calibri" w:hAnsi="Arial" w:cs="Arial"/>
          <w:sz w:val="24"/>
          <w:szCs w:val="24"/>
          <w:lang w:eastAsia="en-GB"/>
        </w:rPr>
        <w:t>fix</w:t>
      </w:r>
      <w:r w:rsidRPr="00B568F3">
        <w:rPr>
          <w:rFonts w:ascii="Arial" w:eastAsia="Calibri" w:hAnsi="Arial" w:cs="Arial"/>
          <w:sz w:val="24"/>
          <w:szCs w:val="24"/>
          <w:lang w:eastAsia="en-GB"/>
        </w:rPr>
        <w:t xml:space="preserve"> issues together.</w:t>
      </w:r>
    </w:p>
    <w:p w14:paraId="335F367C" w14:textId="77777777" w:rsidR="00ED33D9" w:rsidRPr="00B568F3" w:rsidRDefault="00ED33D9" w:rsidP="00ED33D9">
      <w:pPr>
        <w:spacing w:after="200" w:line="276" w:lineRule="auto"/>
        <w:ind w:left="1440"/>
        <w:contextualSpacing/>
        <w:rPr>
          <w:rFonts w:ascii="Arial" w:eastAsia="Calibri" w:hAnsi="Arial" w:cs="Arial"/>
          <w:bCs/>
          <w:sz w:val="24"/>
          <w:szCs w:val="24"/>
        </w:rPr>
      </w:pPr>
    </w:p>
    <w:p w14:paraId="68D826C8" w14:textId="55A7628C" w:rsidR="002D1B1F" w:rsidRPr="00B568F3" w:rsidRDefault="0064227E"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Most re</w:t>
      </w:r>
      <w:r w:rsidR="00E55B4C" w:rsidRPr="00B568F3">
        <w:rPr>
          <w:rFonts w:ascii="Arial" w:eastAsia="Calibri" w:hAnsi="Arial" w:cs="Arial"/>
          <w:sz w:val="24"/>
          <w:szCs w:val="24"/>
        </w:rPr>
        <w:t xml:space="preserve">gions are still investing in </w:t>
      </w:r>
      <w:r w:rsidR="00EB57AA" w:rsidRPr="00B568F3">
        <w:rPr>
          <w:rFonts w:ascii="Arial" w:eastAsia="Calibri" w:hAnsi="Arial" w:cs="Arial"/>
          <w:sz w:val="24"/>
          <w:szCs w:val="24"/>
        </w:rPr>
        <w:t>workforce development to help with d</w:t>
      </w:r>
      <w:r w:rsidR="00A02F62" w:rsidRPr="00B568F3">
        <w:rPr>
          <w:rFonts w:ascii="Arial" w:eastAsia="Calibri" w:hAnsi="Arial" w:cs="Arial"/>
          <w:sz w:val="24"/>
          <w:szCs w:val="24"/>
        </w:rPr>
        <w:t xml:space="preserve">igital learning development, </w:t>
      </w:r>
      <w:r w:rsidR="008562CE" w:rsidRPr="00B568F3">
        <w:rPr>
          <w:rFonts w:ascii="Arial" w:eastAsia="Calibri" w:hAnsi="Arial" w:cs="Arial"/>
          <w:sz w:val="24"/>
          <w:szCs w:val="24"/>
        </w:rPr>
        <w:t>design,</w:t>
      </w:r>
      <w:r w:rsidR="00A02F62" w:rsidRPr="00B568F3">
        <w:rPr>
          <w:rFonts w:ascii="Arial" w:eastAsia="Calibri" w:hAnsi="Arial" w:cs="Arial"/>
          <w:sz w:val="24"/>
          <w:szCs w:val="24"/>
        </w:rPr>
        <w:t xml:space="preserve"> and delivery and </w:t>
      </w:r>
      <w:r w:rsidR="00050D4F" w:rsidRPr="00B568F3">
        <w:rPr>
          <w:rFonts w:ascii="Arial" w:eastAsia="Calibri" w:hAnsi="Arial" w:cs="Arial"/>
          <w:sz w:val="24"/>
          <w:szCs w:val="24"/>
        </w:rPr>
        <w:t xml:space="preserve">to create resource internally. </w:t>
      </w:r>
      <w:r w:rsidR="007110B5" w:rsidRPr="00B568F3">
        <w:rPr>
          <w:rFonts w:ascii="Arial" w:eastAsia="Calibri" w:hAnsi="Arial" w:cs="Arial"/>
          <w:sz w:val="24"/>
          <w:szCs w:val="24"/>
        </w:rPr>
        <w:t xml:space="preserve">This includes working together to get group discounts. </w:t>
      </w:r>
    </w:p>
    <w:p w14:paraId="09793E8E" w14:textId="77777777" w:rsidR="00ED33D9" w:rsidRPr="00B568F3" w:rsidRDefault="00ED33D9" w:rsidP="00E24AEB">
      <w:pPr>
        <w:spacing w:after="200" w:line="276" w:lineRule="auto"/>
        <w:ind w:left="567"/>
        <w:contextualSpacing/>
        <w:rPr>
          <w:rFonts w:ascii="Arial" w:eastAsia="Calibri" w:hAnsi="Arial" w:cs="Arial"/>
          <w:sz w:val="24"/>
          <w:szCs w:val="24"/>
        </w:rPr>
      </w:pPr>
    </w:p>
    <w:p w14:paraId="4754C4C3" w14:textId="71FC892A"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There</w:t>
      </w:r>
      <w:r w:rsidR="00A63592" w:rsidRPr="00B568F3">
        <w:rPr>
          <w:rFonts w:ascii="Arial" w:eastAsia="Calibri" w:hAnsi="Arial" w:cs="Arial"/>
          <w:sz w:val="24"/>
          <w:szCs w:val="24"/>
        </w:rPr>
        <w:t xml:space="preserve">’s still </w:t>
      </w:r>
      <w:r w:rsidR="005E7C06" w:rsidRPr="00B568F3">
        <w:rPr>
          <w:rFonts w:ascii="Arial" w:eastAsia="Calibri" w:hAnsi="Arial" w:cs="Arial"/>
          <w:sz w:val="24"/>
          <w:szCs w:val="24"/>
        </w:rPr>
        <w:t xml:space="preserve">a </w:t>
      </w:r>
      <w:r w:rsidR="005E7C06" w:rsidRPr="00B568F3" w:rsidDel="00A63592">
        <w:rPr>
          <w:rFonts w:ascii="Arial" w:eastAsia="Calibri" w:hAnsi="Arial" w:cs="Arial"/>
          <w:sz w:val="24"/>
          <w:szCs w:val="24"/>
        </w:rPr>
        <w:t>range</w:t>
      </w:r>
      <w:r w:rsidRPr="00B568F3">
        <w:rPr>
          <w:rFonts w:ascii="Arial" w:eastAsia="Calibri" w:hAnsi="Arial" w:cs="Arial"/>
          <w:sz w:val="24"/>
          <w:szCs w:val="24"/>
        </w:rPr>
        <w:t xml:space="preserve"> of support </w:t>
      </w:r>
      <w:r w:rsidR="00ED5598" w:rsidRPr="00B568F3">
        <w:rPr>
          <w:rFonts w:ascii="Arial" w:eastAsia="Calibri" w:hAnsi="Arial" w:cs="Arial"/>
          <w:sz w:val="24"/>
          <w:szCs w:val="24"/>
        </w:rPr>
        <w:t>for</w:t>
      </w:r>
      <w:r w:rsidR="007B06BA" w:rsidRPr="00B568F3">
        <w:rPr>
          <w:rFonts w:ascii="Arial" w:eastAsia="Calibri" w:hAnsi="Arial" w:cs="Arial"/>
          <w:sz w:val="24"/>
          <w:szCs w:val="24"/>
        </w:rPr>
        <w:t xml:space="preserve"> </w:t>
      </w:r>
      <w:r w:rsidR="00127CCC" w:rsidRPr="00B568F3">
        <w:rPr>
          <w:rFonts w:ascii="Arial" w:eastAsia="Calibri" w:hAnsi="Arial" w:cs="Arial"/>
          <w:sz w:val="24"/>
          <w:szCs w:val="24"/>
        </w:rPr>
        <w:t>f</w:t>
      </w:r>
      <w:r w:rsidRPr="00B568F3">
        <w:rPr>
          <w:rFonts w:ascii="Arial" w:eastAsia="Calibri" w:hAnsi="Arial" w:cs="Arial"/>
          <w:sz w:val="24"/>
          <w:szCs w:val="24"/>
        </w:rPr>
        <w:t xml:space="preserve">oster </w:t>
      </w:r>
      <w:r w:rsidR="00127CCC" w:rsidRPr="00B568F3">
        <w:rPr>
          <w:rFonts w:ascii="Arial" w:eastAsia="Calibri" w:hAnsi="Arial" w:cs="Arial"/>
          <w:sz w:val="24"/>
          <w:szCs w:val="24"/>
        </w:rPr>
        <w:t>c</w:t>
      </w:r>
      <w:r w:rsidRPr="00B568F3">
        <w:rPr>
          <w:rFonts w:ascii="Arial" w:eastAsia="Calibri" w:hAnsi="Arial" w:cs="Arial"/>
          <w:sz w:val="24"/>
          <w:szCs w:val="24"/>
        </w:rPr>
        <w:t>arers</w:t>
      </w:r>
      <w:r w:rsidR="00547943" w:rsidRPr="00B568F3" w:rsidDel="00ED5598">
        <w:rPr>
          <w:rFonts w:ascii="Arial" w:eastAsia="Calibri" w:hAnsi="Arial" w:cs="Arial"/>
          <w:sz w:val="24"/>
          <w:szCs w:val="24"/>
        </w:rPr>
        <w:t xml:space="preserve"> </w:t>
      </w:r>
      <w:r w:rsidR="00ED5598" w:rsidRPr="00B568F3">
        <w:rPr>
          <w:rFonts w:ascii="Arial" w:eastAsia="Calibri" w:hAnsi="Arial" w:cs="Arial"/>
          <w:sz w:val="24"/>
          <w:szCs w:val="24"/>
        </w:rPr>
        <w:t xml:space="preserve">to </w:t>
      </w:r>
      <w:r w:rsidRPr="00B568F3">
        <w:rPr>
          <w:rFonts w:ascii="Arial" w:eastAsia="Calibri" w:hAnsi="Arial" w:cs="Arial"/>
          <w:sz w:val="24"/>
          <w:szCs w:val="24"/>
        </w:rPr>
        <w:t>access training and development opportunities</w:t>
      </w:r>
      <w:r w:rsidR="00ED5598" w:rsidRPr="00B568F3">
        <w:rPr>
          <w:rFonts w:ascii="Arial" w:eastAsia="Calibri" w:hAnsi="Arial" w:cs="Arial"/>
          <w:sz w:val="24"/>
          <w:szCs w:val="24"/>
        </w:rPr>
        <w:t xml:space="preserve"> that are </w:t>
      </w:r>
      <w:r w:rsidR="002447A3" w:rsidRPr="00B568F3">
        <w:rPr>
          <w:rFonts w:ascii="Arial" w:eastAsia="Calibri" w:hAnsi="Arial" w:cs="Arial"/>
          <w:sz w:val="24"/>
          <w:szCs w:val="24"/>
        </w:rPr>
        <w:t>customised for them</w:t>
      </w:r>
      <w:r w:rsidR="1D5D7F09" w:rsidRPr="00B568F3" w:rsidDel="002447A3">
        <w:rPr>
          <w:rFonts w:ascii="Arial" w:eastAsia="Calibri" w:hAnsi="Arial" w:cs="Arial"/>
          <w:sz w:val="24"/>
          <w:szCs w:val="24"/>
        </w:rPr>
        <w:t>.</w:t>
      </w:r>
    </w:p>
    <w:p w14:paraId="385BC092" w14:textId="77777777" w:rsidR="00ED33D9" w:rsidRPr="00B568F3" w:rsidRDefault="00ED33D9" w:rsidP="00F4229D">
      <w:pPr>
        <w:spacing w:after="200" w:line="276" w:lineRule="auto"/>
        <w:ind w:left="567"/>
        <w:contextualSpacing/>
        <w:rPr>
          <w:rFonts w:ascii="Arial" w:eastAsia="Calibri" w:hAnsi="Arial" w:cs="Arial"/>
          <w:sz w:val="24"/>
          <w:szCs w:val="24"/>
        </w:rPr>
      </w:pPr>
    </w:p>
    <w:p w14:paraId="1A0D3B38" w14:textId="2E3E2558"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There</w:t>
      </w:r>
      <w:r w:rsidR="005432D5" w:rsidRPr="00B568F3">
        <w:rPr>
          <w:rFonts w:ascii="Arial" w:eastAsia="Calibri" w:hAnsi="Arial" w:cs="Arial"/>
          <w:sz w:val="24"/>
          <w:szCs w:val="24"/>
        </w:rPr>
        <w:t xml:space="preserve">’s still </w:t>
      </w:r>
      <w:r w:rsidRPr="00B568F3">
        <w:rPr>
          <w:rFonts w:ascii="Arial" w:eastAsia="Calibri" w:hAnsi="Arial" w:cs="Arial"/>
          <w:sz w:val="24"/>
          <w:szCs w:val="24"/>
        </w:rPr>
        <w:t>strong collaborative working</w:t>
      </w:r>
      <w:r w:rsidR="00EA3F50" w:rsidRPr="00B568F3">
        <w:rPr>
          <w:rFonts w:ascii="Arial" w:eastAsia="Calibri" w:hAnsi="Arial" w:cs="Arial"/>
          <w:sz w:val="24"/>
          <w:szCs w:val="24"/>
        </w:rPr>
        <w:t>,</w:t>
      </w:r>
      <w:r w:rsidRPr="00B568F3">
        <w:rPr>
          <w:rFonts w:ascii="Arial" w:eastAsia="Calibri" w:hAnsi="Arial" w:cs="Arial"/>
          <w:sz w:val="24"/>
          <w:szCs w:val="24"/>
        </w:rPr>
        <w:t xml:space="preserve"> continued development of networks and partnerships with agencies that can support digital development </w:t>
      </w:r>
      <w:r w:rsidR="002C5219" w:rsidRPr="00B568F3">
        <w:rPr>
          <w:rFonts w:ascii="Arial" w:eastAsia="Calibri" w:hAnsi="Arial" w:cs="Arial"/>
          <w:sz w:val="24"/>
          <w:szCs w:val="24"/>
        </w:rPr>
        <w:t>such as</w:t>
      </w:r>
      <w:r w:rsidR="005432D5" w:rsidRPr="00B568F3">
        <w:rPr>
          <w:rFonts w:ascii="Arial" w:eastAsia="Calibri" w:hAnsi="Arial" w:cs="Arial"/>
          <w:sz w:val="24"/>
          <w:szCs w:val="24"/>
        </w:rPr>
        <w:t>,</w:t>
      </w:r>
      <w:r w:rsidRPr="00B568F3">
        <w:rPr>
          <w:rFonts w:ascii="Arial" w:eastAsia="Calibri" w:hAnsi="Arial" w:cs="Arial"/>
          <w:sz w:val="24"/>
          <w:szCs w:val="24"/>
        </w:rPr>
        <w:t xml:space="preserve"> Digital Communities Wales and the Wales Union Learning Fund.</w:t>
      </w:r>
    </w:p>
    <w:p w14:paraId="256C1735" w14:textId="77777777" w:rsidR="005B4D1D" w:rsidRPr="00B568F3" w:rsidRDefault="005B4D1D" w:rsidP="00F4229D">
      <w:pPr>
        <w:spacing w:after="200" w:line="276" w:lineRule="auto"/>
        <w:ind w:left="567"/>
        <w:contextualSpacing/>
        <w:rPr>
          <w:rFonts w:ascii="Arial" w:eastAsia="Calibri" w:hAnsi="Arial" w:cs="Arial"/>
          <w:sz w:val="24"/>
          <w:szCs w:val="24"/>
        </w:rPr>
      </w:pPr>
    </w:p>
    <w:p w14:paraId="08A586AC" w14:textId="00270A8C" w:rsidR="002D1B1F" w:rsidRPr="00B568F3" w:rsidRDefault="0087698C"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E-learning</w:t>
      </w:r>
      <w:r w:rsidR="002D1B1F" w:rsidRPr="00B568F3">
        <w:rPr>
          <w:rFonts w:ascii="Arial" w:eastAsia="Calibri" w:hAnsi="Arial" w:cs="Arial"/>
          <w:sz w:val="24"/>
          <w:szCs w:val="24"/>
        </w:rPr>
        <w:t xml:space="preserve"> </w:t>
      </w:r>
      <w:r w:rsidRPr="00B568F3">
        <w:rPr>
          <w:rFonts w:ascii="Arial" w:eastAsia="Calibri" w:hAnsi="Arial" w:cs="Arial"/>
          <w:sz w:val="24"/>
          <w:szCs w:val="24"/>
        </w:rPr>
        <w:t xml:space="preserve">continues to be used </w:t>
      </w:r>
      <w:r w:rsidR="00EA3F50" w:rsidRPr="00B568F3">
        <w:rPr>
          <w:rFonts w:ascii="Arial" w:eastAsia="Calibri" w:hAnsi="Arial" w:cs="Arial"/>
          <w:sz w:val="24"/>
          <w:szCs w:val="24"/>
        </w:rPr>
        <w:t>alongside</w:t>
      </w:r>
      <w:r w:rsidR="002D1B1F" w:rsidRPr="00B568F3">
        <w:rPr>
          <w:rFonts w:ascii="Arial" w:eastAsia="Calibri" w:hAnsi="Arial" w:cs="Arial"/>
          <w:sz w:val="24"/>
          <w:szCs w:val="24"/>
        </w:rPr>
        <w:t xml:space="preserve"> </w:t>
      </w:r>
      <w:r w:rsidR="005E7C06" w:rsidRPr="00B568F3">
        <w:rPr>
          <w:rFonts w:ascii="Arial" w:eastAsia="Calibri" w:hAnsi="Arial" w:cs="Arial"/>
          <w:sz w:val="24"/>
          <w:szCs w:val="24"/>
        </w:rPr>
        <w:t>face-to-face</w:t>
      </w:r>
      <w:r w:rsidR="002D1B1F" w:rsidRPr="00B568F3">
        <w:rPr>
          <w:rFonts w:ascii="Arial" w:eastAsia="Calibri" w:hAnsi="Arial" w:cs="Arial"/>
          <w:sz w:val="24"/>
          <w:szCs w:val="24"/>
        </w:rPr>
        <w:t xml:space="preserve"> </w:t>
      </w:r>
      <w:r w:rsidRPr="00B568F3">
        <w:rPr>
          <w:rFonts w:ascii="Arial" w:eastAsia="Calibri" w:hAnsi="Arial" w:cs="Arial"/>
          <w:sz w:val="24"/>
          <w:szCs w:val="24"/>
        </w:rPr>
        <w:t>learning</w:t>
      </w:r>
      <w:r w:rsidR="00EA3F50" w:rsidRPr="00B568F3">
        <w:rPr>
          <w:rFonts w:ascii="Arial" w:eastAsia="Calibri" w:hAnsi="Arial" w:cs="Arial"/>
          <w:sz w:val="24"/>
          <w:szCs w:val="24"/>
        </w:rPr>
        <w:t>,</w:t>
      </w:r>
      <w:r w:rsidR="002D1B1F" w:rsidRPr="00B568F3">
        <w:rPr>
          <w:rFonts w:ascii="Arial" w:eastAsia="Calibri" w:hAnsi="Arial" w:cs="Arial"/>
          <w:sz w:val="24"/>
          <w:szCs w:val="24"/>
        </w:rPr>
        <w:t xml:space="preserve"> with many examples of new e-learning modules being </w:t>
      </w:r>
      <w:r w:rsidR="00587072" w:rsidRPr="00B568F3">
        <w:rPr>
          <w:rFonts w:ascii="Arial" w:eastAsia="Calibri" w:hAnsi="Arial" w:cs="Arial"/>
          <w:sz w:val="24"/>
          <w:szCs w:val="24"/>
        </w:rPr>
        <w:t xml:space="preserve">created </w:t>
      </w:r>
      <w:r w:rsidR="002D1B1F" w:rsidRPr="00B568F3">
        <w:rPr>
          <w:rFonts w:ascii="Arial" w:eastAsia="Calibri" w:hAnsi="Arial" w:cs="Arial"/>
          <w:sz w:val="24"/>
          <w:szCs w:val="24"/>
        </w:rPr>
        <w:t>on a range of topics to meet the sectors learning needs.</w:t>
      </w:r>
    </w:p>
    <w:p w14:paraId="512C3838" w14:textId="77777777" w:rsidR="002D1B1F" w:rsidRPr="00B568F3" w:rsidRDefault="002D1B1F" w:rsidP="002D1B1F">
      <w:pPr>
        <w:spacing w:after="200" w:line="276" w:lineRule="auto"/>
        <w:ind w:left="1440"/>
        <w:contextualSpacing/>
        <w:rPr>
          <w:rFonts w:ascii="Arial" w:eastAsia="Calibri" w:hAnsi="Arial" w:cs="Arial"/>
          <w:bCs/>
          <w:color w:val="FF0000"/>
          <w:sz w:val="24"/>
          <w:szCs w:val="24"/>
        </w:rPr>
      </w:pPr>
    </w:p>
    <w:p w14:paraId="0E2C5B08" w14:textId="77777777" w:rsidR="00D536DB" w:rsidRPr="00B568F3" w:rsidRDefault="00D536DB" w:rsidP="00F4229D">
      <w:pPr>
        <w:spacing w:after="200" w:line="276" w:lineRule="auto"/>
        <w:contextualSpacing/>
        <w:rPr>
          <w:rFonts w:ascii="Arial" w:eastAsia="Calibri" w:hAnsi="Arial" w:cs="Arial"/>
          <w:bCs/>
          <w:color w:val="FF0000"/>
          <w:sz w:val="24"/>
          <w:szCs w:val="24"/>
        </w:rPr>
      </w:pPr>
    </w:p>
    <w:p w14:paraId="28759DFA" w14:textId="77777777" w:rsidR="002D1B1F" w:rsidRPr="00B568F3" w:rsidRDefault="002D1B1F" w:rsidP="000C06A7">
      <w:pPr>
        <w:pStyle w:val="Heading3"/>
      </w:pPr>
      <w:r w:rsidRPr="00B568F3">
        <w:t>Challenges</w:t>
      </w:r>
    </w:p>
    <w:p w14:paraId="433A4D4C" w14:textId="77777777" w:rsidR="002D1B1F" w:rsidRPr="00B568F3" w:rsidRDefault="002D1B1F" w:rsidP="002D1B1F">
      <w:pPr>
        <w:spacing w:after="200" w:line="276" w:lineRule="auto"/>
        <w:contextualSpacing/>
        <w:rPr>
          <w:rFonts w:ascii="Arial" w:eastAsia="Calibri" w:hAnsi="Arial" w:cs="Arial"/>
          <w:bCs/>
          <w:color w:val="FF0000"/>
          <w:sz w:val="24"/>
          <w:szCs w:val="24"/>
        </w:rPr>
      </w:pPr>
    </w:p>
    <w:p w14:paraId="2EB42F68" w14:textId="59F6EA29" w:rsidR="002D1B1F" w:rsidRPr="00B568F3" w:rsidRDefault="00F43955"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Many </w:t>
      </w:r>
      <w:r w:rsidR="002D1B1F" w:rsidRPr="00B568F3">
        <w:rPr>
          <w:rFonts w:ascii="Arial" w:eastAsia="Calibri" w:hAnsi="Arial" w:cs="Arial"/>
          <w:sz w:val="24"/>
          <w:szCs w:val="24"/>
        </w:rPr>
        <w:t xml:space="preserve">regions </w:t>
      </w:r>
      <w:r w:rsidRPr="00B568F3">
        <w:rPr>
          <w:rFonts w:ascii="Arial" w:eastAsia="Calibri" w:hAnsi="Arial" w:cs="Arial"/>
          <w:sz w:val="24"/>
          <w:szCs w:val="24"/>
        </w:rPr>
        <w:t xml:space="preserve">face challenges </w:t>
      </w:r>
      <w:r w:rsidR="00A0018D" w:rsidRPr="00B568F3">
        <w:rPr>
          <w:rFonts w:ascii="Arial" w:eastAsia="Calibri" w:hAnsi="Arial" w:cs="Arial"/>
          <w:sz w:val="24"/>
          <w:szCs w:val="24"/>
        </w:rPr>
        <w:t>with</w:t>
      </w:r>
      <w:r w:rsidR="002D1B1F" w:rsidRPr="00B568F3">
        <w:rPr>
          <w:rFonts w:ascii="Arial" w:eastAsia="Calibri" w:hAnsi="Arial" w:cs="Arial"/>
          <w:sz w:val="24"/>
          <w:szCs w:val="24"/>
        </w:rPr>
        <w:t xml:space="preserve"> recruitment and retention</w:t>
      </w:r>
      <w:r w:rsidR="00FD07AB" w:rsidRPr="00B568F3">
        <w:rPr>
          <w:rFonts w:ascii="Arial" w:eastAsia="Calibri" w:hAnsi="Arial" w:cs="Arial"/>
          <w:sz w:val="24"/>
          <w:szCs w:val="24"/>
        </w:rPr>
        <w:t>,</w:t>
      </w:r>
      <w:r w:rsidR="002D1B1F" w:rsidRPr="00B568F3">
        <w:rPr>
          <w:rFonts w:ascii="Arial" w:eastAsia="Calibri" w:hAnsi="Arial" w:cs="Arial"/>
          <w:sz w:val="24"/>
          <w:szCs w:val="24"/>
        </w:rPr>
        <w:t xml:space="preserve"> </w:t>
      </w:r>
      <w:r w:rsidR="00A0018D" w:rsidRPr="00B568F3">
        <w:rPr>
          <w:rFonts w:ascii="Arial" w:eastAsia="Calibri" w:hAnsi="Arial" w:cs="Arial"/>
          <w:sz w:val="24"/>
          <w:szCs w:val="24"/>
        </w:rPr>
        <w:t>which then makes it difficult</w:t>
      </w:r>
      <w:r w:rsidR="00A0018D" w:rsidRPr="00B568F3" w:rsidDel="00FD07AB">
        <w:rPr>
          <w:rFonts w:ascii="Arial" w:eastAsia="Calibri" w:hAnsi="Arial" w:cs="Arial"/>
          <w:sz w:val="24"/>
          <w:szCs w:val="24"/>
        </w:rPr>
        <w:t xml:space="preserve"> </w:t>
      </w:r>
      <w:r w:rsidR="00A0018D" w:rsidRPr="00B568F3">
        <w:rPr>
          <w:rFonts w:ascii="Arial" w:eastAsia="Calibri" w:hAnsi="Arial" w:cs="Arial"/>
          <w:sz w:val="24"/>
          <w:szCs w:val="24"/>
        </w:rPr>
        <w:t>to</w:t>
      </w:r>
      <w:r w:rsidR="002D1B1F" w:rsidRPr="00B568F3">
        <w:rPr>
          <w:rFonts w:ascii="Arial" w:eastAsia="Calibri" w:hAnsi="Arial" w:cs="Arial"/>
          <w:sz w:val="24"/>
          <w:szCs w:val="24"/>
        </w:rPr>
        <w:t xml:space="preserve"> releas</w:t>
      </w:r>
      <w:r w:rsidR="00A0018D" w:rsidRPr="00B568F3">
        <w:rPr>
          <w:rFonts w:ascii="Arial" w:eastAsia="Calibri" w:hAnsi="Arial" w:cs="Arial"/>
          <w:sz w:val="24"/>
          <w:szCs w:val="24"/>
        </w:rPr>
        <w:t xml:space="preserve">e </w:t>
      </w:r>
      <w:r w:rsidR="002D1B1F" w:rsidRPr="00B568F3">
        <w:rPr>
          <w:rFonts w:ascii="Arial" w:eastAsia="Calibri" w:hAnsi="Arial" w:cs="Arial"/>
          <w:sz w:val="24"/>
          <w:szCs w:val="24"/>
        </w:rPr>
        <w:t>staff for</w:t>
      </w:r>
      <w:r w:rsidR="002D1B1F" w:rsidRPr="00B568F3" w:rsidDel="00A0018D">
        <w:rPr>
          <w:rFonts w:ascii="Arial" w:eastAsia="Calibri" w:hAnsi="Arial" w:cs="Arial"/>
          <w:sz w:val="24"/>
          <w:szCs w:val="24"/>
        </w:rPr>
        <w:t xml:space="preserve"> </w:t>
      </w:r>
      <w:r w:rsidR="005E7C06" w:rsidRPr="00B568F3">
        <w:rPr>
          <w:rFonts w:ascii="Arial" w:eastAsia="Calibri" w:hAnsi="Arial" w:cs="Arial"/>
          <w:sz w:val="24"/>
          <w:szCs w:val="24"/>
        </w:rPr>
        <w:t>face-to-face</w:t>
      </w:r>
      <w:r w:rsidR="002D1B1F" w:rsidRPr="00B568F3">
        <w:rPr>
          <w:rFonts w:ascii="Arial" w:eastAsia="Calibri" w:hAnsi="Arial" w:cs="Arial"/>
          <w:sz w:val="24"/>
          <w:szCs w:val="24"/>
        </w:rPr>
        <w:t xml:space="preserve"> training</w:t>
      </w:r>
      <w:r w:rsidR="00FB389A" w:rsidRPr="00B568F3">
        <w:rPr>
          <w:rFonts w:ascii="Arial" w:eastAsia="Calibri" w:hAnsi="Arial" w:cs="Arial"/>
          <w:sz w:val="24"/>
          <w:szCs w:val="24"/>
        </w:rPr>
        <w:t>.</w:t>
      </w:r>
      <w:r w:rsidR="00FF3F21" w:rsidRPr="00B568F3">
        <w:rPr>
          <w:rFonts w:ascii="Arial" w:eastAsia="Calibri" w:hAnsi="Arial" w:cs="Arial"/>
          <w:sz w:val="24"/>
          <w:szCs w:val="24"/>
        </w:rPr>
        <w:t xml:space="preserve"> </w:t>
      </w:r>
      <w:r w:rsidR="00FB389A" w:rsidRPr="00B568F3">
        <w:rPr>
          <w:rFonts w:ascii="Arial" w:eastAsia="Calibri" w:hAnsi="Arial" w:cs="Arial"/>
          <w:sz w:val="24"/>
          <w:szCs w:val="24"/>
        </w:rPr>
        <w:t xml:space="preserve">This leads </w:t>
      </w:r>
      <w:r w:rsidR="002D1B1F" w:rsidRPr="00B568F3" w:rsidDel="00FB389A">
        <w:rPr>
          <w:rFonts w:ascii="Arial" w:eastAsia="Calibri" w:hAnsi="Arial" w:cs="Arial"/>
          <w:sz w:val="24"/>
          <w:szCs w:val="24"/>
        </w:rPr>
        <w:t xml:space="preserve">to </w:t>
      </w:r>
      <w:r w:rsidR="002D1B1F" w:rsidRPr="00B568F3">
        <w:rPr>
          <w:rFonts w:ascii="Arial" w:eastAsia="Calibri" w:hAnsi="Arial" w:cs="Arial"/>
          <w:sz w:val="24"/>
          <w:szCs w:val="24"/>
        </w:rPr>
        <w:t xml:space="preserve">challenges in </w:t>
      </w:r>
      <w:r w:rsidR="00FB389A" w:rsidRPr="00B568F3">
        <w:rPr>
          <w:rFonts w:ascii="Arial" w:eastAsia="Calibri" w:hAnsi="Arial" w:cs="Arial"/>
          <w:sz w:val="24"/>
          <w:szCs w:val="24"/>
        </w:rPr>
        <w:t>delivering</w:t>
      </w:r>
      <w:r w:rsidR="001E6307" w:rsidRPr="00B568F3">
        <w:rPr>
          <w:rFonts w:ascii="Arial" w:eastAsia="Calibri" w:hAnsi="Arial" w:cs="Arial"/>
          <w:sz w:val="24"/>
          <w:szCs w:val="24"/>
        </w:rPr>
        <w:t xml:space="preserve"> </w:t>
      </w:r>
      <w:r w:rsidR="002D1B1F" w:rsidRPr="00B568F3">
        <w:rPr>
          <w:rFonts w:ascii="Arial" w:eastAsia="Calibri" w:hAnsi="Arial" w:cs="Arial"/>
          <w:sz w:val="24"/>
          <w:szCs w:val="24"/>
        </w:rPr>
        <w:t>projects</w:t>
      </w:r>
      <w:r w:rsidR="001E6307" w:rsidRPr="00B568F3">
        <w:rPr>
          <w:rFonts w:ascii="Arial" w:eastAsia="Calibri" w:hAnsi="Arial" w:cs="Arial"/>
          <w:sz w:val="24"/>
          <w:szCs w:val="24"/>
        </w:rPr>
        <w:t xml:space="preserve"> and</w:t>
      </w:r>
      <w:r w:rsidR="00FD07AB" w:rsidRPr="00B568F3">
        <w:rPr>
          <w:rFonts w:ascii="Arial" w:eastAsia="Calibri" w:hAnsi="Arial" w:cs="Arial"/>
          <w:sz w:val="24"/>
          <w:szCs w:val="24"/>
        </w:rPr>
        <w:t xml:space="preserve"> </w:t>
      </w:r>
      <w:r w:rsidR="001E6307" w:rsidRPr="00B568F3">
        <w:rPr>
          <w:rFonts w:ascii="Arial" w:eastAsia="Calibri" w:hAnsi="Arial" w:cs="Arial"/>
          <w:sz w:val="24"/>
          <w:szCs w:val="24"/>
        </w:rPr>
        <w:t>sessions have been cancelled because of l</w:t>
      </w:r>
      <w:r w:rsidR="002D1B1F" w:rsidRPr="00B568F3">
        <w:rPr>
          <w:rFonts w:ascii="Arial" w:eastAsia="Calibri" w:hAnsi="Arial" w:cs="Arial"/>
          <w:sz w:val="24"/>
          <w:szCs w:val="24"/>
        </w:rPr>
        <w:t>ow participant numbers</w:t>
      </w:r>
      <w:r w:rsidR="00C90B4F" w:rsidRPr="00B568F3">
        <w:rPr>
          <w:rFonts w:ascii="Arial" w:eastAsia="Calibri" w:hAnsi="Arial" w:cs="Arial"/>
          <w:sz w:val="24"/>
          <w:szCs w:val="24"/>
        </w:rPr>
        <w:t>.</w:t>
      </w:r>
      <w:r w:rsidR="002D1B1F" w:rsidRPr="00B568F3" w:rsidDel="001E6307">
        <w:rPr>
          <w:rFonts w:ascii="Arial" w:eastAsia="Calibri" w:hAnsi="Arial" w:cs="Arial"/>
          <w:sz w:val="24"/>
          <w:szCs w:val="24"/>
        </w:rPr>
        <w:t xml:space="preserve"> </w:t>
      </w:r>
      <w:r w:rsidR="005E7C06" w:rsidRPr="00B568F3">
        <w:rPr>
          <w:rFonts w:ascii="Arial" w:eastAsia="Calibri" w:hAnsi="Arial" w:cs="Arial"/>
          <w:sz w:val="24"/>
          <w:szCs w:val="24"/>
        </w:rPr>
        <w:t>But</w:t>
      </w:r>
      <w:r w:rsidR="002D1B1F" w:rsidRPr="00B568F3" w:rsidDel="00C90B4F">
        <w:rPr>
          <w:rFonts w:ascii="Arial" w:eastAsia="Calibri" w:hAnsi="Arial" w:cs="Arial"/>
          <w:sz w:val="24"/>
          <w:szCs w:val="24"/>
        </w:rPr>
        <w:t xml:space="preserve"> </w:t>
      </w:r>
      <w:r w:rsidR="00C90B4F" w:rsidRPr="00B568F3">
        <w:rPr>
          <w:rFonts w:ascii="Arial" w:eastAsia="Calibri" w:hAnsi="Arial" w:cs="Arial"/>
          <w:sz w:val="24"/>
          <w:szCs w:val="24"/>
        </w:rPr>
        <w:t xml:space="preserve">these </w:t>
      </w:r>
      <w:r w:rsidR="002D1B1F" w:rsidRPr="00B568F3">
        <w:rPr>
          <w:rFonts w:ascii="Arial" w:eastAsia="Calibri" w:hAnsi="Arial" w:cs="Arial"/>
          <w:sz w:val="24"/>
          <w:szCs w:val="24"/>
        </w:rPr>
        <w:t>experiences have</w:t>
      </w:r>
      <w:r w:rsidR="00FD07AB" w:rsidRPr="00B568F3">
        <w:rPr>
          <w:rFonts w:ascii="Arial" w:eastAsia="Calibri" w:hAnsi="Arial" w:cs="Arial"/>
          <w:sz w:val="24"/>
          <w:szCs w:val="24"/>
        </w:rPr>
        <w:t xml:space="preserve"> </w:t>
      </w:r>
      <w:r w:rsidR="00C90B4F" w:rsidRPr="00B568F3">
        <w:rPr>
          <w:rFonts w:ascii="Arial" w:eastAsia="Calibri" w:hAnsi="Arial" w:cs="Arial"/>
          <w:sz w:val="24"/>
          <w:szCs w:val="24"/>
        </w:rPr>
        <w:t>helped</w:t>
      </w:r>
      <w:r w:rsidR="002D1B1F" w:rsidRPr="00B568F3">
        <w:rPr>
          <w:rFonts w:ascii="Arial" w:eastAsia="Calibri" w:hAnsi="Arial" w:cs="Arial"/>
          <w:sz w:val="24"/>
          <w:szCs w:val="24"/>
        </w:rPr>
        <w:t xml:space="preserve"> regions re-evaluate their thinking and </w:t>
      </w:r>
      <w:r w:rsidR="008F20BB" w:rsidRPr="00B568F3">
        <w:rPr>
          <w:rFonts w:ascii="Arial" w:eastAsia="Calibri" w:hAnsi="Arial" w:cs="Arial"/>
          <w:sz w:val="24"/>
          <w:szCs w:val="24"/>
        </w:rPr>
        <w:t xml:space="preserve">look at other ways </w:t>
      </w:r>
      <w:r w:rsidR="002D1B1F" w:rsidRPr="00B568F3" w:rsidDel="008F20BB">
        <w:rPr>
          <w:rFonts w:ascii="Arial" w:eastAsia="Calibri" w:hAnsi="Arial" w:cs="Arial"/>
          <w:sz w:val="24"/>
          <w:szCs w:val="24"/>
        </w:rPr>
        <w:t xml:space="preserve">to </w:t>
      </w:r>
      <w:r w:rsidR="002D1B1F" w:rsidRPr="00B568F3">
        <w:rPr>
          <w:rFonts w:ascii="Arial" w:eastAsia="Calibri" w:hAnsi="Arial" w:cs="Arial"/>
          <w:sz w:val="24"/>
          <w:szCs w:val="24"/>
        </w:rPr>
        <w:t>empower staff digitally.</w:t>
      </w:r>
    </w:p>
    <w:p w14:paraId="65C3ACFC" w14:textId="77777777" w:rsidR="00E467A5" w:rsidRPr="00B568F3" w:rsidRDefault="00E467A5" w:rsidP="00F4229D">
      <w:pPr>
        <w:spacing w:after="200" w:line="276" w:lineRule="auto"/>
        <w:contextualSpacing/>
        <w:rPr>
          <w:rFonts w:ascii="Arial" w:eastAsia="Calibri" w:hAnsi="Arial" w:cs="Arial"/>
          <w:sz w:val="24"/>
          <w:szCs w:val="24"/>
        </w:rPr>
      </w:pPr>
    </w:p>
    <w:p w14:paraId="18FFB0CA" w14:textId="364227BD" w:rsidR="002D1B1F" w:rsidRPr="000C06A7" w:rsidRDefault="002D1B1F" w:rsidP="00B568F3">
      <w:pPr>
        <w:pStyle w:val="Heading2"/>
      </w:pPr>
      <w:bookmarkStart w:id="19" w:name="_Toc179481636"/>
      <w:r w:rsidRPr="000C06A7">
        <w:t>Priority 2:</w:t>
      </w:r>
      <w:r w:rsidR="001417E2" w:rsidRPr="00B568F3">
        <w:t xml:space="preserve"> </w:t>
      </w:r>
      <w:r w:rsidRPr="000C06A7">
        <w:t>Excellent education and learning</w:t>
      </w:r>
      <w:bookmarkEnd w:id="19"/>
      <w:r w:rsidRPr="000C06A7">
        <w:t xml:space="preserve"> </w:t>
      </w:r>
    </w:p>
    <w:p w14:paraId="242DF30D" w14:textId="77777777" w:rsidR="002D1B1F" w:rsidRPr="00B568F3" w:rsidRDefault="002D1B1F" w:rsidP="002D1B1F">
      <w:pPr>
        <w:spacing w:after="0" w:line="240" w:lineRule="auto"/>
        <w:contextualSpacing/>
        <w:rPr>
          <w:rFonts w:ascii="Arial" w:eastAsia="Calibri" w:hAnsi="Arial" w:cs="Arial"/>
          <w:b/>
          <w:color w:val="FF0000"/>
          <w:sz w:val="24"/>
          <w:szCs w:val="24"/>
        </w:rPr>
      </w:pPr>
    </w:p>
    <w:p w14:paraId="11D20002" w14:textId="3B98A155" w:rsidR="002D1B1F" w:rsidRPr="00B568F3" w:rsidRDefault="005C1F75" w:rsidP="002D1B1F">
      <w:pPr>
        <w:suppressAutoHyphens/>
        <w:autoSpaceDN w:val="0"/>
        <w:spacing w:after="0" w:line="247" w:lineRule="auto"/>
        <w:textAlignment w:val="baseline"/>
        <w:rPr>
          <w:rFonts w:ascii="Arial" w:eastAsia="Calibri" w:hAnsi="Arial" w:cs="Arial"/>
          <w:sz w:val="24"/>
          <w:szCs w:val="24"/>
        </w:rPr>
      </w:pPr>
      <w:r w:rsidRPr="00B568F3">
        <w:rPr>
          <w:rFonts w:ascii="Arial" w:eastAsia="Calibri" w:hAnsi="Arial" w:cs="Arial"/>
          <w:bCs/>
          <w:sz w:val="24"/>
          <w:szCs w:val="24"/>
        </w:rPr>
        <w:t>By</w:t>
      </w:r>
      <w:r w:rsidR="002D1B1F" w:rsidRPr="00B568F3">
        <w:rPr>
          <w:rFonts w:ascii="Arial" w:eastAsia="Calibri" w:hAnsi="Arial" w:cs="Arial"/>
          <w:bCs/>
          <w:sz w:val="24"/>
          <w:szCs w:val="24"/>
        </w:rPr>
        <w:t xml:space="preserve"> 2030</w:t>
      </w:r>
      <w:r w:rsidRPr="00B568F3">
        <w:rPr>
          <w:rFonts w:ascii="Arial" w:eastAsia="Calibri" w:hAnsi="Arial" w:cs="Arial"/>
          <w:bCs/>
          <w:sz w:val="24"/>
          <w:szCs w:val="24"/>
        </w:rPr>
        <w:t>, we hope</w:t>
      </w:r>
      <w:r w:rsidR="009B3D64" w:rsidRPr="00B568F3">
        <w:rPr>
          <w:rFonts w:ascii="Arial" w:eastAsia="Calibri" w:hAnsi="Arial" w:cs="Arial"/>
          <w:bCs/>
          <w:sz w:val="24"/>
          <w:szCs w:val="24"/>
        </w:rPr>
        <w:t xml:space="preserve"> that</w:t>
      </w:r>
      <w:r w:rsidR="002D1B1F" w:rsidRPr="00B568F3" w:rsidDel="009B3D64">
        <w:rPr>
          <w:rFonts w:ascii="Arial" w:eastAsia="Calibri" w:hAnsi="Arial" w:cs="Arial"/>
          <w:bCs/>
          <w:sz w:val="24"/>
          <w:szCs w:val="24"/>
        </w:rPr>
        <w:t xml:space="preserve"> </w:t>
      </w:r>
      <w:r w:rsidR="002D1B1F" w:rsidRPr="00B568F3">
        <w:rPr>
          <w:rFonts w:ascii="Arial" w:eastAsia="Calibri" w:hAnsi="Arial" w:cs="Arial"/>
          <w:sz w:val="24"/>
          <w:szCs w:val="24"/>
        </w:rPr>
        <w:t xml:space="preserve">investment in education and learning for health and social care professionals will deliver the skills and capabilities needed to meet the future needs of people in Wales. </w:t>
      </w:r>
    </w:p>
    <w:p w14:paraId="40570EBD" w14:textId="77777777" w:rsidR="002D1B1F" w:rsidRPr="00B568F3" w:rsidRDefault="002D1B1F" w:rsidP="002D1B1F">
      <w:pPr>
        <w:suppressAutoHyphens/>
        <w:autoSpaceDN w:val="0"/>
        <w:spacing w:after="0" w:line="247" w:lineRule="auto"/>
        <w:textAlignment w:val="baseline"/>
        <w:rPr>
          <w:rFonts w:ascii="Arial" w:eastAsia="Calibri" w:hAnsi="Arial" w:cs="Arial"/>
          <w:sz w:val="24"/>
          <w:szCs w:val="24"/>
        </w:rPr>
      </w:pPr>
    </w:p>
    <w:p w14:paraId="66DD4379" w14:textId="5615666A" w:rsidR="002D1B1F" w:rsidRPr="00B568F3" w:rsidRDefault="002D1B1F" w:rsidP="002D1B1F">
      <w:pPr>
        <w:spacing w:after="0" w:line="240" w:lineRule="auto"/>
        <w:rPr>
          <w:rFonts w:ascii="Arial" w:eastAsia="Calibri" w:hAnsi="Arial" w:cs="Arial"/>
          <w:sz w:val="24"/>
          <w:szCs w:val="24"/>
        </w:rPr>
      </w:pPr>
      <w:r w:rsidRPr="00B568F3">
        <w:rPr>
          <w:rFonts w:ascii="Arial" w:eastAsia="Calibri" w:hAnsi="Arial" w:cs="Arial"/>
          <w:sz w:val="24"/>
          <w:szCs w:val="24"/>
        </w:rPr>
        <w:t>SCWWDP in 2023</w:t>
      </w:r>
      <w:r w:rsidR="009B3D64" w:rsidRPr="00B568F3">
        <w:rPr>
          <w:rFonts w:ascii="Arial" w:eastAsia="Calibri" w:hAnsi="Arial" w:cs="Arial"/>
          <w:sz w:val="24"/>
          <w:szCs w:val="24"/>
        </w:rPr>
        <w:t xml:space="preserve"> to </w:t>
      </w:r>
      <w:r w:rsidRPr="00B568F3">
        <w:rPr>
          <w:rFonts w:ascii="Arial" w:eastAsia="Calibri" w:hAnsi="Arial" w:cs="Arial"/>
          <w:sz w:val="24"/>
          <w:szCs w:val="24"/>
        </w:rPr>
        <w:t xml:space="preserve">2024 has </w:t>
      </w:r>
      <w:r w:rsidR="000B012B" w:rsidRPr="00B568F3">
        <w:rPr>
          <w:rFonts w:ascii="Arial" w:eastAsia="Calibri" w:hAnsi="Arial" w:cs="Arial"/>
          <w:sz w:val="24"/>
          <w:szCs w:val="24"/>
        </w:rPr>
        <w:t xml:space="preserve">supported </w:t>
      </w:r>
      <w:r w:rsidRPr="00B568F3">
        <w:rPr>
          <w:rFonts w:ascii="Arial" w:eastAsia="Calibri" w:hAnsi="Arial" w:cs="Arial"/>
          <w:sz w:val="24"/>
          <w:szCs w:val="24"/>
        </w:rPr>
        <w:t>the following:</w:t>
      </w:r>
    </w:p>
    <w:p w14:paraId="5172587D" w14:textId="77777777" w:rsidR="002D1B1F" w:rsidRPr="00B568F3" w:rsidRDefault="002D1B1F" w:rsidP="002D1B1F">
      <w:pPr>
        <w:suppressAutoHyphens/>
        <w:autoSpaceDN w:val="0"/>
        <w:spacing w:after="0" w:line="247" w:lineRule="auto"/>
        <w:textAlignment w:val="baseline"/>
        <w:rPr>
          <w:rFonts w:ascii="Arial" w:eastAsia="Calibri" w:hAnsi="Arial" w:cs="Arial"/>
          <w:color w:val="FF0000"/>
          <w:sz w:val="24"/>
          <w:szCs w:val="24"/>
        </w:rPr>
      </w:pPr>
    </w:p>
    <w:tbl>
      <w:tblPr>
        <w:tblStyle w:val="TableGrid"/>
        <w:tblW w:w="9014" w:type="dxa"/>
        <w:tblLook w:val="04A0" w:firstRow="1" w:lastRow="0" w:firstColumn="1" w:lastColumn="0" w:noHBand="0" w:noVBand="1"/>
      </w:tblPr>
      <w:tblGrid>
        <w:gridCol w:w="9014"/>
      </w:tblGrid>
      <w:tr w:rsidR="002D1B1F" w:rsidRPr="00B568F3" w14:paraId="7539EB49" w14:textId="77777777" w:rsidTr="4BA15C28">
        <w:tc>
          <w:tcPr>
            <w:tcW w:w="9014" w:type="dxa"/>
          </w:tcPr>
          <w:p w14:paraId="2AB9A3F4" w14:textId="77777777" w:rsidR="002D1B1F" w:rsidRPr="00B568F3" w:rsidRDefault="002D1B1F" w:rsidP="00FC716F">
            <w:pPr>
              <w:rPr>
                <w:rFonts w:ascii="Arial" w:eastAsia="Calibri" w:hAnsi="Arial" w:cs="Arial"/>
                <w:b/>
                <w:bCs/>
                <w:sz w:val="24"/>
                <w:szCs w:val="24"/>
              </w:rPr>
            </w:pPr>
            <w:r w:rsidRPr="00B568F3">
              <w:rPr>
                <w:rFonts w:ascii="Arial" w:eastAsia="Calibri" w:hAnsi="Arial" w:cs="Arial"/>
                <w:b/>
                <w:bCs/>
                <w:sz w:val="24"/>
                <w:szCs w:val="24"/>
              </w:rPr>
              <w:t>Highlight</w:t>
            </w:r>
          </w:p>
          <w:p w14:paraId="2ED39ABD" w14:textId="77777777" w:rsidR="002D1B1F" w:rsidRPr="00B568F3" w:rsidRDefault="002D1B1F" w:rsidP="00FC716F">
            <w:pPr>
              <w:suppressAutoHyphens/>
              <w:autoSpaceDN w:val="0"/>
              <w:spacing w:line="247" w:lineRule="auto"/>
              <w:textAlignment w:val="baseline"/>
              <w:rPr>
                <w:rFonts w:ascii="Arial" w:eastAsia="Calibri" w:hAnsi="Arial" w:cs="Arial"/>
                <w:sz w:val="24"/>
                <w:szCs w:val="24"/>
              </w:rPr>
            </w:pPr>
          </w:p>
          <w:p w14:paraId="1DE3F56D" w14:textId="0BA5137F" w:rsidR="001417E2" w:rsidRPr="00B568F3" w:rsidRDefault="006F1E22" w:rsidP="00FC716F">
            <w:pPr>
              <w:suppressAutoHyphens/>
              <w:autoSpaceDN w:val="0"/>
              <w:spacing w:line="247" w:lineRule="auto"/>
              <w:textAlignment w:val="baseline"/>
              <w:rPr>
                <w:rFonts w:ascii="Arial" w:eastAsia="Calibri" w:hAnsi="Arial" w:cs="Arial"/>
                <w:sz w:val="24"/>
                <w:szCs w:val="24"/>
              </w:rPr>
            </w:pPr>
            <w:r w:rsidRPr="00B568F3">
              <w:rPr>
                <w:rFonts w:ascii="Arial" w:eastAsia="Calibri" w:hAnsi="Arial" w:cs="Arial"/>
                <w:sz w:val="24"/>
                <w:szCs w:val="24"/>
              </w:rPr>
              <w:t>Implementing</w:t>
            </w:r>
            <w:r w:rsidR="002D1B1F" w:rsidRPr="00B568F3">
              <w:rPr>
                <w:rFonts w:ascii="Arial" w:eastAsia="Calibri" w:hAnsi="Arial" w:cs="Arial"/>
                <w:sz w:val="24"/>
                <w:szCs w:val="24"/>
              </w:rPr>
              <w:t xml:space="preserve"> a Trusted Assessor model </w:t>
            </w:r>
            <w:r w:rsidRPr="00B568F3">
              <w:rPr>
                <w:rFonts w:ascii="Arial" w:eastAsia="Calibri" w:hAnsi="Arial" w:cs="Arial"/>
                <w:sz w:val="24"/>
                <w:szCs w:val="24"/>
              </w:rPr>
              <w:t xml:space="preserve">in </w:t>
            </w:r>
            <w:r w:rsidR="002D1B1F" w:rsidRPr="00B568F3">
              <w:rPr>
                <w:rFonts w:ascii="Arial" w:eastAsia="Calibri" w:hAnsi="Arial" w:cs="Arial"/>
                <w:sz w:val="24"/>
                <w:szCs w:val="24"/>
              </w:rPr>
              <w:t xml:space="preserve">a region has </w:t>
            </w:r>
            <w:r w:rsidR="00237725" w:rsidRPr="00B568F3">
              <w:rPr>
                <w:rFonts w:ascii="Arial" w:eastAsia="Calibri" w:hAnsi="Arial" w:cs="Arial"/>
                <w:sz w:val="24"/>
                <w:szCs w:val="24"/>
              </w:rPr>
              <w:t xml:space="preserve">changed </w:t>
            </w:r>
            <w:r w:rsidR="002D1B1F" w:rsidRPr="00B568F3">
              <w:rPr>
                <w:rFonts w:ascii="Arial" w:eastAsia="Calibri" w:hAnsi="Arial" w:cs="Arial"/>
                <w:sz w:val="24"/>
                <w:szCs w:val="24"/>
              </w:rPr>
              <w:t>working practices in social care</w:t>
            </w:r>
            <w:r w:rsidR="00614EC1" w:rsidRPr="00B568F3">
              <w:rPr>
                <w:rFonts w:ascii="Arial" w:eastAsia="Calibri" w:hAnsi="Arial" w:cs="Arial"/>
                <w:sz w:val="24"/>
                <w:szCs w:val="24"/>
              </w:rPr>
              <w:t>.</w:t>
            </w:r>
          </w:p>
          <w:p w14:paraId="226BB969" w14:textId="77777777" w:rsidR="001417E2" w:rsidRPr="00B568F3" w:rsidRDefault="001417E2" w:rsidP="00FC716F">
            <w:pPr>
              <w:suppressAutoHyphens/>
              <w:autoSpaceDN w:val="0"/>
              <w:spacing w:line="247" w:lineRule="auto"/>
              <w:textAlignment w:val="baseline"/>
              <w:rPr>
                <w:rFonts w:ascii="Arial" w:eastAsia="Calibri" w:hAnsi="Arial" w:cs="Arial"/>
                <w:sz w:val="24"/>
                <w:szCs w:val="24"/>
              </w:rPr>
            </w:pPr>
          </w:p>
          <w:p w14:paraId="31528D81" w14:textId="1CF0668E" w:rsidR="002D1B1F" w:rsidRPr="00B568F3" w:rsidRDefault="00614EC1" w:rsidP="00FC716F">
            <w:pPr>
              <w:suppressAutoHyphens/>
              <w:autoSpaceDN w:val="0"/>
              <w:spacing w:line="247" w:lineRule="auto"/>
              <w:textAlignment w:val="baseline"/>
              <w:rPr>
                <w:rFonts w:ascii="Arial" w:eastAsia="Calibri" w:hAnsi="Arial" w:cs="Arial"/>
                <w:sz w:val="24"/>
                <w:szCs w:val="24"/>
              </w:rPr>
            </w:pPr>
            <w:r w:rsidRPr="00B568F3">
              <w:rPr>
                <w:rFonts w:ascii="Arial" w:eastAsia="Calibri" w:hAnsi="Arial" w:cs="Arial"/>
                <w:sz w:val="24"/>
                <w:szCs w:val="24"/>
              </w:rPr>
              <w:t xml:space="preserve">Teams have move away </w:t>
            </w:r>
            <w:r w:rsidR="002D1B1F" w:rsidRPr="00B568F3" w:rsidDel="00614EC1">
              <w:rPr>
                <w:rFonts w:ascii="Arial" w:eastAsia="Calibri" w:hAnsi="Arial" w:cs="Arial"/>
                <w:sz w:val="24"/>
                <w:szCs w:val="24"/>
              </w:rPr>
              <w:t>from</w:t>
            </w:r>
            <w:r w:rsidR="002D1B1F" w:rsidRPr="00B568F3">
              <w:rPr>
                <w:rFonts w:ascii="Arial" w:eastAsia="Calibri" w:hAnsi="Arial" w:cs="Arial"/>
                <w:sz w:val="24"/>
                <w:szCs w:val="24"/>
              </w:rPr>
              <w:t xml:space="preserve"> service lead assessments </w:t>
            </w:r>
            <w:r w:rsidR="005E7C06" w:rsidRPr="00B568F3">
              <w:rPr>
                <w:rFonts w:ascii="Arial" w:eastAsia="Calibri" w:hAnsi="Arial" w:cs="Arial"/>
                <w:sz w:val="24"/>
                <w:szCs w:val="24"/>
              </w:rPr>
              <w:t>and towards</w:t>
            </w:r>
            <w:r w:rsidR="002D1B1F" w:rsidRPr="00B568F3">
              <w:rPr>
                <w:rFonts w:ascii="Arial" w:eastAsia="Calibri" w:hAnsi="Arial" w:cs="Arial"/>
                <w:sz w:val="24"/>
                <w:szCs w:val="24"/>
              </w:rPr>
              <w:t xml:space="preserve"> citizen lead, outcome focused</w:t>
            </w:r>
            <w:r w:rsidR="00D36D31" w:rsidRPr="00B568F3" w:rsidDel="001417E2">
              <w:rPr>
                <w:rFonts w:ascii="Arial" w:eastAsia="Calibri" w:hAnsi="Arial" w:cs="Arial"/>
                <w:sz w:val="24"/>
                <w:szCs w:val="24"/>
              </w:rPr>
              <w:t xml:space="preserve"> </w:t>
            </w:r>
            <w:r w:rsidR="002D1B1F" w:rsidRPr="00B568F3">
              <w:rPr>
                <w:rFonts w:ascii="Arial" w:eastAsia="Calibri" w:hAnsi="Arial" w:cs="Arial"/>
                <w:sz w:val="24"/>
                <w:szCs w:val="24"/>
              </w:rPr>
              <w:t xml:space="preserve">assessments. </w:t>
            </w:r>
            <w:r w:rsidR="00B75803" w:rsidRPr="00B568F3">
              <w:rPr>
                <w:rFonts w:ascii="Arial" w:eastAsia="Calibri" w:hAnsi="Arial" w:cs="Arial"/>
                <w:sz w:val="24"/>
                <w:szCs w:val="24"/>
              </w:rPr>
              <w:t>This</w:t>
            </w:r>
            <w:r w:rsidR="002D1B1F" w:rsidRPr="00B568F3" w:rsidDel="00B75803">
              <w:rPr>
                <w:rFonts w:ascii="Arial" w:eastAsia="Calibri" w:hAnsi="Arial" w:cs="Arial"/>
                <w:sz w:val="24"/>
                <w:szCs w:val="24"/>
              </w:rPr>
              <w:t xml:space="preserve"> </w:t>
            </w:r>
            <w:r w:rsidR="002D1B1F" w:rsidRPr="00B568F3">
              <w:rPr>
                <w:rFonts w:ascii="Arial" w:eastAsia="Calibri" w:hAnsi="Arial" w:cs="Arial"/>
                <w:sz w:val="24"/>
                <w:szCs w:val="24"/>
              </w:rPr>
              <w:t>improve</w:t>
            </w:r>
            <w:r w:rsidR="004B7871" w:rsidRPr="00B568F3">
              <w:rPr>
                <w:rFonts w:ascii="Arial" w:eastAsia="Calibri" w:hAnsi="Arial" w:cs="Arial"/>
                <w:sz w:val="24"/>
                <w:szCs w:val="24"/>
              </w:rPr>
              <w:t>s</w:t>
            </w:r>
            <w:r w:rsidR="002D1B1F" w:rsidRPr="00B568F3">
              <w:rPr>
                <w:rFonts w:ascii="Arial" w:eastAsia="Calibri" w:hAnsi="Arial" w:cs="Arial"/>
                <w:sz w:val="24"/>
                <w:szCs w:val="24"/>
              </w:rPr>
              <w:t xml:space="preserve"> collaborative working, strengthen</w:t>
            </w:r>
            <w:r w:rsidR="004B7871" w:rsidRPr="00B568F3">
              <w:rPr>
                <w:rFonts w:ascii="Arial" w:eastAsia="Calibri" w:hAnsi="Arial" w:cs="Arial"/>
                <w:sz w:val="24"/>
                <w:szCs w:val="24"/>
              </w:rPr>
              <w:t>s</w:t>
            </w:r>
            <w:r w:rsidR="002D1B1F" w:rsidRPr="00B568F3">
              <w:rPr>
                <w:rFonts w:ascii="Arial" w:eastAsia="Calibri" w:hAnsi="Arial" w:cs="Arial"/>
                <w:sz w:val="24"/>
                <w:szCs w:val="24"/>
              </w:rPr>
              <w:t xml:space="preserve"> professional relationships and improve</w:t>
            </w:r>
            <w:r w:rsidR="004B7871" w:rsidRPr="00B568F3">
              <w:rPr>
                <w:rFonts w:ascii="Arial" w:eastAsia="Calibri" w:hAnsi="Arial" w:cs="Arial"/>
                <w:sz w:val="24"/>
                <w:szCs w:val="24"/>
              </w:rPr>
              <w:t>s</w:t>
            </w:r>
            <w:r w:rsidR="002D1B1F" w:rsidRPr="00B568F3">
              <w:rPr>
                <w:rFonts w:ascii="Arial" w:eastAsia="Calibri" w:hAnsi="Arial" w:cs="Arial"/>
                <w:sz w:val="24"/>
                <w:szCs w:val="24"/>
              </w:rPr>
              <w:t xml:space="preserve"> communication across teams.</w:t>
            </w:r>
            <w:r w:rsidR="001417E2" w:rsidRPr="00B568F3">
              <w:rPr>
                <w:rFonts w:ascii="Arial" w:eastAsia="Calibri" w:hAnsi="Arial" w:cs="Arial"/>
                <w:sz w:val="24"/>
                <w:szCs w:val="24"/>
              </w:rPr>
              <w:t xml:space="preserve"> T</w:t>
            </w:r>
            <w:r w:rsidR="002D1B1F" w:rsidRPr="00B568F3">
              <w:rPr>
                <w:rFonts w:ascii="Arial" w:eastAsia="Calibri" w:hAnsi="Arial" w:cs="Arial"/>
                <w:sz w:val="24"/>
                <w:szCs w:val="24"/>
              </w:rPr>
              <w:t>eams are now working together,</w:t>
            </w:r>
            <w:r w:rsidR="001417E2" w:rsidRPr="00B568F3">
              <w:rPr>
                <w:rFonts w:ascii="Arial" w:eastAsia="Calibri" w:hAnsi="Arial" w:cs="Arial"/>
                <w:sz w:val="24"/>
                <w:szCs w:val="24"/>
              </w:rPr>
              <w:t xml:space="preserve"> including social work resource assistants, </w:t>
            </w:r>
            <w:r w:rsidR="002D1B1F" w:rsidRPr="00B568F3">
              <w:rPr>
                <w:rFonts w:ascii="Arial" w:eastAsia="Calibri" w:hAnsi="Arial" w:cs="Arial"/>
                <w:sz w:val="24"/>
                <w:szCs w:val="24"/>
              </w:rPr>
              <w:t>with the citizen at the centre</w:t>
            </w:r>
            <w:r w:rsidR="001417E2" w:rsidRPr="00B568F3">
              <w:rPr>
                <w:rFonts w:ascii="Arial" w:eastAsia="Calibri" w:hAnsi="Arial" w:cs="Arial"/>
                <w:sz w:val="24"/>
                <w:szCs w:val="24"/>
              </w:rPr>
              <w:t>. This has</w:t>
            </w:r>
            <w:r w:rsidR="002D1B1F" w:rsidRPr="00B568F3">
              <w:rPr>
                <w:rFonts w:ascii="Arial" w:eastAsia="Calibri" w:hAnsi="Arial" w:cs="Arial"/>
                <w:sz w:val="24"/>
                <w:szCs w:val="24"/>
              </w:rPr>
              <w:t xml:space="preserve"> streamline</w:t>
            </w:r>
            <w:r w:rsidR="001417E2" w:rsidRPr="00B568F3">
              <w:rPr>
                <w:rFonts w:ascii="Arial" w:eastAsia="Calibri" w:hAnsi="Arial" w:cs="Arial"/>
                <w:sz w:val="24"/>
                <w:szCs w:val="24"/>
              </w:rPr>
              <w:t>d</w:t>
            </w:r>
            <w:r w:rsidR="002D1B1F" w:rsidRPr="00B568F3">
              <w:rPr>
                <w:rFonts w:ascii="Arial" w:eastAsia="Calibri" w:hAnsi="Arial" w:cs="Arial"/>
                <w:sz w:val="24"/>
                <w:szCs w:val="24"/>
              </w:rPr>
              <w:t xml:space="preserve"> process</w:t>
            </w:r>
            <w:r w:rsidR="00E47BC5" w:rsidRPr="00B568F3">
              <w:rPr>
                <w:rFonts w:ascii="Arial" w:eastAsia="Calibri" w:hAnsi="Arial" w:cs="Arial"/>
                <w:sz w:val="24"/>
                <w:szCs w:val="24"/>
              </w:rPr>
              <w:t>es</w:t>
            </w:r>
            <w:r w:rsidR="002D1B1F" w:rsidRPr="00B568F3">
              <w:rPr>
                <w:rFonts w:ascii="Arial" w:eastAsia="Calibri" w:hAnsi="Arial" w:cs="Arial"/>
                <w:sz w:val="24"/>
                <w:szCs w:val="24"/>
              </w:rPr>
              <w:t xml:space="preserve"> and </w:t>
            </w:r>
            <w:r w:rsidR="0092080F" w:rsidRPr="00B568F3">
              <w:rPr>
                <w:rFonts w:ascii="Arial" w:eastAsia="Calibri" w:hAnsi="Arial" w:cs="Arial"/>
                <w:sz w:val="24"/>
                <w:szCs w:val="24"/>
              </w:rPr>
              <w:t>ma</w:t>
            </w:r>
            <w:r w:rsidR="001417E2" w:rsidRPr="00B568F3">
              <w:rPr>
                <w:rFonts w:ascii="Arial" w:eastAsia="Calibri" w:hAnsi="Arial" w:cs="Arial"/>
                <w:sz w:val="24"/>
                <w:szCs w:val="24"/>
              </w:rPr>
              <w:t>de</w:t>
            </w:r>
            <w:r w:rsidR="0092080F" w:rsidRPr="00B568F3">
              <w:rPr>
                <w:rFonts w:ascii="Arial" w:eastAsia="Calibri" w:hAnsi="Arial" w:cs="Arial"/>
                <w:sz w:val="24"/>
                <w:szCs w:val="24"/>
              </w:rPr>
              <w:t xml:space="preserve"> t</w:t>
            </w:r>
            <w:r w:rsidR="002D1B1F" w:rsidRPr="00B568F3">
              <w:rPr>
                <w:rFonts w:ascii="Arial" w:eastAsia="Calibri" w:hAnsi="Arial" w:cs="Arial"/>
                <w:sz w:val="24"/>
                <w:szCs w:val="24"/>
              </w:rPr>
              <w:t xml:space="preserve">he journey through social care as </w:t>
            </w:r>
            <w:r w:rsidR="0092080F" w:rsidRPr="00B568F3">
              <w:rPr>
                <w:rFonts w:ascii="Arial" w:eastAsia="Calibri" w:hAnsi="Arial" w:cs="Arial"/>
                <w:sz w:val="24"/>
                <w:szCs w:val="24"/>
              </w:rPr>
              <w:t xml:space="preserve">smooth </w:t>
            </w:r>
            <w:r w:rsidR="002D1B1F" w:rsidRPr="00B568F3">
              <w:rPr>
                <w:rFonts w:ascii="Arial" w:eastAsia="Calibri" w:hAnsi="Arial" w:cs="Arial"/>
                <w:sz w:val="24"/>
                <w:szCs w:val="24"/>
              </w:rPr>
              <w:t>as possible.</w:t>
            </w:r>
          </w:p>
          <w:p w14:paraId="06E40900" w14:textId="77777777" w:rsidR="00447E95" w:rsidRPr="00B568F3" w:rsidRDefault="00447E95" w:rsidP="00FC716F">
            <w:pPr>
              <w:suppressAutoHyphens/>
              <w:autoSpaceDN w:val="0"/>
              <w:spacing w:line="247" w:lineRule="auto"/>
              <w:textAlignment w:val="baseline"/>
              <w:rPr>
                <w:rFonts w:ascii="Arial" w:eastAsia="Calibri" w:hAnsi="Arial" w:cs="Arial"/>
                <w:color w:val="FF0000"/>
                <w:sz w:val="24"/>
                <w:szCs w:val="24"/>
              </w:rPr>
            </w:pPr>
          </w:p>
        </w:tc>
      </w:tr>
    </w:tbl>
    <w:p w14:paraId="4A0448C1" w14:textId="77777777" w:rsidR="002D1B1F" w:rsidRPr="00B568F3" w:rsidRDefault="002D1B1F" w:rsidP="002D1B1F">
      <w:pPr>
        <w:suppressAutoHyphens/>
        <w:autoSpaceDN w:val="0"/>
        <w:spacing w:after="0" w:line="247" w:lineRule="auto"/>
        <w:textAlignment w:val="baseline"/>
        <w:rPr>
          <w:rFonts w:ascii="Arial" w:eastAsia="Calibri" w:hAnsi="Arial" w:cs="Arial"/>
          <w:color w:val="FF0000"/>
          <w:sz w:val="24"/>
          <w:szCs w:val="24"/>
        </w:rPr>
      </w:pPr>
    </w:p>
    <w:tbl>
      <w:tblPr>
        <w:tblStyle w:val="TableGrid"/>
        <w:tblW w:w="9014" w:type="dxa"/>
        <w:tblLook w:val="04A0" w:firstRow="1" w:lastRow="0" w:firstColumn="1" w:lastColumn="0" w:noHBand="0" w:noVBand="1"/>
      </w:tblPr>
      <w:tblGrid>
        <w:gridCol w:w="9014"/>
      </w:tblGrid>
      <w:tr w:rsidR="002D1B1F" w:rsidRPr="00B568F3" w14:paraId="76BEFFB6" w14:textId="77777777" w:rsidTr="4D3BE396">
        <w:tc>
          <w:tcPr>
            <w:tcW w:w="9014" w:type="dxa"/>
          </w:tcPr>
          <w:p w14:paraId="2167EA0F" w14:textId="77777777" w:rsidR="002D1B1F" w:rsidRPr="00B568F3" w:rsidRDefault="002D1B1F" w:rsidP="00FC716F">
            <w:pPr>
              <w:ind w:left="-120" w:firstLine="120"/>
              <w:rPr>
                <w:rFonts w:ascii="Arial" w:eastAsia="Calibri" w:hAnsi="Arial" w:cs="Arial"/>
                <w:b/>
                <w:bCs/>
                <w:sz w:val="24"/>
                <w:szCs w:val="24"/>
              </w:rPr>
            </w:pPr>
            <w:r w:rsidRPr="00B568F3">
              <w:rPr>
                <w:rFonts w:ascii="Arial" w:eastAsia="Calibri" w:hAnsi="Arial" w:cs="Arial"/>
                <w:b/>
                <w:bCs/>
                <w:sz w:val="24"/>
                <w:szCs w:val="24"/>
              </w:rPr>
              <w:t>Highlight</w:t>
            </w:r>
          </w:p>
          <w:p w14:paraId="2A8B020A" w14:textId="77777777" w:rsidR="002D1B1F" w:rsidRPr="00B568F3" w:rsidRDefault="002D1B1F" w:rsidP="00FC716F">
            <w:pPr>
              <w:suppressAutoHyphens/>
              <w:autoSpaceDN w:val="0"/>
              <w:spacing w:line="247" w:lineRule="auto"/>
              <w:textAlignment w:val="baseline"/>
              <w:rPr>
                <w:rFonts w:ascii="Arial" w:eastAsia="Calibri" w:hAnsi="Arial" w:cs="Arial"/>
                <w:bCs/>
                <w:sz w:val="24"/>
                <w:szCs w:val="24"/>
              </w:rPr>
            </w:pPr>
          </w:p>
          <w:p w14:paraId="31DA0323" w14:textId="4D9B2589" w:rsidR="002D1B1F" w:rsidRPr="00B568F3" w:rsidRDefault="002D1B1F" w:rsidP="4D3BE396">
            <w:pPr>
              <w:suppressAutoHyphens/>
              <w:autoSpaceDN w:val="0"/>
              <w:spacing w:line="247" w:lineRule="auto"/>
              <w:textAlignment w:val="baseline"/>
              <w:rPr>
                <w:rFonts w:ascii="Arial" w:eastAsia="Calibri" w:hAnsi="Arial" w:cs="Arial"/>
                <w:sz w:val="24"/>
                <w:szCs w:val="24"/>
              </w:rPr>
            </w:pPr>
            <w:r w:rsidRPr="00B568F3">
              <w:rPr>
                <w:rFonts w:ascii="Arial" w:eastAsia="Calibri" w:hAnsi="Arial" w:cs="Arial"/>
                <w:sz w:val="24"/>
                <w:szCs w:val="24"/>
              </w:rPr>
              <w:t>A region identified</w:t>
            </w:r>
            <w:r w:rsidR="00552140" w:rsidRPr="00B568F3">
              <w:rPr>
                <w:rFonts w:ascii="Arial" w:eastAsia="Calibri" w:hAnsi="Arial" w:cs="Arial"/>
                <w:sz w:val="24"/>
                <w:szCs w:val="24"/>
              </w:rPr>
              <w:t xml:space="preserve"> that the international workforce needed</w:t>
            </w:r>
            <w:r w:rsidR="002B1B5B" w:rsidRPr="00B568F3">
              <w:rPr>
                <w:rFonts w:ascii="Arial" w:eastAsia="Calibri" w:hAnsi="Arial" w:cs="Arial"/>
                <w:sz w:val="24"/>
                <w:szCs w:val="24"/>
              </w:rPr>
              <w:t xml:space="preserve"> upskilling in cultural awareness and </w:t>
            </w:r>
            <w:r w:rsidRPr="00B568F3">
              <w:rPr>
                <w:rFonts w:ascii="Arial" w:eastAsia="Calibri" w:hAnsi="Arial" w:cs="Arial"/>
                <w:sz w:val="24"/>
                <w:szCs w:val="24"/>
              </w:rPr>
              <w:t xml:space="preserve">started developing a regional </w:t>
            </w:r>
            <w:r w:rsidR="17BD61B7" w:rsidRPr="00B568F3">
              <w:rPr>
                <w:rFonts w:ascii="Arial" w:eastAsia="Calibri" w:hAnsi="Arial" w:cs="Arial"/>
                <w:sz w:val="24"/>
                <w:szCs w:val="24"/>
              </w:rPr>
              <w:t>c</w:t>
            </w:r>
            <w:r w:rsidRPr="00B568F3">
              <w:rPr>
                <w:rFonts w:ascii="Arial" w:eastAsia="Calibri" w:hAnsi="Arial" w:cs="Arial"/>
                <w:sz w:val="24"/>
                <w:szCs w:val="24"/>
              </w:rPr>
              <w:t xml:space="preserve">ultural </w:t>
            </w:r>
            <w:r w:rsidR="5C0D51B1" w:rsidRPr="00B568F3">
              <w:rPr>
                <w:rFonts w:ascii="Arial" w:eastAsia="Calibri" w:hAnsi="Arial" w:cs="Arial"/>
                <w:sz w:val="24"/>
                <w:szCs w:val="24"/>
              </w:rPr>
              <w:t>a</w:t>
            </w:r>
            <w:r w:rsidRPr="00B568F3">
              <w:rPr>
                <w:rFonts w:ascii="Arial" w:eastAsia="Calibri" w:hAnsi="Arial" w:cs="Arial"/>
                <w:sz w:val="24"/>
                <w:szCs w:val="24"/>
              </w:rPr>
              <w:t xml:space="preserve">wareness module </w:t>
            </w:r>
            <w:r w:rsidR="00D27F09" w:rsidRPr="00B568F3">
              <w:rPr>
                <w:rFonts w:ascii="Arial" w:eastAsia="Calibri" w:hAnsi="Arial" w:cs="Arial"/>
                <w:sz w:val="24"/>
                <w:szCs w:val="24"/>
              </w:rPr>
              <w:t>which</w:t>
            </w:r>
            <w:r w:rsidRPr="00B568F3" w:rsidDel="002A3591">
              <w:rPr>
                <w:rFonts w:ascii="Arial" w:eastAsia="Calibri" w:hAnsi="Arial" w:cs="Arial"/>
                <w:sz w:val="24"/>
                <w:szCs w:val="24"/>
              </w:rPr>
              <w:t xml:space="preserve"> </w:t>
            </w:r>
            <w:r w:rsidR="00151B26" w:rsidRPr="00B568F3">
              <w:rPr>
                <w:rFonts w:ascii="Arial" w:eastAsia="Calibri" w:hAnsi="Arial" w:cs="Arial"/>
                <w:sz w:val="24"/>
                <w:szCs w:val="24"/>
              </w:rPr>
              <w:t>is planned for ro</w:t>
            </w:r>
            <w:r w:rsidR="002A3591" w:rsidRPr="00B568F3">
              <w:rPr>
                <w:rFonts w:ascii="Arial" w:eastAsia="Calibri" w:hAnsi="Arial" w:cs="Arial"/>
                <w:sz w:val="24"/>
                <w:szCs w:val="24"/>
              </w:rPr>
              <w:t>l</w:t>
            </w:r>
            <w:r w:rsidR="00151B26" w:rsidRPr="00B568F3">
              <w:rPr>
                <w:rFonts w:ascii="Arial" w:eastAsia="Calibri" w:hAnsi="Arial" w:cs="Arial"/>
                <w:sz w:val="24"/>
                <w:szCs w:val="24"/>
              </w:rPr>
              <w:t xml:space="preserve">l-out across the sector in 2024 to </w:t>
            </w:r>
            <w:r w:rsidR="005E7C06" w:rsidRPr="00B568F3">
              <w:rPr>
                <w:rFonts w:ascii="Arial" w:eastAsia="Calibri" w:hAnsi="Arial" w:cs="Arial"/>
                <w:sz w:val="24"/>
                <w:szCs w:val="24"/>
              </w:rPr>
              <w:t>2025.</w:t>
            </w:r>
          </w:p>
          <w:p w14:paraId="13B736D3" w14:textId="77777777" w:rsidR="002D1B1F" w:rsidRPr="00B568F3" w:rsidRDefault="002D1B1F" w:rsidP="00FC716F">
            <w:pPr>
              <w:suppressAutoHyphens/>
              <w:autoSpaceDN w:val="0"/>
              <w:spacing w:line="247" w:lineRule="auto"/>
              <w:textAlignment w:val="baseline"/>
              <w:rPr>
                <w:rFonts w:ascii="Arial" w:eastAsia="Calibri" w:hAnsi="Arial" w:cs="Arial"/>
                <w:color w:val="FF0000"/>
                <w:sz w:val="24"/>
                <w:szCs w:val="24"/>
              </w:rPr>
            </w:pPr>
          </w:p>
        </w:tc>
      </w:tr>
    </w:tbl>
    <w:p w14:paraId="1864D8C3" w14:textId="77777777" w:rsidR="002D1B1F" w:rsidRPr="00B568F3" w:rsidRDefault="002D1B1F" w:rsidP="002D1B1F">
      <w:pPr>
        <w:suppressAutoHyphens/>
        <w:autoSpaceDN w:val="0"/>
        <w:spacing w:after="0" w:line="247" w:lineRule="auto"/>
        <w:textAlignment w:val="baseline"/>
        <w:rPr>
          <w:rFonts w:ascii="Arial" w:eastAsia="Calibri" w:hAnsi="Arial" w:cs="Arial"/>
          <w:color w:val="FF0000"/>
          <w:sz w:val="24"/>
          <w:szCs w:val="24"/>
        </w:rPr>
      </w:pPr>
    </w:p>
    <w:tbl>
      <w:tblPr>
        <w:tblStyle w:val="TableGrid"/>
        <w:tblW w:w="0" w:type="auto"/>
        <w:tblLook w:val="04A0" w:firstRow="1" w:lastRow="0" w:firstColumn="1" w:lastColumn="0" w:noHBand="0" w:noVBand="1"/>
      </w:tblPr>
      <w:tblGrid>
        <w:gridCol w:w="9016"/>
      </w:tblGrid>
      <w:tr w:rsidR="002D1B1F" w:rsidRPr="00B568F3" w14:paraId="5F65CDFC" w14:textId="77777777" w:rsidTr="4BA15C28">
        <w:tc>
          <w:tcPr>
            <w:tcW w:w="9016" w:type="dxa"/>
          </w:tcPr>
          <w:p w14:paraId="6FDC7D30" w14:textId="77777777" w:rsidR="002D1B1F" w:rsidRPr="00B568F3" w:rsidRDefault="002D1B1F" w:rsidP="002918DD">
            <w:pPr>
              <w:contextualSpacing/>
              <w:rPr>
                <w:rFonts w:ascii="Arial" w:eastAsia="Calibri" w:hAnsi="Arial" w:cs="Arial"/>
                <w:b/>
                <w:sz w:val="24"/>
                <w:szCs w:val="24"/>
              </w:rPr>
            </w:pPr>
            <w:r w:rsidRPr="00B568F3">
              <w:rPr>
                <w:rFonts w:ascii="Arial" w:eastAsia="Calibri" w:hAnsi="Arial" w:cs="Arial"/>
                <w:b/>
                <w:sz w:val="24"/>
                <w:szCs w:val="24"/>
              </w:rPr>
              <w:t>Highlight</w:t>
            </w:r>
          </w:p>
          <w:p w14:paraId="78BB9E29" w14:textId="77777777" w:rsidR="002D1B1F" w:rsidRPr="00B568F3" w:rsidRDefault="002D1B1F" w:rsidP="00FC716F">
            <w:pPr>
              <w:ind w:left="142"/>
              <w:contextualSpacing/>
              <w:rPr>
                <w:rFonts w:ascii="Arial" w:eastAsia="Calibri" w:hAnsi="Arial" w:cs="Arial"/>
                <w:bCs/>
                <w:sz w:val="24"/>
                <w:szCs w:val="24"/>
              </w:rPr>
            </w:pPr>
          </w:p>
          <w:p w14:paraId="3360CA83" w14:textId="6B2987A8" w:rsidR="007D6B33" w:rsidRPr="00B568F3" w:rsidRDefault="00B078EA" w:rsidP="4BA15C28">
            <w:pPr>
              <w:contextualSpacing/>
              <w:rPr>
                <w:rFonts w:ascii="Arial" w:eastAsia="Calibri" w:hAnsi="Arial" w:cs="Arial"/>
                <w:sz w:val="24"/>
                <w:szCs w:val="24"/>
              </w:rPr>
            </w:pPr>
            <w:r w:rsidRPr="00B568F3">
              <w:rPr>
                <w:rFonts w:ascii="Arial" w:eastAsia="Calibri" w:hAnsi="Arial" w:cs="Arial"/>
                <w:sz w:val="24"/>
                <w:szCs w:val="24"/>
              </w:rPr>
              <w:t>E</w:t>
            </w:r>
            <w:r w:rsidR="007D6B33" w:rsidRPr="00B568F3">
              <w:rPr>
                <w:rFonts w:ascii="Arial" w:eastAsia="Calibri" w:hAnsi="Arial" w:cs="Arial"/>
                <w:sz w:val="24"/>
                <w:szCs w:val="24"/>
              </w:rPr>
              <w:t xml:space="preserve">vents </w:t>
            </w:r>
            <w:r w:rsidRPr="00B568F3">
              <w:rPr>
                <w:rFonts w:ascii="Arial" w:eastAsia="Calibri" w:hAnsi="Arial" w:cs="Arial"/>
                <w:sz w:val="24"/>
                <w:szCs w:val="24"/>
              </w:rPr>
              <w:t xml:space="preserve">held by a region </w:t>
            </w:r>
            <w:r w:rsidR="007D6B33" w:rsidRPr="00B568F3">
              <w:rPr>
                <w:rFonts w:ascii="Arial" w:eastAsia="Calibri" w:hAnsi="Arial" w:cs="Arial"/>
                <w:sz w:val="24"/>
                <w:szCs w:val="24"/>
              </w:rPr>
              <w:t>that formed part of a</w:t>
            </w:r>
            <w:r w:rsidR="002D1B1F" w:rsidRPr="00B568F3" w:rsidDel="00DE524B">
              <w:rPr>
                <w:rFonts w:ascii="Arial" w:eastAsia="Calibri" w:hAnsi="Arial" w:cs="Arial"/>
                <w:sz w:val="24"/>
                <w:szCs w:val="24"/>
              </w:rPr>
              <w:t xml:space="preserve"> </w:t>
            </w:r>
            <w:r w:rsidR="00DE524B" w:rsidRPr="00B568F3">
              <w:rPr>
                <w:rFonts w:ascii="Arial" w:eastAsia="Calibri" w:hAnsi="Arial" w:cs="Arial"/>
                <w:sz w:val="24"/>
                <w:szCs w:val="24"/>
              </w:rPr>
              <w:t xml:space="preserve">summer programme </w:t>
            </w:r>
            <w:r w:rsidR="002D1B1F" w:rsidRPr="00B568F3">
              <w:rPr>
                <w:rFonts w:ascii="Arial" w:eastAsia="Calibri" w:hAnsi="Arial" w:cs="Arial"/>
                <w:sz w:val="24"/>
                <w:szCs w:val="24"/>
              </w:rPr>
              <w:t xml:space="preserve">of </w:t>
            </w:r>
            <w:r w:rsidR="00DE524B" w:rsidRPr="00B568F3">
              <w:rPr>
                <w:rFonts w:ascii="Arial" w:eastAsia="Calibri" w:hAnsi="Arial" w:cs="Arial"/>
                <w:sz w:val="24"/>
                <w:szCs w:val="24"/>
              </w:rPr>
              <w:t>l</w:t>
            </w:r>
            <w:r w:rsidR="002D1B1F" w:rsidRPr="00B568F3">
              <w:rPr>
                <w:rFonts w:ascii="Arial" w:eastAsia="Calibri" w:hAnsi="Arial" w:cs="Arial"/>
                <w:sz w:val="24"/>
                <w:szCs w:val="24"/>
              </w:rPr>
              <w:t xml:space="preserve">earning from </w:t>
            </w:r>
            <w:r w:rsidR="007D6B33" w:rsidRPr="00B568F3">
              <w:rPr>
                <w:rFonts w:ascii="Arial" w:eastAsia="Calibri" w:hAnsi="Arial" w:cs="Arial"/>
                <w:sz w:val="24"/>
                <w:szCs w:val="24"/>
              </w:rPr>
              <w:t>c</w:t>
            </w:r>
            <w:r w:rsidR="002D1B1F" w:rsidRPr="00B568F3">
              <w:rPr>
                <w:rFonts w:ascii="Arial" w:eastAsia="Calibri" w:hAnsi="Arial" w:cs="Arial"/>
                <w:sz w:val="24"/>
                <w:szCs w:val="24"/>
              </w:rPr>
              <w:t xml:space="preserve">hild </w:t>
            </w:r>
            <w:r w:rsidR="007D6B33" w:rsidRPr="00B568F3">
              <w:rPr>
                <w:rFonts w:ascii="Arial" w:eastAsia="Calibri" w:hAnsi="Arial" w:cs="Arial"/>
                <w:sz w:val="24"/>
                <w:szCs w:val="24"/>
              </w:rPr>
              <w:t>p</w:t>
            </w:r>
            <w:r w:rsidR="002D1B1F" w:rsidRPr="00B568F3">
              <w:rPr>
                <w:rFonts w:ascii="Arial" w:eastAsia="Calibri" w:hAnsi="Arial" w:cs="Arial"/>
                <w:sz w:val="24"/>
                <w:szCs w:val="24"/>
              </w:rPr>
              <w:t xml:space="preserve">ractice </w:t>
            </w:r>
            <w:r w:rsidR="007D6B33" w:rsidRPr="00B568F3">
              <w:rPr>
                <w:rFonts w:ascii="Arial" w:eastAsia="Calibri" w:hAnsi="Arial" w:cs="Arial"/>
                <w:sz w:val="24"/>
                <w:szCs w:val="24"/>
              </w:rPr>
              <w:t>r</w:t>
            </w:r>
            <w:r w:rsidR="002D1B1F" w:rsidRPr="00B568F3">
              <w:rPr>
                <w:rFonts w:ascii="Arial" w:eastAsia="Calibri" w:hAnsi="Arial" w:cs="Arial"/>
                <w:sz w:val="24"/>
                <w:szCs w:val="24"/>
              </w:rPr>
              <w:t xml:space="preserve">eviews </w:t>
            </w:r>
            <w:r w:rsidR="0092108D" w:rsidRPr="00B568F3">
              <w:rPr>
                <w:rFonts w:ascii="Arial" w:eastAsia="Calibri" w:hAnsi="Arial" w:cs="Arial"/>
                <w:sz w:val="24"/>
                <w:szCs w:val="24"/>
              </w:rPr>
              <w:t xml:space="preserve">(CPR) </w:t>
            </w:r>
            <w:r w:rsidR="002D1B1F" w:rsidRPr="00B568F3">
              <w:rPr>
                <w:rFonts w:ascii="Arial" w:eastAsia="Calibri" w:hAnsi="Arial" w:cs="Arial"/>
                <w:sz w:val="24"/>
                <w:szCs w:val="24"/>
              </w:rPr>
              <w:t xml:space="preserve">were attended by over 200 children’s social care staff. </w:t>
            </w:r>
          </w:p>
          <w:p w14:paraId="45EEC230" w14:textId="77777777" w:rsidR="007D6B33" w:rsidRPr="00B568F3" w:rsidRDefault="007D6B33" w:rsidP="4BA15C28">
            <w:pPr>
              <w:contextualSpacing/>
              <w:rPr>
                <w:rFonts w:ascii="Arial" w:eastAsia="Calibri" w:hAnsi="Arial" w:cs="Arial"/>
                <w:sz w:val="24"/>
                <w:szCs w:val="24"/>
              </w:rPr>
            </w:pPr>
          </w:p>
          <w:p w14:paraId="50AF7152" w14:textId="0F551AB1" w:rsidR="002D1B1F" w:rsidRPr="00B568F3" w:rsidRDefault="004B69BD" w:rsidP="4BA15C28">
            <w:pPr>
              <w:contextualSpacing/>
              <w:rPr>
                <w:rFonts w:ascii="Arial" w:eastAsia="Calibri" w:hAnsi="Arial" w:cs="Arial"/>
                <w:sz w:val="24"/>
                <w:szCs w:val="24"/>
              </w:rPr>
            </w:pPr>
            <w:r w:rsidRPr="00B568F3">
              <w:rPr>
                <w:rFonts w:ascii="Arial" w:eastAsia="Calibri" w:hAnsi="Arial" w:cs="Arial"/>
                <w:sz w:val="24"/>
                <w:szCs w:val="24"/>
              </w:rPr>
              <w:t>The</w:t>
            </w:r>
            <w:r w:rsidR="00290B6B" w:rsidRPr="00B568F3">
              <w:rPr>
                <w:rFonts w:ascii="Arial" w:eastAsia="Calibri" w:hAnsi="Arial" w:cs="Arial"/>
                <w:sz w:val="24"/>
                <w:szCs w:val="24"/>
              </w:rPr>
              <w:t>re was positive evaluation of the</w:t>
            </w:r>
            <w:r w:rsidRPr="00B568F3">
              <w:rPr>
                <w:rFonts w:ascii="Arial" w:eastAsia="Calibri" w:hAnsi="Arial" w:cs="Arial"/>
                <w:sz w:val="24"/>
                <w:szCs w:val="24"/>
              </w:rPr>
              <w:t xml:space="preserve"> events</w:t>
            </w:r>
            <w:r w:rsidR="00290B6B" w:rsidRPr="00B568F3">
              <w:rPr>
                <w:rFonts w:ascii="Arial" w:eastAsia="Calibri" w:hAnsi="Arial" w:cs="Arial"/>
                <w:sz w:val="24"/>
                <w:szCs w:val="24"/>
              </w:rPr>
              <w:t>,</w:t>
            </w:r>
            <w:r w:rsidR="002D1B1F" w:rsidRPr="00B568F3">
              <w:rPr>
                <w:rFonts w:ascii="Arial" w:eastAsia="Calibri" w:hAnsi="Arial" w:cs="Arial"/>
                <w:sz w:val="24"/>
                <w:szCs w:val="24"/>
              </w:rPr>
              <w:t xml:space="preserve"> and a briefing</w:t>
            </w:r>
            <w:r w:rsidR="00290B6B" w:rsidRPr="00B568F3">
              <w:rPr>
                <w:rFonts w:ascii="Arial" w:eastAsia="Calibri" w:hAnsi="Arial" w:cs="Arial"/>
                <w:sz w:val="24"/>
                <w:szCs w:val="24"/>
              </w:rPr>
              <w:t xml:space="preserve"> was</w:t>
            </w:r>
            <w:r w:rsidR="002D1B1F" w:rsidRPr="00B568F3">
              <w:rPr>
                <w:rFonts w:ascii="Arial" w:eastAsia="Calibri" w:hAnsi="Arial" w:cs="Arial"/>
                <w:sz w:val="24"/>
                <w:szCs w:val="24"/>
              </w:rPr>
              <w:t xml:space="preserve"> developed from the sessions. T</w:t>
            </w:r>
            <w:r w:rsidR="00290B6B" w:rsidRPr="00B568F3">
              <w:rPr>
                <w:rFonts w:ascii="Arial" w:eastAsia="Calibri" w:hAnsi="Arial" w:cs="Arial"/>
                <w:sz w:val="24"/>
                <w:szCs w:val="24"/>
              </w:rPr>
              <w:t xml:space="preserve">here are </w:t>
            </w:r>
            <w:r w:rsidR="002D1B1F" w:rsidRPr="00B568F3" w:rsidDel="00290B6B">
              <w:rPr>
                <w:rFonts w:ascii="Arial" w:eastAsia="Calibri" w:hAnsi="Arial" w:cs="Arial"/>
                <w:sz w:val="24"/>
                <w:szCs w:val="24"/>
              </w:rPr>
              <w:t>t</w:t>
            </w:r>
            <w:r w:rsidR="002D1B1F" w:rsidRPr="00B568F3">
              <w:rPr>
                <w:rFonts w:ascii="Arial" w:eastAsia="Calibri" w:hAnsi="Arial" w:cs="Arial"/>
                <w:sz w:val="24"/>
                <w:szCs w:val="24"/>
              </w:rPr>
              <w:t>raining courses</w:t>
            </w:r>
            <w:r w:rsidR="00290B6B" w:rsidRPr="00B568F3">
              <w:rPr>
                <w:rFonts w:ascii="Arial" w:eastAsia="Calibri" w:hAnsi="Arial" w:cs="Arial"/>
                <w:sz w:val="24"/>
                <w:szCs w:val="24"/>
              </w:rPr>
              <w:t xml:space="preserve"> based on</w:t>
            </w:r>
            <w:r w:rsidR="002D1B1F" w:rsidRPr="00B568F3" w:rsidDel="00290B6B">
              <w:rPr>
                <w:rFonts w:ascii="Arial" w:eastAsia="Calibri" w:hAnsi="Arial" w:cs="Arial"/>
                <w:sz w:val="24"/>
                <w:szCs w:val="24"/>
              </w:rPr>
              <w:t xml:space="preserve"> </w:t>
            </w:r>
            <w:r w:rsidR="00DF1943" w:rsidRPr="00B568F3">
              <w:rPr>
                <w:rFonts w:ascii="Arial" w:eastAsia="Calibri" w:hAnsi="Arial" w:cs="Arial"/>
                <w:sz w:val="24"/>
                <w:szCs w:val="24"/>
              </w:rPr>
              <w:t>learning from the CPRs</w:t>
            </w:r>
            <w:r w:rsidR="00DF1943" w:rsidRPr="00B568F3" w:rsidDel="00290B6B">
              <w:rPr>
                <w:rFonts w:ascii="Arial" w:eastAsia="Calibri" w:hAnsi="Arial" w:cs="Arial"/>
                <w:sz w:val="24"/>
                <w:szCs w:val="24"/>
              </w:rPr>
              <w:t xml:space="preserve"> </w:t>
            </w:r>
            <w:r w:rsidR="00DF1943" w:rsidRPr="00B568F3">
              <w:rPr>
                <w:rFonts w:ascii="Arial" w:eastAsia="Calibri" w:hAnsi="Arial" w:cs="Arial"/>
                <w:sz w:val="24"/>
                <w:szCs w:val="24"/>
              </w:rPr>
              <w:t xml:space="preserve">in the </w:t>
            </w:r>
            <w:r w:rsidR="002D1B1F" w:rsidRPr="00B568F3">
              <w:rPr>
                <w:rFonts w:ascii="Arial" w:eastAsia="Calibri" w:hAnsi="Arial" w:cs="Arial"/>
                <w:sz w:val="24"/>
                <w:szCs w:val="24"/>
              </w:rPr>
              <w:t>2023</w:t>
            </w:r>
            <w:r w:rsidR="006C488C" w:rsidRPr="00B568F3">
              <w:rPr>
                <w:rFonts w:ascii="Arial" w:eastAsia="Calibri" w:hAnsi="Arial" w:cs="Arial"/>
                <w:sz w:val="24"/>
                <w:szCs w:val="24"/>
              </w:rPr>
              <w:t xml:space="preserve"> to 20</w:t>
            </w:r>
            <w:r w:rsidR="002D1B1F" w:rsidRPr="00B568F3">
              <w:rPr>
                <w:rFonts w:ascii="Arial" w:eastAsia="Calibri" w:hAnsi="Arial" w:cs="Arial"/>
                <w:sz w:val="24"/>
                <w:szCs w:val="24"/>
              </w:rPr>
              <w:t>24 training calendars</w:t>
            </w:r>
            <w:r w:rsidR="00290B6B" w:rsidRPr="00B568F3">
              <w:rPr>
                <w:rFonts w:ascii="Arial" w:eastAsia="Calibri" w:hAnsi="Arial" w:cs="Arial"/>
                <w:sz w:val="24"/>
                <w:szCs w:val="24"/>
              </w:rPr>
              <w:t>,</w:t>
            </w:r>
            <w:r w:rsidR="002D1B1F" w:rsidRPr="00B568F3">
              <w:rPr>
                <w:rFonts w:ascii="Arial" w:eastAsia="Calibri" w:hAnsi="Arial" w:cs="Arial"/>
                <w:sz w:val="24"/>
                <w:szCs w:val="24"/>
              </w:rPr>
              <w:t xml:space="preserve"> and attendance is good.</w:t>
            </w:r>
          </w:p>
          <w:p w14:paraId="759B3C50" w14:textId="77777777" w:rsidR="002D1B1F" w:rsidRPr="00B568F3" w:rsidRDefault="002D1B1F" w:rsidP="00FC716F">
            <w:pPr>
              <w:suppressAutoHyphens/>
              <w:autoSpaceDN w:val="0"/>
              <w:spacing w:line="247" w:lineRule="auto"/>
              <w:textAlignment w:val="baseline"/>
              <w:rPr>
                <w:rFonts w:ascii="Arial" w:eastAsia="Calibri" w:hAnsi="Arial" w:cs="Arial"/>
                <w:color w:val="FF0000"/>
                <w:sz w:val="24"/>
                <w:szCs w:val="24"/>
              </w:rPr>
            </w:pPr>
          </w:p>
        </w:tc>
      </w:tr>
    </w:tbl>
    <w:p w14:paraId="5F9C1F60" w14:textId="77777777" w:rsidR="002D1B1F" w:rsidRPr="00B568F3" w:rsidRDefault="002D1B1F" w:rsidP="002D1B1F">
      <w:pPr>
        <w:suppressAutoHyphens/>
        <w:autoSpaceDN w:val="0"/>
        <w:spacing w:after="0" w:line="247" w:lineRule="auto"/>
        <w:textAlignment w:val="baseline"/>
        <w:rPr>
          <w:rFonts w:ascii="Arial" w:eastAsia="Calibri" w:hAnsi="Arial" w:cs="Arial"/>
          <w:color w:val="FF0000"/>
          <w:sz w:val="24"/>
          <w:szCs w:val="24"/>
        </w:rPr>
      </w:pPr>
    </w:p>
    <w:tbl>
      <w:tblPr>
        <w:tblStyle w:val="TableGrid"/>
        <w:tblW w:w="9014" w:type="dxa"/>
        <w:tblLook w:val="04A0" w:firstRow="1" w:lastRow="0" w:firstColumn="1" w:lastColumn="0" w:noHBand="0" w:noVBand="1"/>
      </w:tblPr>
      <w:tblGrid>
        <w:gridCol w:w="9014"/>
      </w:tblGrid>
      <w:tr w:rsidR="002D1B1F" w:rsidRPr="00B568F3" w14:paraId="4B86BF6E" w14:textId="77777777" w:rsidTr="4D3BE396">
        <w:tc>
          <w:tcPr>
            <w:tcW w:w="9014" w:type="dxa"/>
          </w:tcPr>
          <w:p w14:paraId="036C961F" w14:textId="77777777" w:rsidR="002D1B1F" w:rsidRPr="00B568F3" w:rsidRDefault="002D1B1F" w:rsidP="00FC716F">
            <w:pPr>
              <w:contextualSpacing/>
              <w:rPr>
                <w:rFonts w:ascii="Arial" w:eastAsia="Calibri" w:hAnsi="Arial" w:cs="Arial"/>
                <w:b/>
                <w:sz w:val="24"/>
                <w:szCs w:val="24"/>
              </w:rPr>
            </w:pPr>
            <w:r w:rsidRPr="00B568F3">
              <w:rPr>
                <w:rFonts w:ascii="Arial" w:eastAsia="Calibri" w:hAnsi="Arial" w:cs="Arial"/>
                <w:b/>
                <w:sz w:val="24"/>
                <w:szCs w:val="24"/>
              </w:rPr>
              <w:t>Highlight</w:t>
            </w:r>
          </w:p>
          <w:p w14:paraId="77C7DA7B" w14:textId="77777777" w:rsidR="002D1B1F" w:rsidRPr="00B568F3" w:rsidRDefault="002D1B1F" w:rsidP="00FC716F">
            <w:pPr>
              <w:contextualSpacing/>
              <w:rPr>
                <w:rFonts w:ascii="Arial" w:eastAsia="Calibri" w:hAnsi="Arial" w:cs="Arial"/>
                <w:bCs/>
                <w:sz w:val="24"/>
                <w:szCs w:val="24"/>
              </w:rPr>
            </w:pPr>
          </w:p>
          <w:p w14:paraId="5D095ECD" w14:textId="0B223058" w:rsidR="002D1B1F" w:rsidRPr="00B568F3" w:rsidRDefault="002D1B1F" w:rsidP="006302BD">
            <w:pPr>
              <w:contextualSpacing/>
              <w:rPr>
                <w:rFonts w:ascii="Arial" w:eastAsia="Calibri" w:hAnsi="Arial" w:cs="Arial"/>
                <w:bCs/>
                <w:color w:val="FF0000"/>
                <w:sz w:val="24"/>
                <w:szCs w:val="24"/>
              </w:rPr>
            </w:pPr>
            <w:r w:rsidRPr="00B568F3">
              <w:rPr>
                <w:rFonts w:ascii="Arial" w:eastAsia="Calibri" w:hAnsi="Arial" w:cs="Arial"/>
                <w:sz w:val="24"/>
                <w:szCs w:val="24"/>
              </w:rPr>
              <w:t xml:space="preserve">A </w:t>
            </w:r>
            <w:r w:rsidR="00DF1943" w:rsidRPr="00B568F3">
              <w:rPr>
                <w:rFonts w:ascii="Arial" w:eastAsia="Calibri" w:hAnsi="Arial" w:cs="Arial"/>
                <w:sz w:val="24"/>
                <w:szCs w:val="24"/>
              </w:rPr>
              <w:t>local authori</w:t>
            </w:r>
            <w:r w:rsidR="009A08D3" w:rsidRPr="00B568F3">
              <w:rPr>
                <w:rFonts w:ascii="Arial" w:eastAsia="Calibri" w:hAnsi="Arial" w:cs="Arial"/>
                <w:sz w:val="24"/>
                <w:szCs w:val="24"/>
              </w:rPr>
              <w:t>ty</w:t>
            </w:r>
            <w:r w:rsidRPr="00B568F3">
              <w:rPr>
                <w:rFonts w:ascii="Arial" w:eastAsia="Calibri" w:hAnsi="Arial" w:cs="Arial"/>
                <w:sz w:val="24"/>
                <w:szCs w:val="24"/>
              </w:rPr>
              <w:t xml:space="preserve"> in one region is </w:t>
            </w:r>
            <w:r w:rsidR="00661049" w:rsidRPr="00B568F3">
              <w:rPr>
                <w:rFonts w:ascii="Arial" w:eastAsia="Calibri" w:hAnsi="Arial" w:cs="Arial"/>
                <w:sz w:val="24"/>
                <w:szCs w:val="24"/>
              </w:rPr>
              <w:t xml:space="preserve">testing </w:t>
            </w:r>
            <w:r w:rsidRPr="00B568F3">
              <w:rPr>
                <w:rFonts w:ascii="Arial" w:eastAsia="Calibri" w:hAnsi="Arial" w:cs="Arial"/>
                <w:sz w:val="24"/>
                <w:szCs w:val="24"/>
              </w:rPr>
              <w:t xml:space="preserve">a programme </w:t>
            </w:r>
            <w:r w:rsidR="00027F98" w:rsidRPr="00B568F3">
              <w:rPr>
                <w:rFonts w:ascii="Arial" w:eastAsia="Calibri" w:hAnsi="Arial" w:cs="Arial"/>
                <w:sz w:val="24"/>
                <w:szCs w:val="24"/>
              </w:rPr>
              <w:t>with heal</w:t>
            </w:r>
            <w:r w:rsidR="00A8332D" w:rsidRPr="00B568F3">
              <w:rPr>
                <w:rFonts w:ascii="Arial" w:eastAsia="Calibri" w:hAnsi="Arial" w:cs="Arial"/>
                <w:sz w:val="24"/>
                <w:szCs w:val="24"/>
              </w:rPr>
              <w:t xml:space="preserve">th and pharmacy </w:t>
            </w:r>
            <w:r w:rsidRPr="00B568F3" w:rsidDel="00A8332D">
              <w:rPr>
                <w:rFonts w:ascii="Arial" w:eastAsia="Calibri" w:hAnsi="Arial" w:cs="Arial"/>
                <w:sz w:val="24"/>
                <w:szCs w:val="24"/>
              </w:rPr>
              <w:t xml:space="preserve">colleagues </w:t>
            </w:r>
            <w:r w:rsidR="00A8332D" w:rsidRPr="00B568F3">
              <w:rPr>
                <w:rFonts w:ascii="Arial" w:eastAsia="Calibri" w:hAnsi="Arial" w:cs="Arial"/>
                <w:sz w:val="24"/>
                <w:szCs w:val="24"/>
              </w:rPr>
              <w:t>t</w:t>
            </w:r>
            <w:r w:rsidRPr="00B568F3">
              <w:rPr>
                <w:rFonts w:ascii="Arial" w:eastAsia="Calibri" w:hAnsi="Arial" w:cs="Arial"/>
                <w:sz w:val="24"/>
                <w:szCs w:val="24"/>
              </w:rPr>
              <w:t xml:space="preserve">o </w:t>
            </w:r>
            <w:r w:rsidR="00A8332D" w:rsidRPr="00B568F3">
              <w:rPr>
                <w:rFonts w:ascii="Arial" w:eastAsia="Calibri" w:hAnsi="Arial" w:cs="Arial"/>
                <w:sz w:val="24"/>
                <w:szCs w:val="24"/>
              </w:rPr>
              <w:t xml:space="preserve">create </w:t>
            </w:r>
            <w:r w:rsidRPr="00B568F3" w:rsidDel="00A8332D">
              <w:rPr>
                <w:rFonts w:ascii="Arial" w:eastAsia="Calibri" w:hAnsi="Arial" w:cs="Arial"/>
                <w:sz w:val="24"/>
                <w:szCs w:val="24"/>
              </w:rPr>
              <w:t>a</w:t>
            </w:r>
            <w:r w:rsidRPr="00B568F3">
              <w:rPr>
                <w:rFonts w:ascii="Arial" w:eastAsia="Calibri" w:hAnsi="Arial" w:cs="Arial"/>
                <w:sz w:val="24"/>
                <w:szCs w:val="24"/>
              </w:rPr>
              <w:t xml:space="preserve"> level 2 administration of medication training and competency assessment for domiciliary care workers. </w:t>
            </w:r>
            <w:r w:rsidR="009A08D3" w:rsidRPr="00B568F3">
              <w:rPr>
                <w:rFonts w:ascii="Arial" w:eastAsia="Calibri" w:hAnsi="Arial" w:cs="Arial"/>
                <w:sz w:val="24"/>
                <w:szCs w:val="24"/>
              </w:rPr>
              <w:t>Local authority</w:t>
            </w:r>
            <w:r w:rsidRPr="00B568F3">
              <w:rPr>
                <w:rFonts w:ascii="Arial" w:eastAsia="Calibri" w:hAnsi="Arial" w:cs="Arial"/>
                <w:sz w:val="24"/>
                <w:szCs w:val="24"/>
              </w:rPr>
              <w:t xml:space="preserve"> and pharmacy programme members have held an information session </w:t>
            </w:r>
            <w:r w:rsidR="00AC756A" w:rsidRPr="00B568F3">
              <w:rPr>
                <w:rFonts w:ascii="Arial" w:eastAsia="Calibri" w:hAnsi="Arial" w:cs="Arial"/>
                <w:sz w:val="24"/>
                <w:szCs w:val="24"/>
              </w:rPr>
              <w:t xml:space="preserve">for regional </w:t>
            </w:r>
            <w:r w:rsidRPr="00B568F3" w:rsidDel="00E6485F">
              <w:rPr>
                <w:rFonts w:ascii="Arial" w:eastAsia="Calibri" w:hAnsi="Arial" w:cs="Arial"/>
                <w:sz w:val="24"/>
                <w:szCs w:val="24"/>
              </w:rPr>
              <w:t xml:space="preserve">colleagues </w:t>
            </w:r>
            <w:r w:rsidR="00E6485F" w:rsidRPr="00B568F3">
              <w:rPr>
                <w:rFonts w:ascii="Arial" w:eastAsia="Calibri" w:hAnsi="Arial" w:cs="Arial"/>
                <w:sz w:val="24"/>
                <w:szCs w:val="24"/>
              </w:rPr>
              <w:t>to</w:t>
            </w:r>
            <w:r w:rsidR="0054727C" w:rsidRPr="00B568F3">
              <w:rPr>
                <w:rFonts w:ascii="Arial" w:eastAsia="Calibri" w:hAnsi="Arial" w:cs="Arial"/>
                <w:sz w:val="24"/>
                <w:szCs w:val="24"/>
              </w:rPr>
              <w:t xml:space="preserve"> share what they</w:t>
            </w:r>
            <w:r w:rsidR="00AC756A" w:rsidRPr="00B568F3">
              <w:rPr>
                <w:rFonts w:ascii="Arial" w:eastAsia="Calibri" w:hAnsi="Arial" w:cs="Arial"/>
                <w:sz w:val="24"/>
                <w:szCs w:val="24"/>
              </w:rPr>
              <w:t>’ve learn</w:t>
            </w:r>
            <w:r w:rsidR="00E6485F" w:rsidRPr="00B568F3">
              <w:rPr>
                <w:rFonts w:ascii="Arial" w:eastAsia="Calibri" w:hAnsi="Arial" w:cs="Arial"/>
                <w:sz w:val="24"/>
                <w:szCs w:val="24"/>
              </w:rPr>
              <w:t>t</w:t>
            </w:r>
            <w:r w:rsidR="00AC756A" w:rsidRPr="00B568F3">
              <w:rPr>
                <w:rFonts w:ascii="Arial" w:eastAsia="Calibri" w:hAnsi="Arial" w:cs="Arial"/>
                <w:sz w:val="24"/>
                <w:szCs w:val="24"/>
              </w:rPr>
              <w:t xml:space="preserve"> so far.</w:t>
            </w:r>
          </w:p>
        </w:tc>
      </w:tr>
    </w:tbl>
    <w:p w14:paraId="30051679" w14:textId="77777777" w:rsidR="002D1B1F" w:rsidRPr="00B568F3" w:rsidRDefault="002D1B1F" w:rsidP="002D1B1F">
      <w:pPr>
        <w:spacing w:after="0" w:line="240" w:lineRule="auto"/>
        <w:contextualSpacing/>
        <w:rPr>
          <w:rFonts w:ascii="Arial" w:eastAsia="Calibri" w:hAnsi="Arial" w:cs="Arial"/>
          <w:b/>
          <w:color w:val="FF0000"/>
          <w:sz w:val="24"/>
          <w:szCs w:val="24"/>
        </w:rPr>
      </w:pPr>
    </w:p>
    <w:tbl>
      <w:tblPr>
        <w:tblStyle w:val="TableGrid"/>
        <w:tblW w:w="0" w:type="auto"/>
        <w:tblLook w:val="04A0" w:firstRow="1" w:lastRow="0" w:firstColumn="1" w:lastColumn="0" w:noHBand="0" w:noVBand="1"/>
      </w:tblPr>
      <w:tblGrid>
        <w:gridCol w:w="9016"/>
      </w:tblGrid>
      <w:tr w:rsidR="008F700B" w:rsidRPr="00B568F3" w14:paraId="41B55E02" w14:textId="77777777" w:rsidTr="008F700B">
        <w:tc>
          <w:tcPr>
            <w:tcW w:w="9016" w:type="dxa"/>
          </w:tcPr>
          <w:p w14:paraId="44065188" w14:textId="77777777" w:rsidR="008F700B" w:rsidRPr="00B568F3" w:rsidRDefault="008F700B" w:rsidP="008F700B">
            <w:pPr>
              <w:pBdr>
                <w:top w:val="single" w:sz="4" w:space="1" w:color="auto"/>
                <w:left w:val="single" w:sz="4" w:space="4" w:color="auto"/>
                <w:bottom w:val="single" w:sz="4" w:space="1" w:color="auto"/>
                <w:right w:val="single" w:sz="4" w:space="4" w:color="auto"/>
              </w:pBdr>
              <w:contextualSpacing/>
              <w:rPr>
                <w:rFonts w:ascii="Arial" w:eastAsia="Calibri" w:hAnsi="Arial" w:cs="Arial"/>
                <w:b/>
                <w:sz w:val="24"/>
                <w:szCs w:val="24"/>
              </w:rPr>
            </w:pPr>
            <w:r w:rsidRPr="00B568F3">
              <w:rPr>
                <w:rFonts w:ascii="Arial" w:eastAsia="Calibri" w:hAnsi="Arial" w:cs="Arial"/>
                <w:b/>
                <w:sz w:val="24"/>
                <w:szCs w:val="24"/>
              </w:rPr>
              <w:t>Highlight</w:t>
            </w:r>
          </w:p>
          <w:p w14:paraId="4172B44F" w14:textId="77777777" w:rsidR="008F700B" w:rsidRPr="00B568F3" w:rsidRDefault="008F700B" w:rsidP="008F700B">
            <w:pPr>
              <w:pBdr>
                <w:top w:val="single" w:sz="4" w:space="1" w:color="auto"/>
                <w:left w:val="single" w:sz="4" w:space="4" w:color="auto"/>
                <w:bottom w:val="single" w:sz="4" w:space="1" w:color="auto"/>
                <w:right w:val="single" w:sz="4" w:space="4" w:color="auto"/>
              </w:pBdr>
              <w:contextualSpacing/>
              <w:rPr>
                <w:rFonts w:ascii="Arial" w:eastAsia="Calibri" w:hAnsi="Arial" w:cs="Arial"/>
                <w:bCs/>
                <w:sz w:val="24"/>
                <w:szCs w:val="24"/>
              </w:rPr>
            </w:pPr>
          </w:p>
          <w:p w14:paraId="687C15BC" w14:textId="4198E5BA" w:rsidR="008F700B" w:rsidRPr="00B568F3" w:rsidRDefault="008F700B" w:rsidP="008F700B">
            <w:pPr>
              <w:pBdr>
                <w:top w:val="single" w:sz="4" w:space="1" w:color="auto"/>
                <w:left w:val="single" w:sz="4" w:space="4" w:color="auto"/>
                <w:bottom w:val="single" w:sz="4" w:space="1" w:color="auto"/>
                <w:right w:val="single" w:sz="4" w:space="4" w:color="auto"/>
              </w:pBdr>
              <w:contextualSpacing/>
              <w:rPr>
                <w:rFonts w:ascii="Arial" w:eastAsia="Calibri" w:hAnsi="Arial" w:cs="Arial"/>
                <w:sz w:val="24"/>
                <w:szCs w:val="24"/>
              </w:rPr>
            </w:pPr>
            <w:r w:rsidRPr="00B568F3">
              <w:rPr>
                <w:rFonts w:ascii="Arial" w:eastAsia="Calibri" w:hAnsi="Arial" w:cs="Arial"/>
                <w:sz w:val="24"/>
                <w:szCs w:val="24"/>
              </w:rPr>
              <w:t>Children Service’s Consultant Social Workers</w:t>
            </w:r>
            <w:r w:rsidR="000D7ADE" w:rsidRPr="00B568F3">
              <w:rPr>
                <w:rFonts w:ascii="Arial" w:eastAsia="Calibri" w:hAnsi="Arial" w:cs="Arial"/>
                <w:sz w:val="24"/>
                <w:szCs w:val="24"/>
              </w:rPr>
              <w:t xml:space="preserve"> in one local authority</w:t>
            </w:r>
            <w:r w:rsidRPr="00B568F3">
              <w:rPr>
                <w:rFonts w:ascii="Arial" w:eastAsia="Calibri" w:hAnsi="Arial" w:cs="Arial"/>
                <w:sz w:val="24"/>
                <w:szCs w:val="24"/>
              </w:rPr>
              <w:t xml:space="preserve"> have developed and delivered a new </w:t>
            </w:r>
            <w:r w:rsidRPr="00B568F3" w:rsidDel="009A08D3">
              <w:rPr>
                <w:rFonts w:ascii="Arial" w:eastAsia="Calibri" w:hAnsi="Arial" w:cs="Arial"/>
                <w:sz w:val="24"/>
                <w:szCs w:val="24"/>
              </w:rPr>
              <w:t>eight</w:t>
            </w:r>
            <w:r w:rsidRPr="00B568F3">
              <w:rPr>
                <w:rFonts w:ascii="Arial" w:eastAsia="Calibri" w:hAnsi="Arial" w:cs="Arial"/>
                <w:sz w:val="24"/>
                <w:szCs w:val="24"/>
              </w:rPr>
              <w:t>-day training programme to combine existing training on the outcome-focused approach</w:t>
            </w:r>
            <w:r w:rsidRPr="00B568F3" w:rsidDel="00BE7F89">
              <w:rPr>
                <w:rFonts w:ascii="Arial" w:eastAsia="Calibri" w:hAnsi="Arial" w:cs="Arial"/>
                <w:sz w:val="24"/>
                <w:szCs w:val="24"/>
              </w:rPr>
              <w:t xml:space="preserve"> </w:t>
            </w:r>
            <w:r w:rsidRPr="00B568F3">
              <w:rPr>
                <w:rFonts w:ascii="Arial" w:eastAsia="Calibri" w:hAnsi="Arial" w:cs="Arial"/>
                <w:sz w:val="24"/>
                <w:szCs w:val="24"/>
              </w:rPr>
              <w:t xml:space="preserve">with the integrated family support services model, outcome focused case recording, scaling, direct work skills and motivational interviewing. </w:t>
            </w:r>
          </w:p>
          <w:p w14:paraId="7B5AC1BB" w14:textId="77777777" w:rsidR="008F700B" w:rsidRPr="00B568F3" w:rsidRDefault="008F700B" w:rsidP="008F700B">
            <w:pPr>
              <w:pBdr>
                <w:top w:val="single" w:sz="4" w:space="1" w:color="auto"/>
                <w:left w:val="single" w:sz="4" w:space="4" w:color="auto"/>
                <w:bottom w:val="single" w:sz="4" w:space="1" w:color="auto"/>
                <w:right w:val="single" w:sz="4" w:space="4" w:color="auto"/>
              </w:pBdr>
              <w:contextualSpacing/>
              <w:rPr>
                <w:rFonts w:ascii="Arial" w:eastAsia="Calibri" w:hAnsi="Arial" w:cs="Arial"/>
                <w:sz w:val="24"/>
                <w:szCs w:val="24"/>
              </w:rPr>
            </w:pPr>
          </w:p>
          <w:p w14:paraId="63C72D79" w14:textId="77777777" w:rsidR="008F700B" w:rsidRPr="00B568F3" w:rsidRDefault="008F700B" w:rsidP="008F700B">
            <w:pPr>
              <w:pBdr>
                <w:top w:val="single" w:sz="4" w:space="1" w:color="auto"/>
                <w:left w:val="single" w:sz="4" w:space="4" w:color="auto"/>
                <w:bottom w:val="single" w:sz="4" w:space="1" w:color="auto"/>
                <w:right w:val="single" w:sz="4" w:space="4" w:color="auto"/>
              </w:pBdr>
              <w:contextualSpacing/>
              <w:rPr>
                <w:rFonts w:ascii="Arial" w:eastAsia="Calibri" w:hAnsi="Arial" w:cs="Arial"/>
                <w:sz w:val="24"/>
                <w:szCs w:val="24"/>
              </w:rPr>
            </w:pPr>
            <w:r w:rsidRPr="00B568F3">
              <w:rPr>
                <w:rFonts w:ascii="Arial" w:eastAsia="Calibri" w:hAnsi="Arial" w:cs="Arial"/>
                <w:sz w:val="24"/>
                <w:szCs w:val="24"/>
              </w:rPr>
              <w:t xml:space="preserve">Attendees </w:t>
            </w:r>
            <w:r w:rsidRPr="00B568F3" w:rsidDel="00BE7F89">
              <w:rPr>
                <w:rFonts w:ascii="Arial" w:eastAsia="Calibri" w:hAnsi="Arial" w:cs="Arial"/>
                <w:sz w:val="24"/>
                <w:szCs w:val="24"/>
              </w:rPr>
              <w:t xml:space="preserve">have </w:t>
            </w:r>
            <w:r w:rsidRPr="00B568F3">
              <w:rPr>
                <w:rFonts w:ascii="Arial" w:eastAsia="Calibri" w:hAnsi="Arial" w:cs="Arial"/>
                <w:sz w:val="24"/>
                <w:szCs w:val="24"/>
              </w:rPr>
              <w:t>found it really useful to develop new skills about motivational interviewing and put these into practice between sessions. It has also helped to give clarity about how social services works within the authority and</w:t>
            </w:r>
            <w:r w:rsidRPr="00B568F3" w:rsidDel="002A4FC9">
              <w:rPr>
                <w:rFonts w:ascii="Arial" w:eastAsia="Calibri" w:hAnsi="Arial" w:cs="Arial"/>
                <w:sz w:val="24"/>
                <w:szCs w:val="24"/>
              </w:rPr>
              <w:t xml:space="preserve"> </w:t>
            </w:r>
            <w:r w:rsidRPr="00B568F3">
              <w:rPr>
                <w:rFonts w:ascii="Arial" w:eastAsia="Calibri" w:hAnsi="Arial" w:cs="Arial"/>
                <w:sz w:val="24"/>
                <w:szCs w:val="24"/>
              </w:rPr>
              <w:t>will</w:t>
            </w:r>
            <w:r w:rsidRPr="00B568F3" w:rsidDel="002A4FC9">
              <w:rPr>
                <w:rFonts w:ascii="Arial" w:eastAsia="Calibri" w:hAnsi="Arial" w:cs="Arial"/>
                <w:sz w:val="24"/>
                <w:szCs w:val="24"/>
              </w:rPr>
              <w:t xml:space="preserve"> </w:t>
            </w:r>
            <w:r w:rsidRPr="00B568F3">
              <w:rPr>
                <w:rFonts w:ascii="Arial" w:eastAsia="Calibri" w:hAnsi="Arial" w:cs="Arial"/>
                <w:sz w:val="24"/>
                <w:szCs w:val="24"/>
              </w:rPr>
              <w:t>hopefully create consistency across the service. Future courses will be adapted to include adult services social workers in this important skill development.</w:t>
            </w:r>
          </w:p>
          <w:p w14:paraId="0CEED6DC" w14:textId="77777777" w:rsidR="008F700B" w:rsidRPr="00B568F3" w:rsidRDefault="008F700B" w:rsidP="002D1B1F">
            <w:pPr>
              <w:contextualSpacing/>
              <w:rPr>
                <w:rFonts w:ascii="Arial" w:eastAsia="Calibri" w:hAnsi="Arial" w:cs="Arial"/>
                <w:b/>
                <w:color w:val="FF0000"/>
                <w:sz w:val="24"/>
                <w:szCs w:val="24"/>
              </w:rPr>
            </w:pPr>
          </w:p>
        </w:tc>
      </w:tr>
    </w:tbl>
    <w:p w14:paraId="3328C19F" w14:textId="77777777" w:rsidR="008F700B" w:rsidRPr="00B568F3" w:rsidRDefault="008F700B" w:rsidP="002D1B1F">
      <w:pPr>
        <w:spacing w:after="0" w:line="240" w:lineRule="auto"/>
        <w:contextualSpacing/>
        <w:rPr>
          <w:rFonts w:ascii="Arial" w:eastAsia="Calibri" w:hAnsi="Arial" w:cs="Arial"/>
          <w:b/>
          <w:color w:val="FF0000"/>
          <w:sz w:val="24"/>
          <w:szCs w:val="24"/>
        </w:rPr>
      </w:pPr>
    </w:p>
    <w:tbl>
      <w:tblPr>
        <w:tblStyle w:val="TableGrid"/>
        <w:tblW w:w="0" w:type="auto"/>
        <w:tblLook w:val="04A0" w:firstRow="1" w:lastRow="0" w:firstColumn="1" w:lastColumn="0" w:noHBand="0" w:noVBand="1"/>
      </w:tblPr>
      <w:tblGrid>
        <w:gridCol w:w="9016"/>
      </w:tblGrid>
      <w:tr w:rsidR="002D1B1F" w:rsidRPr="00B568F3" w14:paraId="7433611E" w14:textId="77777777" w:rsidTr="4BA15C28">
        <w:tc>
          <w:tcPr>
            <w:tcW w:w="9016" w:type="dxa"/>
          </w:tcPr>
          <w:p w14:paraId="4E3BFB72" w14:textId="77777777" w:rsidR="002D1B1F" w:rsidRPr="00B568F3" w:rsidRDefault="002D1B1F" w:rsidP="00FC716F">
            <w:pPr>
              <w:contextualSpacing/>
              <w:rPr>
                <w:rFonts w:ascii="Arial" w:eastAsia="Calibri" w:hAnsi="Arial" w:cs="Arial"/>
                <w:b/>
                <w:sz w:val="24"/>
                <w:szCs w:val="24"/>
              </w:rPr>
            </w:pPr>
            <w:r w:rsidRPr="00B568F3">
              <w:rPr>
                <w:rFonts w:ascii="Arial" w:eastAsia="Calibri" w:hAnsi="Arial" w:cs="Arial"/>
                <w:b/>
                <w:sz w:val="24"/>
                <w:szCs w:val="24"/>
              </w:rPr>
              <w:t>Highlight</w:t>
            </w:r>
          </w:p>
          <w:p w14:paraId="6E2A15EF" w14:textId="77777777" w:rsidR="002D1B1F" w:rsidRPr="00B568F3" w:rsidRDefault="002D1B1F" w:rsidP="00FC716F">
            <w:pPr>
              <w:contextualSpacing/>
              <w:rPr>
                <w:rFonts w:ascii="Arial" w:eastAsia="Calibri" w:hAnsi="Arial" w:cs="Arial"/>
                <w:bCs/>
                <w:sz w:val="24"/>
                <w:szCs w:val="24"/>
              </w:rPr>
            </w:pPr>
          </w:p>
          <w:p w14:paraId="28FD93E0" w14:textId="36216706" w:rsidR="009911A6" w:rsidRPr="00B568F3" w:rsidRDefault="00BF72B3" w:rsidP="4D3BE396">
            <w:pPr>
              <w:contextualSpacing/>
              <w:rPr>
                <w:rFonts w:ascii="Arial" w:eastAsia="Calibri" w:hAnsi="Arial" w:cs="Arial"/>
                <w:sz w:val="24"/>
                <w:szCs w:val="24"/>
              </w:rPr>
            </w:pPr>
            <w:r w:rsidRPr="00B568F3">
              <w:rPr>
                <w:rFonts w:ascii="Arial" w:eastAsia="Calibri" w:hAnsi="Arial" w:cs="Arial"/>
                <w:sz w:val="24"/>
                <w:szCs w:val="24"/>
              </w:rPr>
              <w:t>In a region, s</w:t>
            </w:r>
            <w:r w:rsidR="00013E77" w:rsidRPr="00B568F3">
              <w:rPr>
                <w:rFonts w:ascii="Arial" w:eastAsia="Calibri" w:hAnsi="Arial" w:cs="Arial"/>
                <w:sz w:val="24"/>
                <w:szCs w:val="24"/>
              </w:rPr>
              <w:t>ixteen</w:t>
            </w:r>
            <w:r w:rsidR="002D1B1F" w:rsidRPr="00B568F3">
              <w:rPr>
                <w:rFonts w:ascii="Arial" w:eastAsia="Calibri" w:hAnsi="Arial" w:cs="Arial"/>
                <w:sz w:val="24"/>
                <w:szCs w:val="24"/>
              </w:rPr>
              <w:t xml:space="preserve"> </w:t>
            </w:r>
            <w:r w:rsidR="002A4FC9" w:rsidRPr="00B568F3">
              <w:rPr>
                <w:rFonts w:ascii="Arial" w:eastAsia="Calibri" w:hAnsi="Arial" w:cs="Arial"/>
                <w:sz w:val="24"/>
                <w:szCs w:val="24"/>
              </w:rPr>
              <w:t>consultant social</w:t>
            </w:r>
            <w:r w:rsidR="002D1B1F" w:rsidRPr="00B568F3">
              <w:rPr>
                <w:rFonts w:ascii="Arial" w:eastAsia="Calibri" w:hAnsi="Arial" w:cs="Arial"/>
                <w:sz w:val="24"/>
                <w:szCs w:val="24"/>
              </w:rPr>
              <w:t xml:space="preserve"> </w:t>
            </w:r>
            <w:r w:rsidR="001D6421" w:rsidRPr="00B568F3">
              <w:rPr>
                <w:rFonts w:ascii="Arial" w:eastAsia="Calibri" w:hAnsi="Arial" w:cs="Arial"/>
                <w:sz w:val="24"/>
                <w:szCs w:val="24"/>
              </w:rPr>
              <w:t>w</w:t>
            </w:r>
            <w:r w:rsidR="002D1B1F" w:rsidRPr="00B568F3">
              <w:rPr>
                <w:rFonts w:ascii="Arial" w:eastAsia="Calibri" w:hAnsi="Arial" w:cs="Arial"/>
                <w:sz w:val="24"/>
                <w:szCs w:val="24"/>
              </w:rPr>
              <w:t xml:space="preserve">orkers have been trained in the Most Significant Change </w:t>
            </w:r>
            <w:r w:rsidR="001F05EF" w:rsidRPr="00B568F3">
              <w:rPr>
                <w:rFonts w:ascii="Arial" w:eastAsia="Calibri" w:hAnsi="Arial" w:cs="Arial"/>
                <w:sz w:val="24"/>
                <w:szCs w:val="24"/>
              </w:rPr>
              <w:t>m</w:t>
            </w:r>
            <w:r w:rsidR="002D1B1F" w:rsidRPr="00B568F3">
              <w:rPr>
                <w:rFonts w:ascii="Arial" w:eastAsia="Calibri" w:hAnsi="Arial" w:cs="Arial"/>
                <w:sz w:val="24"/>
                <w:szCs w:val="24"/>
              </w:rPr>
              <w:t xml:space="preserve">odel (MSC) by Nick Andrews, Research and Practice Development Officer for </w:t>
            </w:r>
            <w:hyperlink r:id="rId26">
              <w:r w:rsidR="002D1B1F" w:rsidRPr="00B568F3">
                <w:rPr>
                  <w:rStyle w:val="Hyperlink"/>
                  <w:rFonts w:ascii="Arial" w:eastAsia="Calibri" w:hAnsi="Arial" w:cs="Arial"/>
                  <w:sz w:val="24"/>
                  <w:szCs w:val="24"/>
                </w:rPr>
                <w:t>Developing Evidence Enriched Practice</w:t>
              </w:r>
            </w:hyperlink>
            <w:r w:rsidR="002D1B1F" w:rsidRPr="00B568F3">
              <w:rPr>
                <w:rFonts w:ascii="Arial" w:eastAsia="Calibri" w:hAnsi="Arial" w:cs="Arial"/>
                <w:sz w:val="24"/>
                <w:szCs w:val="24"/>
              </w:rPr>
              <w:t xml:space="preserve"> (DEEP) with Swansea University. This storytelling technique was </w:t>
            </w:r>
            <w:r w:rsidR="00FC326A" w:rsidRPr="00B568F3">
              <w:rPr>
                <w:rFonts w:ascii="Arial" w:eastAsia="Calibri" w:hAnsi="Arial" w:cs="Arial"/>
                <w:sz w:val="24"/>
                <w:szCs w:val="24"/>
              </w:rPr>
              <w:t>supported</w:t>
            </w:r>
            <w:r w:rsidR="002D1B1F" w:rsidRPr="00B568F3">
              <w:rPr>
                <w:rFonts w:ascii="Arial" w:eastAsia="Calibri" w:hAnsi="Arial" w:cs="Arial"/>
                <w:sz w:val="24"/>
                <w:szCs w:val="24"/>
              </w:rPr>
              <w:t xml:space="preserve"> by </w:t>
            </w:r>
            <w:r w:rsidR="009911A6" w:rsidRPr="00B568F3">
              <w:rPr>
                <w:rFonts w:ascii="Arial" w:eastAsia="Calibri" w:hAnsi="Arial" w:cs="Arial"/>
                <w:sz w:val="24"/>
                <w:szCs w:val="24"/>
              </w:rPr>
              <w:t>c</w:t>
            </w:r>
            <w:r w:rsidR="002D1B1F" w:rsidRPr="00B568F3">
              <w:rPr>
                <w:rFonts w:ascii="Arial" w:eastAsia="Calibri" w:hAnsi="Arial" w:cs="Arial"/>
                <w:sz w:val="24"/>
                <w:szCs w:val="24"/>
              </w:rPr>
              <w:t xml:space="preserve">onsultant </w:t>
            </w:r>
            <w:r w:rsidR="009911A6" w:rsidRPr="00B568F3">
              <w:rPr>
                <w:rFonts w:ascii="Arial" w:eastAsia="Calibri" w:hAnsi="Arial" w:cs="Arial"/>
                <w:sz w:val="24"/>
                <w:szCs w:val="24"/>
              </w:rPr>
              <w:t>s</w:t>
            </w:r>
            <w:r w:rsidR="002D1B1F" w:rsidRPr="00B568F3">
              <w:rPr>
                <w:rFonts w:ascii="Arial" w:eastAsia="Calibri" w:hAnsi="Arial" w:cs="Arial"/>
                <w:sz w:val="24"/>
                <w:szCs w:val="24"/>
              </w:rPr>
              <w:t xml:space="preserve">ocial </w:t>
            </w:r>
            <w:r w:rsidR="009911A6" w:rsidRPr="00B568F3">
              <w:rPr>
                <w:rFonts w:ascii="Arial" w:eastAsia="Calibri" w:hAnsi="Arial" w:cs="Arial"/>
                <w:sz w:val="24"/>
                <w:szCs w:val="24"/>
              </w:rPr>
              <w:t>w</w:t>
            </w:r>
            <w:r w:rsidR="002D1B1F" w:rsidRPr="00B568F3">
              <w:rPr>
                <w:rFonts w:ascii="Arial" w:eastAsia="Calibri" w:hAnsi="Arial" w:cs="Arial"/>
                <w:sz w:val="24"/>
                <w:szCs w:val="24"/>
              </w:rPr>
              <w:t xml:space="preserve">orkers at a joint adult and children’s services’ “Championing Research Culture” conference. </w:t>
            </w:r>
          </w:p>
          <w:p w14:paraId="4B96B95E" w14:textId="77777777" w:rsidR="009911A6" w:rsidRPr="00B568F3" w:rsidRDefault="009911A6" w:rsidP="4D3BE396">
            <w:pPr>
              <w:contextualSpacing/>
              <w:rPr>
                <w:rFonts w:ascii="Arial" w:eastAsia="Calibri" w:hAnsi="Arial" w:cs="Arial"/>
                <w:sz w:val="24"/>
                <w:szCs w:val="24"/>
              </w:rPr>
            </w:pPr>
          </w:p>
          <w:p w14:paraId="498ACBBA" w14:textId="2F7A6E17" w:rsidR="002D1B1F" w:rsidRPr="00B568F3" w:rsidRDefault="002D1B1F" w:rsidP="4D3BE396">
            <w:pPr>
              <w:contextualSpacing/>
              <w:rPr>
                <w:rFonts w:ascii="Arial" w:eastAsia="Calibri" w:hAnsi="Arial" w:cs="Arial"/>
                <w:sz w:val="24"/>
                <w:szCs w:val="24"/>
              </w:rPr>
            </w:pPr>
            <w:r w:rsidRPr="00B568F3">
              <w:rPr>
                <w:rFonts w:ascii="Arial" w:eastAsia="Calibri" w:hAnsi="Arial" w:cs="Arial"/>
                <w:sz w:val="24"/>
                <w:szCs w:val="24"/>
              </w:rPr>
              <w:t>This was held on behalf of the National Institute for Health and Care Research: School for Social Care Research (NIHR SCCR) for partner agencies in March 2024</w:t>
            </w:r>
            <w:r w:rsidR="002A4FC9" w:rsidRPr="00B568F3">
              <w:rPr>
                <w:rFonts w:ascii="Arial" w:eastAsia="Calibri" w:hAnsi="Arial" w:cs="Arial"/>
                <w:sz w:val="24"/>
                <w:szCs w:val="24"/>
              </w:rPr>
              <w:t>,</w:t>
            </w:r>
            <w:r w:rsidRPr="00B568F3">
              <w:rPr>
                <w:rFonts w:ascii="Arial" w:eastAsia="Calibri" w:hAnsi="Arial" w:cs="Arial"/>
                <w:sz w:val="24"/>
                <w:szCs w:val="24"/>
              </w:rPr>
              <w:t xml:space="preserve"> with 86 </w:t>
            </w:r>
            <w:r w:rsidR="002A4FC9" w:rsidRPr="00B568F3">
              <w:rPr>
                <w:rFonts w:ascii="Arial" w:eastAsia="Calibri" w:hAnsi="Arial" w:cs="Arial"/>
                <w:sz w:val="24"/>
                <w:szCs w:val="24"/>
              </w:rPr>
              <w:t xml:space="preserve">people </w:t>
            </w:r>
            <w:r w:rsidRPr="00B568F3">
              <w:rPr>
                <w:rFonts w:ascii="Arial" w:eastAsia="Calibri" w:hAnsi="Arial" w:cs="Arial"/>
                <w:sz w:val="24"/>
                <w:szCs w:val="24"/>
              </w:rPr>
              <w:t>attend</w:t>
            </w:r>
            <w:r w:rsidR="00C611D9" w:rsidRPr="00B568F3">
              <w:rPr>
                <w:rFonts w:ascii="Arial" w:eastAsia="Calibri" w:hAnsi="Arial" w:cs="Arial"/>
                <w:sz w:val="24"/>
                <w:szCs w:val="24"/>
              </w:rPr>
              <w:t>ing</w:t>
            </w:r>
            <w:r w:rsidR="43327C50" w:rsidRPr="00B568F3">
              <w:rPr>
                <w:rFonts w:ascii="Arial" w:eastAsia="Calibri" w:hAnsi="Arial" w:cs="Arial"/>
                <w:sz w:val="24"/>
                <w:szCs w:val="24"/>
              </w:rPr>
              <w:t xml:space="preserve">. </w:t>
            </w:r>
            <w:r w:rsidRPr="00B568F3">
              <w:rPr>
                <w:rFonts w:ascii="Arial" w:eastAsia="Calibri" w:hAnsi="Arial" w:cs="Arial"/>
                <w:sz w:val="24"/>
                <w:szCs w:val="24"/>
              </w:rPr>
              <w:t xml:space="preserve">Consultant </w:t>
            </w:r>
            <w:r w:rsidR="00C611D9" w:rsidRPr="00B568F3">
              <w:rPr>
                <w:rFonts w:ascii="Arial" w:eastAsia="Calibri" w:hAnsi="Arial" w:cs="Arial"/>
                <w:sz w:val="24"/>
                <w:szCs w:val="24"/>
              </w:rPr>
              <w:t>s</w:t>
            </w:r>
            <w:r w:rsidRPr="00B568F3">
              <w:rPr>
                <w:rFonts w:ascii="Arial" w:eastAsia="Calibri" w:hAnsi="Arial" w:cs="Arial"/>
                <w:sz w:val="24"/>
                <w:szCs w:val="24"/>
              </w:rPr>
              <w:t xml:space="preserve">ocial </w:t>
            </w:r>
            <w:r w:rsidR="00C611D9" w:rsidRPr="00B568F3">
              <w:rPr>
                <w:rFonts w:ascii="Arial" w:eastAsia="Calibri" w:hAnsi="Arial" w:cs="Arial"/>
                <w:sz w:val="24"/>
                <w:szCs w:val="24"/>
              </w:rPr>
              <w:t>w</w:t>
            </w:r>
            <w:r w:rsidRPr="00B568F3">
              <w:rPr>
                <w:rFonts w:ascii="Arial" w:eastAsia="Calibri" w:hAnsi="Arial" w:cs="Arial"/>
                <w:sz w:val="24"/>
                <w:szCs w:val="24"/>
              </w:rPr>
              <w:t>orkers discussed how to bridge the gap between research</w:t>
            </w:r>
            <w:r w:rsidR="00C611D9" w:rsidRPr="00B568F3">
              <w:rPr>
                <w:rFonts w:ascii="Arial" w:eastAsia="Calibri" w:hAnsi="Arial" w:cs="Arial"/>
                <w:sz w:val="24"/>
                <w:szCs w:val="24"/>
              </w:rPr>
              <w:t>,</w:t>
            </w:r>
            <w:r w:rsidR="002A4FC9" w:rsidRPr="00B568F3">
              <w:rPr>
                <w:rFonts w:ascii="Arial" w:eastAsia="Calibri" w:hAnsi="Arial" w:cs="Arial"/>
                <w:sz w:val="24"/>
                <w:szCs w:val="24"/>
              </w:rPr>
              <w:t xml:space="preserve"> </w:t>
            </w:r>
            <w:r w:rsidRPr="00B568F3">
              <w:rPr>
                <w:rFonts w:ascii="Arial" w:eastAsia="Calibri" w:hAnsi="Arial" w:cs="Arial"/>
                <w:sz w:val="24"/>
                <w:szCs w:val="24"/>
              </w:rPr>
              <w:t xml:space="preserve">evidence and practice. The case mapping model was </w:t>
            </w:r>
            <w:r w:rsidR="00D14F99" w:rsidRPr="00B568F3">
              <w:rPr>
                <w:rFonts w:ascii="Arial" w:eastAsia="Calibri" w:hAnsi="Arial" w:cs="Arial"/>
                <w:sz w:val="24"/>
                <w:szCs w:val="24"/>
              </w:rPr>
              <w:t xml:space="preserve">shown </w:t>
            </w:r>
            <w:r w:rsidRPr="00B568F3">
              <w:rPr>
                <w:rFonts w:ascii="Arial" w:eastAsia="Calibri" w:hAnsi="Arial" w:cs="Arial"/>
                <w:sz w:val="24"/>
                <w:szCs w:val="24"/>
              </w:rPr>
              <w:t xml:space="preserve">and the journey of pilot teams in adult services was used to </w:t>
            </w:r>
            <w:r w:rsidR="00350540" w:rsidRPr="00B568F3">
              <w:rPr>
                <w:rFonts w:ascii="Arial" w:eastAsia="Calibri" w:hAnsi="Arial" w:cs="Arial"/>
                <w:sz w:val="24"/>
                <w:szCs w:val="24"/>
              </w:rPr>
              <w:t xml:space="preserve">show </w:t>
            </w:r>
            <w:r w:rsidRPr="00B568F3">
              <w:rPr>
                <w:rFonts w:ascii="Arial" w:eastAsia="Calibri" w:hAnsi="Arial" w:cs="Arial"/>
                <w:sz w:val="24"/>
                <w:szCs w:val="24"/>
              </w:rPr>
              <w:t>how the model can support practitioners every</w:t>
            </w:r>
            <w:r w:rsidR="002A4FC9" w:rsidRPr="00B568F3">
              <w:rPr>
                <w:rFonts w:ascii="Arial" w:eastAsia="Calibri" w:hAnsi="Arial" w:cs="Arial"/>
                <w:sz w:val="24"/>
                <w:szCs w:val="24"/>
              </w:rPr>
              <w:t xml:space="preserve"> </w:t>
            </w:r>
            <w:r w:rsidRPr="00B568F3">
              <w:rPr>
                <w:rFonts w:ascii="Arial" w:eastAsia="Calibri" w:hAnsi="Arial" w:cs="Arial"/>
                <w:sz w:val="24"/>
                <w:szCs w:val="24"/>
              </w:rPr>
              <w:t>day</w:t>
            </w:r>
            <w:r w:rsidR="00350540" w:rsidRPr="00B568F3" w:rsidDel="002A4FC9">
              <w:rPr>
                <w:rFonts w:ascii="Arial" w:eastAsia="Calibri" w:hAnsi="Arial" w:cs="Arial"/>
                <w:sz w:val="24"/>
                <w:szCs w:val="24"/>
              </w:rPr>
              <w:t>.</w:t>
            </w:r>
          </w:p>
          <w:p w14:paraId="5F9863A4" w14:textId="77777777" w:rsidR="00447E95" w:rsidRPr="00B568F3" w:rsidRDefault="00447E95" w:rsidP="00FC716F">
            <w:pPr>
              <w:contextualSpacing/>
              <w:rPr>
                <w:rFonts w:ascii="Arial" w:eastAsia="Calibri" w:hAnsi="Arial" w:cs="Arial"/>
                <w:bCs/>
                <w:color w:val="FF0000"/>
                <w:sz w:val="24"/>
                <w:szCs w:val="24"/>
              </w:rPr>
            </w:pPr>
          </w:p>
        </w:tc>
      </w:tr>
    </w:tbl>
    <w:p w14:paraId="128F9DD4" w14:textId="77777777" w:rsidR="00AD3222" w:rsidRPr="00B568F3" w:rsidRDefault="00AD3222" w:rsidP="002D1B1F">
      <w:pPr>
        <w:spacing w:after="0" w:line="240" w:lineRule="auto"/>
        <w:contextualSpacing/>
        <w:rPr>
          <w:rFonts w:ascii="Arial" w:eastAsia="Calibri" w:hAnsi="Arial" w:cs="Arial"/>
          <w:b/>
          <w:color w:val="FF0000"/>
          <w:sz w:val="24"/>
          <w:szCs w:val="24"/>
        </w:rPr>
      </w:pPr>
    </w:p>
    <w:tbl>
      <w:tblPr>
        <w:tblStyle w:val="TableGrid"/>
        <w:tblW w:w="0" w:type="auto"/>
        <w:tblLook w:val="04A0" w:firstRow="1" w:lastRow="0" w:firstColumn="1" w:lastColumn="0" w:noHBand="0" w:noVBand="1"/>
      </w:tblPr>
      <w:tblGrid>
        <w:gridCol w:w="9016"/>
      </w:tblGrid>
      <w:tr w:rsidR="00AD3222" w:rsidRPr="00B568F3" w14:paraId="276BBAF8" w14:textId="77777777" w:rsidTr="00AD3222">
        <w:tc>
          <w:tcPr>
            <w:tcW w:w="9016" w:type="dxa"/>
          </w:tcPr>
          <w:p w14:paraId="42B6DA1F" w14:textId="77777777" w:rsidR="00AD3222" w:rsidRPr="00B568F3" w:rsidRDefault="00AD3222" w:rsidP="00AD3222">
            <w:pPr>
              <w:rPr>
                <w:rFonts w:ascii="Arial" w:eastAsia="Calibri" w:hAnsi="Arial" w:cs="Arial"/>
                <w:b/>
                <w:bCs/>
                <w:sz w:val="24"/>
                <w:szCs w:val="24"/>
              </w:rPr>
            </w:pPr>
            <w:r w:rsidRPr="00B568F3">
              <w:rPr>
                <w:rFonts w:ascii="Arial" w:eastAsia="Calibri" w:hAnsi="Arial" w:cs="Arial"/>
                <w:b/>
                <w:bCs/>
                <w:sz w:val="24"/>
                <w:szCs w:val="24"/>
              </w:rPr>
              <w:t>Highlight</w:t>
            </w:r>
          </w:p>
          <w:p w14:paraId="7BDAB06C" w14:textId="77777777" w:rsidR="00AD3222" w:rsidRPr="00B568F3" w:rsidRDefault="00AD3222" w:rsidP="00AD3222">
            <w:pPr>
              <w:rPr>
                <w:rFonts w:ascii="Arial" w:eastAsia="Calibri" w:hAnsi="Arial" w:cs="Arial"/>
                <w:color w:val="FF0000"/>
                <w:sz w:val="24"/>
                <w:szCs w:val="24"/>
              </w:rPr>
            </w:pPr>
          </w:p>
          <w:p w14:paraId="0FAF2549" w14:textId="3A7A12D1" w:rsidR="00AD3222" w:rsidRPr="00B568F3" w:rsidRDefault="000C476B" w:rsidP="00AD3222">
            <w:pPr>
              <w:rPr>
                <w:rFonts w:ascii="Arial" w:eastAsia="Calibri" w:hAnsi="Arial" w:cs="Arial"/>
                <w:sz w:val="24"/>
                <w:szCs w:val="24"/>
              </w:rPr>
            </w:pPr>
            <w:r w:rsidRPr="00B568F3">
              <w:rPr>
                <w:rFonts w:ascii="Arial" w:eastAsia="Calibri" w:hAnsi="Arial" w:cs="Arial"/>
                <w:sz w:val="24"/>
                <w:szCs w:val="24"/>
              </w:rPr>
              <w:t>In a local authority, u</w:t>
            </w:r>
            <w:r w:rsidR="00AD3222" w:rsidRPr="00B568F3">
              <w:rPr>
                <w:rFonts w:ascii="Arial" w:eastAsia="Calibri" w:hAnsi="Arial" w:cs="Arial"/>
                <w:sz w:val="24"/>
                <w:szCs w:val="24"/>
              </w:rPr>
              <w:t xml:space="preserve">npaid or </w:t>
            </w:r>
            <w:r w:rsidR="00AC0DEF" w:rsidRPr="00B568F3">
              <w:rPr>
                <w:rFonts w:ascii="Arial" w:eastAsia="Calibri" w:hAnsi="Arial" w:cs="Arial"/>
                <w:sz w:val="24"/>
                <w:szCs w:val="24"/>
              </w:rPr>
              <w:t>i</w:t>
            </w:r>
            <w:r w:rsidR="00AD3222" w:rsidRPr="00B568F3">
              <w:rPr>
                <w:rFonts w:ascii="Arial" w:eastAsia="Calibri" w:hAnsi="Arial" w:cs="Arial"/>
                <w:sz w:val="24"/>
                <w:szCs w:val="24"/>
              </w:rPr>
              <w:t xml:space="preserve">nformal </w:t>
            </w:r>
            <w:r w:rsidR="00AC0DEF" w:rsidRPr="00B568F3">
              <w:rPr>
                <w:rFonts w:ascii="Arial" w:eastAsia="Calibri" w:hAnsi="Arial" w:cs="Arial"/>
                <w:sz w:val="24"/>
                <w:szCs w:val="24"/>
              </w:rPr>
              <w:t>c</w:t>
            </w:r>
            <w:r w:rsidR="00AD3222" w:rsidRPr="00B568F3">
              <w:rPr>
                <w:rFonts w:ascii="Arial" w:eastAsia="Calibri" w:hAnsi="Arial" w:cs="Arial"/>
                <w:sz w:val="24"/>
                <w:szCs w:val="24"/>
              </w:rPr>
              <w:t xml:space="preserve">arers, </w:t>
            </w:r>
            <w:r w:rsidR="00AC0DEF" w:rsidRPr="00B568F3">
              <w:rPr>
                <w:rFonts w:ascii="Arial" w:eastAsia="Calibri" w:hAnsi="Arial" w:cs="Arial"/>
                <w:sz w:val="24"/>
                <w:szCs w:val="24"/>
              </w:rPr>
              <w:t>p</w:t>
            </w:r>
            <w:r w:rsidR="00AD3222" w:rsidRPr="00B568F3">
              <w:rPr>
                <w:rFonts w:ascii="Arial" w:eastAsia="Calibri" w:hAnsi="Arial" w:cs="Arial"/>
                <w:sz w:val="24"/>
                <w:szCs w:val="24"/>
              </w:rPr>
              <w:t xml:space="preserve">ersonal </w:t>
            </w:r>
            <w:r w:rsidR="00E50674" w:rsidRPr="00B568F3">
              <w:rPr>
                <w:rFonts w:ascii="Arial" w:eastAsia="Calibri" w:hAnsi="Arial" w:cs="Arial"/>
                <w:sz w:val="24"/>
                <w:szCs w:val="24"/>
              </w:rPr>
              <w:t>a</w:t>
            </w:r>
            <w:r w:rsidR="00AD3222" w:rsidRPr="00B568F3">
              <w:rPr>
                <w:rFonts w:ascii="Arial" w:eastAsia="Calibri" w:hAnsi="Arial" w:cs="Arial"/>
                <w:sz w:val="24"/>
                <w:szCs w:val="24"/>
              </w:rPr>
              <w:t xml:space="preserve">ssistants and </w:t>
            </w:r>
            <w:r w:rsidR="00E50674" w:rsidRPr="00B568F3">
              <w:rPr>
                <w:rFonts w:ascii="Arial" w:eastAsia="Calibri" w:hAnsi="Arial" w:cs="Arial"/>
                <w:sz w:val="24"/>
                <w:szCs w:val="24"/>
              </w:rPr>
              <w:t>m</w:t>
            </w:r>
            <w:r w:rsidR="00AD3222" w:rsidRPr="00B568F3">
              <w:rPr>
                <w:rFonts w:ascii="Arial" w:eastAsia="Calibri" w:hAnsi="Arial" w:cs="Arial"/>
                <w:sz w:val="24"/>
                <w:szCs w:val="24"/>
              </w:rPr>
              <w:t xml:space="preserve">icroenterprises can now access the training calendar </w:t>
            </w:r>
            <w:r w:rsidR="00E50674" w:rsidRPr="00B568F3">
              <w:rPr>
                <w:rFonts w:ascii="Arial" w:eastAsia="Calibri" w:hAnsi="Arial" w:cs="Arial"/>
                <w:sz w:val="24"/>
                <w:szCs w:val="24"/>
              </w:rPr>
              <w:t>through</w:t>
            </w:r>
            <w:r w:rsidR="00AD3222" w:rsidRPr="00B568F3">
              <w:rPr>
                <w:rFonts w:ascii="Arial" w:eastAsia="Calibri" w:hAnsi="Arial" w:cs="Arial"/>
                <w:sz w:val="24"/>
                <w:szCs w:val="24"/>
              </w:rPr>
              <w:t xml:space="preserve"> their own page on the Dewis website.</w:t>
            </w:r>
          </w:p>
          <w:p w14:paraId="4D361359" w14:textId="77777777" w:rsidR="00AD3222" w:rsidRPr="00B568F3" w:rsidRDefault="00AD3222" w:rsidP="00AD3222">
            <w:pPr>
              <w:rPr>
                <w:rFonts w:ascii="Arial" w:eastAsia="Calibri" w:hAnsi="Arial" w:cs="Arial"/>
                <w:sz w:val="24"/>
                <w:szCs w:val="24"/>
              </w:rPr>
            </w:pPr>
          </w:p>
          <w:p w14:paraId="2E910F28" w14:textId="55776A18" w:rsidR="00AD3222" w:rsidRPr="00B568F3" w:rsidRDefault="00AD3222" w:rsidP="00AD3222">
            <w:pPr>
              <w:rPr>
                <w:rFonts w:ascii="Arial" w:eastAsia="Calibri" w:hAnsi="Arial" w:cs="Arial"/>
                <w:sz w:val="24"/>
                <w:szCs w:val="24"/>
              </w:rPr>
            </w:pPr>
            <w:r w:rsidRPr="00B568F3">
              <w:rPr>
                <w:rFonts w:ascii="Arial" w:eastAsia="Calibri" w:hAnsi="Arial" w:cs="Arial"/>
                <w:sz w:val="24"/>
                <w:szCs w:val="24"/>
              </w:rPr>
              <w:t xml:space="preserve">The learning and development offer is now </w:t>
            </w:r>
            <w:r w:rsidR="009F3DD2" w:rsidRPr="00B568F3">
              <w:rPr>
                <w:rFonts w:ascii="Arial" w:eastAsia="Calibri" w:hAnsi="Arial" w:cs="Arial"/>
                <w:sz w:val="24"/>
                <w:szCs w:val="24"/>
              </w:rPr>
              <w:t>shared with</w:t>
            </w:r>
            <w:r w:rsidRPr="00B568F3">
              <w:rPr>
                <w:rFonts w:ascii="Arial" w:eastAsia="Calibri" w:hAnsi="Arial" w:cs="Arial"/>
                <w:sz w:val="24"/>
                <w:szCs w:val="24"/>
              </w:rPr>
              <w:t xml:space="preserve"> </w:t>
            </w:r>
            <w:r w:rsidR="00692E05" w:rsidRPr="00B568F3">
              <w:rPr>
                <w:rFonts w:ascii="Arial" w:eastAsia="Calibri" w:hAnsi="Arial" w:cs="Arial"/>
                <w:sz w:val="24"/>
                <w:szCs w:val="24"/>
              </w:rPr>
              <w:t>u</w:t>
            </w:r>
            <w:r w:rsidRPr="00B568F3">
              <w:rPr>
                <w:rFonts w:ascii="Arial" w:eastAsia="Calibri" w:hAnsi="Arial" w:cs="Arial"/>
                <w:sz w:val="24"/>
                <w:szCs w:val="24"/>
              </w:rPr>
              <w:t xml:space="preserve">npaid </w:t>
            </w:r>
            <w:r w:rsidR="00692E05" w:rsidRPr="00B568F3">
              <w:rPr>
                <w:rFonts w:ascii="Arial" w:eastAsia="Calibri" w:hAnsi="Arial" w:cs="Arial"/>
                <w:sz w:val="24"/>
                <w:szCs w:val="24"/>
              </w:rPr>
              <w:t>c</w:t>
            </w:r>
            <w:r w:rsidRPr="00B568F3">
              <w:rPr>
                <w:rFonts w:ascii="Arial" w:eastAsia="Calibri" w:hAnsi="Arial" w:cs="Arial"/>
                <w:sz w:val="24"/>
                <w:szCs w:val="24"/>
              </w:rPr>
              <w:t xml:space="preserve">arers </w:t>
            </w:r>
            <w:r w:rsidR="00EA2AB9" w:rsidRPr="00B568F3">
              <w:rPr>
                <w:rFonts w:ascii="Arial" w:eastAsia="Calibri" w:hAnsi="Arial" w:cs="Arial"/>
                <w:sz w:val="24"/>
                <w:szCs w:val="24"/>
              </w:rPr>
              <w:t>through</w:t>
            </w:r>
            <w:r w:rsidRPr="00B568F3">
              <w:rPr>
                <w:rFonts w:ascii="Arial" w:eastAsia="Calibri" w:hAnsi="Arial" w:cs="Arial"/>
                <w:sz w:val="24"/>
                <w:szCs w:val="24"/>
              </w:rPr>
              <w:t xml:space="preserve"> the</w:t>
            </w:r>
            <w:r w:rsidRPr="00B568F3" w:rsidDel="00DF6DA8">
              <w:rPr>
                <w:rFonts w:ascii="Arial" w:eastAsia="Calibri" w:hAnsi="Arial" w:cs="Arial"/>
                <w:sz w:val="24"/>
                <w:szCs w:val="24"/>
              </w:rPr>
              <w:t xml:space="preserve"> </w:t>
            </w:r>
            <w:r w:rsidRPr="00B568F3">
              <w:rPr>
                <w:rFonts w:ascii="Arial" w:eastAsia="Calibri" w:hAnsi="Arial" w:cs="Arial"/>
                <w:sz w:val="24"/>
                <w:szCs w:val="24"/>
              </w:rPr>
              <w:t>newsletter and</w:t>
            </w:r>
            <w:r w:rsidR="00EA2AB9" w:rsidRPr="00B568F3">
              <w:rPr>
                <w:rFonts w:ascii="Arial" w:eastAsia="Calibri" w:hAnsi="Arial" w:cs="Arial"/>
                <w:sz w:val="24"/>
                <w:szCs w:val="24"/>
              </w:rPr>
              <w:t xml:space="preserve"> there’s</w:t>
            </w:r>
            <w:r w:rsidRPr="00B568F3">
              <w:rPr>
                <w:rFonts w:ascii="Arial" w:eastAsia="Calibri" w:hAnsi="Arial" w:cs="Arial"/>
                <w:sz w:val="24"/>
                <w:szCs w:val="24"/>
              </w:rPr>
              <w:t xml:space="preserve"> information on the Age Friendly </w:t>
            </w:r>
            <w:r w:rsidR="00692E05" w:rsidRPr="00B568F3">
              <w:rPr>
                <w:rFonts w:ascii="Arial" w:eastAsia="Calibri" w:hAnsi="Arial" w:cs="Arial"/>
                <w:sz w:val="24"/>
                <w:szCs w:val="24"/>
              </w:rPr>
              <w:t>w</w:t>
            </w:r>
            <w:r w:rsidRPr="00B568F3">
              <w:rPr>
                <w:rFonts w:ascii="Arial" w:eastAsia="Calibri" w:hAnsi="Arial" w:cs="Arial"/>
                <w:sz w:val="24"/>
                <w:szCs w:val="24"/>
              </w:rPr>
              <w:t>ebsite.</w:t>
            </w:r>
          </w:p>
          <w:p w14:paraId="0DFF327F" w14:textId="77777777" w:rsidR="00AD3222" w:rsidRPr="00B568F3" w:rsidRDefault="00AD3222" w:rsidP="00AD3222">
            <w:pPr>
              <w:rPr>
                <w:rFonts w:ascii="Arial" w:eastAsia="Calibri" w:hAnsi="Arial" w:cs="Arial"/>
                <w:sz w:val="24"/>
                <w:szCs w:val="24"/>
              </w:rPr>
            </w:pPr>
          </w:p>
          <w:p w14:paraId="1240F81F" w14:textId="1390BD54" w:rsidR="00AD3222" w:rsidRPr="00B568F3" w:rsidRDefault="00AD3222" w:rsidP="00AD3222">
            <w:pPr>
              <w:rPr>
                <w:rFonts w:ascii="Arial" w:eastAsia="Calibri" w:hAnsi="Arial" w:cs="Arial"/>
                <w:sz w:val="24"/>
                <w:szCs w:val="24"/>
              </w:rPr>
            </w:pPr>
            <w:r w:rsidRPr="00B568F3">
              <w:rPr>
                <w:rFonts w:ascii="Arial" w:eastAsia="Calibri" w:hAnsi="Arial" w:cs="Arial"/>
                <w:sz w:val="24"/>
                <w:szCs w:val="24"/>
              </w:rPr>
              <w:t>There is now a</w:t>
            </w:r>
            <w:r w:rsidRPr="00B568F3" w:rsidDel="00EA2AB9">
              <w:rPr>
                <w:rFonts w:ascii="Arial" w:eastAsia="Calibri" w:hAnsi="Arial" w:cs="Arial"/>
                <w:sz w:val="24"/>
                <w:szCs w:val="24"/>
              </w:rPr>
              <w:t xml:space="preserve"> </w:t>
            </w:r>
            <w:r w:rsidRPr="00B568F3">
              <w:rPr>
                <w:rFonts w:ascii="Arial" w:eastAsia="Calibri" w:hAnsi="Arial" w:cs="Arial"/>
                <w:sz w:val="24"/>
                <w:szCs w:val="24"/>
              </w:rPr>
              <w:t xml:space="preserve">process where the </w:t>
            </w:r>
            <w:r w:rsidR="00DF6DA8" w:rsidRPr="00B568F3">
              <w:rPr>
                <w:rFonts w:ascii="Arial" w:eastAsia="Calibri" w:hAnsi="Arial" w:cs="Arial"/>
                <w:sz w:val="24"/>
                <w:szCs w:val="24"/>
              </w:rPr>
              <w:t>c</w:t>
            </w:r>
            <w:r w:rsidRPr="00B568F3">
              <w:rPr>
                <w:rFonts w:ascii="Arial" w:eastAsia="Calibri" w:hAnsi="Arial" w:cs="Arial"/>
                <w:sz w:val="24"/>
                <w:szCs w:val="24"/>
              </w:rPr>
              <w:t xml:space="preserve">arer </w:t>
            </w:r>
            <w:r w:rsidR="00DF6DA8" w:rsidRPr="00B568F3">
              <w:rPr>
                <w:rFonts w:ascii="Arial" w:eastAsia="Calibri" w:hAnsi="Arial" w:cs="Arial"/>
                <w:sz w:val="24"/>
                <w:szCs w:val="24"/>
              </w:rPr>
              <w:t>t</w:t>
            </w:r>
            <w:r w:rsidRPr="00B568F3">
              <w:rPr>
                <w:rFonts w:ascii="Arial" w:eastAsia="Calibri" w:hAnsi="Arial" w:cs="Arial"/>
                <w:sz w:val="24"/>
                <w:szCs w:val="24"/>
              </w:rPr>
              <w:t xml:space="preserve">eam </w:t>
            </w:r>
            <w:r w:rsidR="00DF6DA8" w:rsidRPr="00B568F3">
              <w:rPr>
                <w:rFonts w:ascii="Arial" w:eastAsia="Calibri" w:hAnsi="Arial" w:cs="Arial"/>
                <w:sz w:val="24"/>
                <w:szCs w:val="24"/>
              </w:rPr>
              <w:t xml:space="preserve">can </w:t>
            </w:r>
            <w:r w:rsidRPr="00B568F3">
              <w:rPr>
                <w:rFonts w:ascii="Arial" w:eastAsia="Calibri" w:hAnsi="Arial" w:cs="Arial"/>
                <w:sz w:val="24"/>
                <w:szCs w:val="24"/>
              </w:rPr>
              <w:t xml:space="preserve">refer </w:t>
            </w:r>
            <w:r w:rsidR="00DF6DA8" w:rsidRPr="00B568F3">
              <w:rPr>
                <w:rFonts w:ascii="Arial" w:eastAsia="Calibri" w:hAnsi="Arial" w:cs="Arial"/>
                <w:sz w:val="24"/>
                <w:szCs w:val="24"/>
              </w:rPr>
              <w:t>u</w:t>
            </w:r>
            <w:r w:rsidRPr="00B568F3">
              <w:rPr>
                <w:rFonts w:ascii="Arial" w:eastAsia="Calibri" w:hAnsi="Arial" w:cs="Arial"/>
                <w:sz w:val="24"/>
                <w:szCs w:val="24"/>
              </w:rPr>
              <w:t xml:space="preserve">npaid </w:t>
            </w:r>
            <w:r w:rsidR="00DF6DA8" w:rsidRPr="00B568F3">
              <w:rPr>
                <w:rFonts w:ascii="Arial" w:eastAsia="Calibri" w:hAnsi="Arial" w:cs="Arial"/>
                <w:sz w:val="24"/>
                <w:szCs w:val="24"/>
              </w:rPr>
              <w:t>c</w:t>
            </w:r>
            <w:r w:rsidRPr="00B568F3">
              <w:rPr>
                <w:rFonts w:ascii="Arial" w:eastAsia="Calibri" w:hAnsi="Arial" w:cs="Arial"/>
                <w:sz w:val="24"/>
                <w:szCs w:val="24"/>
              </w:rPr>
              <w:t xml:space="preserve">arers to the </w:t>
            </w:r>
            <w:r w:rsidR="00DF6DA8" w:rsidRPr="00B568F3">
              <w:rPr>
                <w:rFonts w:ascii="Arial" w:eastAsia="Calibri" w:hAnsi="Arial" w:cs="Arial"/>
                <w:sz w:val="24"/>
                <w:szCs w:val="24"/>
              </w:rPr>
              <w:t>t</w:t>
            </w:r>
            <w:r w:rsidRPr="00B568F3">
              <w:rPr>
                <w:rFonts w:ascii="Arial" w:eastAsia="Calibri" w:hAnsi="Arial" w:cs="Arial"/>
                <w:sz w:val="24"/>
                <w:szCs w:val="24"/>
              </w:rPr>
              <w:t xml:space="preserve">raining and </w:t>
            </w:r>
            <w:r w:rsidR="00DF6DA8" w:rsidRPr="00B568F3">
              <w:rPr>
                <w:rFonts w:ascii="Arial" w:eastAsia="Calibri" w:hAnsi="Arial" w:cs="Arial"/>
                <w:sz w:val="24"/>
                <w:szCs w:val="24"/>
              </w:rPr>
              <w:t>d</w:t>
            </w:r>
            <w:r w:rsidRPr="00B568F3">
              <w:rPr>
                <w:rFonts w:ascii="Arial" w:eastAsia="Calibri" w:hAnsi="Arial" w:cs="Arial"/>
                <w:sz w:val="24"/>
                <w:szCs w:val="24"/>
              </w:rPr>
              <w:t xml:space="preserve">evelopment </w:t>
            </w:r>
            <w:r w:rsidR="00DF6DA8" w:rsidRPr="00B568F3">
              <w:rPr>
                <w:rFonts w:ascii="Arial" w:eastAsia="Calibri" w:hAnsi="Arial" w:cs="Arial"/>
                <w:sz w:val="24"/>
                <w:szCs w:val="24"/>
              </w:rPr>
              <w:t>t</w:t>
            </w:r>
            <w:r w:rsidRPr="00B568F3">
              <w:rPr>
                <w:rFonts w:ascii="Arial" w:eastAsia="Calibri" w:hAnsi="Arial" w:cs="Arial"/>
                <w:sz w:val="24"/>
                <w:szCs w:val="24"/>
              </w:rPr>
              <w:t xml:space="preserve">eam for personalised advice around their learning needs. </w:t>
            </w:r>
            <w:r w:rsidR="007A5835" w:rsidRPr="00B568F3">
              <w:rPr>
                <w:rFonts w:ascii="Arial" w:eastAsia="Calibri" w:hAnsi="Arial" w:cs="Arial"/>
                <w:sz w:val="24"/>
                <w:szCs w:val="24"/>
              </w:rPr>
              <w:t xml:space="preserve">The first point of contact </w:t>
            </w:r>
            <w:r w:rsidRPr="00B568F3">
              <w:rPr>
                <w:rFonts w:ascii="Arial" w:eastAsia="Calibri" w:hAnsi="Arial" w:cs="Arial"/>
                <w:sz w:val="24"/>
                <w:szCs w:val="24"/>
              </w:rPr>
              <w:t>also share</w:t>
            </w:r>
            <w:r w:rsidR="00EA2AB9" w:rsidRPr="00B568F3">
              <w:rPr>
                <w:rFonts w:ascii="Arial" w:eastAsia="Calibri" w:hAnsi="Arial" w:cs="Arial"/>
                <w:sz w:val="24"/>
                <w:szCs w:val="24"/>
              </w:rPr>
              <w:t>s</w:t>
            </w:r>
            <w:r w:rsidRPr="00B568F3">
              <w:rPr>
                <w:rFonts w:ascii="Arial" w:eastAsia="Calibri" w:hAnsi="Arial" w:cs="Arial"/>
                <w:sz w:val="24"/>
                <w:szCs w:val="24"/>
              </w:rPr>
              <w:t xml:space="preserve"> the </w:t>
            </w:r>
            <w:r w:rsidR="00313A46" w:rsidRPr="00B568F3">
              <w:rPr>
                <w:rFonts w:ascii="Arial" w:eastAsia="Calibri" w:hAnsi="Arial" w:cs="Arial"/>
                <w:sz w:val="24"/>
                <w:szCs w:val="24"/>
              </w:rPr>
              <w:t>l</w:t>
            </w:r>
            <w:r w:rsidRPr="00B568F3">
              <w:rPr>
                <w:rFonts w:ascii="Arial" w:eastAsia="Calibri" w:hAnsi="Arial" w:cs="Arial"/>
                <w:sz w:val="24"/>
                <w:szCs w:val="24"/>
              </w:rPr>
              <w:t xml:space="preserve">earning and </w:t>
            </w:r>
            <w:r w:rsidR="00313A46" w:rsidRPr="00B568F3">
              <w:rPr>
                <w:rFonts w:ascii="Arial" w:eastAsia="Calibri" w:hAnsi="Arial" w:cs="Arial"/>
                <w:sz w:val="24"/>
                <w:szCs w:val="24"/>
              </w:rPr>
              <w:t>d</w:t>
            </w:r>
            <w:r w:rsidRPr="00B568F3">
              <w:rPr>
                <w:rFonts w:ascii="Arial" w:eastAsia="Calibri" w:hAnsi="Arial" w:cs="Arial"/>
                <w:sz w:val="24"/>
                <w:szCs w:val="24"/>
              </w:rPr>
              <w:t xml:space="preserve">evelopment offer </w:t>
            </w:r>
            <w:r w:rsidR="00C47500" w:rsidRPr="00B568F3">
              <w:rPr>
                <w:rFonts w:ascii="Arial" w:eastAsia="Calibri" w:hAnsi="Arial" w:cs="Arial"/>
                <w:sz w:val="24"/>
                <w:szCs w:val="24"/>
              </w:rPr>
              <w:t>straight away</w:t>
            </w:r>
            <w:r w:rsidRPr="00B568F3">
              <w:rPr>
                <w:rFonts w:ascii="Arial" w:eastAsia="Calibri" w:hAnsi="Arial" w:cs="Arial"/>
                <w:sz w:val="24"/>
                <w:szCs w:val="24"/>
              </w:rPr>
              <w:t xml:space="preserve"> as part of their preventi</w:t>
            </w:r>
            <w:r w:rsidR="00C47500" w:rsidRPr="00B568F3">
              <w:rPr>
                <w:rFonts w:ascii="Arial" w:eastAsia="Calibri" w:hAnsi="Arial" w:cs="Arial"/>
                <w:sz w:val="24"/>
                <w:szCs w:val="24"/>
              </w:rPr>
              <w:t>on</w:t>
            </w:r>
            <w:r w:rsidR="00EA2AB9" w:rsidRPr="00B568F3">
              <w:rPr>
                <w:rFonts w:ascii="Arial" w:eastAsia="Calibri" w:hAnsi="Arial" w:cs="Arial"/>
                <w:sz w:val="24"/>
                <w:szCs w:val="24"/>
              </w:rPr>
              <w:t xml:space="preserve"> </w:t>
            </w:r>
            <w:r w:rsidR="00C47500" w:rsidRPr="00B568F3">
              <w:rPr>
                <w:rFonts w:ascii="Arial" w:eastAsia="Calibri" w:hAnsi="Arial" w:cs="Arial"/>
                <w:sz w:val="24"/>
                <w:szCs w:val="24"/>
              </w:rPr>
              <w:t>plan</w:t>
            </w:r>
            <w:r w:rsidRPr="00B568F3">
              <w:rPr>
                <w:rFonts w:ascii="Arial" w:eastAsia="Calibri" w:hAnsi="Arial" w:cs="Arial"/>
                <w:sz w:val="24"/>
                <w:szCs w:val="24"/>
              </w:rPr>
              <w:t>.</w:t>
            </w:r>
          </w:p>
          <w:p w14:paraId="617B89C3" w14:textId="77777777" w:rsidR="00AD3222" w:rsidRPr="00B568F3" w:rsidRDefault="00AD3222" w:rsidP="00AD3222">
            <w:pPr>
              <w:rPr>
                <w:rFonts w:ascii="Arial" w:eastAsia="Calibri" w:hAnsi="Arial" w:cs="Arial"/>
                <w:sz w:val="24"/>
                <w:szCs w:val="24"/>
              </w:rPr>
            </w:pPr>
          </w:p>
          <w:p w14:paraId="5B60E923" w14:textId="59AFD1FD" w:rsidR="00AD3222" w:rsidRPr="00B568F3" w:rsidRDefault="00AD3222" w:rsidP="00AD3222">
            <w:pPr>
              <w:rPr>
                <w:rFonts w:ascii="Arial" w:eastAsia="Calibri" w:hAnsi="Arial" w:cs="Arial"/>
                <w:sz w:val="24"/>
                <w:szCs w:val="24"/>
              </w:rPr>
            </w:pPr>
            <w:r w:rsidRPr="00B568F3">
              <w:rPr>
                <w:rFonts w:ascii="Arial" w:eastAsia="Calibri" w:hAnsi="Arial" w:cs="Arial"/>
                <w:sz w:val="24"/>
                <w:szCs w:val="24"/>
              </w:rPr>
              <w:t>We</w:t>
            </w:r>
            <w:r w:rsidR="00EA2AB9" w:rsidRPr="00B568F3">
              <w:rPr>
                <w:rFonts w:ascii="Arial" w:eastAsia="Calibri" w:hAnsi="Arial" w:cs="Arial"/>
                <w:sz w:val="24"/>
                <w:szCs w:val="24"/>
              </w:rPr>
              <w:t>’re</w:t>
            </w:r>
            <w:r w:rsidRPr="00B568F3" w:rsidDel="00EA2AB9">
              <w:rPr>
                <w:rFonts w:ascii="Arial" w:eastAsia="Calibri" w:hAnsi="Arial" w:cs="Arial"/>
                <w:sz w:val="24"/>
                <w:szCs w:val="24"/>
              </w:rPr>
              <w:t xml:space="preserve"> </w:t>
            </w:r>
            <w:r w:rsidRPr="00B568F3">
              <w:rPr>
                <w:rFonts w:ascii="Arial" w:eastAsia="Calibri" w:hAnsi="Arial" w:cs="Arial"/>
                <w:sz w:val="24"/>
                <w:szCs w:val="24"/>
              </w:rPr>
              <w:t xml:space="preserve">seeing an increase in </w:t>
            </w:r>
            <w:r w:rsidR="00C47500" w:rsidRPr="00B568F3">
              <w:rPr>
                <w:rFonts w:ascii="Arial" w:eastAsia="Calibri" w:hAnsi="Arial" w:cs="Arial"/>
                <w:sz w:val="24"/>
                <w:szCs w:val="24"/>
              </w:rPr>
              <w:t>i</w:t>
            </w:r>
            <w:r w:rsidRPr="00B568F3">
              <w:rPr>
                <w:rFonts w:ascii="Arial" w:eastAsia="Calibri" w:hAnsi="Arial" w:cs="Arial"/>
                <w:sz w:val="24"/>
                <w:szCs w:val="24"/>
              </w:rPr>
              <w:t xml:space="preserve">nformal </w:t>
            </w:r>
            <w:r w:rsidR="00C47500" w:rsidRPr="00B568F3">
              <w:rPr>
                <w:rFonts w:ascii="Arial" w:eastAsia="Calibri" w:hAnsi="Arial" w:cs="Arial"/>
                <w:sz w:val="24"/>
                <w:szCs w:val="24"/>
              </w:rPr>
              <w:t>c</w:t>
            </w:r>
            <w:r w:rsidRPr="00B568F3">
              <w:rPr>
                <w:rFonts w:ascii="Arial" w:eastAsia="Calibri" w:hAnsi="Arial" w:cs="Arial"/>
                <w:sz w:val="24"/>
                <w:szCs w:val="24"/>
              </w:rPr>
              <w:t xml:space="preserve">arers, </w:t>
            </w:r>
            <w:r w:rsidR="00C47500" w:rsidRPr="00B568F3">
              <w:rPr>
                <w:rFonts w:ascii="Arial" w:eastAsia="Calibri" w:hAnsi="Arial" w:cs="Arial"/>
                <w:sz w:val="24"/>
                <w:szCs w:val="24"/>
              </w:rPr>
              <w:t>p</w:t>
            </w:r>
            <w:r w:rsidRPr="00B568F3">
              <w:rPr>
                <w:rFonts w:ascii="Arial" w:eastAsia="Calibri" w:hAnsi="Arial" w:cs="Arial"/>
                <w:sz w:val="24"/>
                <w:szCs w:val="24"/>
              </w:rPr>
              <w:t xml:space="preserve">ersonal </w:t>
            </w:r>
            <w:r w:rsidR="00C47500" w:rsidRPr="00B568F3">
              <w:rPr>
                <w:rFonts w:ascii="Arial" w:eastAsia="Calibri" w:hAnsi="Arial" w:cs="Arial"/>
                <w:sz w:val="24"/>
                <w:szCs w:val="24"/>
              </w:rPr>
              <w:t>a</w:t>
            </w:r>
            <w:r w:rsidRPr="00B568F3">
              <w:rPr>
                <w:rFonts w:ascii="Arial" w:eastAsia="Calibri" w:hAnsi="Arial" w:cs="Arial"/>
                <w:sz w:val="24"/>
                <w:szCs w:val="24"/>
              </w:rPr>
              <w:t xml:space="preserve">ssistants and </w:t>
            </w:r>
            <w:r w:rsidR="00C47500" w:rsidRPr="00B568F3">
              <w:rPr>
                <w:rFonts w:ascii="Arial" w:eastAsia="Calibri" w:hAnsi="Arial" w:cs="Arial"/>
                <w:sz w:val="24"/>
                <w:szCs w:val="24"/>
              </w:rPr>
              <w:t>m</w:t>
            </w:r>
            <w:r w:rsidRPr="00B568F3">
              <w:rPr>
                <w:rFonts w:ascii="Arial" w:eastAsia="Calibri" w:hAnsi="Arial" w:cs="Arial"/>
                <w:sz w:val="24"/>
                <w:szCs w:val="24"/>
              </w:rPr>
              <w:t>icroenterprises</w:t>
            </w:r>
            <w:r w:rsidRPr="00B568F3" w:rsidDel="00471705">
              <w:rPr>
                <w:rFonts w:ascii="Arial" w:eastAsia="Calibri" w:hAnsi="Arial" w:cs="Arial"/>
                <w:sz w:val="24"/>
                <w:szCs w:val="24"/>
              </w:rPr>
              <w:t xml:space="preserve"> </w:t>
            </w:r>
            <w:r w:rsidR="00471705" w:rsidRPr="00B568F3">
              <w:rPr>
                <w:rFonts w:ascii="Arial" w:eastAsia="Calibri" w:hAnsi="Arial" w:cs="Arial"/>
                <w:sz w:val="24"/>
                <w:szCs w:val="24"/>
              </w:rPr>
              <w:t xml:space="preserve">using </w:t>
            </w:r>
            <w:r w:rsidRPr="00B568F3">
              <w:rPr>
                <w:rFonts w:ascii="Arial" w:eastAsia="Calibri" w:hAnsi="Arial" w:cs="Arial"/>
                <w:sz w:val="24"/>
                <w:szCs w:val="24"/>
              </w:rPr>
              <w:t>learning and development opportunities.</w:t>
            </w:r>
          </w:p>
          <w:p w14:paraId="4ABBF325" w14:textId="77777777" w:rsidR="00AD3222" w:rsidRPr="00B568F3" w:rsidRDefault="00AD3222" w:rsidP="002D1B1F">
            <w:pPr>
              <w:contextualSpacing/>
              <w:rPr>
                <w:rFonts w:ascii="Arial" w:eastAsia="Calibri" w:hAnsi="Arial" w:cs="Arial"/>
                <w:b/>
                <w:color w:val="FF0000"/>
                <w:sz w:val="24"/>
                <w:szCs w:val="24"/>
              </w:rPr>
            </w:pPr>
          </w:p>
        </w:tc>
      </w:tr>
    </w:tbl>
    <w:p w14:paraId="2AEECFCE" w14:textId="77777777" w:rsidR="00633960" w:rsidRPr="00B568F3" w:rsidRDefault="00633960" w:rsidP="002D1B1F">
      <w:pPr>
        <w:spacing w:after="0" w:line="240" w:lineRule="auto"/>
        <w:contextualSpacing/>
        <w:rPr>
          <w:rFonts w:ascii="Arial" w:eastAsia="Calibri" w:hAnsi="Arial" w:cs="Arial"/>
          <w:b/>
          <w:color w:val="FF0000"/>
          <w:sz w:val="24"/>
          <w:szCs w:val="24"/>
        </w:rPr>
      </w:pPr>
    </w:p>
    <w:p w14:paraId="668EBD25" w14:textId="3B035DAA" w:rsidR="009C0656"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SCWWDP spend on this priority </w:t>
      </w:r>
      <w:r w:rsidRPr="00B568F3" w:rsidDel="00F457FA">
        <w:rPr>
          <w:rFonts w:ascii="Arial" w:eastAsia="Calibri" w:hAnsi="Arial" w:cs="Arial"/>
          <w:sz w:val="24"/>
          <w:szCs w:val="24"/>
        </w:rPr>
        <w:t xml:space="preserve">remains </w:t>
      </w:r>
      <w:r w:rsidRPr="00B568F3">
        <w:rPr>
          <w:rFonts w:ascii="Arial" w:eastAsia="Calibri" w:hAnsi="Arial" w:cs="Arial"/>
          <w:sz w:val="24"/>
          <w:szCs w:val="24"/>
        </w:rPr>
        <w:t>high</w:t>
      </w:r>
      <w:r w:rsidR="00CE109D" w:rsidRPr="00B568F3">
        <w:rPr>
          <w:rFonts w:ascii="Arial" w:eastAsia="Calibri" w:hAnsi="Arial" w:cs="Arial"/>
          <w:sz w:val="24"/>
          <w:szCs w:val="24"/>
        </w:rPr>
        <w:t>,</w:t>
      </w:r>
      <w:r w:rsidRPr="00B568F3">
        <w:rPr>
          <w:rFonts w:ascii="Arial" w:eastAsia="Calibri" w:hAnsi="Arial" w:cs="Arial"/>
          <w:sz w:val="24"/>
          <w:szCs w:val="24"/>
        </w:rPr>
        <w:t xml:space="preserve"> with 43.3</w:t>
      </w:r>
      <w:r w:rsidR="00471705" w:rsidRPr="00B568F3">
        <w:rPr>
          <w:rFonts w:ascii="Arial" w:eastAsia="Calibri" w:hAnsi="Arial" w:cs="Arial"/>
          <w:sz w:val="24"/>
          <w:szCs w:val="24"/>
        </w:rPr>
        <w:t xml:space="preserve"> per cent</w:t>
      </w:r>
      <w:r w:rsidRPr="00B568F3">
        <w:rPr>
          <w:rFonts w:ascii="Arial" w:eastAsia="Calibri" w:hAnsi="Arial" w:cs="Arial"/>
          <w:sz w:val="24"/>
          <w:szCs w:val="24"/>
        </w:rPr>
        <w:t xml:space="preserve"> of </w:t>
      </w:r>
      <w:r w:rsidR="00BF0692" w:rsidRPr="00B568F3">
        <w:rPr>
          <w:rFonts w:ascii="Arial" w:eastAsia="Calibri" w:hAnsi="Arial" w:cs="Arial"/>
          <w:sz w:val="24"/>
          <w:szCs w:val="24"/>
        </w:rPr>
        <w:t>national priority spending</w:t>
      </w:r>
      <w:r w:rsidRPr="00B568F3" w:rsidDel="00BF0692">
        <w:rPr>
          <w:rFonts w:ascii="Arial" w:eastAsia="Calibri" w:hAnsi="Arial" w:cs="Arial"/>
          <w:sz w:val="24"/>
          <w:szCs w:val="24"/>
        </w:rPr>
        <w:t xml:space="preserve"> </w:t>
      </w:r>
      <w:r w:rsidRPr="00B568F3">
        <w:rPr>
          <w:rFonts w:ascii="Arial" w:eastAsia="Calibri" w:hAnsi="Arial" w:cs="Arial"/>
          <w:sz w:val="24"/>
          <w:szCs w:val="24"/>
        </w:rPr>
        <w:t>used in 2023</w:t>
      </w:r>
      <w:r w:rsidR="00471705" w:rsidRPr="00B568F3">
        <w:rPr>
          <w:rFonts w:ascii="Arial" w:eastAsia="Calibri" w:hAnsi="Arial" w:cs="Arial"/>
          <w:sz w:val="24"/>
          <w:szCs w:val="24"/>
        </w:rPr>
        <w:t xml:space="preserve"> to</w:t>
      </w:r>
      <w:r w:rsidR="009F07F9" w:rsidRPr="00B568F3">
        <w:rPr>
          <w:rFonts w:ascii="Arial" w:eastAsia="Calibri" w:hAnsi="Arial" w:cs="Arial"/>
          <w:sz w:val="24"/>
          <w:szCs w:val="24"/>
        </w:rPr>
        <w:t xml:space="preserve"> </w:t>
      </w:r>
      <w:r w:rsidR="00471705" w:rsidRPr="00B568F3">
        <w:rPr>
          <w:rFonts w:ascii="Arial" w:eastAsia="Calibri" w:hAnsi="Arial" w:cs="Arial"/>
          <w:sz w:val="24"/>
          <w:szCs w:val="24"/>
        </w:rPr>
        <w:t>20</w:t>
      </w:r>
      <w:r w:rsidRPr="00B568F3">
        <w:rPr>
          <w:rFonts w:ascii="Arial" w:eastAsia="Calibri" w:hAnsi="Arial" w:cs="Arial"/>
          <w:sz w:val="24"/>
          <w:szCs w:val="24"/>
        </w:rPr>
        <w:t xml:space="preserve">24 to support the whole sector workforce including personal assistants, </w:t>
      </w:r>
      <w:r w:rsidR="78DDA443" w:rsidRPr="00B568F3">
        <w:rPr>
          <w:rFonts w:ascii="Arial" w:eastAsia="Calibri" w:hAnsi="Arial" w:cs="Arial"/>
          <w:sz w:val="24"/>
          <w:szCs w:val="24"/>
        </w:rPr>
        <w:t xml:space="preserve">unpaid </w:t>
      </w:r>
      <w:r w:rsidRPr="00B568F3">
        <w:rPr>
          <w:rFonts w:ascii="Arial" w:eastAsia="Calibri" w:hAnsi="Arial" w:cs="Arial"/>
          <w:sz w:val="24"/>
          <w:szCs w:val="24"/>
        </w:rPr>
        <w:t xml:space="preserve">carers, </w:t>
      </w:r>
      <w:bookmarkStart w:id="20" w:name="_Int_fqOhWJVb"/>
      <w:r w:rsidRPr="00B568F3">
        <w:rPr>
          <w:rFonts w:ascii="Arial" w:eastAsia="Calibri" w:hAnsi="Arial" w:cs="Arial"/>
          <w:sz w:val="24"/>
          <w:szCs w:val="24"/>
        </w:rPr>
        <w:t>volunteers</w:t>
      </w:r>
      <w:bookmarkEnd w:id="20"/>
      <w:r w:rsidRPr="00B568F3">
        <w:rPr>
          <w:rFonts w:ascii="Arial" w:eastAsia="Calibri" w:hAnsi="Arial" w:cs="Arial"/>
          <w:sz w:val="24"/>
          <w:szCs w:val="24"/>
        </w:rPr>
        <w:t xml:space="preserve"> and foster parents. </w:t>
      </w:r>
    </w:p>
    <w:p w14:paraId="4B03476D" w14:textId="77777777" w:rsidR="009C0656" w:rsidRPr="00B568F3" w:rsidRDefault="009C0656" w:rsidP="00F4229D">
      <w:pPr>
        <w:spacing w:after="200" w:line="276" w:lineRule="auto"/>
        <w:ind w:left="567"/>
        <w:contextualSpacing/>
        <w:rPr>
          <w:rFonts w:ascii="Arial" w:eastAsia="Calibri" w:hAnsi="Arial" w:cs="Arial"/>
          <w:sz w:val="24"/>
          <w:szCs w:val="24"/>
        </w:rPr>
      </w:pPr>
    </w:p>
    <w:p w14:paraId="120C30D9" w14:textId="29CA3F60"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This priority also </w:t>
      </w:r>
      <w:r w:rsidR="00790737" w:rsidRPr="00B568F3">
        <w:rPr>
          <w:rFonts w:ascii="Arial" w:eastAsia="Calibri" w:hAnsi="Arial" w:cs="Arial"/>
          <w:sz w:val="24"/>
          <w:szCs w:val="24"/>
        </w:rPr>
        <w:t xml:space="preserve">makes up </w:t>
      </w:r>
      <w:r w:rsidRPr="00B568F3">
        <w:rPr>
          <w:rFonts w:ascii="Arial" w:eastAsia="Calibri" w:hAnsi="Arial" w:cs="Arial"/>
          <w:sz w:val="24"/>
          <w:szCs w:val="24"/>
        </w:rPr>
        <w:t>for the highest proportion</w:t>
      </w:r>
      <w:r w:rsidR="00254F57" w:rsidRPr="00B568F3">
        <w:rPr>
          <w:rFonts w:ascii="Arial" w:eastAsia="Calibri" w:hAnsi="Arial" w:cs="Arial"/>
          <w:sz w:val="24"/>
          <w:szCs w:val="24"/>
        </w:rPr>
        <w:t xml:space="preserve"> (33.6</w:t>
      </w:r>
      <w:r w:rsidR="00790737" w:rsidRPr="00B568F3">
        <w:rPr>
          <w:rFonts w:ascii="Arial" w:eastAsia="Calibri" w:hAnsi="Arial" w:cs="Arial"/>
          <w:sz w:val="24"/>
          <w:szCs w:val="24"/>
        </w:rPr>
        <w:t xml:space="preserve"> per cent</w:t>
      </w:r>
      <w:r w:rsidR="00254F57" w:rsidRPr="00B568F3">
        <w:rPr>
          <w:rFonts w:ascii="Arial" w:eastAsia="Calibri" w:hAnsi="Arial" w:cs="Arial"/>
          <w:sz w:val="24"/>
          <w:szCs w:val="24"/>
        </w:rPr>
        <w:t>)</w:t>
      </w:r>
      <w:r w:rsidRPr="00B568F3">
        <w:rPr>
          <w:rFonts w:ascii="Arial" w:eastAsia="Calibri" w:hAnsi="Arial" w:cs="Arial"/>
          <w:sz w:val="24"/>
          <w:szCs w:val="24"/>
        </w:rPr>
        <w:t xml:space="preserve"> of national priority spend in term</w:t>
      </w:r>
      <w:r w:rsidR="006C4F85" w:rsidRPr="00B568F3">
        <w:rPr>
          <w:rFonts w:ascii="Arial" w:eastAsia="Calibri" w:hAnsi="Arial" w:cs="Arial"/>
          <w:sz w:val="24"/>
          <w:szCs w:val="24"/>
        </w:rPr>
        <w:t>s</w:t>
      </w:r>
      <w:r w:rsidRPr="00B568F3">
        <w:rPr>
          <w:rFonts w:ascii="Arial" w:eastAsia="Calibri" w:hAnsi="Arial" w:cs="Arial"/>
          <w:sz w:val="24"/>
          <w:szCs w:val="24"/>
        </w:rPr>
        <w:t xml:space="preserve"> of</w:t>
      </w:r>
      <w:r w:rsidR="006C4F85" w:rsidRPr="00B568F3">
        <w:rPr>
          <w:rFonts w:ascii="Arial" w:eastAsia="Calibri" w:hAnsi="Arial" w:cs="Arial"/>
          <w:sz w:val="24"/>
          <w:szCs w:val="24"/>
        </w:rPr>
        <w:t xml:space="preserve"> the</w:t>
      </w:r>
      <w:r w:rsidRPr="00B568F3">
        <w:rPr>
          <w:rFonts w:ascii="Arial" w:eastAsia="Calibri" w:hAnsi="Arial" w:cs="Arial"/>
          <w:sz w:val="24"/>
          <w:szCs w:val="24"/>
        </w:rPr>
        <w:t xml:space="preserve"> additional </w:t>
      </w:r>
      <w:r w:rsidR="00790737" w:rsidRPr="00B568F3">
        <w:rPr>
          <w:rFonts w:ascii="Arial" w:eastAsia="Calibri" w:hAnsi="Arial" w:cs="Arial"/>
          <w:sz w:val="24"/>
          <w:szCs w:val="24"/>
        </w:rPr>
        <w:t>local authority</w:t>
      </w:r>
      <w:r w:rsidRPr="00B568F3">
        <w:rPr>
          <w:rFonts w:ascii="Arial" w:eastAsia="Calibri" w:hAnsi="Arial" w:cs="Arial"/>
          <w:sz w:val="24"/>
          <w:szCs w:val="24"/>
        </w:rPr>
        <w:t xml:space="preserve"> funding in 2023</w:t>
      </w:r>
      <w:r w:rsidR="00790737" w:rsidRPr="00B568F3">
        <w:rPr>
          <w:rFonts w:ascii="Arial" w:eastAsia="Calibri" w:hAnsi="Arial" w:cs="Arial"/>
          <w:sz w:val="24"/>
          <w:szCs w:val="24"/>
        </w:rPr>
        <w:t xml:space="preserve"> to 20</w:t>
      </w:r>
      <w:r w:rsidRPr="00B568F3">
        <w:rPr>
          <w:rFonts w:ascii="Arial" w:eastAsia="Calibri" w:hAnsi="Arial" w:cs="Arial"/>
          <w:sz w:val="24"/>
          <w:szCs w:val="24"/>
        </w:rPr>
        <w:t>24 (</w:t>
      </w:r>
      <w:r w:rsidR="253A00C4" w:rsidRPr="00B568F3">
        <w:rPr>
          <w:rFonts w:ascii="Arial" w:eastAsia="Calibri" w:hAnsi="Arial" w:cs="Arial"/>
          <w:sz w:val="24"/>
          <w:szCs w:val="24"/>
        </w:rPr>
        <w:t>t</w:t>
      </w:r>
      <w:r w:rsidRPr="00B568F3">
        <w:rPr>
          <w:rFonts w:ascii="Arial" w:eastAsia="Calibri" w:hAnsi="Arial" w:cs="Arial"/>
          <w:sz w:val="24"/>
          <w:szCs w:val="24"/>
        </w:rPr>
        <w:t>hese figures do</w:t>
      </w:r>
      <w:r w:rsidR="006C4F85" w:rsidRPr="00B568F3">
        <w:rPr>
          <w:rFonts w:ascii="Arial" w:eastAsia="Calibri" w:hAnsi="Arial" w:cs="Arial"/>
          <w:sz w:val="24"/>
          <w:szCs w:val="24"/>
        </w:rPr>
        <w:t>n’t</w:t>
      </w:r>
      <w:r w:rsidRPr="00B568F3" w:rsidDel="006C4F85">
        <w:rPr>
          <w:rFonts w:ascii="Arial" w:eastAsia="Calibri" w:hAnsi="Arial" w:cs="Arial"/>
          <w:sz w:val="24"/>
          <w:szCs w:val="24"/>
        </w:rPr>
        <w:t xml:space="preserve"> </w:t>
      </w:r>
      <w:r w:rsidRPr="00B568F3">
        <w:rPr>
          <w:rFonts w:ascii="Arial" w:eastAsia="Calibri" w:hAnsi="Arial" w:cs="Arial"/>
          <w:sz w:val="24"/>
          <w:szCs w:val="24"/>
        </w:rPr>
        <w:t>include qualifying and post qualifying programmes)</w:t>
      </w:r>
      <w:r w:rsidR="5EDA2BBD" w:rsidRPr="00B568F3">
        <w:rPr>
          <w:rFonts w:ascii="Arial" w:eastAsia="Calibri" w:hAnsi="Arial" w:cs="Arial"/>
          <w:sz w:val="24"/>
          <w:szCs w:val="24"/>
        </w:rPr>
        <w:t>.</w:t>
      </w:r>
      <w:r w:rsidRPr="00B568F3">
        <w:rPr>
          <w:rFonts w:ascii="Arial" w:eastAsia="Calibri" w:hAnsi="Arial" w:cs="Arial"/>
          <w:sz w:val="24"/>
          <w:szCs w:val="24"/>
        </w:rPr>
        <w:t xml:space="preserve"> </w:t>
      </w:r>
    </w:p>
    <w:p w14:paraId="7BC3E6CB" w14:textId="77777777" w:rsidR="005B4D1D" w:rsidRPr="00B568F3" w:rsidRDefault="005B4D1D" w:rsidP="00EC63F4">
      <w:pPr>
        <w:spacing w:after="200" w:line="276" w:lineRule="auto"/>
        <w:ind w:left="567"/>
        <w:contextualSpacing/>
        <w:rPr>
          <w:rFonts w:ascii="Arial" w:eastAsia="Calibri" w:hAnsi="Arial" w:cs="Arial"/>
          <w:sz w:val="24"/>
          <w:szCs w:val="24"/>
        </w:rPr>
      </w:pPr>
    </w:p>
    <w:p w14:paraId="78BAC095" w14:textId="1DAE82BB"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All regions continue to support social care staff, both external and internal, with qualifications through </w:t>
      </w:r>
      <w:r w:rsidR="00432707" w:rsidRPr="00B568F3">
        <w:rPr>
          <w:rFonts w:ascii="Arial" w:eastAsia="Calibri" w:hAnsi="Arial" w:cs="Arial"/>
          <w:sz w:val="24"/>
          <w:szCs w:val="24"/>
        </w:rPr>
        <w:t>different ways</w:t>
      </w:r>
      <w:r w:rsidRPr="00B568F3">
        <w:rPr>
          <w:rFonts w:ascii="Arial" w:eastAsia="Calibri" w:hAnsi="Arial" w:cs="Arial"/>
          <w:sz w:val="24"/>
          <w:szCs w:val="24"/>
        </w:rPr>
        <w:t>. This includes support for managers</w:t>
      </w:r>
      <w:r w:rsidR="00CE109D" w:rsidRPr="00B568F3">
        <w:rPr>
          <w:rFonts w:ascii="Arial" w:eastAsia="Calibri" w:hAnsi="Arial" w:cs="Arial"/>
          <w:sz w:val="24"/>
          <w:szCs w:val="24"/>
        </w:rPr>
        <w:t>, including</w:t>
      </w:r>
      <w:r w:rsidRPr="00B568F3">
        <w:rPr>
          <w:rFonts w:ascii="Arial" w:eastAsia="Calibri" w:hAnsi="Arial" w:cs="Arial"/>
          <w:sz w:val="24"/>
          <w:szCs w:val="24"/>
        </w:rPr>
        <w:t>:</w:t>
      </w:r>
    </w:p>
    <w:p w14:paraId="2F7B0679" w14:textId="4AD9F7C1" w:rsidR="002D1B1F" w:rsidRPr="00B568F3" w:rsidRDefault="002D1B1F" w:rsidP="00632461">
      <w:pPr>
        <w:numPr>
          <w:ilvl w:val="1"/>
          <w:numId w:val="6"/>
        </w:numPr>
        <w:spacing w:after="200" w:line="276" w:lineRule="auto"/>
        <w:ind w:left="1560" w:hanging="459"/>
        <w:contextualSpacing/>
        <w:rPr>
          <w:rFonts w:ascii="Arial" w:eastAsia="Calibri" w:hAnsi="Arial" w:cs="Arial"/>
          <w:sz w:val="24"/>
          <w:szCs w:val="24"/>
        </w:rPr>
      </w:pPr>
      <w:r w:rsidRPr="00B568F3">
        <w:rPr>
          <w:rFonts w:ascii="Arial" w:eastAsia="Calibri" w:hAnsi="Arial" w:cs="Arial"/>
          <w:sz w:val="24"/>
          <w:szCs w:val="24"/>
        </w:rPr>
        <w:t>‘</w:t>
      </w:r>
      <w:bookmarkStart w:id="21" w:name="_Int_wBze4vko"/>
      <w:r w:rsidRPr="00B568F3">
        <w:rPr>
          <w:rFonts w:ascii="Arial" w:eastAsia="Calibri" w:hAnsi="Arial" w:cs="Arial"/>
          <w:sz w:val="24"/>
          <w:szCs w:val="24"/>
        </w:rPr>
        <w:t>drop</w:t>
      </w:r>
      <w:bookmarkEnd w:id="21"/>
      <w:r w:rsidR="00CE109D" w:rsidRPr="00B568F3">
        <w:rPr>
          <w:rFonts w:ascii="Arial" w:eastAsia="Calibri" w:hAnsi="Arial" w:cs="Arial"/>
          <w:sz w:val="24"/>
          <w:szCs w:val="24"/>
        </w:rPr>
        <w:t>-</w:t>
      </w:r>
      <w:r w:rsidRPr="00B568F3">
        <w:rPr>
          <w:rFonts w:ascii="Arial" w:eastAsia="Calibri" w:hAnsi="Arial" w:cs="Arial"/>
          <w:sz w:val="24"/>
          <w:szCs w:val="24"/>
        </w:rPr>
        <w:t>in’ sessions to discuss registration and qualification queries</w:t>
      </w:r>
    </w:p>
    <w:p w14:paraId="1DB40AA1" w14:textId="5D6E3069" w:rsidR="002D1B1F" w:rsidRPr="00B568F3" w:rsidRDefault="002D1B1F" w:rsidP="00632461">
      <w:pPr>
        <w:numPr>
          <w:ilvl w:val="1"/>
          <w:numId w:val="6"/>
        </w:numPr>
        <w:spacing w:after="200" w:line="276" w:lineRule="auto"/>
        <w:ind w:left="1560" w:hanging="459"/>
        <w:contextualSpacing/>
        <w:rPr>
          <w:rFonts w:ascii="Arial" w:eastAsia="Calibri" w:hAnsi="Arial" w:cs="Arial"/>
          <w:sz w:val="24"/>
          <w:szCs w:val="24"/>
        </w:rPr>
      </w:pPr>
      <w:r w:rsidRPr="00B568F3">
        <w:rPr>
          <w:rFonts w:ascii="Arial" w:eastAsia="Calibri" w:hAnsi="Arial" w:cs="Arial"/>
          <w:sz w:val="24"/>
          <w:szCs w:val="24"/>
        </w:rPr>
        <w:t xml:space="preserve">signposting to </w:t>
      </w:r>
      <w:r w:rsidR="00522461" w:rsidRPr="00B568F3">
        <w:rPr>
          <w:rFonts w:ascii="Arial" w:eastAsia="Calibri" w:hAnsi="Arial" w:cs="Arial"/>
          <w:sz w:val="24"/>
          <w:szCs w:val="24"/>
        </w:rPr>
        <w:t>our</w:t>
      </w:r>
      <w:r w:rsidRPr="00B568F3">
        <w:rPr>
          <w:rFonts w:ascii="Arial" w:eastAsia="Calibri" w:hAnsi="Arial" w:cs="Arial"/>
          <w:sz w:val="24"/>
          <w:szCs w:val="24"/>
        </w:rPr>
        <w:t xml:space="preserve"> website </w:t>
      </w:r>
      <w:r w:rsidR="6D6F9566" w:rsidRPr="00B568F3">
        <w:rPr>
          <w:rFonts w:ascii="Arial" w:eastAsia="Calibri" w:hAnsi="Arial" w:cs="Arial"/>
          <w:sz w:val="24"/>
          <w:szCs w:val="24"/>
        </w:rPr>
        <w:t>for</w:t>
      </w:r>
      <w:r w:rsidRPr="00B568F3">
        <w:rPr>
          <w:rFonts w:ascii="Arial" w:eastAsia="Calibri" w:hAnsi="Arial" w:cs="Arial"/>
          <w:sz w:val="24"/>
          <w:szCs w:val="24"/>
        </w:rPr>
        <w:t xml:space="preserve"> resources and information around the </w:t>
      </w:r>
      <w:r w:rsidR="00ED76EF" w:rsidRPr="00B568F3">
        <w:rPr>
          <w:rFonts w:ascii="Arial" w:eastAsia="Calibri" w:hAnsi="Arial" w:cs="Arial"/>
          <w:sz w:val="24"/>
          <w:szCs w:val="24"/>
        </w:rPr>
        <w:t xml:space="preserve">pathways </w:t>
      </w:r>
      <w:r w:rsidRPr="00B568F3">
        <w:rPr>
          <w:rFonts w:ascii="Arial" w:eastAsia="Calibri" w:hAnsi="Arial" w:cs="Arial"/>
          <w:sz w:val="24"/>
          <w:szCs w:val="24"/>
        </w:rPr>
        <w:t>and accept</w:t>
      </w:r>
      <w:r w:rsidR="00ED76EF" w:rsidRPr="00B568F3">
        <w:rPr>
          <w:rFonts w:ascii="Arial" w:eastAsia="Calibri" w:hAnsi="Arial" w:cs="Arial"/>
          <w:sz w:val="24"/>
          <w:szCs w:val="24"/>
        </w:rPr>
        <w:t>ed</w:t>
      </w:r>
      <w:r w:rsidRPr="00B568F3">
        <w:rPr>
          <w:rFonts w:ascii="Arial" w:eastAsia="Calibri" w:hAnsi="Arial" w:cs="Arial"/>
          <w:sz w:val="24"/>
          <w:szCs w:val="24"/>
        </w:rPr>
        <w:t xml:space="preserve"> qualifications for registration</w:t>
      </w:r>
    </w:p>
    <w:p w14:paraId="1F087E95" w14:textId="0AB4523C" w:rsidR="002D1B1F" w:rsidRPr="00B568F3" w:rsidRDefault="002D1B1F" w:rsidP="00632461">
      <w:pPr>
        <w:numPr>
          <w:ilvl w:val="1"/>
          <w:numId w:val="6"/>
        </w:numPr>
        <w:spacing w:after="200" w:line="276" w:lineRule="auto"/>
        <w:ind w:left="1560" w:hanging="459"/>
        <w:contextualSpacing/>
        <w:rPr>
          <w:rFonts w:ascii="Arial" w:eastAsia="Calibri" w:hAnsi="Arial" w:cs="Arial"/>
          <w:bCs/>
          <w:sz w:val="24"/>
          <w:szCs w:val="24"/>
        </w:rPr>
      </w:pPr>
      <w:r w:rsidRPr="00B568F3">
        <w:rPr>
          <w:rFonts w:ascii="Arial" w:eastAsia="Calibri" w:hAnsi="Arial" w:cs="Arial"/>
          <w:bCs/>
          <w:sz w:val="24"/>
          <w:szCs w:val="24"/>
        </w:rPr>
        <w:t xml:space="preserve">information </w:t>
      </w:r>
      <w:r w:rsidR="00D423ED" w:rsidRPr="00B568F3">
        <w:rPr>
          <w:rFonts w:ascii="Arial" w:eastAsia="Calibri" w:hAnsi="Arial" w:cs="Arial"/>
          <w:bCs/>
          <w:sz w:val="24"/>
          <w:szCs w:val="24"/>
        </w:rPr>
        <w:t xml:space="preserve">about </w:t>
      </w:r>
      <w:r w:rsidRPr="00B568F3">
        <w:rPr>
          <w:rFonts w:ascii="Arial" w:eastAsia="Calibri" w:hAnsi="Arial" w:cs="Arial"/>
          <w:bCs/>
          <w:sz w:val="24"/>
          <w:szCs w:val="24"/>
        </w:rPr>
        <w:t>workshops</w:t>
      </w:r>
    </w:p>
    <w:p w14:paraId="45D15433" w14:textId="77777777" w:rsidR="00024629" w:rsidRPr="00B568F3" w:rsidRDefault="00024629" w:rsidP="00617B10">
      <w:pPr>
        <w:spacing w:after="200" w:line="276" w:lineRule="auto"/>
        <w:ind w:left="1560"/>
        <w:contextualSpacing/>
        <w:rPr>
          <w:rFonts w:ascii="Arial" w:eastAsia="Calibri" w:hAnsi="Arial" w:cs="Arial"/>
          <w:bCs/>
          <w:sz w:val="24"/>
          <w:szCs w:val="24"/>
        </w:rPr>
      </w:pPr>
    </w:p>
    <w:p w14:paraId="23ECE788" w14:textId="03967457"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The </w:t>
      </w:r>
      <w:r w:rsidR="38EF7D26" w:rsidRPr="00B568F3">
        <w:rPr>
          <w:rFonts w:ascii="Arial" w:eastAsia="Calibri" w:hAnsi="Arial" w:cs="Arial"/>
          <w:sz w:val="24"/>
          <w:szCs w:val="24"/>
        </w:rPr>
        <w:t>pause</w:t>
      </w:r>
      <w:r w:rsidRPr="00B568F3">
        <w:rPr>
          <w:rFonts w:ascii="Arial" w:eastAsia="Calibri" w:hAnsi="Arial" w:cs="Arial"/>
          <w:sz w:val="24"/>
          <w:szCs w:val="24"/>
        </w:rPr>
        <w:t xml:space="preserve"> in </w:t>
      </w:r>
      <w:r w:rsidR="00617B10" w:rsidRPr="00B568F3">
        <w:rPr>
          <w:rFonts w:ascii="Arial" w:eastAsia="Calibri" w:hAnsi="Arial" w:cs="Arial"/>
          <w:sz w:val="24"/>
          <w:szCs w:val="24"/>
        </w:rPr>
        <w:t xml:space="preserve">the </w:t>
      </w:r>
      <w:r w:rsidR="00CF2943" w:rsidRPr="00B568F3">
        <w:rPr>
          <w:rFonts w:ascii="Arial" w:eastAsia="Calibri" w:hAnsi="Arial" w:cs="Arial"/>
          <w:sz w:val="24"/>
          <w:szCs w:val="24"/>
        </w:rPr>
        <w:t xml:space="preserve">Government of the </w:t>
      </w:r>
      <w:r w:rsidR="00617B10" w:rsidRPr="00B568F3">
        <w:rPr>
          <w:rFonts w:ascii="Arial" w:eastAsia="Calibri" w:hAnsi="Arial" w:cs="Arial"/>
          <w:sz w:val="24"/>
          <w:szCs w:val="24"/>
        </w:rPr>
        <w:t>United Kingdo</w:t>
      </w:r>
      <w:r w:rsidR="007666E5" w:rsidRPr="00B568F3">
        <w:rPr>
          <w:rFonts w:ascii="Arial" w:eastAsia="Calibri" w:hAnsi="Arial" w:cs="Arial"/>
          <w:sz w:val="24"/>
          <w:szCs w:val="24"/>
        </w:rPr>
        <w:t xml:space="preserve">m’s </w:t>
      </w:r>
      <w:r w:rsidR="00531DEA" w:rsidRPr="00B568F3">
        <w:rPr>
          <w:rFonts w:ascii="Arial" w:eastAsia="Calibri" w:hAnsi="Arial" w:cs="Arial"/>
          <w:sz w:val="24"/>
          <w:szCs w:val="24"/>
        </w:rPr>
        <w:t xml:space="preserve">use </w:t>
      </w:r>
      <w:r w:rsidRPr="00B568F3">
        <w:rPr>
          <w:rFonts w:ascii="Arial" w:eastAsia="Calibri" w:hAnsi="Arial" w:cs="Arial"/>
          <w:sz w:val="24"/>
          <w:szCs w:val="24"/>
        </w:rPr>
        <w:t xml:space="preserve">of </w:t>
      </w:r>
      <w:r w:rsidR="00B76E3C" w:rsidRPr="00B568F3">
        <w:rPr>
          <w:rFonts w:ascii="Arial" w:eastAsia="Calibri" w:hAnsi="Arial" w:cs="Arial"/>
          <w:sz w:val="24"/>
          <w:szCs w:val="24"/>
        </w:rPr>
        <w:t>Li</w:t>
      </w:r>
      <w:r w:rsidR="0059201C" w:rsidRPr="00B568F3">
        <w:rPr>
          <w:rFonts w:ascii="Arial" w:eastAsia="Calibri" w:hAnsi="Arial" w:cs="Arial"/>
          <w:sz w:val="24"/>
          <w:szCs w:val="24"/>
        </w:rPr>
        <w:t>berty Protection Safeguards (</w:t>
      </w:r>
      <w:r w:rsidRPr="00B568F3">
        <w:rPr>
          <w:rFonts w:ascii="Arial" w:eastAsia="Calibri" w:hAnsi="Arial" w:cs="Arial"/>
          <w:sz w:val="24"/>
          <w:szCs w:val="24"/>
        </w:rPr>
        <w:t>LPS</w:t>
      </w:r>
      <w:r w:rsidR="002D6A11" w:rsidRPr="00B568F3">
        <w:rPr>
          <w:rFonts w:ascii="Arial" w:eastAsia="Calibri" w:hAnsi="Arial" w:cs="Arial"/>
          <w:sz w:val="24"/>
          <w:szCs w:val="24"/>
        </w:rPr>
        <w:t>)</w:t>
      </w:r>
      <w:r w:rsidR="007D3B3D" w:rsidRPr="00B568F3">
        <w:rPr>
          <w:rFonts w:ascii="Arial" w:eastAsia="Calibri" w:hAnsi="Arial" w:cs="Arial"/>
          <w:sz w:val="24"/>
          <w:szCs w:val="24"/>
        </w:rPr>
        <w:t xml:space="preserve"> has</w:t>
      </w:r>
      <w:r w:rsidRPr="00B568F3">
        <w:rPr>
          <w:rFonts w:ascii="Arial" w:eastAsia="Calibri" w:hAnsi="Arial" w:cs="Arial"/>
          <w:sz w:val="24"/>
          <w:szCs w:val="24"/>
        </w:rPr>
        <w:t xml:space="preserve"> led to many regions c</w:t>
      </w:r>
      <w:r w:rsidR="00A96BE0" w:rsidRPr="00B568F3">
        <w:rPr>
          <w:rFonts w:ascii="Arial" w:eastAsia="Calibri" w:hAnsi="Arial" w:cs="Arial"/>
          <w:sz w:val="24"/>
          <w:szCs w:val="24"/>
        </w:rPr>
        <w:t>reating more</w:t>
      </w:r>
      <w:r w:rsidR="00EA3663" w:rsidRPr="00B568F3">
        <w:rPr>
          <w:rFonts w:ascii="Arial" w:eastAsia="Calibri" w:hAnsi="Arial" w:cs="Arial"/>
          <w:sz w:val="24"/>
          <w:szCs w:val="24"/>
        </w:rPr>
        <w:t xml:space="preserve"> training </w:t>
      </w:r>
      <w:r w:rsidR="006A49EA" w:rsidRPr="00B568F3">
        <w:rPr>
          <w:rFonts w:ascii="Arial" w:eastAsia="Calibri" w:hAnsi="Arial" w:cs="Arial"/>
          <w:sz w:val="24"/>
          <w:szCs w:val="24"/>
        </w:rPr>
        <w:t>around</w:t>
      </w:r>
      <w:r w:rsidR="00EA3663" w:rsidRPr="00B568F3">
        <w:rPr>
          <w:rFonts w:ascii="Arial" w:eastAsia="Calibri" w:hAnsi="Arial" w:cs="Arial"/>
          <w:sz w:val="24"/>
          <w:szCs w:val="24"/>
        </w:rPr>
        <w:t xml:space="preserve"> </w:t>
      </w:r>
      <w:r w:rsidR="00531DEA" w:rsidRPr="00B568F3">
        <w:rPr>
          <w:rFonts w:ascii="Arial" w:eastAsia="Calibri" w:hAnsi="Arial" w:cs="Arial"/>
          <w:sz w:val="24"/>
          <w:szCs w:val="24"/>
        </w:rPr>
        <w:t>the</w:t>
      </w:r>
      <w:r w:rsidRPr="00B568F3">
        <w:rPr>
          <w:rFonts w:ascii="Arial" w:eastAsia="Calibri" w:hAnsi="Arial" w:cs="Arial"/>
          <w:sz w:val="24"/>
          <w:szCs w:val="24"/>
        </w:rPr>
        <w:t xml:space="preserve"> Mental Capacity Act (MCA)</w:t>
      </w:r>
      <w:r w:rsidR="009D4C4E" w:rsidRPr="00B568F3">
        <w:rPr>
          <w:rFonts w:ascii="Arial" w:eastAsia="Calibri" w:hAnsi="Arial" w:cs="Arial"/>
          <w:sz w:val="24"/>
          <w:szCs w:val="24"/>
        </w:rPr>
        <w:t xml:space="preserve"> </w:t>
      </w:r>
      <w:r w:rsidRPr="00B568F3">
        <w:rPr>
          <w:rFonts w:ascii="Arial" w:eastAsia="Calibri" w:hAnsi="Arial" w:cs="Arial"/>
          <w:sz w:val="24"/>
          <w:szCs w:val="24"/>
        </w:rPr>
        <w:t xml:space="preserve">to strengthen </w:t>
      </w:r>
      <w:r w:rsidR="612E7A9F" w:rsidRPr="00B568F3">
        <w:rPr>
          <w:rFonts w:ascii="Arial" w:eastAsia="Calibri" w:hAnsi="Arial" w:cs="Arial"/>
          <w:sz w:val="24"/>
          <w:szCs w:val="24"/>
        </w:rPr>
        <w:t>practitioners'</w:t>
      </w:r>
      <w:r w:rsidRPr="00B568F3">
        <w:rPr>
          <w:rFonts w:ascii="Arial" w:eastAsia="Calibri" w:hAnsi="Arial" w:cs="Arial"/>
          <w:sz w:val="24"/>
          <w:szCs w:val="24"/>
        </w:rPr>
        <w:t xml:space="preserve"> knowledge of the Act. Examples include:</w:t>
      </w:r>
    </w:p>
    <w:p w14:paraId="527B183C" w14:textId="3D8F12B1" w:rsidR="002D1B1F" w:rsidRPr="00B568F3" w:rsidRDefault="009D4C4E" w:rsidP="00632461">
      <w:pPr>
        <w:numPr>
          <w:ilvl w:val="1"/>
          <w:numId w:val="6"/>
        </w:numPr>
        <w:spacing w:after="200" w:line="276" w:lineRule="auto"/>
        <w:ind w:left="1560" w:hanging="459"/>
        <w:contextualSpacing/>
        <w:rPr>
          <w:rFonts w:ascii="Arial" w:eastAsia="Calibri" w:hAnsi="Arial" w:cs="Arial"/>
          <w:sz w:val="24"/>
          <w:szCs w:val="24"/>
        </w:rPr>
      </w:pPr>
      <w:r w:rsidRPr="00B568F3">
        <w:rPr>
          <w:rFonts w:ascii="Arial" w:eastAsia="Calibri" w:hAnsi="Arial" w:cs="Arial"/>
          <w:sz w:val="24"/>
          <w:szCs w:val="24"/>
        </w:rPr>
        <w:t>creating</w:t>
      </w:r>
      <w:r w:rsidR="002D1B1F" w:rsidRPr="00B568F3">
        <w:rPr>
          <w:rFonts w:ascii="Arial" w:eastAsia="Calibri" w:hAnsi="Arial" w:cs="Arial"/>
          <w:sz w:val="24"/>
          <w:szCs w:val="24"/>
        </w:rPr>
        <w:t xml:space="preserve"> a “Mental Capacity Act in </w:t>
      </w:r>
      <w:r w:rsidRPr="00B568F3">
        <w:rPr>
          <w:rFonts w:ascii="Arial" w:eastAsia="Calibri" w:hAnsi="Arial" w:cs="Arial"/>
          <w:sz w:val="24"/>
          <w:szCs w:val="24"/>
        </w:rPr>
        <w:t>p</w:t>
      </w:r>
      <w:r w:rsidR="002D1B1F" w:rsidRPr="00B568F3">
        <w:rPr>
          <w:rFonts w:ascii="Arial" w:eastAsia="Calibri" w:hAnsi="Arial" w:cs="Arial"/>
          <w:sz w:val="24"/>
          <w:szCs w:val="24"/>
        </w:rPr>
        <w:t>ractice” programme</w:t>
      </w:r>
      <w:r w:rsidR="00BA2DA9" w:rsidRPr="00B568F3">
        <w:rPr>
          <w:rFonts w:ascii="Arial" w:eastAsia="Calibri" w:hAnsi="Arial" w:cs="Arial"/>
          <w:sz w:val="24"/>
          <w:szCs w:val="24"/>
        </w:rPr>
        <w:t>,</w:t>
      </w:r>
      <w:r w:rsidR="002D1B1F" w:rsidRPr="00B568F3">
        <w:rPr>
          <w:rFonts w:ascii="Arial" w:eastAsia="Calibri" w:hAnsi="Arial" w:cs="Arial"/>
          <w:sz w:val="24"/>
          <w:szCs w:val="24"/>
        </w:rPr>
        <w:t xml:space="preserve"> which is a series of weekly bite-sized webinars on topics relat</w:t>
      </w:r>
      <w:r w:rsidR="002C55C0" w:rsidRPr="00B568F3">
        <w:rPr>
          <w:rFonts w:ascii="Arial" w:eastAsia="Calibri" w:hAnsi="Arial" w:cs="Arial"/>
          <w:sz w:val="24"/>
          <w:szCs w:val="24"/>
        </w:rPr>
        <w:t>ed</w:t>
      </w:r>
      <w:r w:rsidR="002D1B1F" w:rsidRPr="00B568F3">
        <w:rPr>
          <w:rFonts w:ascii="Arial" w:eastAsia="Calibri" w:hAnsi="Arial" w:cs="Arial"/>
          <w:sz w:val="24"/>
          <w:szCs w:val="24"/>
        </w:rPr>
        <w:t xml:space="preserve"> to working </w:t>
      </w:r>
      <w:r w:rsidR="002D1B1F" w:rsidRPr="00B568F3" w:rsidDel="00BA2DA9">
        <w:rPr>
          <w:rFonts w:ascii="Arial" w:eastAsia="Calibri" w:hAnsi="Arial" w:cs="Arial"/>
          <w:sz w:val="24"/>
          <w:szCs w:val="24"/>
        </w:rPr>
        <w:t xml:space="preserve">within the </w:t>
      </w:r>
      <w:r w:rsidR="002D1B1F" w:rsidRPr="00B568F3">
        <w:rPr>
          <w:rFonts w:ascii="Arial" w:eastAsia="Calibri" w:hAnsi="Arial" w:cs="Arial"/>
          <w:sz w:val="24"/>
          <w:szCs w:val="24"/>
        </w:rPr>
        <w:t>MCA</w:t>
      </w:r>
    </w:p>
    <w:p w14:paraId="575D88BE" w14:textId="31036976" w:rsidR="002D1B1F" w:rsidRPr="00B568F3" w:rsidRDefault="00BA6B87" w:rsidP="00632461">
      <w:pPr>
        <w:numPr>
          <w:ilvl w:val="1"/>
          <w:numId w:val="6"/>
        </w:numPr>
        <w:spacing w:after="200" w:line="276" w:lineRule="auto"/>
        <w:ind w:left="1560" w:hanging="459"/>
        <w:contextualSpacing/>
        <w:rPr>
          <w:rFonts w:ascii="Arial" w:eastAsia="Calibri" w:hAnsi="Arial" w:cs="Arial"/>
          <w:sz w:val="24"/>
          <w:szCs w:val="24"/>
        </w:rPr>
      </w:pPr>
      <w:r w:rsidRPr="00B568F3">
        <w:rPr>
          <w:rFonts w:ascii="Arial" w:eastAsia="Calibri" w:hAnsi="Arial" w:cs="Arial"/>
          <w:sz w:val="24"/>
          <w:szCs w:val="24"/>
        </w:rPr>
        <w:t>making a r</w:t>
      </w:r>
      <w:r w:rsidR="00901100" w:rsidRPr="00B568F3">
        <w:rPr>
          <w:rFonts w:ascii="Arial" w:eastAsia="Calibri" w:hAnsi="Arial" w:cs="Arial"/>
          <w:sz w:val="24"/>
          <w:szCs w:val="24"/>
        </w:rPr>
        <w:t xml:space="preserve">ecording of the </w:t>
      </w:r>
      <w:r w:rsidR="002D1B1F" w:rsidRPr="00B568F3">
        <w:rPr>
          <w:rFonts w:ascii="Arial" w:eastAsia="Calibri" w:hAnsi="Arial" w:cs="Arial"/>
          <w:sz w:val="24"/>
          <w:szCs w:val="24"/>
        </w:rPr>
        <w:t xml:space="preserve">Court of Protection Deputyship </w:t>
      </w:r>
      <w:bookmarkStart w:id="22" w:name="_Int_s7I9eMnn"/>
      <w:r w:rsidR="002D1B1F" w:rsidRPr="00B568F3">
        <w:rPr>
          <w:rFonts w:ascii="Arial" w:eastAsia="Calibri" w:hAnsi="Arial" w:cs="Arial"/>
          <w:sz w:val="24"/>
          <w:szCs w:val="24"/>
        </w:rPr>
        <w:t>webinar</w:t>
      </w:r>
      <w:bookmarkEnd w:id="22"/>
      <w:r w:rsidR="002D1B1F" w:rsidRPr="00B568F3">
        <w:rPr>
          <w:rFonts w:ascii="Arial" w:eastAsia="Calibri" w:hAnsi="Arial" w:cs="Arial"/>
          <w:sz w:val="24"/>
          <w:szCs w:val="24"/>
        </w:rPr>
        <w:t xml:space="preserve"> </w:t>
      </w:r>
      <w:r w:rsidR="00901100" w:rsidRPr="00B568F3">
        <w:rPr>
          <w:rFonts w:ascii="Arial" w:eastAsia="Calibri" w:hAnsi="Arial" w:cs="Arial"/>
          <w:sz w:val="24"/>
          <w:szCs w:val="24"/>
        </w:rPr>
        <w:t xml:space="preserve">available to all </w:t>
      </w:r>
      <w:r w:rsidR="002D1B1F" w:rsidRPr="00B568F3" w:rsidDel="00901100">
        <w:rPr>
          <w:rFonts w:ascii="Arial" w:eastAsia="Calibri" w:hAnsi="Arial" w:cs="Arial"/>
          <w:sz w:val="24"/>
          <w:szCs w:val="24"/>
        </w:rPr>
        <w:t>staff</w:t>
      </w:r>
    </w:p>
    <w:p w14:paraId="3A53BDC9" w14:textId="33680480" w:rsidR="002D1B1F" w:rsidRPr="00B568F3" w:rsidRDefault="749AAB6A" w:rsidP="00632461">
      <w:pPr>
        <w:numPr>
          <w:ilvl w:val="1"/>
          <w:numId w:val="6"/>
        </w:numPr>
        <w:spacing w:after="200" w:line="276" w:lineRule="auto"/>
        <w:ind w:left="1560" w:hanging="459"/>
        <w:contextualSpacing/>
        <w:rPr>
          <w:rFonts w:ascii="Arial" w:eastAsia="Calibri" w:hAnsi="Arial" w:cs="Arial"/>
          <w:sz w:val="24"/>
          <w:szCs w:val="24"/>
        </w:rPr>
      </w:pPr>
      <w:r w:rsidRPr="00B568F3">
        <w:rPr>
          <w:rFonts w:ascii="Arial" w:eastAsia="Calibri" w:hAnsi="Arial" w:cs="Arial"/>
          <w:sz w:val="24"/>
          <w:szCs w:val="24"/>
        </w:rPr>
        <w:t>b</w:t>
      </w:r>
      <w:r w:rsidR="002D1B1F" w:rsidRPr="00B568F3">
        <w:rPr>
          <w:rFonts w:ascii="Arial" w:eastAsia="Calibri" w:hAnsi="Arial" w:cs="Arial"/>
          <w:sz w:val="24"/>
          <w:szCs w:val="24"/>
        </w:rPr>
        <w:t>riefing sessions</w:t>
      </w:r>
    </w:p>
    <w:p w14:paraId="39A49CEA" w14:textId="67FD96EA" w:rsidR="002D1B1F" w:rsidRPr="00B568F3" w:rsidRDefault="00901100" w:rsidP="00632461">
      <w:pPr>
        <w:numPr>
          <w:ilvl w:val="1"/>
          <w:numId w:val="6"/>
        </w:numPr>
        <w:spacing w:after="200" w:line="276" w:lineRule="auto"/>
        <w:ind w:left="1560" w:hanging="459"/>
        <w:contextualSpacing/>
        <w:rPr>
          <w:rFonts w:ascii="Arial" w:eastAsia="Calibri" w:hAnsi="Arial" w:cs="Arial"/>
          <w:bCs/>
          <w:sz w:val="24"/>
          <w:szCs w:val="24"/>
        </w:rPr>
      </w:pPr>
      <w:r w:rsidRPr="00B568F3">
        <w:rPr>
          <w:rFonts w:ascii="Arial" w:eastAsia="Calibri" w:hAnsi="Arial" w:cs="Arial"/>
          <w:bCs/>
          <w:sz w:val="24"/>
          <w:szCs w:val="24"/>
        </w:rPr>
        <w:t xml:space="preserve">sessions on </w:t>
      </w:r>
      <w:r w:rsidR="002D1B1F" w:rsidRPr="00B568F3">
        <w:rPr>
          <w:rFonts w:ascii="Arial" w:eastAsia="Calibri" w:hAnsi="Arial" w:cs="Arial"/>
          <w:bCs/>
          <w:sz w:val="24"/>
          <w:szCs w:val="24"/>
        </w:rPr>
        <w:t xml:space="preserve">self-neglect </w:t>
      </w:r>
      <w:r w:rsidRPr="00B568F3">
        <w:rPr>
          <w:rFonts w:ascii="Arial" w:eastAsia="Calibri" w:hAnsi="Arial" w:cs="Arial"/>
          <w:bCs/>
          <w:sz w:val="24"/>
          <w:szCs w:val="24"/>
        </w:rPr>
        <w:t>relating</w:t>
      </w:r>
      <w:r w:rsidR="002D1B1F" w:rsidRPr="00B568F3">
        <w:rPr>
          <w:rFonts w:ascii="Arial" w:eastAsia="Calibri" w:hAnsi="Arial" w:cs="Arial"/>
          <w:bCs/>
          <w:sz w:val="24"/>
          <w:szCs w:val="24"/>
        </w:rPr>
        <w:t xml:space="preserve"> to the MCA</w:t>
      </w:r>
    </w:p>
    <w:p w14:paraId="7B248F20" w14:textId="62D35FDA" w:rsidR="002D1B1F" w:rsidRPr="00B568F3" w:rsidRDefault="002D1B1F" w:rsidP="00632461">
      <w:pPr>
        <w:numPr>
          <w:ilvl w:val="1"/>
          <w:numId w:val="6"/>
        </w:numPr>
        <w:spacing w:after="200" w:line="276" w:lineRule="auto"/>
        <w:ind w:left="1560" w:hanging="459"/>
        <w:contextualSpacing/>
        <w:rPr>
          <w:rFonts w:ascii="Arial" w:eastAsia="Calibri" w:hAnsi="Arial" w:cs="Arial"/>
          <w:bCs/>
          <w:sz w:val="24"/>
          <w:szCs w:val="24"/>
        </w:rPr>
      </w:pPr>
      <w:r w:rsidRPr="00B568F3">
        <w:rPr>
          <w:rFonts w:ascii="Arial" w:eastAsia="Calibri" w:hAnsi="Arial" w:cs="Arial"/>
          <w:bCs/>
          <w:sz w:val="24"/>
          <w:szCs w:val="24"/>
        </w:rPr>
        <w:t xml:space="preserve">training on the MCA specifically for </w:t>
      </w:r>
      <w:r w:rsidR="00901100" w:rsidRPr="00B568F3">
        <w:rPr>
          <w:rFonts w:ascii="Arial" w:eastAsia="Calibri" w:hAnsi="Arial" w:cs="Arial"/>
          <w:bCs/>
          <w:sz w:val="24"/>
          <w:szCs w:val="24"/>
        </w:rPr>
        <w:t>o</w:t>
      </w:r>
      <w:r w:rsidRPr="00B568F3">
        <w:rPr>
          <w:rFonts w:ascii="Arial" w:eastAsia="Calibri" w:hAnsi="Arial" w:cs="Arial"/>
          <w:bCs/>
          <w:sz w:val="24"/>
          <w:szCs w:val="24"/>
        </w:rPr>
        <w:t xml:space="preserve">ccupational </w:t>
      </w:r>
      <w:r w:rsidR="00901100" w:rsidRPr="00B568F3">
        <w:rPr>
          <w:rFonts w:ascii="Arial" w:eastAsia="Calibri" w:hAnsi="Arial" w:cs="Arial"/>
          <w:bCs/>
          <w:sz w:val="24"/>
          <w:szCs w:val="24"/>
        </w:rPr>
        <w:t>t</w:t>
      </w:r>
      <w:r w:rsidRPr="00B568F3">
        <w:rPr>
          <w:rFonts w:ascii="Arial" w:eastAsia="Calibri" w:hAnsi="Arial" w:cs="Arial"/>
          <w:bCs/>
          <w:sz w:val="24"/>
          <w:szCs w:val="24"/>
        </w:rPr>
        <w:t>herapists.</w:t>
      </w:r>
    </w:p>
    <w:p w14:paraId="79DE0C8B" w14:textId="77777777" w:rsidR="005B4D1D" w:rsidRPr="00B568F3" w:rsidRDefault="005B4D1D" w:rsidP="005B4D1D">
      <w:pPr>
        <w:spacing w:after="200" w:line="276" w:lineRule="auto"/>
        <w:ind w:left="1560"/>
        <w:contextualSpacing/>
        <w:rPr>
          <w:rFonts w:ascii="Arial" w:eastAsia="Calibri" w:hAnsi="Arial" w:cs="Arial"/>
          <w:bCs/>
          <w:sz w:val="24"/>
          <w:szCs w:val="24"/>
        </w:rPr>
      </w:pPr>
    </w:p>
    <w:p w14:paraId="4493C1D3" w14:textId="72B02B3A" w:rsidR="002D1B1F" w:rsidRPr="00B568F3"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B568F3">
        <w:rPr>
          <w:rFonts w:ascii="Arial" w:eastAsia="Calibri" w:hAnsi="Arial" w:cs="Arial"/>
          <w:bCs/>
          <w:sz w:val="24"/>
          <w:szCs w:val="24"/>
        </w:rPr>
        <w:t xml:space="preserve">All regions report strong approaches to </w:t>
      </w:r>
      <w:r w:rsidR="002B326B" w:rsidRPr="00B568F3">
        <w:rPr>
          <w:rFonts w:ascii="Arial" w:eastAsia="Calibri" w:hAnsi="Arial" w:cs="Arial"/>
          <w:bCs/>
          <w:sz w:val="24"/>
          <w:szCs w:val="24"/>
        </w:rPr>
        <w:t>put</w:t>
      </w:r>
      <w:r w:rsidR="00EF63C2" w:rsidRPr="00B568F3">
        <w:rPr>
          <w:rFonts w:ascii="Arial" w:eastAsia="Calibri" w:hAnsi="Arial" w:cs="Arial"/>
          <w:bCs/>
          <w:sz w:val="24"/>
          <w:szCs w:val="24"/>
        </w:rPr>
        <w:t>ting</w:t>
      </w:r>
      <w:r w:rsidR="002B326B" w:rsidRPr="00B568F3">
        <w:rPr>
          <w:rFonts w:ascii="Arial" w:eastAsia="Calibri" w:hAnsi="Arial" w:cs="Arial"/>
          <w:bCs/>
          <w:sz w:val="24"/>
          <w:szCs w:val="24"/>
        </w:rPr>
        <w:t xml:space="preserve"> </w:t>
      </w:r>
      <w:r w:rsidRPr="00B568F3">
        <w:rPr>
          <w:rFonts w:ascii="Arial" w:eastAsia="Calibri" w:hAnsi="Arial" w:cs="Arial"/>
          <w:bCs/>
          <w:sz w:val="24"/>
          <w:szCs w:val="24"/>
        </w:rPr>
        <w:t>training needs</w:t>
      </w:r>
      <w:r w:rsidR="00366E42" w:rsidRPr="00B568F3">
        <w:rPr>
          <w:rFonts w:ascii="Arial" w:eastAsia="Calibri" w:hAnsi="Arial" w:cs="Arial"/>
          <w:bCs/>
          <w:sz w:val="24"/>
          <w:szCs w:val="24"/>
        </w:rPr>
        <w:t xml:space="preserve"> in line with </w:t>
      </w:r>
      <w:r w:rsidRPr="00B568F3">
        <w:rPr>
          <w:rFonts w:ascii="Arial" w:eastAsia="Calibri" w:hAnsi="Arial" w:cs="Arial"/>
          <w:bCs/>
          <w:sz w:val="24"/>
          <w:szCs w:val="24"/>
        </w:rPr>
        <w:t>learning and development programmes</w:t>
      </w:r>
      <w:r w:rsidR="00EF63C2" w:rsidRPr="00B568F3">
        <w:rPr>
          <w:rFonts w:ascii="Arial" w:eastAsia="Calibri" w:hAnsi="Arial" w:cs="Arial"/>
          <w:bCs/>
          <w:sz w:val="24"/>
          <w:szCs w:val="24"/>
        </w:rPr>
        <w:t xml:space="preserve"> </w:t>
      </w:r>
      <w:r w:rsidR="00160D34" w:rsidRPr="00B568F3">
        <w:rPr>
          <w:rFonts w:ascii="Arial" w:eastAsia="Calibri" w:hAnsi="Arial" w:cs="Arial"/>
          <w:bCs/>
          <w:sz w:val="24"/>
          <w:szCs w:val="24"/>
        </w:rPr>
        <w:t>to the refl</w:t>
      </w:r>
      <w:r w:rsidR="002B326B" w:rsidRPr="00B568F3">
        <w:rPr>
          <w:rFonts w:ascii="Arial" w:eastAsia="Calibri" w:hAnsi="Arial" w:cs="Arial"/>
          <w:bCs/>
          <w:sz w:val="24"/>
          <w:szCs w:val="24"/>
        </w:rPr>
        <w:t>ect the actual needs of the sector</w:t>
      </w:r>
      <w:r w:rsidRPr="00B568F3">
        <w:rPr>
          <w:rFonts w:ascii="Arial" w:eastAsia="Calibri" w:hAnsi="Arial" w:cs="Arial"/>
          <w:bCs/>
          <w:sz w:val="24"/>
          <w:szCs w:val="24"/>
        </w:rPr>
        <w:t>. There were also many examples of regions developing closer relationships with external providers and responding to requests for tailored programmes of training and support.</w:t>
      </w:r>
    </w:p>
    <w:p w14:paraId="072A7F41" w14:textId="77777777" w:rsidR="009903CF" w:rsidRPr="00B568F3" w:rsidRDefault="009903CF" w:rsidP="009903CF">
      <w:pPr>
        <w:spacing w:after="200" w:line="276" w:lineRule="auto"/>
        <w:ind w:left="567"/>
        <w:contextualSpacing/>
        <w:rPr>
          <w:rFonts w:ascii="Arial" w:eastAsia="Calibri" w:hAnsi="Arial" w:cs="Arial"/>
          <w:bCs/>
          <w:sz w:val="24"/>
          <w:szCs w:val="24"/>
        </w:rPr>
      </w:pPr>
    </w:p>
    <w:p w14:paraId="737F9796" w14:textId="196A48E2" w:rsidR="002D1B1F" w:rsidRPr="00B568F3"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B568F3">
        <w:rPr>
          <w:rFonts w:ascii="Arial" w:eastAsia="Calibri" w:hAnsi="Arial" w:cs="Arial"/>
          <w:bCs/>
          <w:sz w:val="24"/>
          <w:szCs w:val="24"/>
        </w:rPr>
        <w:t xml:space="preserve">There has been a </w:t>
      </w:r>
      <w:r w:rsidR="000C5BDC" w:rsidRPr="00B568F3">
        <w:rPr>
          <w:rFonts w:ascii="Arial" w:eastAsia="Calibri" w:hAnsi="Arial" w:cs="Arial"/>
          <w:bCs/>
          <w:sz w:val="24"/>
          <w:szCs w:val="24"/>
        </w:rPr>
        <w:t xml:space="preserve">small </w:t>
      </w:r>
      <w:r w:rsidRPr="00B568F3">
        <w:rPr>
          <w:rFonts w:ascii="Arial" w:eastAsia="Calibri" w:hAnsi="Arial" w:cs="Arial"/>
          <w:bCs/>
          <w:sz w:val="24"/>
          <w:szCs w:val="24"/>
        </w:rPr>
        <w:t>decrease (2.7</w:t>
      </w:r>
      <w:r w:rsidR="00901100" w:rsidRPr="00B568F3">
        <w:rPr>
          <w:rFonts w:ascii="Arial" w:eastAsia="Calibri" w:hAnsi="Arial" w:cs="Arial"/>
          <w:bCs/>
          <w:sz w:val="24"/>
          <w:szCs w:val="24"/>
        </w:rPr>
        <w:t xml:space="preserve"> per cent</w:t>
      </w:r>
      <w:r w:rsidRPr="00B568F3">
        <w:rPr>
          <w:rFonts w:ascii="Arial" w:eastAsia="Calibri" w:hAnsi="Arial" w:cs="Arial"/>
          <w:bCs/>
          <w:sz w:val="24"/>
          <w:szCs w:val="24"/>
        </w:rPr>
        <w:t xml:space="preserve">) in the delivery of </w:t>
      </w:r>
      <w:r w:rsidR="00A41E42" w:rsidRPr="00B568F3">
        <w:rPr>
          <w:rFonts w:ascii="Arial" w:eastAsia="Calibri" w:hAnsi="Arial" w:cs="Arial"/>
          <w:bCs/>
          <w:sz w:val="24"/>
          <w:szCs w:val="24"/>
        </w:rPr>
        <w:t xml:space="preserve">the </w:t>
      </w:r>
      <w:r w:rsidRPr="00B568F3">
        <w:rPr>
          <w:rFonts w:ascii="Arial" w:eastAsia="Calibri" w:hAnsi="Arial" w:cs="Arial"/>
          <w:bCs/>
          <w:sz w:val="24"/>
          <w:szCs w:val="24"/>
        </w:rPr>
        <w:t>A</w:t>
      </w:r>
      <w:r w:rsidR="00901100" w:rsidRPr="00B568F3">
        <w:rPr>
          <w:rFonts w:ascii="Arial" w:eastAsia="Calibri" w:hAnsi="Arial" w:cs="Arial"/>
          <w:bCs/>
          <w:sz w:val="24"/>
          <w:szCs w:val="24"/>
        </w:rPr>
        <w:t xml:space="preserve">ll </w:t>
      </w:r>
      <w:r w:rsidR="00D46501" w:rsidRPr="00B568F3">
        <w:rPr>
          <w:rFonts w:ascii="Arial" w:eastAsia="Calibri" w:hAnsi="Arial" w:cs="Arial"/>
          <w:bCs/>
          <w:sz w:val="24"/>
          <w:szCs w:val="24"/>
        </w:rPr>
        <w:t>Wales induction framework (A</w:t>
      </w:r>
      <w:r w:rsidRPr="00B568F3">
        <w:rPr>
          <w:rFonts w:ascii="Arial" w:eastAsia="Calibri" w:hAnsi="Arial" w:cs="Arial"/>
          <w:bCs/>
          <w:sz w:val="24"/>
          <w:szCs w:val="24"/>
        </w:rPr>
        <w:t>WIF</w:t>
      </w:r>
      <w:r w:rsidR="00D46501" w:rsidRPr="00B568F3">
        <w:rPr>
          <w:rFonts w:ascii="Arial" w:eastAsia="Calibri" w:hAnsi="Arial" w:cs="Arial"/>
          <w:bCs/>
          <w:sz w:val="24"/>
          <w:szCs w:val="24"/>
        </w:rPr>
        <w:t>)</w:t>
      </w:r>
      <w:r w:rsidRPr="00B568F3">
        <w:rPr>
          <w:rFonts w:ascii="Arial" w:eastAsia="Calibri" w:hAnsi="Arial" w:cs="Arial"/>
          <w:bCs/>
          <w:sz w:val="24"/>
          <w:szCs w:val="24"/>
        </w:rPr>
        <w:t xml:space="preserve"> </w:t>
      </w:r>
      <w:r w:rsidR="00800145" w:rsidRPr="00B568F3">
        <w:rPr>
          <w:rFonts w:ascii="Arial" w:eastAsia="Calibri" w:hAnsi="Arial" w:cs="Arial"/>
          <w:bCs/>
          <w:sz w:val="24"/>
          <w:szCs w:val="24"/>
        </w:rPr>
        <w:t>for</w:t>
      </w:r>
      <w:r w:rsidRPr="00B568F3">
        <w:rPr>
          <w:rFonts w:ascii="Arial" w:eastAsia="Calibri" w:hAnsi="Arial" w:cs="Arial"/>
          <w:bCs/>
          <w:sz w:val="24"/>
          <w:szCs w:val="24"/>
        </w:rPr>
        <w:t xml:space="preserve"> supporting the initial journey to full qualifications. </w:t>
      </w:r>
    </w:p>
    <w:p w14:paraId="09689929" w14:textId="77777777" w:rsidR="009903CF" w:rsidRPr="00B568F3" w:rsidRDefault="009903CF" w:rsidP="009903CF">
      <w:pPr>
        <w:spacing w:after="200" w:line="276" w:lineRule="auto"/>
        <w:contextualSpacing/>
        <w:rPr>
          <w:rFonts w:ascii="Arial" w:eastAsia="Calibri" w:hAnsi="Arial" w:cs="Arial"/>
          <w:bCs/>
          <w:sz w:val="24"/>
          <w:szCs w:val="24"/>
        </w:rPr>
      </w:pPr>
    </w:p>
    <w:p w14:paraId="00E750D4" w14:textId="25BBC69E" w:rsidR="002D1B1F" w:rsidRPr="00B568F3" w:rsidRDefault="00A40F61" w:rsidP="00632461">
      <w:pPr>
        <w:numPr>
          <w:ilvl w:val="0"/>
          <w:numId w:val="6"/>
        </w:numPr>
        <w:spacing w:after="200" w:line="276" w:lineRule="auto"/>
        <w:ind w:left="567" w:hanging="425"/>
        <w:contextualSpacing/>
        <w:rPr>
          <w:rFonts w:ascii="Arial" w:eastAsia="Calibri" w:hAnsi="Arial" w:cs="Arial"/>
          <w:bCs/>
          <w:sz w:val="24"/>
          <w:szCs w:val="24"/>
        </w:rPr>
      </w:pPr>
      <w:r w:rsidRPr="00B568F3">
        <w:rPr>
          <w:rFonts w:ascii="Arial" w:eastAsia="Calibri" w:hAnsi="Arial" w:cs="Arial"/>
          <w:bCs/>
          <w:sz w:val="24"/>
          <w:szCs w:val="24"/>
        </w:rPr>
        <w:t>For the first time in three years t</w:t>
      </w:r>
      <w:r w:rsidR="002D1B1F" w:rsidRPr="00B568F3">
        <w:rPr>
          <w:rFonts w:ascii="Arial" w:eastAsia="Calibri" w:hAnsi="Arial" w:cs="Arial"/>
          <w:bCs/>
          <w:sz w:val="24"/>
          <w:szCs w:val="24"/>
        </w:rPr>
        <w:t xml:space="preserve">here has been a decrease in the numbers of </w:t>
      </w:r>
      <w:r w:rsidR="00DA68DB" w:rsidRPr="00B568F3">
        <w:rPr>
          <w:rFonts w:ascii="Arial" w:eastAsia="Calibri" w:hAnsi="Arial" w:cs="Arial"/>
          <w:bCs/>
          <w:sz w:val="24"/>
          <w:szCs w:val="24"/>
        </w:rPr>
        <w:t xml:space="preserve">training </w:t>
      </w:r>
      <w:r w:rsidR="002D1B1F" w:rsidRPr="00B568F3">
        <w:rPr>
          <w:rFonts w:ascii="Arial" w:eastAsia="Calibri" w:hAnsi="Arial" w:cs="Arial"/>
          <w:bCs/>
          <w:sz w:val="24"/>
          <w:szCs w:val="24"/>
        </w:rPr>
        <w:t xml:space="preserve">places </w:t>
      </w:r>
      <w:r w:rsidR="00DA68DB" w:rsidRPr="00B568F3">
        <w:rPr>
          <w:rFonts w:ascii="Arial" w:eastAsia="Calibri" w:hAnsi="Arial" w:cs="Arial"/>
          <w:bCs/>
          <w:sz w:val="24"/>
          <w:szCs w:val="24"/>
        </w:rPr>
        <w:t xml:space="preserve">booked </w:t>
      </w:r>
      <w:r w:rsidR="002D1B1F" w:rsidRPr="00B568F3">
        <w:rPr>
          <w:rFonts w:ascii="Arial" w:eastAsia="Calibri" w:hAnsi="Arial" w:cs="Arial"/>
          <w:bCs/>
          <w:sz w:val="24"/>
          <w:szCs w:val="24"/>
        </w:rPr>
        <w:t xml:space="preserve">and </w:t>
      </w:r>
      <w:r w:rsidR="00652B21" w:rsidRPr="00B568F3">
        <w:rPr>
          <w:rFonts w:ascii="Arial" w:eastAsia="Calibri" w:hAnsi="Arial" w:cs="Arial"/>
          <w:bCs/>
          <w:sz w:val="24"/>
          <w:szCs w:val="24"/>
        </w:rPr>
        <w:t>those attending training</w:t>
      </w:r>
      <w:r w:rsidR="002D1B1F" w:rsidRPr="00B568F3">
        <w:rPr>
          <w:rFonts w:ascii="Arial" w:eastAsia="Calibri" w:hAnsi="Arial" w:cs="Arial"/>
          <w:bCs/>
          <w:sz w:val="24"/>
          <w:szCs w:val="24"/>
        </w:rPr>
        <w:t xml:space="preserve"> across the whole sector apart from other services</w:t>
      </w:r>
      <w:r w:rsidR="005D4294" w:rsidRPr="00B568F3">
        <w:rPr>
          <w:rFonts w:ascii="Arial" w:eastAsia="Calibri" w:hAnsi="Arial" w:cs="Arial"/>
          <w:bCs/>
          <w:sz w:val="24"/>
          <w:szCs w:val="24"/>
        </w:rPr>
        <w:t>.</w:t>
      </w:r>
    </w:p>
    <w:p w14:paraId="1FDF3FFF" w14:textId="77777777" w:rsidR="009903CF" w:rsidRPr="00B568F3" w:rsidRDefault="009903CF" w:rsidP="009903CF">
      <w:pPr>
        <w:spacing w:after="200" w:line="276" w:lineRule="auto"/>
        <w:contextualSpacing/>
        <w:rPr>
          <w:rFonts w:ascii="Arial" w:eastAsia="Calibri" w:hAnsi="Arial" w:cs="Arial"/>
          <w:bCs/>
          <w:sz w:val="24"/>
          <w:szCs w:val="24"/>
          <w:highlight w:val="green"/>
        </w:rPr>
      </w:pPr>
    </w:p>
    <w:p w14:paraId="451487E4" w14:textId="5031C0BD" w:rsidR="002D1B1F" w:rsidRPr="00B568F3" w:rsidRDefault="001556B5"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Most</w:t>
      </w:r>
      <w:r w:rsidR="005E2D65" w:rsidRPr="00B568F3">
        <w:rPr>
          <w:rFonts w:ascii="Arial" w:eastAsia="Calibri" w:hAnsi="Arial" w:cs="Arial"/>
          <w:sz w:val="24"/>
          <w:szCs w:val="24"/>
        </w:rPr>
        <w:t xml:space="preserve"> local authorities have </w:t>
      </w:r>
      <w:r w:rsidR="00602124" w:rsidRPr="00B568F3">
        <w:rPr>
          <w:rFonts w:ascii="Arial" w:eastAsia="Calibri" w:hAnsi="Arial" w:cs="Arial"/>
          <w:sz w:val="24"/>
          <w:szCs w:val="24"/>
        </w:rPr>
        <w:t>a digitally</w:t>
      </w:r>
      <w:r w:rsidR="002D1B1F" w:rsidRPr="00B568F3">
        <w:rPr>
          <w:rFonts w:ascii="Arial" w:eastAsia="Calibri" w:hAnsi="Arial" w:cs="Arial"/>
          <w:sz w:val="24"/>
          <w:szCs w:val="24"/>
        </w:rPr>
        <w:t xml:space="preserve"> published learning and development programme </w:t>
      </w:r>
      <w:r w:rsidR="00602124" w:rsidRPr="00B568F3">
        <w:rPr>
          <w:rFonts w:ascii="Arial" w:eastAsia="Calibri" w:hAnsi="Arial" w:cs="Arial"/>
          <w:sz w:val="24"/>
          <w:szCs w:val="24"/>
        </w:rPr>
        <w:t>that all providers can access</w:t>
      </w:r>
      <w:r w:rsidR="002D1B1F" w:rsidRPr="00B568F3">
        <w:rPr>
          <w:rFonts w:ascii="Arial" w:eastAsia="Calibri" w:hAnsi="Arial" w:cs="Arial"/>
          <w:sz w:val="24"/>
          <w:szCs w:val="24"/>
        </w:rPr>
        <w:t xml:space="preserve">. The other </w:t>
      </w:r>
      <w:r w:rsidR="002879EF" w:rsidRPr="00B568F3">
        <w:rPr>
          <w:rFonts w:ascii="Arial" w:eastAsia="Calibri" w:hAnsi="Arial" w:cs="Arial"/>
          <w:sz w:val="24"/>
          <w:szCs w:val="24"/>
        </w:rPr>
        <w:t xml:space="preserve">local authorities share information </w:t>
      </w:r>
      <w:r w:rsidR="00941171" w:rsidRPr="00B568F3">
        <w:rPr>
          <w:rFonts w:ascii="Arial" w:eastAsia="Calibri" w:hAnsi="Arial" w:cs="Arial"/>
          <w:sz w:val="24"/>
          <w:szCs w:val="24"/>
        </w:rPr>
        <w:t>through</w:t>
      </w:r>
      <w:r w:rsidR="002D1B1F" w:rsidRPr="00B568F3">
        <w:rPr>
          <w:rFonts w:ascii="Arial" w:eastAsia="Calibri" w:hAnsi="Arial" w:cs="Arial"/>
          <w:sz w:val="24"/>
          <w:szCs w:val="24"/>
        </w:rPr>
        <w:t xml:space="preserve"> email and post across</w:t>
      </w:r>
      <w:r w:rsidR="002D1B1F" w:rsidRPr="00B568F3" w:rsidDel="00941171">
        <w:rPr>
          <w:rFonts w:ascii="Arial" w:eastAsia="Calibri" w:hAnsi="Arial" w:cs="Arial"/>
          <w:sz w:val="24"/>
          <w:szCs w:val="24"/>
        </w:rPr>
        <w:t xml:space="preserve"> </w:t>
      </w:r>
      <w:r w:rsidR="002D1B1F" w:rsidRPr="00B568F3">
        <w:rPr>
          <w:rFonts w:ascii="Arial" w:eastAsia="Calibri" w:hAnsi="Arial" w:cs="Arial"/>
          <w:sz w:val="24"/>
          <w:szCs w:val="24"/>
        </w:rPr>
        <w:t>networks in social care.</w:t>
      </w:r>
      <w:r w:rsidR="2D0805F4" w:rsidRPr="00B568F3">
        <w:rPr>
          <w:rFonts w:ascii="Arial" w:eastAsia="Calibri" w:hAnsi="Arial" w:cs="Arial"/>
          <w:sz w:val="24"/>
          <w:szCs w:val="24"/>
        </w:rPr>
        <w:t xml:space="preserve"> We</w:t>
      </w:r>
      <w:r w:rsidR="00941171" w:rsidRPr="00B568F3">
        <w:rPr>
          <w:rFonts w:ascii="Arial" w:eastAsia="Calibri" w:hAnsi="Arial" w:cs="Arial"/>
          <w:sz w:val="24"/>
          <w:szCs w:val="24"/>
        </w:rPr>
        <w:t>’ll</w:t>
      </w:r>
      <w:r w:rsidR="2D0805F4" w:rsidRPr="00B568F3" w:rsidDel="00941171">
        <w:rPr>
          <w:rFonts w:ascii="Arial" w:eastAsia="Calibri" w:hAnsi="Arial" w:cs="Arial"/>
          <w:sz w:val="24"/>
          <w:szCs w:val="24"/>
        </w:rPr>
        <w:t xml:space="preserve"> </w:t>
      </w:r>
      <w:r w:rsidR="2D0805F4" w:rsidRPr="00B568F3">
        <w:rPr>
          <w:rFonts w:ascii="Arial" w:eastAsia="Calibri" w:hAnsi="Arial" w:cs="Arial"/>
          <w:sz w:val="24"/>
          <w:szCs w:val="24"/>
        </w:rPr>
        <w:t>look to promote these nationally in</w:t>
      </w:r>
      <w:r w:rsidR="00C35054" w:rsidRPr="00B568F3">
        <w:rPr>
          <w:rFonts w:ascii="Arial" w:eastAsia="Calibri" w:hAnsi="Arial" w:cs="Arial"/>
          <w:sz w:val="24"/>
          <w:szCs w:val="24"/>
        </w:rPr>
        <w:t xml:space="preserve"> the</w:t>
      </w:r>
      <w:r w:rsidR="2D0805F4" w:rsidRPr="00B568F3">
        <w:rPr>
          <w:rFonts w:ascii="Arial" w:eastAsia="Calibri" w:hAnsi="Arial" w:cs="Arial"/>
          <w:sz w:val="24"/>
          <w:szCs w:val="24"/>
        </w:rPr>
        <w:t xml:space="preserve"> future.</w:t>
      </w:r>
    </w:p>
    <w:p w14:paraId="48C4A67D" w14:textId="77777777" w:rsidR="00C3078A" w:rsidRPr="00B568F3" w:rsidRDefault="00C3078A" w:rsidP="00C3078A">
      <w:pPr>
        <w:spacing w:after="200" w:line="276" w:lineRule="auto"/>
        <w:contextualSpacing/>
        <w:rPr>
          <w:rFonts w:ascii="Arial" w:eastAsia="Calibri" w:hAnsi="Arial" w:cs="Arial"/>
          <w:bCs/>
          <w:color w:val="FF0000"/>
          <w:sz w:val="24"/>
          <w:szCs w:val="24"/>
          <w:highlight w:val="green"/>
        </w:rPr>
      </w:pPr>
    </w:p>
    <w:p w14:paraId="21A3826F" w14:textId="6C6901E6" w:rsidR="004658E6" w:rsidRPr="00B568F3" w:rsidRDefault="002D1B1F" w:rsidP="00632461">
      <w:pPr>
        <w:numPr>
          <w:ilvl w:val="0"/>
          <w:numId w:val="6"/>
        </w:numPr>
        <w:spacing w:after="100" w:afterAutospacing="1"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All regions report on </w:t>
      </w:r>
      <w:r w:rsidR="00AB6450" w:rsidRPr="00B568F3">
        <w:rPr>
          <w:rFonts w:ascii="Arial" w:eastAsia="Calibri" w:hAnsi="Arial" w:cs="Arial"/>
          <w:sz w:val="24"/>
          <w:szCs w:val="24"/>
        </w:rPr>
        <w:t>an</w:t>
      </w:r>
      <w:r w:rsidRPr="00B568F3">
        <w:rPr>
          <w:rFonts w:ascii="Arial" w:eastAsia="Calibri" w:hAnsi="Arial" w:cs="Arial"/>
          <w:sz w:val="24"/>
          <w:szCs w:val="24"/>
        </w:rPr>
        <w:t xml:space="preserve"> extensive programme of learning, based on needs analysis, available and marketed to the whole sector free of charge</w:t>
      </w:r>
      <w:r w:rsidR="00AB3412" w:rsidRPr="00B568F3">
        <w:rPr>
          <w:rFonts w:ascii="Arial" w:eastAsia="Calibri" w:hAnsi="Arial" w:cs="Arial"/>
          <w:sz w:val="24"/>
          <w:szCs w:val="24"/>
        </w:rPr>
        <w:t>. This i</w:t>
      </w:r>
      <w:r w:rsidR="00DD7D89" w:rsidRPr="00B568F3">
        <w:rPr>
          <w:rFonts w:ascii="Arial" w:eastAsia="Calibri" w:hAnsi="Arial" w:cs="Arial"/>
          <w:sz w:val="24"/>
          <w:szCs w:val="24"/>
        </w:rPr>
        <w:t>ncludes</w:t>
      </w:r>
      <w:r w:rsidR="004658E6" w:rsidRPr="00B568F3">
        <w:rPr>
          <w:rFonts w:ascii="Arial" w:eastAsia="Calibri" w:hAnsi="Arial" w:cs="Arial"/>
          <w:sz w:val="24"/>
          <w:szCs w:val="24"/>
        </w:rPr>
        <w:t>:</w:t>
      </w:r>
    </w:p>
    <w:p w14:paraId="705E5FE9" w14:textId="1AC0C081" w:rsidR="004658E6" w:rsidRPr="00B568F3" w:rsidRDefault="002D1B1F" w:rsidP="00632461">
      <w:pPr>
        <w:numPr>
          <w:ilvl w:val="0"/>
          <w:numId w:val="26"/>
        </w:numPr>
        <w:spacing w:after="100" w:afterAutospacing="1" w:line="276" w:lineRule="auto"/>
        <w:contextualSpacing/>
        <w:rPr>
          <w:rFonts w:ascii="Arial" w:eastAsia="Calibri" w:hAnsi="Arial" w:cs="Arial"/>
          <w:sz w:val="24"/>
          <w:szCs w:val="24"/>
        </w:rPr>
      </w:pPr>
      <w:r w:rsidRPr="00B568F3">
        <w:rPr>
          <w:rFonts w:ascii="Arial" w:eastAsia="Calibri" w:hAnsi="Arial" w:cs="Arial"/>
          <w:sz w:val="24"/>
          <w:szCs w:val="24"/>
        </w:rPr>
        <w:t>adults and children’s services</w:t>
      </w:r>
      <w:r w:rsidR="00DD7D89" w:rsidRPr="00B568F3">
        <w:rPr>
          <w:rFonts w:ascii="Arial" w:eastAsia="Calibri" w:hAnsi="Arial" w:cs="Arial"/>
          <w:sz w:val="24"/>
          <w:szCs w:val="24"/>
        </w:rPr>
        <w:t xml:space="preserve"> across the wh</w:t>
      </w:r>
      <w:r w:rsidR="00CE63E4" w:rsidRPr="00B568F3">
        <w:rPr>
          <w:rFonts w:ascii="Arial" w:eastAsia="Calibri" w:hAnsi="Arial" w:cs="Arial"/>
          <w:sz w:val="24"/>
          <w:szCs w:val="24"/>
        </w:rPr>
        <w:t>o</w:t>
      </w:r>
      <w:r w:rsidR="00DD7D89" w:rsidRPr="00B568F3">
        <w:rPr>
          <w:rFonts w:ascii="Arial" w:eastAsia="Calibri" w:hAnsi="Arial" w:cs="Arial"/>
          <w:sz w:val="24"/>
          <w:szCs w:val="24"/>
        </w:rPr>
        <w:t>le sec</w:t>
      </w:r>
      <w:r w:rsidR="00F13793" w:rsidRPr="00B568F3">
        <w:rPr>
          <w:rFonts w:ascii="Arial" w:eastAsia="Calibri" w:hAnsi="Arial" w:cs="Arial"/>
          <w:sz w:val="24"/>
          <w:szCs w:val="24"/>
        </w:rPr>
        <w:t>tor</w:t>
      </w:r>
      <w:r w:rsidRPr="00B568F3">
        <w:rPr>
          <w:rFonts w:ascii="Arial" w:eastAsia="Calibri" w:hAnsi="Arial" w:cs="Arial"/>
          <w:sz w:val="24"/>
          <w:szCs w:val="24"/>
        </w:rPr>
        <w:t xml:space="preserve"> (statutory, </w:t>
      </w:r>
      <w:bookmarkStart w:id="23" w:name="_Int_404PGHmI"/>
      <w:r w:rsidRPr="00B568F3">
        <w:rPr>
          <w:rFonts w:ascii="Arial" w:eastAsia="Calibri" w:hAnsi="Arial" w:cs="Arial"/>
          <w:sz w:val="24"/>
          <w:szCs w:val="24"/>
        </w:rPr>
        <w:t>private</w:t>
      </w:r>
      <w:bookmarkEnd w:id="23"/>
      <w:r w:rsidRPr="00B568F3">
        <w:rPr>
          <w:rFonts w:ascii="Arial" w:eastAsia="Calibri" w:hAnsi="Arial" w:cs="Arial"/>
          <w:sz w:val="24"/>
          <w:szCs w:val="24"/>
        </w:rPr>
        <w:t xml:space="preserve"> and voluntary) </w:t>
      </w:r>
    </w:p>
    <w:p w14:paraId="5DF98CD0" w14:textId="6FA5D945" w:rsidR="004658E6" w:rsidRPr="00B568F3" w:rsidRDefault="002D1B1F" w:rsidP="00632461">
      <w:pPr>
        <w:numPr>
          <w:ilvl w:val="0"/>
          <w:numId w:val="26"/>
        </w:numPr>
        <w:spacing w:after="100" w:afterAutospacing="1" w:line="276" w:lineRule="auto"/>
        <w:contextualSpacing/>
        <w:rPr>
          <w:rFonts w:ascii="Arial" w:eastAsia="Calibri" w:hAnsi="Arial" w:cs="Arial"/>
          <w:sz w:val="24"/>
          <w:szCs w:val="24"/>
        </w:rPr>
      </w:pPr>
      <w:r w:rsidRPr="00B568F3">
        <w:rPr>
          <w:rFonts w:ascii="Arial" w:eastAsia="Calibri" w:hAnsi="Arial" w:cs="Arial"/>
          <w:sz w:val="24"/>
          <w:szCs w:val="24"/>
        </w:rPr>
        <w:t>foster care</w:t>
      </w:r>
    </w:p>
    <w:p w14:paraId="60755C46" w14:textId="69F98F78" w:rsidR="004658E6" w:rsidRPr="00B568F3" w:rsidRDefault="002D1B1F" w:rsidP="00632461">
      <w:pPr>
        <w:numPr>
          <w:ilvl w:val="0"/>
          <w:numId w:val="26"/>
        </w:numPr>
        <w:spacing w:after="100" w:afterAutospacing="1" w:line="276" w:lineRule="auto"/>
        <w:contextualSpacing/>
        <w:rPr>
          <w:rFonts w:ascii="Arial" w:eastAsia="Calibri" w:hAnsi="Arial" w:cs="Arial"/>
          <w:sz w:val="24"/>
          <w:szCs w:val="24"/>
        </w:rPr>
      </w:pPr>
      <w:r w:rsidRPr="00B568F3">
        <w:rPr>
          <w:rFonts w:ascii="Arial" w:eastAsia="Calibri" w:hAnsi="Arial" w:cs="Arial"/>
          <w:sz w:val="24"/>
          <w:szCs w:val="24"/>
        </w:rPr>
        <w:t xml:space="preserve">adoption </w:t>
      </w:r>
    </w:p>
    <w:p w14:paraId="20ECEFED" w14:textId="77777777" w:rsidR="004658E6" w:rsidRPr="00B568F3" w:rsidRDefault="002D1B1F" w:rsidP="00632461">
      <w:pPr>
        <w:numPr>
          <w:ilvl w:val="0"/>
          <w:numId w:val="26"/>
        </w:numPr>
        <w:spacing w:after="100" w:afterAutospacing="1" w:line="276" w:lineRule="auto"/>
        <w:contextualSpacing/>
        <w:rPr>
          <w:rFonts w:ascii="Arial" w:eastAsia="Calibri" w:hAnsi="Arial" w:cs="Arial"/>
          <w:sz w:val="24"/>
          <w:szCs w:val="24"/>
        </w:rPr>
      </w:pPr>
      <w:r w:rsidRPr="00B568F3">
        <w:rPr>
          <w:rFonts w:ascii="Arial" w:eastAsia="Calibri" w:hAnsi="Arial" w:cs="Arial"/>
          <w:sz w:val="24"/>
          <w:szCs w:val="24"/>
        </w:rPr>
        <w:t xml:space="preserve">paid and unpaid carers </w:t>
      </w:r>
    </w:p>
    <w:p w14:paraId="7B8047A9" w14:textId="32A6001F" w:rsidR="00252E57" w:rsidRPr="00B568F3" w:rsidRDefault="00323E79" w:rsidP="00632461">
      <w:pPr>
        <w:numPr>
          <w:ilvl w:val="0"/>
          <w:numId w:val="26"/>
        </w:numPr>
        <w:spacing w:after="100" w:afterAutospacing="1" w:line="276" w:lineRule="auto"/>
        <w:contextualSpacing/>
        <w:rPr>
          <w:rFonts w:ascii="Arial" w:eastAsia="Calibri" w:hAnsi="Arial" w:cs="Arial"/>
          <w:sz w:val="24"/>
          <w:szCs w:val="24"/>
        </w:rPr>
      </w:pPr>
      <w:r w:rsidRPr="00B568F3">
        <w:rPr>
          <w:rFonts w:ascii="Arial" w:eastAsia="Calibri" w:hAnsi="Arial" w:cs="Arial"/>
          <w:sz w:val="24"/>
          <w:szCs w:val="24"/>
        </w:rPr>
        <w:t>personal assistants</w:t>
      </w:r>
      <w:r w:rsidR="3A49E8B2" w:rsidRPr="00B568F3">
        <w:rPr>
          <w:rFonts w:ascii="Arial" w:eastAsia="Calibri" w:hAnsi="Arial" w:cs="Arial"/>
          <w:sz w:val="24"/>
          <w:szCs w:val="24"/>
        </w:rPr>
        <w:t xml:space="preserve">. </w:t>
      </w:r>
    </w:p>
    <w:p w14:paraId="47695F18" w14:textId="77777777" w:rsidR="00252E57" w:rsidRPr="00B568F3" w:rsidRDefault="00252E57" w:rsidP="008B7038">
      <w:pPr>
        <w:spacing w:after="0"/>
        <w:rPr>
          <w:rFonts w:ascii="Arial" w:eastAsia="Calibri" w:hAnsi="Arial" w:cs="Arial"/>
          <w:sz w:val="24"/>
          <w:szCs w:val="24"/>
        </w:rPr>
      </w:pPr>
    </w:p>
    <w:p w14:paraId="3FAE1C7B" w14:textId="4CA1F171"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The programmes of learning </w:t>
      </w:r>
      <w:r w:rsidR="00C4483C" w:rsidRPr="00B568F3">
        <w:rPr>
          <w:rFonts w:ascii="Arial" w:eastAsia="Calibri" w:hAnsi="Arial" w:cs="Arial"/>
          <w:sz w:val="24"/>
          <w:szCs w:val="24"/>
        </w:rPr>
        <w:t>delivered</w:t>
      </w:r>
      <w:r w:rsidR="00922ED6" w:rsidRPr="00B568F3">
        <w:rPr>
          <w:rFonts w:ascii="Arial" w:eastAsia="Calibri" w:hAnsi="Arial" w:cs="Arial"/>
          <w:sz w:val="24"/>
          <w:szCs w:val="24"/>
        </w:rPr>
        <w:t xml:space="preserve"> </w:t>
      </w:r>
      <w:r w:rsidR="00491C07" w:rsidRPr="00B568F3">
        <w:rPr>
          <w:rFonts w:ascii="Arial" w:eastAsia="Calibri" w:hAnsi="Arial" w:cs="Arial"/>
          <w:sz w:val="24"/>
          <w:szCs w:val="24"/>
        </w:rPr>
        <w:t xml:space="preserve">have </w:t>
      </w:r>
      <w:r w:rsidR="00C9681F" w:rsidRPr="00B568F3">
        <w:rPr>
          <w:rFonts w:ascii="Arial" w:eastAsia="Calibri" w:hAnsi="Arial" w:cs="Arial"/>
          <w:sz w:val="24"/>
          <w:szCs w:val="24"/>
        </w:rPr>
        <w:t xml:space="preserve">aimed to </w:t>
      </w:r>
      <w:r w:rsidR="00CB38B0" w:rsidRPr="00B568F3">
        <w:rPr>
          <w:rFonts w:ascii="Arial" w:eastAsia="Calibri" w:hAnsi="Arial" w:cs="Arial"/>
          <w:sz w:val="24"/>
          <w:szCs w:val="24"/>
        </w:rPr>
        <w:t>make sure</w:t>
      </w:r>
      <w:r w:rsidRPr="00B568F3">
        <w:rPr>
          <w:rFonts w:ascii="Arial" w:eastAsia="Calibri" w:hAnsi="Arial" w:cs="Arial"/>
          <w:sz w:val="24"/>
          <w:szCs w:val="24"/>
        </w:rPr>
        <w:t xml:space="preserve"> that all statutory, legislative, and </w:t>
      </w:r>
      <w:r w:rsidR="00CB38B0" w:rsidRPr="00B568F3">
        <w:rPr>
          <w:rFonts w:ascii="Arial" w:eastAsia="Calibri" w:hAnsi="Arial" w:cs="Arial"/>
          <w:sz w:val="24"/>
          <w:szCs w:val="24"/>
        </w:rPr>
        <w:t xml:space="preserve">requirements linked to </w:t>
      </w:r>
      <w:r w:rsidRPr="00B568F3">
        <w:rPr>
          <w:rFonts w:ascii="Arial" w:eastAsia="Calibri" w:hAnsi="Arial" w:cs="Arial"/>
          <w:sz w:val="24"/>
          <w:szCs w:val="24"/>
        </w:rPr>
        <w:t xml:space="preserve">registration </w:t>
      </w:r>
      <w:r w:rsidR="00CB38B0" w:rsidRPr="00B568F3">
        <w:rPr>
          <w:rFonts w:ascii="Arial" w:eastAsia="Calibri" w:hAnsi="Arial" w:cs="Arial"/>
          <w:sz w:val="24"/>
          <w:szCs w:val="24"/>
        </w:rPr>
        <w:t>are</w:t>
      </w:r>
      <w:r w:rsidRPr="00B568F3">
        <w:rPr>
          <w:rFonts w:ascii="Arial" w:eastAsia="Calibri" w:hAnsi="Arial" w:cs="Arial"/>
          <w:sz w:val="24"/>
          <w:szCs w:val="24"/>
        </w:rPr>
        <w:t xml:space="preserve"> included </w:t>
      </w:r>
      <w:r w:rsidR="00CB38B0" w:rsidRPr="00B568F3">
        <w:rPr>
          <w:rFonts w:ascii="Arial" w:eastAsia="Calibri" w:hAnsi="Arial" w:cs="Arial"/>
          <w:sz w:val="24"/>
          <w:szCs w:val="24"/>
        </w:rPr>
        <w:t xml:space="preserve">in </w:t>
      </w:r>
      <w:r w:rsidRPr="00B568F3">
        <w:rPr>
          <w:rFonts w:ascii="Arial" w:eastAsia="Calibri" w:hAnsi="Arial" w:cs="Arial"/>
          <w:sz w:val="24"/>
          <w:szCs w:val="24"/>
        </w:rPr>
        <w:t>offers that support resilience and well-being.</w:t>
      </w:r>
    </w:p>
    <w:p w14:paraId="12DC4779" w14:textId="77777777" w:rsidR="009903CF" w:rsidRPr="00B568F3" w:rsidRDefault="009903CF" w:rsidP="009903CF">
      <w:pPr>
        <w:spacing w:after="200" w:line="276" w:lineRule="auto"/>
        <w:ind w:left="567"/>
        <w:contextualSpacing/>
        <w:rPr>
          <w:rFonts w:ascii="Arial" w:eastAsia="Calibri" w:hAnsi="Arial" w:cs="Arial"/>
          <w:bCs/>
          <w:sz w:val="24"/>
          <w:szCs w:val="24"/>
        </w:rPr>
      </w:pPr>
    </w:p>
    <w:p w14:paraId="15877A25" w14:textId="53FBCB57" w:rsidR="002D1B1F" w:rsidRPr="00B568F3"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B568F3">
        <w:rPr>
          <w:rFonts w:ascii="Arial" w:eastAsia="Calibri" w:hAnsi="Arial" w:cs="Arial"/>
          <w:bCs/>
          <w:sz w:val="24"/>
          <w:szCs w:val="24"/>
        </w:rPr>
        <w:t xml:space="preserve">Foster carers have a strong presence </w:t>
      </w:r>
      <w:r w:rsidR="006801B5" w:rsidRPr="00B568F3">
        <w:rPr>
          <w:rFonts w:ascii="Arial" w:eastAsia="Calibri" w:hAnsi="Arial" w:cs="Arial"/>
          <w:bCs/>
          <w:sz w:val="24"/>
          <w:szCs w:val="24"/>
        </w:rPr>
        <w:t xml:space="preserve">in the reporting across </w:t>
      </w:r>
      <w:r w:rsidRPr="00B568F3">
        <w:rPr>
          <w:rFonts w:ascii="Arial" w:eastAsia="Calibri" w:hAnsi="Arial" w:cs="Arial"/>
          <w:bCs/>
          <w:sz w:val="24"/>
          <w:szCs w:val="24"/>
        </w:rPr>
        <w:t xml:space="preserve">all </w:t>
      </w:r>
      <w:r w:rsidR="00780CCD" w:rsidRPr="00B568F3">
        <w:rPr>
          <w:rFonts w:ascii="Arial" w:eastAsia="Calibri" w:hAnsi="Arial" w:cs="Arial"/>
          <w:bCs/>
          <w:sz w:val="24"/>
          <w:szCs w:val="24"/>
        </w:rPr>
        <w:t>regions,</w:t>
      </w:r>
      <w:r w:rsidRPr="00B568F3">
        <w:rPr>
          <w:rFonts w:ascii="Arial" w:eastAsia="Calibri" w:hAnsi="Arial" w:cs="Arial"/>
          <w:bCs/>
          <w:sz w:val="24"/>
          <w:szCs w:val="24"/>
        </w:rPr>
        <w:t xml:space="preserve"> </w:t>
      </w:r>
      <w:r w:rsidR="006801B5" w:rsidRPr="00B568F3">
        <w:rPr>
          <w:rFonts w:ascii="Arial" w:eastAsia="Calibri" w:hAnsi="Arial" w:cs="Arial"/>
          <w:bCs/>
          <w:sz w:val="24"/>
          <w:szCs w:val="24"/>
        </w:rPr>
        <w:t>but</w:t>
      </w:r>
      <w:r w:rsidRPr="00B568F3">
        <w:rPr>
          <w:rFonts w:ascii="Arial" w:eastAsia="Calibri" w:hAnsi="Arial" w:cs="Arial"/>
          <w:bCs/>
          <w:sz w:val="24"/>
          <w:szCs w:val="24"/>
        </w:rPr>
        <w:t xml:space="preserve"> personal assistants </w:t>
      </w:r>
      <w:r w:rsidR="000F4D3C" w:rsidRPr="00B568F3">
        <w:rPr>
          <w:rFonts w:ascii="Arial" w:eastAsia="Calibri" w:hAnsi="Arial" w:cs="Arial"/>
          <w:bCs/>
          <w:sz w:val="24"/>
          <w:szCs w:val="24"/>
        </w:rPr>
        <w:t xml:space="preserve">have </w:t>
      </w:r>
      <w:r w:rsidRPr="00B568F3">
        <w:rPr>
          <w:rFonts w:ascii="Arial" w:eastAsia="Calibri" w:hAnsi="Arial" w:cs="Arial"/>
          <w:bCs/>
          <w:sz w:val="24"/>
          <w:szCs w:val="24"/>
        </w:rPr>
        <w:t>less</w:t>
      </w:r>
      <w:r w:rsidR="000F4D3C" w:rsidRPr="00B568F3">
        <w:rPr>
          <w:rFonts w:ascii="Arial" w:eastAsia="Calibri" w:hAnsi="Arial" w:cs="Arial"/>
          <w:bCs/>
          <w:sz w:val="24"/>
          <w:szCs w:val="24"/>
        </w:rPr>
        <w:t>.</w:t>
      </w:r>
      <w:r w:rsidRPr="00B568F3" w:rsidDel="000F4D3C">
        <w:rPr>
          <w:rFonts w:ascii="Arial" w:eastAsia="Calibri" w:hAnsi="Arial" w:cs="Arial"/>
          <w:bCs/>
          <w:sz w:val="24"/>
          <w:szCs w:val="24"/>
        </w:rPr>
        <w:t xml:space="preserve"> </w:t>
      </w:r>
    </w:p>
    <w:p w14:paraId="60BAEAE7" w14:textId="77777777" w:rsidR="003A4734" w:rsidRPr="00B568F3" w:rsidRDefault="003A4734" w:rsidP="00E04EEE">
      <w:pPr>
        <w:spacing w:after="200" w:line="276" w:lineRule="auto"/>
        <w:contextualSpacing/>
        <w:rPr>
          <w:rFonts w:ascii="Arial" w:eastAsia="Calibri" w:hAnsi="Arial" w:cs="Arial"/>
          <w:bCs/>
          <w:sz w:val="24"/>
          <w:szCs w:val="24"/>
        </w:rPr>
      </w:pPr>
    </w:p>
    <w:p w14:paraId="0965A0A8" w14:textId="2484CE07" w:rsidR="002D1B1F" w:rsidRPr="00B568F3"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B568F3">
        <w:rPr>
          <w:rFonts w:ascii="Arial" w:eastAsia="Calibri" w:hAnsi="Arial" w:cs="Arial"/>
          <w:bCs/>
          <w:sz w:val="24"/>
          <w:szCs w:val="24"/>
        </w:rPr>
        <w:t>Some common themes for learning and development across the regions</w:t>
      </w:r>
      <w:r w:rsidR="00D61B8A" w:rsidRPr="00B568F3">
        <w:rPr>
          <w:rFonts w:ascii="Arial" w:eastAsia="Calibri" w:hAnsi="Arial" w:cs="Arial"/>
          <w:bCs/>
          <w:sz w:val="24"/>
          <w:szCs w:val="24"/>
        </w:rPr>
        <w:t xml:space="preserve"> match</w:t>
      </w:r>
      <w:r w:rsidRPr="00B568F3" w:rsidDel="00D61B8A">
        <w:rPr>
          <w:rFonts w:ascii="Arial" w:eastAsia="Calibri" w:hAnsi="Arial" w:cs="Arial"/>
          <w:bCs/>
          <w:sz w:val="24"/>
          <w:szCs w:val="24"/>
        </w:rPr>
        <w:t xml:space="preserve"> </w:t>
      </w:r>
      <w:r w:rsidRPr="00B568F3">
        <w:rPr>
          <w:rFonts w:ascii="Arial" w:eastAsia="Calibri" w:hAnsi="Arial" w:cs="Arial"/>
          <w:bCs/>
          <w:sz w:val="24"/>
          <w:szCs w:val="24"/>
        </w:rPr>
        <w:t xml:space="preserve">previous years reporting </w:t>
      </w:r>
      <w:r w:rsidR="00E644A6" w:rsidRPr="00B568F3">
        <w:rPr>
          <w:rFonts w:ascii="Arial" w:eastAsia="Calibri" w:hAnsi="Arial" w:cs="Arial"/>
          <w:bCs/>
          <w:sz w:val="24"/>
          <w:szCs w:val="24"/>
        </w:rPr>
        <w:t xml:space="preserve">which </w:t>
      </w:r>
      <w:r w:rsidRPr="00B568F3">
        <w:rPr>
          <w:rFonts w:ascii="Arial" w:eastAsia="Calibri" w:hAnsi="Arial" w:cs="Arial"/>
          <w:bCs/>
          <w:sz w:val="24"/>
          <w:szCs w:val="24"/>
        </w:rPr>
        <w:t>include:</w:t>
      </w:r>
    </w:p>
    <w:p w14:paraId="1AD0FDE3" w14:textId="5BEAC3E0" w:rsidR="002D1B1F" w:rsidRPr="00B568F3" w:rsidRDefault="002D1B1F" w:rsidP="00632461">
      <w:pPr>
        <w:numPr>
          <w:ilvl w:val="1"/>
          <w:numId w:val="6"/>
        </w:numPr>
        <w:spacing w:after="200" w:line="276" w:lineRule="auto"/>
        <w:ind w:left="1560" w:hanging="459"/>
        <w:contextualSpacing/>
        <w:rPr>
          <w:rFonts w:ascii="Arial" w:eastAsia="Calibri" w:hAnsi="Arial" w:cs="Arial"/>
          <w:sz w:val="24"/>
          <w:szCs w:val="24"/>
        </w:rPr>
      </w:pPr>
      <w:r w:rsidRPr="00B568F3">
        <w:rPr>
          <w:rFonts w:ascii="Arial" w:eastAsia="Calibri" w:hAnsi="Arial" w:cs="Arial"/>
          <w:sz w:val="24"/>
          <w:szCs w:val="24"/>
        </w:rPr>
        <w:t>dementia</w:t>
      </w:r>
    </w:p>
    <w:p w14:paraId="5EA8B16C" w14:textId="63EAEF5B" w:rsidR="002D1B1F" w:rsidRPr="00B568F3" w:rsidRDefault="002D1B1F" w:rsidP="00632461">
      <w:pPr>
        <w:numPr>
          <w:ilvl w:val="1"/>
          <w:numId w:val="6"/>
        </w:numPr>
        <w:spacing w:after="200" w:line="276" w:lineRule="auto"/>
        <w:ind w:left="1560" w:hanging="459"/>
        <w:contextualSpacing/>
        <w:rPr>
          <w:rFonts w:ascii="Arial" w:eastAsia="Calibri" w:hAnsi="Arial" w:cs="Arial"/>
          <w:bCs/>
          <w:sz w:val="24"/>
          <w:szCs w:val="24"/>
        </w:rPr>
      </w:pPr>
      <w:r w:rsidRPr="00B568F3">
        <w:rPr>
          <w:rFonts w:ascii="Arial" w:eastAsia="Calibri" w:hAnsi="Arial" w:cs="Arial"/>
          <w:bCs/>
          <w:sz w:val="24"/>
          <w:szCs w:val="24"/>
        </w:rPr>
        <w:t xml:space="preserve">safe administration of medicines </w:t>
      </w:r>
      <w:r w:rsidR="00EE233D" w:rsidRPr="00B568F3">
        <w:rPr>
          <w:rFonts w:ascii="Arial" w:eastAsia="Calibri" w:hAnsi="Arial" w:cs="Arial"/>
          <w:bCs/>
          <w:sz w:val="24"/>
          <w:szCs w:val="24"/>
        </w:rPr>
        <w:t>or</w:t>
      </w:r>
      <w:r w:rsidRPr="00B568F3">
        <w:rPr>
          <w:rFonts w:ascii="Arial" w:eastAsia="Calibri" w:hAnsi="Arial" w:cs="Arial"/>
          <w:bCs/>
          <w:sz w:val="24"/>
          <w:szCs w:val="24"/>
        </w:rPr>
        <w:t xml:space="preserve"> medication management </w:t>
      </w:r>
    </w:p>
    <w:p w14:paraId="08AB72C6" w14:textId="46ED71B1" w:rsidR="002D1B1F" w:rsidRPr="00B568F3" w:rsidRDefault="002D1B1F" w:rsidP="00632461">
      <w:pPr>
        <w:numPr>
          <w:ilvl w:val="1"/>
          <w:numId w:val="6"/>
        </w:numPr>
        <w:spacing w:after="200" w:line="276" w:lineRule="auto"/>
        <w:ind w:left="1560" w:hanging="459"/>
        <w:contextualSpacing/>
        <w:rPr>
          <w:rFonts w:ascii="Arial" w:eastAsia="Calibri" w:hAnsi="Arial" w:cs="Arial"/>
          <w:bCs/>
          <w:sz w:val="24"/>
          <w:szCs w:val="24"/>
        </w:rPr>
      </w:pPr>
      <w:r w:rsidRPr="00B568F3">
        <w:rPr>
          <w:rFonts w:ascii="Arial" w:eastAsia="Calibri" w:hAnsi="Arial" w:cs="Arial"/>
          <w:bCs/>
          <w:sz w:val="24"/>
          <w:szCs w:val="24"/>
        </w:rPr>
        <w:t>neurodiversity</w:t>
      </w:r>
    </w:p>
    <w:p w14:paraId="345ED70B" w14:textId="77777777" w:rsidR="002D1B1F" w:rsidRPr="00B568F3" w:rsidRDefault="002D1B1F" w:rsidP="00632461">
      <w:pPr>
        <w:numPr>
          <w:ilvl w:val="1"/>
          <w:numId w:val="6"/>
        </w:numPr>
        <w:spacing w:after="200" w:line="276" w:lineRule="auto"/>
        <w:ind w:left="1560" w:hanging="459"/>
        <w:contextualSpacing/>
        <w:rPr>
          <w:rFonts w:ascii="Arial" w:eastAsia="Calibri" w:hAnsi="Arial" w:cs="Arial"/>
          <w:bCs/>
          <w:sz w:val="24"/>
          <w:szCs w:val="24"/>
        </w:rPr>
      </w:pPr>
      <w:r w:rsidRPr="00B568F3">
        <w:rPr>
          <w:rFonts w:ascii="Arial" w:eastAsia="Calibri" w:hAnsi="Arial" w:cs="Arial"/>
          <w:bCs/>
          <w:sz w:val="24"/>
          <w:szCs w:val="24"/>
        </w:rPr>
        <w:t>the traditional levels of support to the regional safeguarding boards in place to support a wide range of levels of training.</w:t>
      </w:r>
    </w:p>
    <w:p w14:paraId="6F4D562D" w14:textId="77777777" w:rsidR="009903CF" w:rsidRPr="00B568F3" w:rsidRDefault="009903CF" w:rsidP="009903CF">
      <w:pPr>
        <w:spacing w:after="200" w:line="276" w:lineRule="auto"/>
        <w:ind w:left="1560"/>
        <w:contextualSpacing/>
        <w:rPr>
          <w:rFonts w:ascii="Arial" w:eastAsia="Calibri" w:hAnsi="Arial" w:cs="Arial"/>
          <w:bCs/>
          <w:sz w:val="24"/>
          <w:szCs w:val="24"/>
        </w:rPr>
      </w:pPr>
    </w:p>
    <w:p w14:paraId="356C94EB" w14:textId="30537EE4" w:rsidR="002D1B1F" w:rsidRPr="00B568F3"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B568F3">
        <w:rPr>
          <w:rFonts w:ascii="Arial" w:eastAsia="Calibri" w:hAnsi="Arial" w:cs="Arial"/>
          <w:bCs/>
          <w:sz w:val="24"/>
          <w:szCs w:val="24"/>
        </w:rPr>
        <w:t>All regions reported that they had begun to develop and in some cases</w:t>
      </w:r>
      <w:r w:rsidR="009352CD" w:rsidRPr="00B568F3">
        <w:rPr>
          <w:rFonts w:ascii="Arial" w:eastAsia="Calibri" w:hAnsi="Arial" w:cs="Arial"/>
          <w:bCs/>
          <w:sz w:val="24"/>
          <w:szCs w:val="24"/>
        </w:rPr>
        <w:t>,</w:t>
      </w:r>
      <w:r w:rsidRPr="00B568F3">
        <w:rPr>
          <w:rFonts w:ascii="Arial" w:eastAsia="Calibri" w:hAnsi="Arial" w:cs="Arial"/>
          <w:bCs/>
          <w:sz w:val="24"/>
          <w:szCs w:val="24"/>
        </w:rPr>
        <w:t xml:space="preserve"> deliver training and development in line with the Anti-racist Wales Action </w:t>
      </w:r>
      <w:r w:rsidR="00A67BAA" w:rsidRPr="00B568F3" w:rsidDel="0079163C">
        <w:rPr>
          <w:rFonts w:ascii="Arial" w:eastAsia="Calibri" w:hAnsi="Arial" w:cs="Arial"/>
          <w:bCs/>
          <w:sz w:val="24"/>
          <w:szCs w:val="24"/>
        </w:rPr>
        <w:t>Plan</w:t>
      </w:r>
      <w:r w:rsidR="0079163C" w:rsidRPr="00B568F3">
        <w:rPr>
          <w:rFonts w:ascii="Arial" w:eastAsia="Calibri" w:hAnsi="Arial" w:cs="Arial"/>
          <w:bCs/>
          <w:sz w:val="24"/>
          <w:szCs w:val="24"/>
        </w:rPr>
        <w:t>, with</w:t>
      </w:r>
      <w:r w:rsidRPr="00B568F3">
        <w:rPr>
          <w:rFonts w:ascii="Arial" w:eastAsia="Calibri" w:hAnsi="Arial" w:cs="Arial"/>
          <w:bCs/>
          <w:sz w:val="24"/>
          <w:szCs w:val="24"/>
        </w:rPr>
        <w:t xml:space="preserve"> ongoing work planned for 2024</w:t>
      </w:r>
      <w:r w:rsidR="00B55E32" w:rsidRPr="00B568F3">
        <w:rPr>
          <w:rFonts w:ascii="Arial" w:eastAsia="Calibri" w:hAnsi="Arial" w:cs="Arial"/>
          <w:bCs/>
          <w:sz w:val="24"/>
          <w:szCs w:val="24"/>
        </w:rPr>
        <w:t xml:space="preserve"> to </w:t>
      </w:r>
      <w:r w:rsidR="00754524" w:rsidRPr="00B568F3">
        <w:rPr>
          <w:rFonts w:ascii="Arial" w:eastAsia="Calibri" w:hAnsi="Arial" w:cs="Arial"/>
          <w:bCs/>
          <w:sz w:val="24"/>
          <w:szCs w:val="24"/>
        </w:rPr>
        <w:t>20</w:t>
      </w:r>
      <w:r w:rsidRPr="00B568F3">
        <w:rPr>
          <w:rFonts w:ascii="Arial" w:eastAsia="Calibri" w:hAnsi="Arial" w:cs="Arial"/>
          <w:bCs/>
          <w:sz w:val="24"/>
          <w:szCs w:val="24"/>
        </w:rPr>
        <w:t>25.</w:t>
      </w:r>
    </w:p>
    <w:p w14:paraId="068775A9" w14:textId="77777777" w:rsidR="009903CF" w:rsidRPr="00B568F3" w:rsidRDefault="009903CF" w:rsidP="009903CF">
      <w:pPr>
        <w:spacing w:after="200" w:line="276" w:lineRule="auto"/>
        <w:ind w:left="567"/>
        <w:contextualSpacing/>
        <w:rPr>
          <w:rFonts w:ascii="Arial" w:eastAsia="Calibri" w:hAnsi="Arial" w:cs="Arial"/>
          <w:bCs/>
          <w:sz w:val="24"/>
          <w:szCs w:val="24"/>
        </w:rPr>
      </w:pPr>
    </w:p>
    <w:p w14:paraId="2199BFA2" w14:textId="75DFA8BB" w:rsidR="002D1B1F" w:rsidRPr="00B568F3" w:rsidRDefault="00203224" w:rsidP="00632461">
      <w:pPr>
        <w:numPr>
          <w:ilvl w:val="0"/>
          <w:numId w:val="6"/>
        </w:numPr>
        <w:spacing w:after="200" w:line="276" w:lineRule="auto"/>
        <w:ind w:left="567" w:hanging="425"/>
        <w:contextualSpacing/>
        <w:rPr>
          <w:rFonts w:ascii="Arial" w:eastAsia="Calibri" w:hAnsi="Arial" w:cs="Arial"/>
          <w:bCs/>
          <w:sz w:val="24"/>
          <w:szCs w:val="24"/>
        </w:rPr>
      </w:pPr>
      <w:r w:rsidRPr="00B568F3">
        <w:rPr>
          <w:rFonts w:ascii="Arial" w:eastAsia="Calibri" w:hAnsi="Arial" w:cs="Arial"/>
          <w:bCs/>
          <w:sz w:val="24"/>
          <w:szCs w:val="24"/>
        </w:rPr>
        <w:t>All regions showed s</w:t>
      </w:r>
      <w:r w:rsidR="002D1B1F" w:rsidRPr="00B568F3">
        <w:rPr>
          <w:rFonts w:ascii="Arial" w:eastAsia="Calibri" w:hAnsi="Arial" w:cs="Arial"/>
          <w:bCs/>
          <w:sz w:val="24"/>
          <w:szCs w:val="24"/>
        </w:rPr>
        <w:t>trength</w:t>
      </w:r>
      <w:r w:rsidR="00006703" w:rsidRPr="00B568F3">
        <w:rPr>
          <w:rFonts w:ascii="Arial" w:eastAsia="Calibri" w:hAnsi="Arial" w:cs="Arial"/>
          <w:bCs/>
          <w:sz w:val="24"/>
          <w:szCs w:val="24"/>
        </w:rPr>
        <w:t>-</w:t>
      </w:r>
      <w:r w:rsidR="002D1B1F" w:rsidRPr="00B568F3">
        <w:rPr>
          <w:rFonts w:ascii="Arial" w:eastAsia="Calibri" w:hAnsi="Arial" w:cs="Arial"/>
          <w:bCs/>
          <w:sz w:val="24"/>
          <w:szCs w:val="24"/>
        </w:rPr>
        <w:t>based approaches and practice</w:t>
      </w:r>
      <w:r w:rsidRPr="00B568F3">
        <w:rPr>
          <w:rFonts w:ascii="Arial" w:eastAsia="Calibri" w:hAnsi="Arial" w:cs="Arial"/>
          <w:bCs/>
          <w:sz w:val="24"/>
          <w:szCs w:val="24"/>
        </w:rPr>
        <w:t>,</w:t>
      </w:r>
      <w:r w:rsidR="002D1B1F" w:rsidRPr="00B568F3">
        <w:rPr>
          <w:rFonts w:ascii="Arial" w:eastAsia="Calibri" w:hAnsi="Arial" w:cs="Arial"/>
          <w:bCs/>
          <w:sz w:val="24"/>
          <w:szCs w:val="24"/>
        </w:rPr>
        <w:t xml:space="preserve"> with dedicated training resources in place to support</w:t>
      </w:r>
      <w:r w:rsidR="002D1B1F" w:rsidRPr="00B568F3" w:rsidDel="00203224">
        <w:rPr>
          <w:rFonts w:ascii="Arial" w:eastAsia="Calibri" w:hAnsi="Arial" w:cs="Arial"/>
          <w:bCs/>
          <w:sz w:val="24"/>
          <w:szCs w:val="24"/>
        </w:rPr>
        <w:t xml:space="preserve"> </w:t>
      </w:r>
      <w:r w:rsidRPr="00B568F3">
        <w:rPr>
          <w:rFonts w:ascii="Arial" w:eastAsia="Calibri" w:hAnsi="Arial" w:cs="Arial"/>
          <w:bCs/>
          <w:sz w:val="24"/>
          <w:szCs w:val="24"/>
        </w:rPr>
        <w:t>this</w:t>
      </w:r>
      <w:r w:rsidR="002D1B1F" w:rsidRPr="00B568F3">
        <w:rPr>
          <w:rFonts w:ascii="Arial" w:eastAsia="Calibri" w:hAnsi="Arial" w:cs="Arial"/>
          <w:bCs/>
          <w:sz w:val="24"/>
          <w:szCs w:val="24"/>
        </w:rPr>
        <w:t xml:space="preserve">. Some regions had specific leadership programmes to </w:t>
      </w:r>
      <w:r w:rsidR="003B6181" w:rsidRPr="00B568F3">
        <w:rPr>
          <w:rFonts w:ascii="Arial" w:eastAsia="Calibri" w:hAnsi="Arial" w:cs="Arial"/>
          <w:bCs/>
          <w:sz w:val="24"/>
          <w:szCs w:val="24"/>
        </w:rPr>
        <w:t>help</w:t>
      </w:r>
      <w:r w:rsidR="002D1B1F" w:rsidRPr="00B568F3">
        <w:rPr>
          <w:rFonts w:ascii="Arial" w:eastAsia="Calibri" w:hAnsi="Arial" w:cs="Arial"/>
          <w:bCs/>
          <w:sz w:val="24"/>
          <w:szCs w:val="24"/>
        </w:rPr>
        <w:t xml:space="preserve"> with embedding the</w:t>
      </w:r>
      <w:r w:rsidR="00FB1B8E" w:rsidRPr="00B568F3">
        <w:rPr>
          <w:rFonts w:ascii="Arial" w:eastAsia="Calibri" w:hAnsi="Arial" w:cs="Arial"/>
          <w:bCs/>
          <w:sz w:val="24"/>
          <w:szCs w:val="24"/>
        </w:rPr>
        <w:t>se</w:t>
      </w:r>
      <w:r w:rsidR="002D1B1F" w:rsidRPr="00B568F3">
        <w:rPr>
          <w:rFonts w:ascii="Arial" w:eastAsia="Calibri" w:hAnsi="Arial" w:cs="Arial"/>
          <w:bCs/>
          <w:sz w:val="24"/>
          <w:szCs w:val="24"/>
        </w:rPr>
        <w:t xml:space="preserve"> approaches into service delivery.</w:t>
      </w:r>
    </w:p>
    <w:p w14:paraId="0C1F4AD9" w14:textId="77777777" w:rsidR="009903CF" w:rsidRPr="00B568F3" w:rsidRDefault="009903CF" w:rsidP="009903CF">
      <w:pPr>
        <w:spacing w:after="200" w:line="276" w:lineRule="auto"/>
        <w:contextualSpacing/>
        <w:rPr>
          <w:rFonts w:ascii="Arial" w:eastAsia="Calibri" w:hAnsi="Arial" w:cs="Arial"/>
          <w:bCs/>
          <w:sz w:val="24"/>
          <w:szCs w:val="24"/>
        </w:rPr>
      </w:pPr>
    </w:p>
    <w:p w14:paraId="22596F89" w14:textId="180023C2" w:rsidR="002D1B1F" w:rsidRPr="00B568F3"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B568F3">
        <w:rPr>
          <w:rFonts w:ascii="Arial" w:eastAsia="Calibri" w:hAnsi="Arial" w:cs="Arial"/>
          <w:bCs/>
          <w:sz w:val="24"/>
          <w:szCs w:val="24"/>
        </w:rPr>
        <w:t>Workforce well</w:t>
      </w:r>
      <w:r w:rsidR="00853DF5" w:rsidRPr="00B568F3">
        <w:rPr>
          <w:rFonts w:ascii="Arial" w:eastAsia="Calibri" w:hAnsi="Arial" w:cs="Arial"/>
          <w:bCs/>
          <w:sz w:val="24"/>
          <w:szCs w:val="24"/>
        </w:rPr>
        <w:t>-</w:t>
      </w:r>
      <w:r w:rsidRPr="00B568F3">
        <w:rPr>
          <w:rFonts w:ascii="Arial" w:eastAsia="Calibri" w:hAnsi="Arial" w:cs="Arial"/>
          <w:bCs/>
          <w:sz w:val="24"/>
          <w:szCs w:val="24"/>
        </w:rPr>
        <w:t>being</w:t>
      </w:r>
      <w:r w:rsidR="00D667EA" w:rsidRPr="00B568F3">
        <w:rPr>
          <w:rFonts w:ascii="Arial" w:eastAsia="Calibri" w:hAnsi="Arial" w:cs="Arial"/>
          <w:bCs/>
          <w:sz w:val="24"/>
          <w:szCs w:val="24"/>
        </w:rPr>
        <w:t xml:space="preserve"> is still </w:t>
      </w:r>
      <w:r w:rsidRPr="00B568F3">
        <w:rPr>
          <w:rFonts w:ascii="Arial" w:eastAsia="Calibri" w:hAnsi="Arial" w:cs="Arial"/>
          <w:bCs/>
          <w:sz w:val="24"/>
          <w:szCs w:val="24"/>
        </w:rPr>
        <w:t>a priority for all regions</w:t>
      </w:r>
      <w:r w:rsidR="00E06520" w:rsidRPr="00B568F3">
        <w:rPr>
          <w:rFonts w:ascii="Arial" w:eastAsia="Calibri" w:hAnsi="Arial" w:cs="Arial"/>
          <w:bCs/>
          <w:sz w:val="24"/>
          <w:szCs w:val="24"/>
        </w:rPr>
        <w:t>.</w:t>
      </w:r>
      <w:r w:rsidRPr="00B568F3" w:rsidDel="00E06520">
        <w:rPr>
          <w:rFonts w:ascii="Arial" w:eastAsia="Calibri" w:hAnsi="Arial" w:cs="Arial"/>
          <w:bCs/>
          <w:sz w:val="24"/>
          <w:szCs w:val="24"/>
        </w:rPr>
        <w:t xml:space="preserve"> </w:t>
      </w:r>
      <w:r w:rsidR="00E06520" w:rsidRPr="00B568F3">
        <w:rPr>
          <w:rFonts w:ascii="Arial" w:eastAsia="Calibri" w:hAnsi="Arial" w:cs="Arial"/>
          <w:bCs/>
          <w:sz w:val="24"/>
          <w:szCs w:val="24"/>
        </w:rPr>
        <w:t>S</w:t>
      </w:r>
      <w:r w:rsidRPr="00B568F3">
        <w:rPr>
          <w:rFonts w:ascii="Arial" w:eastAsia="Calibri" w:hAnsi="Arial" w:cs="Arial"/>
          <w:bCs/>
          <w:sz w:val="24"/>
          <w:szCs w:val="24"/>
        </w:rPr>
        <w:t>pecific well</w:t>
      </w:r>
      <w:r w:rsidR="00D667EA" w:rsidRPr="00B568F3">
        <w:rPr>
          <w:rFonts w:ascii="Arial" w:eastAsia="Calibri" w:hAnsi="Arial" w:cs="Arial"/>
          <w:bCs/>
          <w:sz w:val="24"/>
          <w:szCs w:val="24"/>
        </w:rPr>
        <w:t>-</w:t>
      </w:r>
      <w:r w:rsidRPr="00B568F3">
        <w:rPr>
          <w:rFonts w:ascii="Arial" w:eastAsia="Calibri" w:hAnsi="Arial" w:cs="Arial"/>
          <w:bCs/>
          <w:sz w:val="24"/>
          <w:szCs w:val="24"/>
        </w:rPr>
        <w:t xml:space="preserve">being training and development </w:t>
      </w:r>
      <w:r w:rsidR="006C5AA0" w:rsidRPr="00B568F3">
        <w:rPr>
          <w:rFonts w:ascii="Arial" w:eastAsia="Calibri" w:hAnsi="Arial" w:cs="Arial"/>
          <w:bCs/>
          <w:sz w:val="24"/>
          <w:szCs w:val="24"/>
        </w:rPr>
        <w:t xml:space="preserve">is </w:t>
      </w:r>
      <w:r w:rsidRPr="00B568F3">
        <w:rPr>
          <w:rFonts w:ascii="Arial" w:eastAsia="Calibri" w:hAnsi="Arial" w:cs="Arial"/>
          <w:bCs/>
          <w:sz w:val="24"/>
          <w:szCs w:val="24"/>
        </w:rPr>
        <w:t xml:space="preserve">offered and support </w:t>
      </w:r>
      <w:r w:rsidR="00E06520" w:rsidRPr="00B568F3">
        <w:rPr>
          <w:rFonts w:ascii="Arial" w:eastAsia="Calibri" w:hAnsi="Arial" w:cs="Arial"/>
          <w:bCs/>
          <w:sz w:val="24"/>
          <w:szCs w:val="24"/>
        </w:rPr>
        <w:t>given</w:t>
      </w:r>
      <w:r w:rsidRPr="00B568F3">
        <w:rPr>
          <w:rFonts w:ascii="Arial" w:eastAsia="Calibri" w:hAnsi="Arial" w:cs="Arial"/>
          <w:bCs/>
          <w:sz w:val="24"/>
          <w:szCs w:val="24"/>
        </w:rPr>
        <w:t xml:space="preserve"> through signposting to well</w:t>
      </w:r>
      <w:r w:rsidR="006456B2" w:rsidRPr="00B568F3">
        <w:rPr>
          <w:rFonts w:ascii="Arial" w:eastAsia="Calibri" w:hAnsi="Arial" w:cs="Arial"/>
          <w:bCs/>
          <w:sz w:val="24"/>
          <w:szCs w:val="24"/>
        </w:rPr>
        <w:t>-</w:t>
      </w:r>
      <w:r w:rsidRPr="00B568F3">
        <w:rPr>
          <w:rFonts w:ascii="Arial" w:eastAsia="Calibri" w:hAnsi="Arial" w:cs="Arial"/>
          <w:bCs/>
          <w:sz w:val="24"/>
          <w:szCs w:val="24"/>
        </w:rPr>
        <w:t>being resources.</w:t>
      </w:r>
    </w:p>
    <w:p w14:paraId="0B44DF78" w14:textId="77777777" w:rsidR="009903CF" w:rsidRPr="00B568F3" w:rsidRDefault="009903CF" w:rsidP="009903CF">
      <w:pPr>
        <w:spacing w:after="200" w:line="276" w:lineRule="auto"/>
        <w:contextualSpacing/>
        <w:rPr>
          <w:rFonts w:ascii="Arial" w:eastAsia="Calibri" w:hAnsi="Arial" w:cs="Arial"/>
          <w:bCs/>
          <w:sz w:val="24"/>
          <w:szCs w:val="24"/>
        </w:rPr>
      </w:pPr>
    </w:p>
    <w:p w14:paraId="5C18B1C3" w14:textId="75B98630" w:rsidR="002D1B1F" w:rsidRPr="00B568F3" w:rsidRDefault="002722CB" w:rsidP="00632461">
      <w:pPr>
        <w:numPr>
          <w:ilvl w:val="0"/>
          <w:numId w:val="6"/>
        </w:numPr>
        <w:spacing w:after="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We saw </w:t>
      </w:r>
      <w:r w:rsidR="002D1B1F" w:rsidRPr="00B568F3">
        <w:rPr>
          <w:rFonts w:ascii="Arial" w:eastAsia="Calibri" w:hAnsi="Arial" w:cs="Arial"/>
          <w:sz w:val="24"/>
          <w:szCs w:val="24"/>
        </w:rPr>
        <w:t xml:space="preserve">Welsh language training </w:t>
      </w:r>
      <w:r w:rsidR="006C5AA0" w:rsidRPr="00B568F3">
        <w:rPr>
          <w:rFonts w:ascii="Arial" w:eastAsia="Calibri" w:hAnsi="Arial" w:cs="Arial"/>
          <w:sz w:val="24"/>
          <w:szCs w:val="24"/>
        </w:rPr>
        <w:t>services</w:t>
      </w:r>
      <w:r w:rsidR="006C5AA0" w:rsidRPr="00B568F3" w:rsidDel="002722CB">
        <w:rPr>
          <w:rFonts w:ascii="Arial" w:eastAsia="Calibri" w:hAnsi="Arial" w:cs="Arial"/>
          <w:sz w:val="24"/>
          <w:szCs w:val="24"/>
        </w:rPr>
        <w:t xml:space="preserve"> </w:t>
      </w:r>
      <w:r w:rsidR="002D1B1F" w:rsidRPr="00B568F3">
        <w:rPr>
          <w:rFonts w:ascii="Arial" w:eastAsia="Calibri" w:hAnsi="Arial" w:cs="Arial"/>
          <w:sz w:val="24"/>
          <w:szCs w:val="24"/>
        </w:rPr>
        <w:t>across all regions</w:t>
      </w:r>
      <w:r w:rsidRPr="00B568F3">
        <w:rPr>
          <w:rFonts w:ascii="Arial" w:eastAsia="Calibri" w:hAnsi="Arial" w:cs="Arial"/>
          <w:sz w:val="24"/>
          <w:szCs w:val="24"/>
        </w:rPr>
        <w:t>,</w:t>
      </w:r>
      <w:r w:rsidR="002D1B1F" w:rsidRPr="00B568F3">
        <w:rPr>
          <w:rFonts w:ascii="Arial" w:eastAsia="Calibri" w:hAnsi="Arial" w:cs="Arial"/>
          <w:sz w:val="24"/>
          <w:szCs w:val="24"/>
        </w:rPr>
        <w:t xml:space="preserve"> with ongoing partnership working with local training providers to </w:t>
      </w:r>
      <w:r w:rsidRPr="00B568F3">
        <w:rPr>
          <w:rFonts w:ascii="Arial" w:eastAsia="Calibri" w:hAnsi="Arial" w:cs="Arial"/>
          <w:sz w:val="24"/>
          <w:szCs w:val="24"/>
        </w:rPr>
        <w:t>offer</w:t>
      </w:r>
      <w:r w:rsidR="002D1B1F" w:rsidRPr="00B568F3">
        <w:rPr>
          <w:rFonts w:ascii="Arial" w:eastAsia="Calibri" w:hAnsi="Arial" w:cs="Arial"/>
          <w:sz w:val="24"/>
          <w:szCs w:val="24"/>
        </w:rPr>
        <w:t xml:space="preserve"> Welsh </w:t>
      </w:r>
      <w:r w:rsidR="00C82FCF" w:rsidRPr="00B568F3">
        <w:rPr>
          <w:rFonts w:ascii="Arial" w:eastAsia="Calibri" w:hAnsi="Arial" w:cs="Arial"/>
          <w:sz w:val="24"/>
          <w:szCs w:val="24"/>
        </w:rPr>
        <w:t>l</w:t>
      </w:r>
      <w:r w:rsidR="002D1B1F" w:rsidRPr="00B568F3">
        <w:rPr>
          <w:rFonts w:ascii="Arial" w:eastAsia="Calibri" w:hAnsi="Arial" w:cs="Arial"/>
          <w:sz w:val="24"/>
          <w:szCs w:val="24"/>
        </w:rPr>
        <w:t xml:space="preserve">anguage courses for individuals. </w:t>
      </w:r>
      <w:r w:rsidR="006C5AA0" w:rsidRPr="00B568F3">
        <w:rPr>
          <w:rFonts w:ascii="Arial" w:eastAsia="Calibri" w:hAnsi="Arial" w:cs="Arial"/>
          <w:sz w:val="24"/>
          <w:szCs w:val="24"/>
        </w:rPr>
        <w:t>Like</w:t>
      </w:r>
      <w:r w:rsidR="002D1B1F" w:rsidRPr="00B568F3">
        <w:rPr>
          <w:rFonts w:ascii="Arial" w:eastAsia="Calibri" w:hAnsi="Arial" w:cs="Arial"/>
          <w:sz w:val="24"/>
          <w:szCs w:val="24"/>
        </w:rPr>
        <w:t xml:space="preserve"> digital literacy</w:t>
      </w:r>
      <w:r w:rsidR="006C5AA0" w:rsidRPr="00B568F3">
        <w:rPr>
          <w:rFonts w:ascii="Arial" w:eastAsia="Calibri" w:hAnsi="Arial" w:cs="Arial"/>
          <w:sz w:val="24"/>
          <w:szCs w:val="24"/>
        </w:rPr>
        <w:t>,</w:t>
      </w:r>
      <w:r w:rsidR="002D1B1F" w:rsidRPr="00B568F3">
        <w:rPr>
          <w:rFonts w:ascii="Arial" w:eastAsia="Calibri" w:hAnsi="Arial" w:cs="Arial"/>
          <w:sz w:val="24"/>
          <w:szCs w:val="24"/>
        </w:rPr>
        <w:t xml:space="preserve"> there are different levels of Welsh </w:t>
      </w:r>
      <w:r w:rsidR="0EBE390E" w:rsidRPr="00B568F3">
        <w:rPr>
          <w:rFonts w:ascii="Arial" w:eastAsia="Calibri" w:hAnsi="Arial" w:cs="Arial"/>
          <w:sz w:val="24"/>
          <w:szCs w:val="24"/>
        </w:rPr>
        <w:t>language</w:t>
      </w:r>
      <w:r w:rsidR="002D1B1F" w:rsidRPr="00B568F3">
        <w:rPr>
          <w:rFonts w:ascii="Arial" w:eastAsia="Calibri" w:hAnsi="Arial" w:cs="Arial"/>
          <w:sz w:val="24"/>
          <w:szCs w:val="24"/>
        </w:rPr>
        <w:t xml:space="preserve"> skills across the sector</w:t>
      </w:r>
      <w:r w:rsidR="00C82FCF" w:rsidRPr="00B568F3">
        <w:rPr>
          <w:rFonts w:ascii="Arial" w:eastAsia="Calibri" w:hAnsi="Arial" w:cs="Arial"/>
          <w:sz w:val="24"/>
          <w:szCs w:val="24"/>
        </w:rPr>
        <w:t>,</w:t>
      </w:r>
      <w:r w:rsidR="002D1B1F" w:rsidRPr="00B568F3">
        <w:rPr>
          <w:rFonts w:ascii="Arial" w:eastAsia="Calibri" w:hAnsi="Arial" w:cs="Arial"/>
          <w:sz w:val="24"/>
          <w:szCs w:val="24"/>
        </w:rPr>
        <w:t xml:space="preserve"> and a range of </w:t>
      </w:r>
      <w:r w:rsidR="00C82FCF" w:rsidRPr="00B568F3">
        <w:rPr>
          <w:rFonts w:ascii="Arial" w:eastAsia="Calibri" w:hAnsi="Arial" w:cs="Arial"/>
          <w:sz w:val="24"/>
          <w:szCs w:val="24"/>
        </w:rPr>
        <w:t>courses</w:t>
      </w:r>
      <w:r w:rsidR="002D1B1F" w:rsidRPr="00B568F3">
        <w:rPr>
          <w:rFonts w:ascii="Arial" w:eastAsia="Calibri" w:hAnsi="Arial" w:cs="Arial"/>
          <w:sz w:val="24"/>
          <w:szCs w:val="24"/>
        </w:rPr>
        <w:t xml:space="preserve"> are available</w:t>
      </w:r>
      <w:r w:rsidR="006C5AA0" w:rsidRPr="00B568F3">
        <w:rPr>
          <w:rFonts w:ascii="Arial" w:eastAsia="Calibri" w:hAnsi="Arial" w:cs="Arial"/>
          <w:sz w:val="24"/>
          <w:szCs w:val="24"/>
        </w:rPr>
        <w:t>,</w:t>
      </w:r>
      <w:r w:rsidR="002D1B1F" w:rsidRPr="00B568F3">
        <w:rPr>
          <w:rFonts w:ascii="Arial" w:eastAsia="Calibri" w:hAnsi="Arial" w:cs="Arial"/>
          <w:sz w:val="24"/>
          <w:szCs w:val="24"/>
        </w:rPr>
        <w:t xml:space="preserve"> from entry to advanced. The take</w:t>
      </w:r>
      <w:r w:rsidR="00C82FCF" w:rsidRPr="00B568F3">
        <w:rPr>
          <w:rFonts w:ascii="Arial" w:eastAsia="Calibri" w:hAnsi="Arial" w:cs="Arial"/>
          <w:sz w:val="24"/>
          <w:szCs w:val="24"/>
        </w:rPr>
        <w:t>-</w:t>
      </w:r>
      <w:r w:rsidR="002D1B1F" w:rsidRPr="00B568F3">
        <w:rPr>
          <w:rFonts w:ascii="Arial" w:eastAsia="Calibri" w:hAnsi="Arial" w:cs="Arial"/>
          <w:sz w:val="24"/>
          <w:szCs w:val="24"/>
        </w:rPr>
        <w:t>up</w:t>
      </w:r>
      <w:r w:rsidR="008A2120" w:rsidRPr="00B568F3">
        <w:rPr>
          <w:rFonts w:ascii="Arial" w:eastAsia="Calibri" w:hAnsi="Arial" w:cs="Arial"/>
          <w:sz w:val="24"/>
          <w:szCs w:val="24"/>
        </w:rPr>
        <w:t xml:space="preserve"> varies</w:t>
      </w:r>
      <w:r w:rsidR="006070E1" w:rsidRPr="00B568F3">
        <w:rPr>
          <w:rFonts w:ascii="Arial" w:eastAsia="Calibri" w:hAnsi="Arial" w:cs="Arial"/>
          <w:sz w:val="24"/>
          <w:szCs w:val="24"/>
        </w:rPr>
        <w:t xml:space="preserve"> depending on</w:t>
      </w:r>
      <w:r w:rsidR="002D1B1F" w:rsidRPr="00B568F3" w:rsidDel="006070E1">
        <w:rPr>
          <w:rFonts w:ascii="Arial" w:eastAsia="Calibri" w:hAnsi="Arial" w:cs="Arial"/>
          <w:sz w:val="24"/>
          <w:szCs w:val="24"/>
        </w:rPr>
        <w:t xml:space="preserve"> </w:t>
      </w:r>
      <w:r w:rsidR="002D1B1F" w:rsidRPr="00B568F3">
        <w:rPr>
          <w:rFonts w:ascii="Arial" w:eastAsia="Calibri" w:hAnsi="Arial" w:cs="Arial"/>
          <w:sz w:val="24"/>
          <w:szCs w:val="24"/>
        </w:rPr>
        <w:t xml:space="preserve">the region and sometimes the individual </w:t>
      </w:r>
      <w:r w:rsidR="006C5AA0" w:rsidRPr="00B568F3">
        <w:rPr>
          <w:rFonts w:ascii="Arial" w:eastAsia="Calibri" w:hAnsi="Arial" w:cs="Arial"/>
          <w:sz w:val="24"/>
          <w:szCs w:val="24"/>
        </w:rPr>
        <w:t>local authority</w:t>
      </w:r>
      <w:r w:rsidR="002D1B1F" w:rsidRPr="00B568F3">
        <w:rPr>
          <w:rFonts w:ascii="Arial" w:eastAsia="Calibri" w:hAnsi="Arial" w:cs="Arial"/>
          <w:sz w:val="24"/>
          <w:szCs w:val="24"/>
        </w:rPr>
        <w:t>.</w:t>
      </w:r>
    </w:p>
    <w:p w14:paraId="5B811AE6" w14:textId="77777777" w:rsidR="005C59E2" w:rsidRPr="00B568F3" w:rsidRDefault="005C59E2" w:rsidP="008B7038">
      <w:pPr>
        <w:spacing w:after="200" w:line="276" w:lineRule="auto"/>
        <w:contextualSpacing/>
        <w:rPr>
          <w:rFonts w:ascii="Arial" w:eastAsia="Calibri" w:hAnsi="Arial" w:cs="Arial"/>
          <w:sz w:val="24"/>
          <w:szCs w:val="24"/>
        </w:rPr>
      </w:pPr>
    </w:p>
    <w:p w14:paraId="3A685B42" w14:textId="0FCBE70C"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There</w:t>
      </w:r>
      <w:r w:rsidR="006070E1" w:rsidRPr="00B568F3">
        <w:rPr>
          <w:rFonts w:ascii="Arial" w:eastAsia="Calibri" w:hAnsi="Arial" w:cs="Arial"/>
          <w:sz w:val="24"/>
          <w:szCs w:val="24"/>
        </w:rPr>
        <w:t>’s still</w:t>
      </w:r>
      <w:r w:rsidRPr="00B568F3" w:rsidDel="006070E1">
        <w:rPr>
          <w:rFonts w:ascii="Arial" w:eastAsia="Calibri" w:hAnsi="Arial" w:cs="Arial"/>
          <w:sz w:val="24"/>
          <w:szCs w:val="24"/>
        </w:rPr>
        <w:t xml:space="preserve"> </w:t>
      </w:r>
      <w:r w:rsidRPr="00B568F3">
        <w:rPr>
          <w:rFonts w:ascii="Arial" w:eastAsia="Calibri" w:hAnsi="Arial" w:cs="Arial"/>
          <w:sz w:val="24"/>
          <w:szCs w:val="24"/>
        </w:rPr>
        <w:t>a clear focus in support</w:t>
      </w:r>
      <w:r w:rsidR="00C82FCF" w:rsidRPr="00B568F3">
        <w:rPr>
          <w:rFonts w:ascii="Arial" w:eastAsia="Calibri" w:hAnsi="Arial" w:cs="Arial"/>
          <w:sz w:val="24"/>
          <w:szCs w:val="24"/>
        </w:rPr>
        <w:t>ing</w:t>
      </w:r>
      <w:r w:rsidRPr="00B568F3" w:rsidDel="00C82FCF">
        <w:rPr>
          <w:rFonts w:ascii="Arial" w:eastAsia="Calibri" w:hAnsi="Arial" w:cs="Arial"/>
          <w:sz w:val="24"/>
          <w:szCs w:val="24"/>
        </w:rPr>
        <w:t xml:space="preserve"> </w:t>
      </w:r>
      <w:r w:rsidRPr="00B568F3">
        <w:rPr>
          <w:rFonts w:ascii="Arial" w:eastAsia="Calibri" w:hAnsi="Arial" w:cs="Arial"/>
          <w:sz w:val="24"/>
          <w:szCs w:val="24"/>
        </w:rPr>
        <w:t>the whole sector in terms of registration, not just in vocational qualifications but also in supporting people</w:t>
      </w:r>
      <w:r w:rsidRPr="00B568F3" w:rsidDel="00C82FCF">
        <w:rPr>
          <w:rFonts w:ascii="Arial" w:eastAsia="Calibri" w:hAnsi="Arial" w:cs="Arial"/>
          <w:sz w:val="24"/>
          <w:szCs w:val="24"/>
        </w:rPr>
        <w:t xml:space="preserve"> </w:t>
      </w:r>
      <w:r w:rsidR="00262188" w:rsidRPr="00B568F3">
        <w:rPr>
          <w:rFonts w:ascii="Arial" w:eastAsia="Calibri" w:hAnsi="Arial" w:cs="Arial"/>
          <w:sz w:val="24"/>
          <w:szCs w:val="24"/>
        </w:rPr>
        <w:t xml:space="preserve">through </w:t>
      </w:r>
      <w:r w:rsidRPr="00B568F3">
        <w:rPr>
          <w:rFonts w:ascii="Arial" w:eastAsia="Calibri" w:hAnsi="Arial" w:cs="Arial"/>
          <w:sz w:val="24"/>
          <w:szCs w:val="24"/>
        </w:rPr>
        <w:t>the registration process</w:t>
      </w:r>
      <w:r w:rsidR="00262188" w:rsidRPr="00B568F3">
        <w:rPr>
          <w:rFonts w:ascii="Arial" w:eastAsia="Calibri" w:hAnsi="Arial" w:cs="Arial"/>
          <w:sz w:val="24"/>
          <w:szCs w:val="24"/>
        </w:rPr>
        <w:t>.</w:t>
      </w:r>
    </w:p>
    <w:p w14:paraId="7B124A53" w14:textId="58F07144" w:rsidR="5EF60A1F" w:rsidRPr="00B568F3" w:rsidRDefault="5EF60A1F" w:rsidP="5EF60A1F">
      <w:pPr>
        <w:spacing w:after="200" w:line="276" w:lineRule="auto"/>
        <w:ind w:left="567" w:hanging="425"/>
        <w:contextualSpacing/>
        <w:rPr>
          <w:rFonts w:ascii="Arial" w:eastAsia="Calibri" w:hAnsi="Arial" w:cs="Arial"/>
          <w:sz w:val="24"/>
          <w:szCs w:val="24"/>
        </w:rPr>
      </w:pPr>
    </w:p>
    <w:p w14:paraId="5081CF83" w14:textId="624DFC58" w:rsidR="002D1B1F" w:rsidRPr="00B568F3" w:rsidRDefault="002D1B1F" w:rsidP="00632461">
      <w:pPr>
        <w:numPr>
          <w:ilvl w:val="0"/>
          <w:numId w:val="6"/>
        </w:numPr>
        <w:spacing w:after="200" w:line="276" w:lineRule="auto"/>
        <w:ind w:left="567" w:hanging="425"/>
        <w:contextualSpacing/>
        <w:rPr>
          <w:rFonts w:ascii="Arial" w:eastAsia="Calibri" w:hAnsi="Arial" w:cs="Arial"/>
          <w:color w:val="FF0000"/>
          <w:sz w:val="24"/>
          <w:szCs w:val="24"/>
        </w:rPr>
      </w:pPr>
      <w:r w:rsidRPr="00B568F3">
        <w:rPr>
          <w:rFonts w:ascii="Arial" w:eastAsia="Calibri" w:hAnsi="Arial" w:cs="Arial"/>
          <w:sz w:val="24"/>
          <w:szCs w:val="24"/>
        </w:rPr>
        <w:t>Again in 2023</w:t>
      </w:r>
      <w:r w:rsidR="00262188" w:rsidRPr="00B568F3">
        <w:rPr>
          <w:rFonts w:ascii="Arial" w:eastAsia="Calibri" w:hAnsi="Arial" w:cs="Arial"/>
          <w:sz w:val="24"/>
          <w:szCs w:val="24"/>
        </w:rPr>
        <w:t xml:space="preserve"> to </w:t>
      </w:r>
      <w:r w:rsidRPr="00B568F3">
        <w:rPr>
          <w:rFonts w:ascii="Arial" w:eastAsia="Calibri" w:hAnsi="Arial" w:cs="Arial"/>
          <w:sz w:val="24"/>
          <w:szCs w:val="24"/>
        </w:rPr>
        <w:t>2024</w:t>
      </w:r>
      <w:r w:rsidR="00C82FCF" w:rsidRPr="00B568F3">
        <w:rPr>
          <w:rFonts w:ascii="Arial" w:eastAsia="Calibri" w:hAnsi="Arial" w:cs="Arial"/>
          <w:sz w:val="24"/>
          <w:szCs w:val="24"/>
        </w:rPr>
        <w:t>,</w:t>
      </w:r>
      <w:r w:rsidRPr="00B568F3">
        <w:rPr>
          <w:rFonts w:ascii="Arial" w:eastAsia="Calibri" w:hAnsi="Arial" w:cs="Arial"/>
          <w:sz w:val="24"/>
          <w:szCs w:val="24"/>
        </w:rPr>
        <w:t xml:space="preserve"> there</w:t>
      </w:r>
      <w:r w:rsidR="00C82FCF" w:rsidRPr="00B568F3">
        <w:rPr>
          <w:rFonts w:ascii="Arial" w:eastAsia="Calibri" w:hAnsi="Arial" w:cs="Arial"/>
          <w:sz w:val="24"/>
          <w:szCs w:val="24"/>
        </w:rPr>
        <w:t>’s</w:t>
      </w:r>
      <w:r w:rsidRPr="00B568F3" w:rsidDel="00C82FCF">
        <w:rPr>
          <w:rFonts w:ascii="Arial" w:eastAsia="Calibri" w:hAnsi="Arial" w:cs="Arial"/>
          <w:sz w:val="24"/>
          <w:szCs w:val="24"/>
        </w:rPr>
        <w:t xml:space="preserve"> </w:t>
      </w:r>
      <w:r w:rsidRPr="00B568F3">
        <w:rPr>
          <w:rFonts w:ascii="Arial" w:eastAsia="Calibri" w:hAnsi="Arial" w:cs="Arial"/>
          <w:sz w:val="24"/>
          <w:szCs w:val="24"/>
        </w:rPr>
        <w:t xml:space="preserve">a consistent level of learners reported as being involved in the social services practitioner award as a </w:t>
      </w:r>
      <w:r w:rsidR="00A22055" w:rsidRPr="00B568F3">
        <w:rPr>
          <w:rFonts w:ascii="Arial" w:eastAsia="Calibri" w:hAnsi="Arial" w:cs="Arial"/>
          <w:sz w:val="24"/>
          <w:szCs w:val="24"/>
        </w:rPr>
        <w:t>way</w:t>
      </w:r>
      <w:r w:rsidRPr="00B568F3">
        <w:rPr>
          <w:rFonts w:ascii="Arial" w:eastAsia="Calibri" w:hAnsi="Arial" w:cs="Arial"/>
          <w:sz w:val="24"/>
          <w:szCs w:val="24"/>
        </w:rPr>
        <w:t xml:space="preserve"> of </w:t>
      </w:r>
      <w:r w:rsidR="008C4FD2" w:rsidRPr="00B568F3">
        <w:rPr>
          <w:rFonts w:ascii="Arial" w:eastAsia="Calibri" w:hAnsi="Arial" w:cs="Arial"/>
          <w:sz w:val="24"/>
          <w:szCs w:val="24"/>
        </w:rPr>
        <w:t>increas</w:t>
      </w:r>
      <w:r w:rsidR="00C86CDA" w:rsidRPr="00B568F3">
        <w:rPr>
          <w:rFonts w:ascii="Arial" w:eastAsia="Calibri" w:hAnsi="Arial" w:cs="Arial"/>
          <w:sz w:val="24"/>
          <w:szCs w:val="24"/>
        </w:rPr>
        <w:t>ing</w:t>
      </w:r>
      <w:r w:rsidRPr="00B568F3">
        <w:rPr>
          <w:rFonts w:ascii="Arial" w:eastAsia="Calibri" w:hAnsi="Arial" w:cs="Arial"/>
          <w:sz w:val="24"/>
          <w:szCs w:val="24"/>
        </w:rPr>
        <w:t xml:space="preserve"> access to the social work degree</w:t>
      </w:r>
      <w:r w:rsidR="7439B5CB" w:rsidRPr="00B568F3">
        <w:rPr>
          <w:rFonts w:ascii="Arial" w:eastAsia="Calibri" w:hAnsi="Arial" w:cs="Arial"/>
          <w:sz w:val="24"/>
          <w:szCs w:val="24"/>
        </w:rPr>
        <w:t xml:space="preserve"> </w:t>
      </w:r>
      <w:r w:rsidRPr="00B568F3">
        <w:rPr>
          <w:rFonts w:ascii="Arial" w:eastAsia="Calibri" w:hAnsi="Arial" w:cs="Arial"/>
          <w:sz w:val="24"/>
          <w:szCs w:val="24"/>
        </w:rPr>
        <w:t xml:space="preserve">(166 in </w:t>
      </w:r>
      <w:r w:rsidR="6231A331" w:rsidRPr="00B568F3">
        <w:rPr>
          <w:rFonts w:ascii="Arial" w:eastAsia="Calibri" w:hAnsi="Arial" w:cs="Arial"/>
          <w:sz w:val="24"/>
          <w:szCs w:val="24"/>
        </w:rPr>
        <w:t>20</w:t>
      </w:r>
      <w:r w:rsidRPr="00B568F3">
        <w:rPr>
          <w:rFonts w:ascii="Arial" w:eastAsia="Calibri" w:hAnsi="Arial" w:cs="Arial"/>
          <w:sz w:val="24"/>
          <w:szCs w:val="24"/>
        </w:rPr>
        <w:t>23</w:t>
      </w:r>
      <w:r w:rsidR="00B4474A" w:rsidRPr="00B568F3">
        <w:rPr>
          <w:rFonts w:ascii="Arial" w:eastAsia="Calibri" w:hAnsi="Arial" w:cs="Arial"/>
          <w:sz w:val="24"/>
          <w:szCs w:val="24"/>
        </w:rPr>
        <w:t xml:space="preserve"> to 20</w:t>
      </w:r>
      <w:r w:rsidRPr="00B568F3">
        <w:rPr>
          <w:rFonts w:ascii="Arial" w:eastAsia="Calibri" w:hAnsi="Arial" w:cs="Arial"/>
          <w:sz w:val="24"/>
          <w:szCs w:val="24"/>
        </w:rPr>
        <w:t>24</w:t>
      </w:r>
      <w:r w:rsidR="00C82FCF" w:rsidRPr="00B568F3">
        <w:rPr>
          <w:rFonts w:ascii="Arial" w:eastAsia="Calibri" w:hAnsi="Arial" w:cs="Arial"/>
          <w:sz w:val="24"/>
          <w:szCs w:val="24"/>
        </w:rPr>
        <w:t>,</w:t>
      </w:r>
      <w:r w:rsidRPr="00B568F3">
        <w:rPr>
          <w:rFonts w:ascii="Arial" w:eastAsia="Calibri" w:hAnsi="Arial" w:cs="Arial"/>
          <w:sz w:val="24"/>
          <w:szCs w:val="24"/>
        </w:rPr>
        <w:t xml:space="preserve"> compared to 169 in </w:t>
      </w:r>
      <w:r w:rsidR="5AB4690F" w:rsidRPr="00B568F3">
        <w:rPr>
          <w:rFonts w:ascii="Arial" w:eastAsia="Calibri" w:hAnsi="Arial" w:cs="Arial"/>
          <w:sz w:val="24"/>
          <w:szCs w:val="24"/>
        </w:rPr>
        <w:t>20</w:t>
      </w:r>
      <w:r w:rsidRPr="00B568F3">
        <w:rPr>
          <w:rFonts w:ascii="Arial" w:eastAsia="Calibri" w:hAnsi="Arial" w:cs="Arial"/>
          <w:sz w:val="24"/>
          <w:szCs w:val="24"/>
        </w:rPr>
        <w:t>22</w:t>
      </w:r>
      <w:r w:rsidR="00B4474A" w:rsidRPr="00B568F3">
        <w:rPr>
          <w:rFonts w:ascii="Arial" w:eastAsia="Calibri" w:hAnsi="Arial" w:cs="Arial"/>
          <w:sz w:val="24"/>
          <w:szCs w:val="24"/>
        </w:rPr>
        <w:t xml:space="preserve"> to 20</w:t>
      </w:r>
      <w:r w:rsidRPr="00B568F3">
        <w:rPr>
          <w:rFonts w:ascii="Arial" w:eastAsia="Calibri" w:hAnsi="Arial" w:cs="Arial"/>
          <w:sz w:val="24"/>
          <w:szCs w:val="24"/>
        </w:rPr>
        <w:t xml:space="preserve">23). </w:t>
      </w:r>
    </w:p>
    <w:p w14:paraId="6199FCFE" w14:textId="77777777" w:rsidR="009903CF" w:rsidRPr="00B568F3" w:rsidRDefault="009903CF" w:rsidP="009903CF">
      <w:pPr>
        <w:spacing w:after="200" w:line="276" w:lineRule="auto"/>
        <w:ind w:left="567"/>
        <w:contextualSpacing/>
        <w:rPr>
          <w:rFonts w:ascii="Arial" w:eastAsia="Calibri" w:hAnsi="Arial" w:cs="Arial"/>
          <w:bCs/>
          <w:color w:val="FF0000"/>
          <w:sz w:val="24"/>
          <w:szCs w:val="24"/>
        </w:rPr>
      </w:pPr>
    </w:p>
    <w:p w14:paraId="1F02BAF2" w14:textId="34F45CB8" w:rsidR="002D1B1F" w:rsidRPr="00B568F3" w:rsidRDefault="002D1B1F" w:rsidP="00632461">
      <w:pPr>
        <w:numPr>
          <w:ilvl w:val="0"/>
          <w:numId w:val="6"/>
        </w:numPr>
        <w:spacing w:after="200" w:line="276" w:lineRule="auto"/>
        <w:ind w:left="567" w:hanging="425"/>
        <w:contextualSpacing/>
        <w:rPr>
          <w:rFonts w:ascii="Arial" w:eastAsia="Calibri" w:hAnsi="Arial" w:cs="Arial"/>
          <w:color w:val="FF0000"/>
          <w:sz w:val="24"/>
          <w:szCs w:val="24"/>
        </w:rPr>
      </w:pPr>
      <w:r w:rsidRPr="00B568F3">
        <w:rPr>
          <w:rFonts w:ascii="Arial" w:eastAsia="Calibri" w:hAnsi="Arial" w:cs="Arial"/>
          <w:sz w:val="24"/>
          <w:szCs w:val="24"/>
        </w:rPr>
        <w:t xml:space="preserve">Social </w:t>
      </w:r>
      <w:r w:rsidR="6DCFE9F7" w:rsidRPr="00B568F3">
        <w:rPr>
          <w:rFonts w:ascii="Arial" w:eastAsia="Calibri" w:hAnsi="Arial" w:cs="Arial"/>
          <w:sz w:val="24"/>
          <w:szCs w:val="24"/>
        </w:rPr>
        <w:t>c</w:t>
      </w:r>
      <w:r w:rsidRPr="00B568F3">
        <w:rPr>
          <w:rFonts w:ascii="Arial" w:eastAsia="Calibri" w:hAnsi="Arial" w:cs="Arial"/>
          <w:sz w:val="24"/>
          <w:szCs w:val="24"/>
        </w:rPr>
        <w:t xml:space="preserve">are </w:t>
      </w:r>
      <w:r w:rsidR="0E2316F2" w:rsidRPr="00B568F3">
        <w:rPr>
          <w:rFonts w:ascii="Arial" w:eastAsia="Calibri" w:hAnsi="Arial" w:cs="Arial"/>
          <w:sz w:val="24"/>
          <w:szCs w:val="24"/>
        </w:rPr>
        <w:t>a</w:t>
      </w:r>
      <w:r w:rsidRPr="00B568F3">
        <w:rPr>
          <w:rFonts w:ascii="Arial" w:eastAsia="Calibri" w:hAnsi="Arial" w:cs="Arial"/>
          <w:sz w:val="24"/>
          <w:szCs w:val="24"/>
        </w:rPr>
        <w:t xml:space="preserve">pprenticeships are </w:t>
      </w:r>
      <w:r w:rsidR="00C86CDA" w:rsidRPr="00B568F3">
        <w:rPr>
          <w:rFonts w:ascii="Arial" w:eastAsia="Calibri" w:hAnsi="Arial" w:cs="Arial"/>
          <w:sz w:val="24"/>
          <w:szCs w:val="24"/>
        </w:rPr>
        <w:t>used</w:t>
      </w:r>
      <w:r w:rsidRPr="00B568F3">
        <w:rPr>
          <w:rFonts w:ascii="Arial" w:eastAsia="Calibri" w:hAnsi="Arial" w:cs="Arial"/>
          <w:sz w:val="24"/>
          <w:szCs w:val="24"/>
        </w:rPr>
        <w:t xml:space="preserve"> by some regions</w:t>
      </w:r>
      <w:r w:rsidRPr="000C06A7">
        <w:rPr>
          <w:rFonts w:ascii="Arial" w:hAnsi="Arial" w:cs="Arial"/>
        </w:rPr>
        <w:t xml:space="preserve"> </w:t>
      </w:r>
      <w:r w:rsidRPr="00B568F3">
        <w:rPr>
          <w:rFonts w:ascii="Arial" w:eastAsia="Calibri" w:hAnsi="Arial" w:cs="Arial"/>
          <w:sz w:val="24"/>
          <w:szCs w:val="24"/>
        </w:rPr>
        <w:t xml:space="preserve">to </w:t>
      </w:r>
      <w:r w:rsidR="00C86CDA" w:rsidRPr="00B568F3">
        <w:rPr>
          <w:rFonts w:ascii="Arial" w:eastAsia="Calibri" w:hAnsi="Arial" w:cs="Arial"/>
          <w:sz w:val="24"/>
          <w:szCs w:val="24"/>
        </w:rPr>
        <w:t>give</w:t>
      </w:r>
      <w:r w:rsidRPr="00B568F3">
        <w:rPr>
          <w:rFonts w:ascii="Arial" w:eastAsia="Calibri" w:hAnsi="Arial" w:cs="Arial"/>
          <w:sz w:val="24"/>
          <w:szCs w:val="24"/>
        </w:rPr>
        <w:t xml:space="preserve"> opportunities for individuals to start a career in social care. The support through the apprenticeships include</w:t>
      </w:r>
      <w:r w:rsidR="00DB2A55" w:rsidRPr="00B568F3">
        <w:rPr>
          <w:rFonts w:ascii="Arial" w:eastAsia="Calibri" w:hAnsi="Arial" w:cs="Arial"/>
          <w:sz w:val="24"/>
          <w:szCs w:val="24"/>
        </w:rPr>
        <w:t>s an</w:t>
      </w:r>
      <w:r w:rsidRPr="00B568F3">
        <w:rPr>
          <w:rFonts w:ascii="Arial" w:eastAsia="Calibri" w:hAnsi="Arial" w:cs="Arial"/>
          <w:sz w:val="24"/>
          <w:szCs w:val="24"/>
        </w:rPr>
        <w:t xml:space="preserve"> induction, completion of the AWIF and qualification programmes. The success of apprenticeships </w:t>
      </w:r>
      <w:r w:rsidR="00DB2A55" w:rsidRPr="00B568F3">
        <w:rPr>
          <w:rFonts w:ascii="Arial" w:eastAsia="Calibri" w:hAnsi="Arial" w:cs="Arial"/>
          <w:sz w:val="24"/>
          <w:szCs w:val="24"/>
        </w:rPr>
        <w:t>varies</w:t>
      </w:r>
      <w:r w:rsidR="00C00956" w:rsidRPr="00B568F3">
        <w:rPr>
          <w:rFonts w:ascii="Arial" w:eastAsia="Calibri" w:hAnsi="Arial" w:cs="Arial"/>
          <w:sz w:val="24"/>
          <w:szCs w:val="24"/>
        </w:rPr>
        <w:t>,</w:t>
      </w:r>
      <w:r w:rsidRPr="00B568F3">
        <w:rPr>
          <w:rFonts w:ascii="Arial" w:eastAsia="Calibri" w:hAnsi="Arial" w:cs="Arial"/>
          <w:sz w:val="24"/>
          <w:szCs w:val="24"/>
        </w:rPr>
        <w:t xml:space="preserve"> with some regions reporting that it has</w:t>
      </w:r>
      <w:r w:rsidR="00DB2A55" w:rsidRPr="00B568F3">
        <w:rPr>
          <w:rFonts w:ascii="Arial" w:eastAsia="Calibri" w:hAnsi="Arial" w:cs="Arial"/>
          <w:sz w:val="24"/>
          <w:szCs w:val="24"/>
        </w:rPr>
        <w:t>n’</w:t>
      </w:r>
      <w:r w:rsidR="004C01CC" w:rsidRPr="00B568F3" w:rsidDel="00C00956">
        <w:rPr>
          <w:rFonts w:ascii="Arial" w:eastAsia="Calibri" w:hAnsi="Arial" w:cs="Arial"/>
          <w:sz w:val="24"/>
          <w:szCs w:val="24"/>
        </w:rPr>
        <w:t>t</w:t>
      </w:r>
      <w:r w:rsidRPr="00B568F3" w:rsidDel="00DB2A55">
        <w:rPr>
          <w:rFonts w:ascii="Arial" w:eastAsia="Calibri" w:hAnsi="Arial" w:cs="Arial"/>
          <w:sz w:val="24"/>
          <w:szCs w:val="24"/>
        </w:rPr>
        <w:t xml:space="preserve"> </w:t>
      </w:r>
      <w:r w:rsidRPr="00B568F3">
        <w:rPr>
          <w:rFonts w:ascii="Arial" w:eastAsia="Calibri" w:hAnsi="Arial" w:cs="Arial"/>
          <w:sz w:val="24"/>
          <w:szCs w:val="24"/>
        </w:rPr>
        <w:t xml:space="preserve">worked well in </w:t>
      </w:r>
      <w:r w:rsidR="576178FE" w:rsidRPr="00B568F3">
        <w:rPr>
          <w:rFonts w:ascii="Arial" w:eastAsia="Calibri" w:hAnsi="Arial" w:cs="Arial"/>
          <w:sz w:val="24"/>
          <w:szCs w:val="24"/>
        </w:rPr>
        <w:t>20</w:t>
      </w:r>
      <w:r w:rsidRPr="00B568F3">
        <w:rPr>
          <w:rFonts w:ascii="Arial" w:eastAsia="Calibri" w:hAnsi="Arial" w:cs="Arial"/>
          <w:sz w:val="24"/>
          <w:szCs w:val="24"/>
        </w:rPr>
        <w:t>23</w:t>
      </w:r>
      <w:r w:rsidR="004C01CC" w:rsidRPr="00B568F3">
        <w:rPr>
          <w:rFonts w:ascii="Arial" w:eastAsia="Calibri" w:hAnsi="Arial" w:cs="Arial"/>
          <w:sz w:val="24"/>
          <w:szCs w:val="24"/>
        </w:rPr>
        <w:t xml:space="preserve"> to 20</w:t>
      </w:r>
      <w:r w:rsidRPr="00B568F3">
        <w:rPr>
          <w:rFonts w:ascii="Arial" w:eastAsia="Calibri" w:hAnsi="Arial" w:cs="Arial"/>
          <w:sz w:val="24"/>
          <w:szCs w:val="24"/>
        </w:rPr>
        <w:t>24</w:t>
      </w:r>
      <w:r w:rsidR="00436F4F" w:rsidRPr="00B568F3">
        <w:rPr>
          <w:rFonts w:ascii="Arial" w:eastAsia="Calibri" w:hAnsi="Arial" w:cs="Arial"/>
          <w:sz w:val="24"/>
          <w:szCs w:val="24"/>
        </w:rPr>
        <w:t>.</w:t>
      </w:r>
      <w:r w:rsidRPr="00B568F3">
        <w:rPr>
          <w:rFonts w:ascii="Arial" w:eastAsia="Calibri" w:hAnsi="Arial" w:cs="Arial"/>
          <w:sz w:val="24"/>
          <w:szCs w:val="24"/>
        </w:rPr>
        <w:t xml:space="preserve"> </w:t>
      </w:r>
      <w:r w:rsidR="00436F4F" w:rsidRPr="00B568F3">
        <w:rPr>
          <w:rFonts w:ascii="Arial" w:eastAsia="Calibri" w:hAnsi="Arial" w:cs="Arial"/>
          <w:sz w:val="24"/>
          <w:szCs w:val="24"/>
        </w:rPr>
        <w:t>T</w:t>
      </w:r>
      <w:r w:rsidRPr="00B568F3">
        <w:rPr>
          <w:rFonts w:ascii="Arial" w:eastAsia="Calibri" w:hAnsi="Arial" w:cs="Arial"/>
          <w:sz w:val="24"/>
          <w:szCs w:val="24"/>
        </w:rPr>
        <w:t xml:space="preserve">he </w:t>
      </w:r>
      <w:r w:rsidR="00EF69C2" w:rsidRPr="00B568F3">
        <w:rPr>
          <w:rFonts w:ascii="Arial" w:eastAsia="Calibri" w:hAnsi="Arial" w:cs="Arial"/>
          <w:sz w:val="24"/>
          <w:szCs w:val="24"/>
        </w:rPr>
        <w:t>informal</w:t>
      </w:r>
      <w:r w:rsidRPr="00B568F3">
        <w:rPr>
          <w:rFonts w:ascii="Arial" w:eastAsia="Calibri" w:hAnsi="Arial" w:cs="Arial"/>
          <w:sz w:val="24"/>
          <w:szCs w:val="24"/>
        </w:rPr>
        <w:t xml:space="preserve"> evidence report</w:t>
      </w:r>
      <w:r w:rsidR="00C60D7C" w:rsidRPr="00B568F3">
        <w:rPr>
          <w:rFonts w:ascii="Arial" w:eastAsia="Calibri" w:hAnsi="Arial" w:cs="Arial"/>
          <w:sz w:val="24"/>
          <w:szCs w:val="24"/>
        </w:rPr>
        <w:t>s</w:t>
      </w:r>
      <w:r w:rsidRPr="00B568F3">
        <w:rPr>
          <w:rFonts w:ascii="Arial" w:eastAsia="Calibri" w:hAnsi="Arial" w:cs="Arial"/>
          <w:sz w:val="24"/>
          <w:szCs w:val="24"/>
        </w:rPr>
        <w:t xml:space="preserve"> </w:t>
      </w:r>
      <w:r w:rsidR="008446B8" w:rsidRPr="00B568F3">
        <w:rPr>
          <w:rFonts w:ascii="Arial" w:eastAsia="Calibri" w:hAnsi="Arial" w:cs="Arial"/>
          <w:sz w:val="24"/>
          <w:szCs w:val="24"/>
        </w:rPr>
        <w:t xml:space="preserve">that </w:t>
      </w:r>
      <w:r w:rsidRPr="00B568F3">
        <w:rPr>
          <w:rFonts w:ascii="Arial" w:eastAsia="Calibri" w:hAnsi="Arial" w:cs="Arial"/>
          <w:sz w:val="24"/>
          <w:szCs w:val="24"/>
        </w:rPr>
        <w:t xml:space="preserve">the main challenges </w:t>
      </w:r>
      <w:r w:rsidR="008446B8" w:rsidRPr="00B568F3">
        <w:rPr>
          <w:rFonts w:ascii="Arial" w:eastAsia="Calibri" w:hAnsi="Arial" w:cs="Arial"/>
          <w:sz w:val="24"/>
          <w:szCs w:val="24"/>
        </w:rPr>
        <w:t>are</w:t>
      </w:r>
      <w:r w:rsidRPr="00B568F3">
        <w:rPr>
          <w:rFonts w:ascii="Arial" w:eastAsia="Calibri" w:hAnsi="Arial" w:cs="Arial"/>
          <w:sz w:val="24"/>
          <w:szCs w:val="24"/>
        </w:rPr>
        <w:t>:</w:t>
      </w:r>
    </w:p>
    <w:p w14:paraId="46CA8E09" w14:textId="5365C759" w:rsidR="002D1B1F" w:rsidRPr="000C06A7" w:rsidRDefault="00750AEC" w:rsidP="00632461">
      <w:pPr>
        <w:numPr>
          <w:ilvl w:val="1"/>
          <w:numId w:val="6"/>
        </w:numPr>
        <w:spacing w:after="200" w:line="276" w:lineRule="auto"/>
        <w:ind w:left="1560" w:hanging="459"/>
        <w:contextualSpacing/>
        <w:rPr>
          <w:rFonts w:ascii="Arial" w:eastAsia="Calibri" w:hAnsi="Arial" w:cs="Arial"/>
          <w:sz w:val="24"/>
          <w:szCs w:val="24"/>
        </w:rPr>
      </w:pPr>
      <w:r w:rsidRPr="000C06A7">
        <w:rPr>
          <w:rFonts w:ascii="Arial" w:eastAsia="Calibri" w:hAnsi="Arial" w:cs="Arial"/>
          <w:sz w:val="24"/>
          <w:szCs w:val="24"/>
        </w:rPr>
        <w:t>s</w:t>
      </w:r>
      <w:r w:rsidR="00432C9F" w:rsidRPr="000C06A7">
        <w:rPr>
          <w:rFonts w:ascii="Arial" w:eastAsia="Calibri" w:hAnsi="Arial" w:cs="Arial"/>
          <w:sz w:val="24"/>
          <w:szCs w:val="24"/>
        </w:rPr>
        <w:t>ome ap</w:t>
      </w:r>
      <w:r w:rsidRPr="000C06A7">
        <w:rPr>
          <w:rFonts w:ascii="Arial" w:eastAsia="Calibri" w:hAnsi="Arial" w:cs="Arial"/>
          <w:sz w:val="24"/>
          <w:szCs w:val="24"/>
        </w:rPr>
        <w:t xml:space="preserve">prentices struggle with the personal care </w:t>
      </w:r>
      <w:r w:rsidR="00BF6F9E" w:rsidRPr="000C06A7">
        <w:rPr>
          <w:rFonts w:ascii="Arial" w:eastAsia="Calibri" w:hAnsi="Arial" w:cs="Arial"/>
          <w:sz w:val="24"/>
          <w:szCs w:val="24"/>
        </w:rPr>
        <w:t xml:space="preserve">element of the support </w:t>
      </w:r>
      <w:r w:rsidR="00106AF3" w:rsidRPr="000C06A7">
        <w:rPr>
          <w:rFonts w:ascii="Arial" w:eastAsia="Calibri" w:hAnsi="Arial" w:cs="Arial"/>
          <w:sz w:val="24"/>
          <w:szCs w:val="24"/>
        </w:rPr>
        <w:t>they</w:t>
      </w:r>
      <w:r w:rsidR="00E03AB1" w:rsidRPr="000C06A7">
        <w:rPr>
          <w:rFonts w:ascii="Arial" w:eastAsia="Calibri" w:hAnsi="Arial" w:cs="Arial"/>
          <w:sz w:val="24"/>
          <w:szCs w:val="24"/>
        </w:rPr>
        <w:t>’re</w:t>
      </w:r>
      <w:r w:rsidR="00106AF3" w:rsidRPr="000C06A7" w:rsidDel="00E03AB1">
        <w:rPr>
          <w:rFonts w:ascii="Arial" w:eastAsia="Calibri" w:hAnsi="Arial" w:cs="Arial"/>
          <w:sz w:val="24"/>
          <w:szCs w:val="24"/>
        </w:rPr>
        <w:t xml:space="preserve"> </w:t>
      </w:r>
      <w:r w:rsidR="00BF6F9E" w:rsidRPr="000C06A7">
        <w:rPr>
          <w:rFonts w:ascii="Arial" w:eastAsia="Calibri" w:hAnsi="Arial" w:cs="Arial"/>
          <w:sz w:val="24"/>
          <w:szCs w:val="24"/>
        </w:rPr>
        <w:t>expected</w:t>
      </w:r>
      <w:r w:rsidR="00A1446C" w:rsidRPr="000C06A7">
        <w:rPr>
          <w:rFonts w:ascii="Arial" w:eastAsia="Calibri" w:hAnsi="Arial" w:cs="Arial"/>
          <w:sz w:val="24"/>
          <w:szCs w:val="24"/>
        </w:rPr>
        <w:t xml:space="preserve"> </w:t>
      </w:r>
      <w:r w:rsidR="00106AF3" w:rsidRPr="000C06A7">
        <w:rPr>
          <w:rFonts w:ascii="Arial" w:eastAsia="Calibri" w:hAnsi="Arial" w:cs="Arial"/>
          <w:sz w:val="24"/>
          <w:szCs w:val="24"/>
        </w:rPr>
        <w:t>to give</w:t>
      </w:r>
      <w:r w:rsidR="00BF21C2" w:rsidRPr="000C06A7">
        <w:rPr>
          <w:rFonts w:ascii="Arial" w:eastAsia="Calibri" w:hAnsi="Arial" w:cs="Arial"/>
          <w:sz w:val="24"/>
          <w:szCs w:val="24"/>
        </w:rPr>
        <w:t xml:space="preserve"> </w:t>
      </w:r>
      <w:r w:rsidR="003B052C" w:rsidRPr="000C06A7">
        <w:rPr>
          <w:rFonts w:ascii="Arial" w:eastAsia="Calibri" w:hAnsi="Arial" w:cs="Arial"/>
          <w:sz w:val="24"/>
          <w:szCs w:val="24"/>
        </w:rPr>
        <w:t>when supporting older people</w:t>
      </w:r>
      <w:r w:rsidR="00C00956" w:rsidRPr="000C06A7">
        <w:rPr>
          <w:rFonts w:ascii="Arial" w:eastAsia="Calibri" w:hAnsi="Arial" w:cs="Arial"/>
          <w:sz w:val="24"/>
          <w:szCs w:val="24"/>
        </w:rPr>
        <w:t>,</w:t>
      </w:r>
      <w:r w:rsidR="003B052C" w:rsidRPr="000C06A7">
        <w:rPr>
          <w:rFonts w:ascii="Arial" w:eastAsia="Calibri" w:hAnsi="Arial" w:cs="Arial"/>
          <w:sz w:val="24"/>
          <w:szCs w:val="24"/>
        </w:rPr>
        <w:t xml:space="preserve"> </w:t>
      </w:r>
      <w:r w:rsidR="00BF21C2" w:rsidRPr="000C06A7">
        <w:rPr>
          <w:rFonts w:ascii="Arial" w:eastAsia="Calibri" w:hAnsi="Arial" w:cs="Arial"/>
          <w:sz w:val="24"/>
          <w:szCs w:val="24"/>
        </w:rPr>
        <w:t>and this has been raised as a concern among younger apprentic</w:t>
      </w:r>
      <w:r w:rsidR="003B052C" w:rsidRPr="000C06A7">
        <w:rPr>
          <w:rFonts w:ascii="Arial" w:eastAsia="Calibri" w:hAnsi="Arial" w:cs="Arial"/>
          <w:sz w:val="24"/>
          <w:szCs w:val="24"/>
        </w:rPr>
        <w:t xml:space="preserve">es in particular. </w:t>
      </w:r>
      <w:r w:rsidR="00055E91" w:rsidRPr="000C06A7">
        <w:rPr>
          <w:rFonts w:ascii="Arial" w:eastAsia="Calibri" w:hAnsi="Arial" w:cs="Arial"/>
          <w:sz w:val="24"/>
          <w:szCs w:val="24"/>
        </w:rPr>
        <w:t>This has led to some leaving their apprenticeship completely</w:t>
      </w:r>
    </w:p>
    <w:p w14:paraId="63B7CAFB" w14:textId="029D92DA" w:rsidR="002D1B1F" w:rsidRPr="000C06A7" w:rsidRDefault="00700AB4" w:rsidP="00632461">
      <w:pPr>
        <w:numPr>
          <w:ilvl w:val="1"/>
          <w:numId w:val="6"/>
        </w:numPr>
        <w:spacing w:after="200" w:line="276" w:lineRule="auto"/>
        <w:ind w:left="1560" w:hanging="459"/>
        <w:contextualSpacing/>
        <w:rPr>
          <w:rFonts w:ascii="Arial" w:eastAsia="Calibri" w:hAnsi="Arial" w:cs="Arial"/>
          <w:bCs/>
          <w:sz w:val="24"/>
          <w:szCs w:val="24"/>
        </w:rPr>
      </w:pPr>
      <w:r w:rsidRPr="000C06A7">
        <w:rPr>
          <w:rFonts w:ascii="Arial" w:eastAsia="Calibri" w:hAnsi="Arial" w:cs="Arial"/>
          <w:bCs/>
          <w:sz w:val="24"/>
          <w:szCs w:val="24"/>
        </w:rPr>
        <w:t xml:space="preserve">there’s </w:t>
      </w:r>
      <w:r w:rsidR="002D1B1F" w:rsidRPr="000C06A7">
        <w:rPr>
          <w:rFonts w:ascii="Arial" w:eastAsia="Calibri" w:hAnsi="Arial" w:cs="Arial"/>
          <w:bCs/>
          <w:sz w:val="24"/>
          <w:szCs w:val="24"/>
        </w:rPr>
        <w:t xml:space="preserve">no access to children’s services due to age restrictions </w:t>
      </w:r>
    </w:p>
    <w:p w14:paraId="1CF2E59D" w14:textId="72176FC9" w:rsidR="002D1B1F" w:rsidRPr="000C06A7" w:rsidRDefault="003C3D95" w:rsidP="00632461">
      <w:pPr>
        <w:numPr>
          <w:ilvl w:val="1"/>
          <w:numId w:val="6"/>
        </w:numPr>
        <w:spacing w:after="200" w:line="276" w:lineRule="auto"/>
        <w:ind w:left="1560" w:hanging="459"/>
        <w:contextualSpacing/>
        <w:rPr>
          <w:rFonts w:ascii="Arial" w:eastAsia="Calibri" w:hAnsi="Arial" w:cs="Arial"/>
          <w:bCs/>
          <w:sz w:val="24"/>
          <w:szCs w:val="24"/>
        </w:rPr>
      </w:pPr>
      <w:r w:rsidRPr="000C06A7">
        <w:rPr>
          <w:rFonts w:ascii="Arial" w:eastAsia="Calibri" w:hAnsi="Arial" w:cs="Arial"/>
          <w:bCs/>
          <w:sz w:val="24"/>
          <w:szCs w:val="24"/>
        </w:rPr>
        <w:t xml:space="preserve">there’s </w:t>
      </w:r>
      <w:r w:rsidR="002D1B1F" w:rsidRPr="000C06A7">
        <w:rPr>
          <w:rFonts w:ascii="Arial" w:eastAsia="Calibri" w:hAnsi="Arial" w:cs="Arial"/>
          <w:bCs/>
          <w:sz w:val="24"/>
          <w:szCs w:val="24"/>
        </w:rPr>
        <w:t xml:space="preserve">limited support from managers </w:t>
      </w:r>
      <w:r w:rsidR="0052005F" w:rsidRPr="000C06A7">
        <w:rPr>
          <w:rFonts w:ascii="Arial" w:eastAsia="Calibri" w:hAnsi="Arial" w:cs="Arial"/>
          <w:bCs/>
          <w:sz w:val="24"/>
          <w:szCs w:val="24"/>
        </w:rPr>
        <w:t>because of</w:t>
      </w:r>
      <w:r w:rsidR="002D1B1F" w:rsidRPr="000C06A7">
        <w:rPr>
          <w:rFonts w:ascii="Arial" w:eastAsia="Calibri" w:hAnsi="Arial" w:cs="Arial"/>
          <w:bCs/>
          <w:sz w:val="24"/>
          <w:szCs w:val="24"/>
        </w:rPr>
        <w:t xml:space="preserve"> recruitment and retention challenges.</w:t>
      </w:r>
    </w:p>
    <w:p w14:paraId="55503BB9" w14:textId="77777777" w:rsidR="008C351F" w:rsidRPr="00B568F3" w:rsidRDefault="008C351F" w:rsidP="002D1B1F">
      <w:pPr>
        <w:spacing w:after="200" w:line="276" w:lineRule="auto"/>
        <w:contextualSpacing/>
        <w:rPr>
          <w:rFonts w:ascii="Arial" w:eastAsia="Calibri" w:hAnsi="Arial" w:cs="Arial"/>
          <w:bCs/>
          <w:sz w:val="24"/>
          <w:szCs w:val="24"/>
          <w:u w:val="single"/>
        </w:rPr>
      </w:pPr>
    </w:p>
    <w:p w14:paraId="4269DE37" w14:textId="2D273CB2" w:rsidR="002D1B1F" w:rsidRPr="00B568F3" w:rsidRDefault="002D1B1F" w:rsidP="000C06A7">
      <w:pPr>
        <w:pStyle w:val="Heading3"/>
      </w:pPr>
      <w:r w:rsidRPr="00B568F3">
        <w:t>Challenges</w:t>
      </w:r>
    </w:p>
    <w:p w14:paraId="727ECAC8" w14:textId="77777777" w:rsidR="002D1B1F" w:rsidRPr="00B568F3" w:rsidRDefault="002D1B1F" w:rsidP="002D1B1F">
      <w:pPr>
        <w:spacing w:after="200" w:line="276" w:lineRule="auto"/>
        <w:contextualSpacing/>
        <w:rPr>
          <w:rFonts w:ascii="Arial" w:eastAsia="Calibri" w:hAnsi="Arial" w:cs="Arial"/>
          <w:bCs/>
          <w:color w:val="FF0000"/>
          <w:sz w:val="24"/>
          <w:szCs w:val="24"/>
        </w:rPr>
      </w:pPr>
    </w:p>
    <w:p w14:paraId="05363C97" w14:textId="49F8C48E" w:rsidR="002D1B1F" w:rsidRPr="000C06A7"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0C06A7">
        <w:rPr>
          <w:rFonts w:ascii="Arial" w:eastAsia="Calibri" w:hAnsi="Arial" w:cs="Arial"/>
          <w:bCs/>
          <w:sz w:val="24"/>
          <w:szCs w:val="24"/>
        </w:rPr>
        <w:t xml:space="preserve">Recruitment and retention and </w:t>
      </w:r>
      <w:r w:rsidR="00C22AB8" w:rsidRPr="000C06A7">
        <w:rPr>
          <w:rFonts w:ascii="Arial" w:eastAsia="Calibri" w:hAnsi="Arial" w:cs="Arial"/>
          <w:bCs/>
          <w:sz w:val="24"/>
          <w:szCs w:val="24"/>
        </w:rPr>
        <w:t xml:space="preserve">not </w:t>
      </w:r>
      <w:r w:rsidR="00B2041E" w:rsidRPr="000C06A7">
        <w:rPr>
          <w:rFonts w:ascii="Arial" w:eastAsia="Calibri" w:hAnsi="Arial" w:cs="Arial"/>
          <w:bCs/>
          <w:sz w:val="24"/>
          <w:szCs w:val="24"/>
        </w:rPr>
        <w:t>being able</w:t>
      </w:r>
      <w:r w:rsidRPr="000C06A7">
        <w:rPr>
          <w:rFonts w:ascii="Arial" w:eastAsia="Calibri" w:hAnsi="Arial" w:cs="Arial"/>
          <w:bCs/>
          <w:sz w:val="24"/>
          <w:szCs w:val="24"/>
        </w:rPr>
        <w:t xml:space="preserve"> to release staff due </w:t>
      </w:r>
      <w:r w:rsidR="0078710C" w:rsidRPr="000C06A7">
        <w:rPr>
          <w:rFonts w:ascii="Arial" w:eastAsia="Calibri" w:hAnsi="Arial" w:cs="Arial"/>
          <w:bCs/>
          <w:sz w:val="24"/>
          <w:szCs w:val="24"/>
        </w:rPr>
        <w:t xml:space="preserve">to </w:t>
      </w:r>
      <w:r w:rsidRPr="000C06A7">
        <w:rPr>
          <w:rFonts w:ascii="Arial" w:eastAsia="Calibri" w:hAnsi="Arial" w:cs="Arial"/>
          <w:bCs/>
          <w:sz w:val="24"/>
          <w:szCs w:val="24"/>
        </w:rPr>
        <w:t xml:space="preserve">service pressures </w:t>
      </w:r>
      <w:r w:rsidR="00E52988" w:rsidRPr="000C06A7">
        <w:rPr>
          <w:rFonts w:ascii="Arial" w:eastAsia="Calibri" w:hAnsi="Arial" w:cs="Arial"/>
          <w:bCs/>
          <w:sz w:val="24"/>
          <w:szCs w:val="24"/>
        </w:rPr>
        <w:t>is still</w:t>
      </w:r>
      <w:r w:rsidRPr="000C06A7">
        <w:rPr>
          <w:rFonts w:ascii="Arial" w:eastAsia="Calibri" w:hAnsi="Arial" w:cs="Arial"/>
          <w:bCs/>
          <w:sz w:val="24"/>
          <w:szCs w:val="24"/>
        </w:rPr>
        <w:t xml:space="preserve"> reported by all regions as having a negative impact on the attendance figures</w:t>
      </w:r>
      <w:r w:rsidRPr="000C06A7">
        <w:rPr>
          <w:rFonts w:ascii="Arial" w:hAnsi="Arial" w:cs="Arial"/>
          <w:sz w:val="24"/>
          <w:szCs w:val="24"/>
        </w:rPr>
        <w:t xml:space="preserve"> for training and development</w:t>
      </w:r>
      <w:r w:rsidR="008F756B" w:rsidRPr="000C06A7" w:rsidDel="00111294">
        <w:rPr>
          <w:rFonts w:ascii="Arial" w:eastAsia="Calibri" w:hAnsi="Arial" w:cs="Arial"/>
          <w:sz w:val="24"/>
          <w:szCs w:val="24"/>
        </w:rPr>
        <w:t>.</w:t>
      </w:r>
      <w:r w:rsidRPr="000C06A7" w:rsidDel="008F756B">
        <w:rPr>
          <w:rFonts w:ascii="Arial" w:eastAsia="Calibri" w:hAnsi="Arial" w:cs="Arial"/>
          <w:sz w:val="24"/>
          <w:szCs w:val="24"/>
        </w:rPr>
        <w:t xml:space="preserve"> </w:t>
      </w:r>
      <w:r w:rsidR="00C3209E" w:rsidRPr="000C06A7">
        <w:rPr>
          <w:rFonts w:ascii="Arial" w:eastAsia="Calibri" w:hAnsi="Arial" w:cs="Arial"/>
          <w:bCs/>
          <w:sz w:val="24"/>
          <w:szCs w:val="24"/>
        </w:rPr>
        <w:t>Informally</w:t>
      </w:r>
      <w:r w:rsidR="00E86AAE" w:rsidRPr="000C06A7">
        <w:rPr>
          <w:rFonts w:ascii="Arial" w:eastAsia="Calibri" w:hAnsi="Arial" w:cs="Arial"/>
          <w:bCs/>
          <w:sz w:val="24"/>
          <w:szCs w:val="24"/>
        </w:rPr>
        <w:t>,</w:t>
      </w:r>
      <w:r w:rsidRPr="000C06A7">
        <w:rPr>
          <w:rFonts w:ascii="Arial" w:eastAsia="Calibri" w:hAnsi="Arial" w:cs="Arial"/>
          <w:bCs/>
          <w:sz w:val="24"/>
          <w:szCs w:val="24"/>
        </w:rPr>
        <w:t xml:space="preserve"> attendance </w:t>
      </w:r>
      <w:r w:rsidR="009F099C" w:rsidRPr="000C06A7">
        <w:rPr>
          <w:rFonts w:ascii="Arial" w:eastAsia="Calibri" w:hAnsi="Arial" w:cs="Arial"/>
          <w:bCs/>
          <w:sz w:val="24"/>
          <w:szCs w:val="24"/>
        </w:rPr>
        <w:t xml:space="preserve">at </w:t>
      </w:r>
      <w:r w:rsidRPr="000C06A7">
        <w:rPr>
          <w:rFonts w:ascii="Arial" w:eastAsia="Calibri" w:hAnsi="Arial" w:cs="Arial"/>
          <w:bCs/>
          <w:sz w:val="24"/>
          <w:szCs w:val="24"/>
        </w:rPr>
        <w:t>virtual training seems to be better than in-person training.</w:t>
      </w:r>
    </w:p>
    <w:p w14:paraId="158CC02C" w14:textId="77777777" w:rsidR="006866D8" w:rsidRPr="000C06A7" w:rsidRDefault="006866D8" w:rsidP="00D97389">
      <w:pPr>
        <w:spacing w:after="200" w:line="276" w:lineRule="auto"/>
        <w:ind w:left="567"/>
        <w:contextualSpacing/>
        <w:rPr>
          <w:rFonts w:ascii="Arial" w:eastAsia="Calibri" w:hAnsi="Arial" w:cs="Arial"/>
          <w:bCs/>
          <w:sz w:val="24"/>
          <w:szCs w:val="24"/>
        </w:rPr>
      </w:pPr>
    </w:p>
    <w:p w14:paraId="0CBF2FEB" w14:textId="14B370B9" w:rsidR="002D1B1F" w:rsidRPr="00B568F3" w:rsidRDefault="00111294" w:rsidP="00632461">
      <w:pPr>
        <w:numPr>
          <w:ilvl w:val="0"/>
          <w:numId w:val="6"/>
        </w:numPr>
        <w:spacing w:after="200" w:line="276" w:lineRule="auto"/>
        <w:ind w:left="567" w:hanging="425"/>
        <w:contextualSpacing/>
        <w:rPr>
          <w:rFonts w:ascii="Arial" w:eastAsia="Calibri" w:hAnsi="Arial" w:cs="Arial"/>
          <w:bCs/>
          <w:sz w:val="24"/>
          <w:szCs w:val="24"/>
        </w:rPr>
      </w:pPr>
      <w:r w:rsidRPr="00B568F3">
        <w:rPr>
          <w:rFonts w:ascii="Arial" w:eastAsia="Calibri" w:hAnsi="Arial" w:cs="Arial"/>
          <w:bCs/>
          <w:sz w:val="24"/>
          <w:szCs w:val="24"/>
        </w:rPr>
        <w:t>There are s</w:t>
      </w:r>
      <w:r w:rsidR="002D1B1F" w:rsidRPr="00B568F3">
        <w:rPr>
          <w:rFonts w:ascii="Arial" w:eastAsia="Calibri" w:hAnsi="Arial" w:cs="Arial"/>
          <w:bCs/>
          <w:sz w:val="24"/>
          <w:szCs w:val="24"/>
        </w:rPr>
        <w:t>ystems in place to encourage full attendance on training courses</w:t>
      </w:r>
      <w:r w:rsidR="0045369E" w:rsidRPr="00B568F3">
        <w:rPr>
          <w:rFonts w:ascii="Arial" w:eastAsia="Calibri" w:hAnsi="Arial" w:cs="Arial"/>
          <w:bCs/>
          <w:sz w:val="24"/>
          <w:szCs w:val="24"/>
        </w:rPr>
        <w:t>,</w:t>
      </w:r>
      <w:r w:rsidR="002D1B1F" w:rsidRPr="00B568F3">
        <w:rPr>
          <w:rFonts w:ascii="Arial" w:eastAsia="Calibri" w:hAnsi="Arial" w:cs="Arial"/>
          <w:bCs/>
          <w:sz w:val="24"/>
          <w:szCs w:val="24"/>
        </w:rPr>
        <w:t xml:space="preserve"> </w:t>
      </w:r>
      <w:r w:rsidR="00650599" w:rsidRPr="00B568F3">
        <w:rPr>
          <w:rFonts w:ascii="Arial" w:eastAsia="Calibri" w:hAnsi="Arial" w:cs="Arial"/>
          <w:bCs/>
          <w:sz w:val="24"/>
          <w:szCs w:val="24"/>
        </w:rPr>
        <w:t>for example,</w:t>
      </w:r>
      <w:r w:rsidR="002D1B1F" w:rsidRPr="00B568F3">
        <w:rPr>
          <w:rFonts w:ascii="Arial" w:eastAsia="Calibri" w:hAnsi="Arial" w:cs="Arial"/>
          <w:bCs/>
          <w:sz w:val="24"/>
          <w:szCs w:val="24"/>
        </w:rPr>
        <w:t xml:space="preserve"> booking systems </w:t>
      </w:r>
      <w:r w:rsidR="00364298" w:rsidRPr="00B568F3">
        <w:rPr>
          <w:rFonts w:ascii="Arial" w:eastAsia="Calibri" w:hAnsi="Arial" w:cs="Arial"/>
          <w:bCs/>
          <w:sz w:val="24"/>
          <w:szCs w:val="24"/>
        </w:rPr>
        <w:t>that allow</w:t>
      </w:r>
      <w:r w:rsidR="002D1B1F" w:rsidRPr="00B568F3">
        <w:rPr>
          <w:rFonts w:ascii="Arial" w:eastAsia="Calibri" w:hAnsi="Arial" w:cs="Arial"/>
          <w:bCs/>
          <w:sz w:val="24"/>
          <w:szCs w:val="24"/>
        </w:rPr>
        <w:t xml:space="preserve"> overbooking and waiting </w:t>
      </w:r>
      <w:r w:rsidR="00B136ED" w:rsidRPr="00B568F3">
        <w:rPr>
          <w:rFonts w:ascii="Arial" w:eastAsia="Calibri" w:hAnsi="Arial" w:cs="Arial"/>
          <w:bCs/>
          <w:sz w:val="24"/>
          <w:szCs w:val="24"/>
        </w:rPr>
        <w:t xml:space="preserve">lists </w:t>
      </w:r>
      <w:r w:rsidR="002D1B1F" w:rsidRPr="00B568F3">
        <w:rPr>
          <w:rFonts w:ascii="Arial" w:eastAsia="Calibri" w:hAnsi="Arial" w:cs="Arial"/>
          <w:bCs/>
          <w:sz w:val="24"/>
          <w:szCs w:val="24"/>
        </w:rPr>
        <w:t>lessen the negative impact</w:t>
      </w:r>
      <w:r w:rsidR="00C22AB8" w:rsidRPr="00B568F3">
        <w:rPr>
          <w:rFonts w:ascii="Arial" w:eastAsia="Calibri" w:hAnsi="Arial" w:cs="Arial"/>
          <w:bCs/>
          <w:sz w:val="24"/>
          <w:szCs w:val="24"/>
        </w:rPr>
        <w:t>.</w:t>
      </w:r>
      <w:r w:rsidR="002D1B1F" w:rsidRPr="00B568F3">
        <w:rPr>
          <w:rFonts w:ascii="Arial" w:eastAsia="Calibri" w:hAnsi="Arial" w:cs="Arial"/>
          <w:bCs/>
          <w:sz w:val="24"/>
          <w:szCs w:val="24"/>
        </w:rPr>
        <w:t xml:space="preserve"> </w:t>
      </w:r>
      <w:r w:rsidR="00C22AB8" w:rsidRPr="00B568F3">
        <w:rPr>
          <w:rFonts w:ascii="Arial" w:eastAsia="Calibri" w:hAnsi="Arial" w:cs="Arial"/>
          <w:bCs/>
          <w:sz w:val="24"/>
          <w:szCs w:val="24"/>
        </w:rPr>
        <w:t>W</w:t>
      </w:r>
      <w:r w:rsidR="002D1B1F" w:rsidRPr="00B568F3">
        <w:rPr>
          <w:rFonts w:ascii="Arial" w:eastAsia="Calibri" w:hAnsi="Arial" w:cs="Arial"/>
          <w:bCs/>
          <w:sz w:val="24"/>
          <w:szCs w:val="24"/>
        </w:rPr>
        <w:t>orkforce development teams</w:t>
      </w:r>
      <w:r w:rsidR="003D03A0" w:rsidRPr="00B568F3">
        <w:rPr>
          <w:rFonts w:ascii="Arial" w:eastAsia="Calibri" w:hAnsi="Arial" w:cs="Arial"/>
          <w:bCs/>
          <w:sz w:val="24"/>
          <w:szCs w:val="24"/>
        </w:rPr>
        <w:t xml:space="preserve"> can also</w:t>
      </w:r>
      <w:r w:rsidR="002D1B1F" w:rsidRPr="00B568F3">
        <w:rPr>
          <w:rFonts w:ascii="Arial" w:eastAsia="Calibri" w:hAnsi="Arial" w:cs="Arial"/>
          <w:bCs/>
          <w:sz w:val="24"/>
          <w:szCs w:val="24"/>
        </w:rPr>
        <w:t xml:space="preserve"> contact managers to </w:t>
      </w:r>
      <w:r w:rsidR="005F67D3" w:rsidRPr="00B568F3">
        <w:rPr>
          <w:rFonts w:ascii="Arial" w:eastAsia="Calibri" w:hAnsi="Arial" w:cs="Arial"/>
          <w:bCs/>
          <w:sz w:val="24"/>
          <w:szCs w:val="24"/>
        </w:rPr>
        <w:t>ask about any no shows</w:t>
      </w:r>
      <w:r w:rsidR="000F1EAD" w:rsidRPr="00B568F3">
        <w:rPr>
          <w:rFonts w:ascii="Arial" w:eastAsia="Calibri" w:hAnsi="Arial" w:cs="Arial"/>
          <w:bCs/>
          <w:sz w:val="24"/>
          <w:szCs w:val="24"/>
        </w:rPr>
        <w:t xml:space="preserve"> </w:t>
      </w:r>
      <w:r w:rsidR="00207F9D" w:rsidRPr="00B568F3">
        <w:rPr>
          <w:rFonts w:ascii="Arial" w:eastAsia="Calibri" w:hAnsi="Arial" w:cs="Arial"/>
          <w:bCs/>
          <w:sz w:val="24"/>
          <w:szCs w:val="24"/>
        </w:rPr>
        <w:t xml:space="preserve">and </w:t>
      </w:r>
      <w:r w:rsidR="000F1EAD" w:rsidRPr="00B568F3">
        <w:rPr>
          <w:rFonts w:ascii="Arial" w:eastAsia="Calibri" w:hAnsi="Arial" w:cs="Arial"/>
          <w:bCs/>
          <w:sz w:val="24"/>
          <w:szCs w:val="24"/>
        </w:rPr>
        <w:t>to make sure they’re aware of this.</w:t>
      </w:r>
      <w:r w:rsidR="002D1B1F" w:rsidRPr="00B568F3">
        <w:rPr>
          <w:rFonts w:ascii="Arial" w:eastAsia="Calibri" w:hAnsi="Arial" w:cs="Arial"/>
          <w:bCs/>
          <w:sz w:val="24"/>
          <w:szCs w:val="24"/>
        </w:rPr>
        <w:t xml:space="preserve"> </w:t>
      </w:r>
    </w:p>
    <w:p w14:paraId="7DA8B006" w14:textId="77777777" w:rsidR="009903CF" w:rsidRPr="00B568F3" w:rsidRDefault="009903CF" w:rsidP="009903CF">
      <w:pPr>
        <w:spacing w:after="200" w:line="276" w:lineRule="auto"/>
        <w:contextualSpacing/>
        <w:rPr>
          <w:rFonts w:ascii="Arial" w:eastAsia="Calibri" w:hAnsi="Arial" w:cs="Arial"/>
          <w:bCs/>
          <w:sz w:val="24"/>
          <w:szCs w:val="24"/>
        </w:rPr>
      </w:pPr>
    </w:p>
    <w:p w14:paraId="773F9A7F" w14:textId="242AC99F" w:rsidR="008C4950"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Some regions reported that </w:t>
      </w:r>
      <w:r w:rsidR="00207F9D" w:rsidRPr="00B568F3">
        <w:rPr>
          <w:rFonts w:ascii="Arial" w:eastAsia="Calibri" w:hAnsi="Arial" w:cs="Arial"/>
          <w:sz w:val="24"/>
          <w:szCs w:val="24"/>
        </w:rPr>
        <w:t xml:space="preserve">when looking </w:t>
      </w:r>
      <w:r w:rsidRPr="00B568F3">
        <w:rPr>
          <w:rFonts w:ascii="Arial" w:eastAsia="Calibri" w:hAnsi="Arial" w:cs="Arial"/>
          <w:sz w:val="24"/>
          <w:szCs w:val="24"/>
        </w:rPr>
        <w:t xml:space="preserve">forward to the next financial year, they had concerns </w:t>
      </w:r>
      <w:r w:rsidR="00207F9D" w:rsidRPr="00B568F3">
        <w:rPr>
          <w:rFonts w:ascii="Arial" w:eastAsia="Calibri" w:hAnsi="Arial" w:cs="Arial"/>
          <w:sz w:val="24"/>
          <w:szCs w:val="24"/>
        </w:rPr>
        <w:t>about</w:t>
      </w:r>
      <w:r w:rsidRPr="00B568F3">
        <w:rPr>
          <w:rFonts w:ascii="Arial" w:eastAsia="Calibri" w:hAnsi="Arial" w:cs="Arial"/>
          <w:sz w:val="24"/>
          <w:szCs w:val="24"/>
        </w:rPr>
        <w:t xml:space="preserve"> financial cuts in government funding, which will affect the number of learners registered</w:t>
      </w:r>
      <w:r w:rsidR="7C618683" w:rsidRPr="00B568F3">
        <w:rPr>
          <w:rFonts w:ascii="Arial" w:eastAsia="Calibri" w:hAnsi="Arial" w:cs="Arial"/>
          <w:sz w:val="24"/>
          <w:szCs w:val="24"/>
        </w:rPr>
        <w:t xml:space="preserve"> on apprenticeships and vocational qualifications</w:t>
      </w:r>
      <w:r w:rsidRPr="00B568F3">
        <w:rPr>
          <w:rFonts w:ascii="Arial" w:eastAsia="Calibri" w:hAnsi="Arial" w:cs="Arial"/>
          <w:sz w:val="24"/>
          <w:szCs w:val="24"/>
        </w:rPr>
        <w:t>.</w:t>
      </w:r>
      <w:r w:rsidR="009518E0" w:rsidRPr="00B568F3">
        <w:rPr>
          <w:rFonts w:ascii="Arial" w:eastAsia="Calibri" w:hAnsi="Arial" w:cs="Arial"/>
          <w:sz w:val="24"/>
          <w:szCs w:val="24"/>
        </w:rPr>
        <w:t xml:space="preserve"> Funding decisions sit with Welsh Government</w:t>
      </w:r>
      <w:r w:rsidR="00B011F0" w:rsidRPr="00B568F3">
        <w:rPr>
          <w:rFonts w:ascii="Arial" w:eastAsia="Calibri" w:hAnsi="Arial" w:cs="Arial"/>
          <w:sz w:val="24"/>
          <w:szCs w:val="24"/>
        </w:rPr>
        <w:t xml:space="preserve"> and </w:t>
      </w:r>
      <w:r w:rsidR="008C4950" w:rsidRPr="00B568F3">
        <w:rPr>
          <w:rFonts w:ascii="Arial" w:eastAsia="Calibri" w:hAnsi="Arial" w:cs="Arial"/>
          <w:sz w:val="24"/>
          <w:szCs w:val="24"/>
        </w:rPr>
        <w:t>since</w:t>
      </w:r>
      <w:r w:rsidR="008C4950" w:rsidRPr="00B568F3" w:rsidDel="003D03A0">
        <w:rPr>
          <w:rFonts w:ascii="Arial" w:eastAsia="Calibri" w:hAnsi="Arial" w:cs="Arial"/>
          <w:sz w:val="24"/>
          <w:szCs w:val="24"/>
        </w:rPr>
        <w:t xml:space="preserve"> </w:t>
      </w:r>
      <w:r w:rsidR="008C4950" w:rsidRPr="00B568F3">
        <w:rPr>
          <w:rFonts w:ascii="Arial" w:eastAsia="Calibri" w:hAnsi="Arial" w:cs="Arial"/>
          <w:sz w:val="24"/>
          <w:szCs w:val="24"/>
        </w:rPr>
        <w:t>1</w:t>
      </w:r>
      <w:r w:rsidR="008C4950" w:rsidRPr="00B568F3" w:rsidDel="004368F1">
        <w:rPr>
          <w:rFonts w:ascii="Arial" w:eastAsia="Calibri" w:hAnsi="Arial" w:cs="Arial"/>
          <w:sz w:val="24"/>
          <w:szCs w:val="24"/>
        </w:rPr>
        <w:t xml:space="preserve"> </w:t>
      </w:r>
      <w:r w:rsidR="008C4950" w:rsidRPr="00B568F3">
        <w:rPr>
          <w:rFonts w:ascii="Arial" w:eastAsia="Calibri" w:hAnsi="Arial" w:cs="Arial"/>
          <w:sz w:val="24"/>
          <w:szCs w:val="24"/>
        </w:rPr>
        <w:t>August 2024</w:t>
      </w:r>
      <w:r w:rsidR="004368F1" w:rsidRPr="00B568F3">
        <w:rPr>
          <w:rFonts w:ascii="Arial" w:eastAsia="Calibri" w:hAnsi="Arial" w:cs="Arial"/>
          <w:sz w:val="24"/>
          <w:szCs w:val="24"/>
        </w:rPr>
        <w:t>,</w:t>
      </w:r>
      <w:r w:rsidR="008C4950" w:rsidRPr="00B568F3">
        <w:rPr>
          <w:rFonts w:ascii="Arial" w:eastAsia="Calibri" w:hAnsi="Arial" w:cs="Arial"/>
          <w:sz w:val="24"/>
          <w:szCs w:val="24"/>
        </w:rPr>
        <w:t xml:space="preserve"> </w:t>
      </w:r>
      <w:hyperlink r:id="rId27" w:history="1">
        <w:r w:rsidR="008C4950" w:rsidRPr="00B568F3">
          <w:rPr>
            <w:rStyle w:val="Hyperlink"/>
            <w:rFonts w:ascii="Arial" w:eastAsia="Calibri" w:hAnsi="Arial" w:cs="Arial"/>
            <w:sz w:val="24"/>
            <w:szCs w:val="24"/>
          </w:rPr>
          <w:t>Medr</w:t>
        </w:r>
      </w:hyperlink>
      <w:r w:rsidR="008C4950" w:rsidRPr="00B568F3">
        <w:rPr>
          <w:rFonts w:ascii="Arial" w:eastAsia="Calibri" w:hAnsi="Arial" w:cs="Arial"/>
          <w:sz w:val="24"/>
          <w:szCs w:val="24"/>
        </w:rPr>
        <w:t>, Wales’s Commission for Tertiary Education and Research, is the arm’s</w:t>
      </w:r>
      <w:r w:rsidR="00D608F2" w:rsidRPr="00B568F3">
        <w:rPr>
          <w:rFonts w:ascii="Arial" w:eastAsia="Calibri" w:hAnsi="Arial" w:cs="Arial"/>
          <w:sz w:val="24"/>
          <w:szCs w:val="24"/>
        </w:rPr>
        <w:t xml:space="preserve"> </w:t>
      </w:r>
      <w:r w:rsidR="008C4950" w:rsidRPr="00B568F3">
        <w:rPr>
          <w:rFonts w:ascii="Arial" w:eastAsia="Calibri" w:hAnsi="Arial" w:cs="Arial"/>
          <w:sz w:val="24"/>
          <w:szCs w:val="24"/>
        </w:rPr>
        <w:t>length body responsible for funding and regulating tertiary education and research</w:t>
      </w:r>
      <w:r w:rsidR="0029469E" w:rsidRPr="00B568F3">
        <w:rPr>
          <w:rFonts w:ascii="Arial" w:eastAsia="Calibri" w:hAnsi="Arial" w:cs="Arial"/>
          <w:sz w:val="24"/>
          <w:szCs w:val="24"/>
        </w:rPr>
        <w:t>.</w:t>
      </w:r>
      <w:r w:rsidR="003F4CDD" w:rsidRPr="00B568F3">
        <w:rPr>
          <w:rFonts w:ascii="Arial" w:eastAsia="Calibri" w:hAnsi="Arial" w:cs="Arial"/>
          <w:sz w:val="24"/>
          <w:szCs w:val="24"/>
        </w:rPr>
        <w:t xml:space="preserve"> </w:t>
      </w:r>
      <w:r w:rsidR="00B071B2" w:rsidRPr="00B568F3">
        <w:rPr>
          <w:rFonts w:ascii="Arial" w:eastAsia="Calibri" w:hAnsi="Arial" w:cs="Arial"/>
          <w:sz w:val="24"/>
          <w:szCs w:val="24"/>
        </w:rPr>
        <w:t>We</w:t>
      </w:r>
      <w:r w:rsidR="003D03A0" w:rsidRPr="00B568F3">
        <w:rPr>
          <w:rFonts w:ascii="Arial" w:eastAsia="Calibri" w:hAnsi="Arial" w:cs="Arial"/>
          <w:sz w:val="24"/>
          <w:szCs w:val="24"/>
        </w:rPr>
        <w:t xml:space="preserve">’ll </w:t>
      </w:r>
      <w:r w:rsidR="003F4CDD" w:rsidRPr="00B568F3">
        <w:rPr>
          <w:rFonts w:ascii="Arial" w:eastAsia="Calibri" w:hAnsi="Arial" w:cs="Arial"/>
          <w:sz w:val="24"/>
          <w:szCs w:val="24"/>
        </w:rPr>
        <w:t xml:space="preserve">continue </w:t>
      </w:r>
      <w:r w:rsidR="64603D3B" w:rsidRPr="00B568F3">
        <w:rPr>
          <w:rFonts w:ascii="Arial" w:eastAsia="Calibri" w:hAnsi="Arial" w:cs="Arial"/>
          <w:sz w:val="24"/>
          <w:szCs w:val="24"/>
        </w:rPr>
        <w:t>working closely</w:t>
      </w:r>
      <w:r w:rsidR="003F4CDD" w:rsidRPr="00B568F3">
        <w:rPr>
          <w:rFonts w:ascii="Arial" w:eastAsia="Calibri" w:hAnsi="Arial" w:cs="Arial"/>
          <w:sz w:val="24"/>
          <w:szCs w:val="24"/>
        </w:rPr>
        <w:t xml:space="preserve"> with Welsh Government</w:t>
      </w:r>
      <w:r w:rsidR="64603D3B" w:rsidRPr="00B568F3">
        <w:rPr>
          <w:rFonts w:ascii="Arial" w:eastAsia="Calibri" w:hAnsi="Arial" w:cs="Arial"/>
          <w:sz w:val="24"/>
          <w:szCs w:val="24"/>
        </w:rPr>
        <w:t xml:space="preserve"> and wi</w:t>
      </w:r>
      <w:r w:rsidR="49D4222F" w:rsidRPr="00B568F3">
        <w:rPr>
          <w:rFonts w:ascii="Arial" w:eastAsia="Calibri" w:hAnsi="Arial" w:cs="Arial"/>
          <w:sz w:val="24"/>
          <w:szCs w:val="24"/>
        </w:rPr>
        <w:t xml:space="preserve">th </w:t>
      </w:r>
      <w:r w:rsidR="003F4CDD" w:rsidRPr="00B568F3">
        <w:rPr>
          <w:rFonts w:ascii="Arial" w:eastAsia="Calibri" w:hAnsi="Arial" w:cs="Arial"/>
          <w:sz w:val="24"/>
          <w:szCs w:val="24"/>
        </w:rPr>
        <w:t xml:space="preserve">Medr </w:t>
      </w:r>
      <w:r w:rsidR="45FA0022" w:rsidRPr="00B568F3">
        <w:rPr>
          <w:rFonts w:ascii="Arial" w:eastAsia="Calibri" w:hAnsi="Arial" w:cs="Arial"/>
          <w:sz w:val="24"/>
          <w:szCs w:val="24"/>
        </w:rPr>
        <w:t xml:space="preserve">as </w:t>
      </w:r>
      <w:r w:rsidR="003D03A0" w:rsidRPr="00B568F3">
        <w:rPr>
          <w:rFonts w:ascii="Arial" w:eastAsia="Calibri" w:hAnsi="Arial" w:cs="Arial"/>
          <w:sz w:val="24"/>
          <w:szCs w:val="24"/>
        </w:rPr>
        <w:t>it</w:t>
      </w:r>
      <w:r w:rsidR="45FA0022" w:rsidRPr="00B568F3" w:rsidDel="007173BA">
        <w:rPr>
          <w:rFonts w:ascii="Arial" w:eastAsia="Calibri" w:hAnsi="Arial" w:cs="Arial"/>
          <w:sz w:val="24"/>
          <w:szCs w:val="24"/>
        </w:rPr>
        <w:t xml:space="preserve"> </w:t>
      </w:r>
      <w:r w:rsidR="45FA0022" w:rsidRPr="00B568F3">
        <w:rPr>
          <w:rFonts w:ascii="Arial" w:eastAsia="Calibri" w:hAnsi="Arial" w:cs="Arial"/>
          <w:sz w:val="24"/>
          <w:szCs w:val="24"/>
        </w:rPr>
        <w:t>establish</w:t>
      </w:r>
      <w:r w:rsidR="003D03A0" w:rsidRPr="00B568F3">
        <w:rPr>
          <w:rFonts w:ascii="Arial" w:eastAsia="Calibri" w:hAnsi="Arial" w:cs="Arial"/>
          <w:sz w:val="24"/>
          <w:szCs w:val="24"/>
        </w:rPr>
        <w:t>es itself</w:t>
      </w:r>
      <w:r w:rsidR="003F4CDD" w:rsidRPr="00B568F3" w:rsidDel="00DB3211">
        <w:rPr>
          <w:rFonts w:ascii="Arial" w:eastAsia="Calibri" w:hAnsi="Arial" w:cs="Arial"/>
          <w:sz w:val="24"/>
          <w:szCs w:val="24"/>
        </w:rPr>
        <w:t>.</w:t>
      </w:r>
    </w:p>
    <w:p w14:paraId="7B1CC920" w14:textId="77777777" w:rsidR="0029469E" w:rsidRPr="00B568F3" w:rsidRDefault="0029469E" w:rsidP="008E504B">
      <w:pPr>
        <w:spacing w:after="200" w:line="276" w:lineRule="auto"/>
        <w:ind w:left="1440"/>
        <w:contextualSpacing/>
        <w:rPr>
          <w:rFonts w:ascii="Arial" w:eastAsia="Calibri" w:hAnsi="Arial" w:cs="Arial"/>
          <w:bCs/>
          <w:sz w:val="24"/>
          <w:szCs w:val="24"/>
        </w:rPr>
      </w:pPr>
    </w:p>
    <w:p w14:paraId="5464B9DE" w14:textId="7DB4A8E3" w:rsidR="002D1B1F" w:rsidRPr="00B568F3"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B568F3">
        <w:rPr>
          <w:rFonts w:ascii="Arial" w:eastAsia="Calibri" w:hAnsi="Arial" w:cs="Arial"/>
          <w:bCs/>
          <w:sz w:val="24"/>
          <w:szCs w:val="24"/>
        </w:rPr>
        <w:t xml:space="preserve">One region raised the </w:t>
      </w:r>
      <w:r w:rsidR="00F44F6D" w:rsidRPr="00B568F3">
        <w:rPr>
          <w:rFonts w:ascii="Arial" w:eastAsia="Calibri" w:hAnsi="Arial" w:cs="Arial"/>
          <w:bCs/>
          <w:sz w:val="24"/>
          <w:szCs w:val="24"/>
        </w:rPr>
        <w:t>issue</w:t>
      </w:r>
      <w:r w:rsidRPr="00B568F3">
        <w:rPr>
          <w:rFonts w:ascii="Arial" w:eastAsia="Calibri" w:hAnsi="Arial" w:cs="Arial"/>
          <w:bCs/>
          <w:sz w:val="24"/>
          <w:szCs w:val="24"/>
        </w:rPr>
        <w:t xml:space="preserve"> of </w:t>
      </w:r>
      <w:r w:rsidR="003D03A0" w:rsidRPr="00B568F3">
        <w:rPr>
          <w:rFonts w:ascii="Arial" w:eastAsia="Calibri" w:hAnsi="Arial" w:cs="Arial"/>
          <w:bCs/>
          <w:sz w:val="24"/>
          <w:szCs w:val="24"/>
        </w:rPr>
        <w:t xml:space="preserve">some local training providers for Level 2 and Level 3 Core and Practice qualifications having </w:t>
      </w:r>
      <w:r w:rsidRPr="00B568F3">
        <w:rPr>
          <w:rFonts w:ascii="Arial" w:eastAsia="Calibri" w:hAnsi="Arial" w:cs="Arial"/>
          <w:bCs/>
          <w:sz w:val="24"/>
          <w:szCs w:val="24"/>
        </w:rPr>
        <w:t>waiting lists.</w:t>
      </w:r>
      <w:r w:rsidR="00A27A5E" w:rsidRPr="00B568F3">
        <w:rPr>
          <w:rFonts w:ascii="Arial" w:eastAsia="Calibri" w:hAnsi="Arial" w:cs="Arial"/>
          <w:bCs/>
          <w:sz w:val="24"/>
          <w:szCs w:val="24"/>
        </w:rPr>
        <w:t xml:space="preserve"> This is a localised </w:t>
      </w:r>
      <w:r w:rsidR="008A2CA1" w:rsidRPr="00B568F3">
        <w:rPr>
          <w:rFonts w:ascii="Arial" w:eastAsia="Calibri" w:hAnsi="Arial" w:cs="Arial"/>
          <w:bCs/>
          <w:sz w:val="24"/>
          <w:szCs w:val="24"/>
        </w:rPr>
        <w:t>issue,</w:t>
      </w:r>
      <w:r w:rsidR="00A27A5E" w:rsidRPr="00B568F3">
        <w:rPr>
          <w:rFonts w:ascii="Arial" w:eastAsia="Calibri" w:hAnsi="Arial" w:cs="Arial"/>
          <w:bCs/>
          <w:sz w:val="24"/>
          <w:szCs w:val="24"/>
        </w:rPr>
        <w:t xml:space="preserve"> and </w:t>
      </w:r>
      <w:r w:rsidR="0098193A" w:rsidRPr="00B568F3">
        <w:rPr>
          <w:rFonts w:ascii="Arial" w:eastAsia="Calibri" w:hAnsi="Arial" w:cs="Arial"/>
          <w:bCs/>
          <w:sz w:val="24"/>
          <w:szCs w:val="24"/>
        </w:rPr>
        <w:t>our</w:t>
      </w:r>
      <w:r w:rsidR="00A27A5E" w:rsidRPr="00B568F3">
        <w:rPr>
          <w:rFonts w:ascii="Arial" w:eastAsia="Calibri" w:hAnsi="Arial" w:cs="Arial"/>
          <w:bCs/>
          <w:sz w:val="24"/>
          <w:szCs w:val="24"/>
        </w:rPr>
        <w:t xml:space="preserve"> qualifications</w:t>
      </w:r>
      <w:r w:rsidR="00C848DC" w:rsidRPr="00B568F3">
        <w:rPr>
          <w:rFonts w:ascii="Arial" w:eastAsia="Calibri" w:hAnsi="Arial" w:cs="Arial"/>
          <w:bCs/>
          <w:sz w:val="24"/>
          <w:szCs w:val="24"/>
        </w:rPr>
        <w:t xml:space="preserve"> and standards</w:t>
      </w:r>
      <w:r w:rsidR="00A27A5E" w:rsidRPr="00B568F3">
        <w:rPr>
          <w:rFonts w:ascii="Arial" w:eastAsia="Calibri" w:hAnsi="Arial" w:cs="Arial"/>
          <w:bCs/>
          <w:sz w:val="24"/>
          <w:szCs w:val="24"/>
        </w:rPr>
        <w:t xml:space="preserve"> team</w:t>
      </w:r>
      <w:r w:rsidR="00A27A5E" w:rsidRPr="00B568F3" w:rsidDel="0098193A">
        <w:rPr>
          <w:rFonts w:ascii="Arial" w:eastAsia="Calibri" w:hAnsi="Arial" w:cs="Arial"/>
          <w:bCs/>
          <w:sz w:val="24"/>
          <w:szCs w:val="24"/>
        </w:rPr>
        <w:t xml:space="preserve"> </w:t>
      </w:r>
      <w:r w:rsidR="00A27A5E" w:rsidRPr="00B568F3">
        <w:rPr>
          <w:rFonts w:ascii="Arial" w:eastAsia="Calibri" w:hAnsi="Arial" w:cs="Arial"/>
          <w:bCs/>
          <w:sz w:val="24"/>
          <w:szCs w:val="24"/>
        </w:rPr>
        <w:t xml:space="preserve">are aware of the </w:t>
      </w:r>
      <w:r w:rsidR="008C351F" w:rsidRPr="00B568F3">
        <w:rPr>
          <w:rFonts w:ascii="Arial" w:eastAsia="Calibri" w:hAnsi="Arial" w:cs="Arial"/>
          <w:bCs/>
          <w:sz w:val="24"/>
          <w:szCs w:val="24"/>
        </w:rPr>
        <w:t>matter</w:t>
      </w:r>
      <w:r w:rsidR="000E672E" w:rsidRPr="00B568F3">
        <w:rPr>
          <w:rFonts w:ascii="Arial" w:eastAsia="Calibri" w:hAnsi="Arial" w:cs="Arial"/>
          <w:bCs/>
          <w:sz w:val="24"/>
          <w:szCs w:val="24"/>
        </w:rPr>
        <w:t xml:space="preserve">. </w:t>
      </w:r>
    </w:p>
    <w:p w14:paraId="373B6F70" w14:textId="77777777" w:rsidR="002D1B1F" w:rsidRPr="00B568F3" w:rsidRDefault="002D1B1F" w:rsidP="002D1B1F">
      <w:pPr>
        <w:spacing w:after="200" w:line="276" w:lineRule="auto"/>
        <w:contextualSpacing/>
        <w:rPr>
          <w:rFonts w:ascii="Arial" w:eastAsia="Calibri" w:hAnsi="Arial" w:cs="Arial"/>
          <w:bCs/>
          <w:sz w:val="24"/>
          <w:szCs w:val="24"/>
        </w:rPr>
      </w:pPr>
    </w:p>
    <w:p w14:paraId="24DA4F21" w14:textId="3C6C2F5A" w:rsidR="002D1B1F" w:rsidRPr="000C06A7" w:rsidRDefault="002D1B1F" w:rsidP="00B568F3">
      <w:pPr>
        <w:pStyle w:val="Heading2"/>
      </w:pPr>
      <w:bookmarkStart w:id="24" w:name="_Toc179481637"/>
      <w:r w:rsidRPr="000C06A7">
        <w:t>Priority 3:</w:t>
      </w:r>
      <w:r w:rsidR="00972160" w:rsidRPr="00B568F3">
        <w:t xml:space="preserve"> </w:t>
      </w:r>
      <w:r w:rsidRPr="000C06A7">
        <w:t xml:space="preserve">Qualifying and </w:t>
      </w:r>
      <w:r w:rsidR="596BECF1" w:rsidRPr="000C06A7">
        <w:t>post</w:t>
      </w:r>
      <w:r w:rsidRPr="000C06A7">
        <w:t xml:space="preserve"> </w:t>
      </w:r>
      <w:r w:rsidR="27C95528" w:rsidRPr="000C06A7">
        <w:t>q</w:t>
      </w:r>
      <w:r w:rsidRPr="000C06A7">
        <w:t xml:space="preserve">ualifying programmes for </w:t>
      </w:r>
      <w:r w:rsidR="78F878E3" w:rsidRPr="000C06A7">
        <w:t>s</w:t>
      </w:r>
      <w:r w:rsidRPr="000C06A7">
        <w:t xml:space="preserve">ocial </w:t>
      </w:r>
      <w:r w:rsidR="735570FF" w:rsidRPr="000C06A7">
        <w:t>w</w:t>
      </w:r>
      <w:r w:rsidRPr="000C06A7">
        <w:t>ork</w:t>
      </w:r>
      <w:bookmarkEnd w:id="24"/>
    </w:p>
    <w:p w14:paraId="661A5B9C" w14:textId="77777777" w:rsidR="002D1B1F" w:rsidRPr="00B568F3" w:rsidRDefault="002D1B1F" w:rsidP="002D1B1F">
      <w:pPr>
        <w:spacing w:after="0" w:line="240" w:lineRule="auto"/>
        <w:rPr>
          <w:rFonts w:ascii="Arial" w:eastAsia="Calibri" w:hAnsi="Arial" w:cs="Arial"/>
          <w:color w:val="FF0000"/>
          <w:sz w:val="24"/>
          <w:szCs w:val="24"/>
          <w:shd w:val="clear" w:color="auto" w:fill="FFFFFF"/>
        </w:rPr>
      </w:pPr>
    </w:p>
    <w:p w14:paraId="1C395979" w14:textId="3EDCD194" w:rsidR="002D1B1F" w:rsidRPr="00B568F3" w:rsidRDefault="002D1B1F" w:rsidP="002D1B1F">
      <w:pPr>
        <w:spacing w:after="0" w:line="240" w:lineRule="auto"/>
        <w:rPr>
          <w:rFonts w:ascii="Arial" w:eastAsia="Calibri" w:hAnsi="Arial" w:cs="Arial"/>
          <w:sz w:val="24"/>
          <w:szCs w:val="24"/>
          <w:shd w:val="clear" w:color="auto" w:fill="FFFFFF"/>
        </w:rPr>
      </w:pPr>
      <w:r w:rsidRPr="00B568F3">
        <w:rPr>
          <w:rFonts w:ascii="Arial" w:eastAsia="Calibri" w:hAnsi="Arial" w:cs="Arial"/>
          <w:sz w:val="24"/>
          <w:szCs w:val="24"/>
          <w:shd w:val="clear" w:color="auto" w:fill="FFFFFF"/>
        </w:rPr>
        <w:t>The aim is to build confidence in the workforce, and lead and support improvement in social care and the social work profession a</w:t>
      </w:r>
      <w:r w:rsidR="00E212FE" w:rsidRPr="00B568F3">
        <w:rPr>
          <w:rFonts w:ascii="Arial" w:eastAsia="Calibri" w:hAnsi="Arial" w:cs="Arial"/>
          <w:sz w:val="24"/>
          <w:szCs w:val="24"/>
          <w:shd w:val="clear" w:color="auto" w:fill="FFFFFF"/>
        </w:rPr>
        <w:t>s</w:t>
      </w:r>
      <w:r w:rsidRPr="00B568F3">
        <w:rPr>
          <w:rFonts w:ascii="Arial" w:eastAsia="Calibri" w:hAnsi="Arial" w:cs="Arial"/>
          <w:sz w:val="24"/>
          <w:szCs w:val="24"/>
          <w:shd w:val="clear" w:color="auto" w:fill="FFFFFF"/>
        </w:rPr>
        <w:t xml:space="preserve"> a key part of the workforce. This involves support for all qualifying and post qualifying programmes of learning.</w:t>
      </w:r>
    </w:p>
    <w:p w14:paraId="5F2A3CB7" w14:textId="77777777" w:rsidR="002D1B1F" w:rsidRPr="00B568F3" w:rsidRDefault="002D1B1F" w:rsidP="002D1B1F">
      <w:pPr>
        <w:spacing w:after="0" w:line="240" w:lineRule="auto"/>
        <w:rPr>
          <w:rFonts w:ascii="Arial" w:eastAsia="Calibri" w:hAnsi="Arial" w:cs="Arial"/>
          <w:color w:val="FF0000"/>
          <w:sz w:val="24"/>
          <w:szCs w:val="24"/>
          <w:shd w:val="clear" w:color="auto" w:fill="FFFFFF"/>
        </w:rPr>
      </w:pPr>
    </w:p>
    <w:p w14:paraId="72681670" w14:textId="6A5C6253" w:rsidR="002D1B1F" w:rsidRPr="00B568F3" w:rsidRDefault="002D1B1F" w:rsidP="002D1B1F">
      <w:pPr>
        <w:spacing w:after="0" w:line="240" w:lineRule="auto"/>
        <w:rPr>
          <w:rFonts w:ascii="Arial" w:eastAsia="Calibri" w:hAnsi="Arial" w:cs="Arial"/>
          <w:sz w:val="24"/>
          <w:szCs w:val="24"/>
        </w:rPr>
      </w:pPr>
      <w:r w:rsidRPr="00B568F3">
        <w:rPr>
          <w:rFonts w:ascii="Arial" w:eastAsia="Calibri" w:hAnsi="Arial" w:cs="Arial"/>
          <w:sz w:val="24"/>
          <w:szCs w:val="24"/>
        </w:rPr>
        <w:t>SCWWDP in 2023</w:t>
      </w:r>
      <w:r w:rsidR="004618FE" w:rsidRPr="00B568F3">
        <w:rPr>
          <w:rFonts w:ascii="Arial" w:eastAsia="Calibri" w:hAnsi="Arial" w:cs="Arial"/>
          <w:sz w:val="24"/>
          <w:szCs w:val="24"/>
        </w:rPr>
        <w:t xml:space="preserve"> to </w:t>
      </w:r>
      <w:r w:rsidRPr="00B568F3">
        <w:rPr>
          <w:rFonts w:ascii="Arial" w:eastAsia="Calibri" w:hAnsi="Arial" w:cs="Arial"/>
          <w:sz w:val="24"/>
          <w:szCs w:val="24"/>
        </w:rPr>
        <w:t>2024 has contributed the following:</w:t>
      </w:r>
    </w:p>
    <w:p w14:paraId="1E31BE5A" w14:textId="77777777" w:rsidR="002D1B1F" w:rsidRPr="00B568F3" w:rsidRDefault="002D1B1F" w:rsidP="002D1B1F">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9016"/>
      </w:tblGrid>
      <w:tr w:rsidR="002D1B1F" w:rsidRPr="00B568F3" w14:paraId="3B8F921E" w14:textId="77777777" w:rsidTr="00FC716F">
        <w:tc>
          <w:tcPr>
            <w:tcW w:w="9016" w:type="dxa"/>
          </w:tcPr>
          <w:p w14:paraId="75603951" w14:textId="77777777" w:rsidR="002D1B1F" w:rsidRPr="00B568F3" w:rsidRDefault="002D1B1F" w:rsidP="00FC716F">
            <w:pPr>
              <w:rPr>
                <w:rFonts w:ascii="Arial" w:eastAsia="Calibri" w:hAnsi="Arial" w:cs="Arial"/>
                <w:b/>
                <w:bCs/>
                <w:sz w:val="24"/>
                <w:szCs w:val="24"/>
              </w:rPr>
            </w:pPr>
            <w:r w:rsidRPr="00B568F3">
              <w:rPr>
                <w:rFonts w:ascii="Arial" w:eastAsia="Calibri" w:hAnsi="Arial" w:cs="Arial"/>
                <w:b/>
                <w:bCs/>
                <w:sz w:val="24"/>
                <w:szCs w:val="24"/>
              </w:rPr>
              <w:t>Highlight</w:t>
            </w:r>
          </w:p>
          <w:p w14:paraId="0783C23A" w14:textId="77777777" w:rsidR="002D1B1F" w:rsidRPr="00B568F3" w:rsidRDefault="002D1B1F" w:rsidP="00FC716F">
            <w:pPr>
              <w:rPr>
                <w:rFonts w:ascii="Arial" w:eastAsia="Calibri" w:hAnsi="Arial" w:cs="Arial"/>
                <w:sz w:val="24"/>
                <w:szCs w:val="24"/>
              </w:rPr>
            </w:pPr>
          </w:p>
          <w:p w14:paraId="64BEF0D4" w14:textId="102027D5" w:rsidR="002D1B1F" w:rsidRPr="00B568F3" w:rsidRDefault="002D1B1F" w:rsidP="00FC716F">
            <w:pPr>
              <w:rPr>
                <w:rFonts w:ascii="Arial" w:eastAsia="Calibri" w:hAnsi="Arial" w:cs="Arial"/>
                <w:sz w:val="24"/>
                <w:szCs w:val="24"/>
              </w:rPr>
            </w:pPr>
            <w:r w:rsidRPr="00B568F3">
              <w:rPr>
                <w:rFonts w:ascii="Arial" w:eastAsia="Calibri" w:hAnsi="Arial" w:cs="Arial"/>
                <w:sz w:val="24"/>
                <w:szCs w:val="24"/>
              </w:rPr>
              <w:t xml:space="preserve">One region </w:t>
            </w:r>
            <w:r w:rsidR="00F6642A" w:rsidRPr="00B568F3">
              <w:rPr>
                <w:rFonts w:ascii="Arial" w:eastAsia="Calibri" w:hAnsi="Arial" w:cs="Arial"/>
                <w:sz w:val="24"/>
                <w:szCs w:val="24"/>
              </w:rPr>
              <w:t xml:space="preserve">tested </w:t>
            </w:r>
            <w:r w:rsidRPr="00B568F3">
              <w:rPr>
                <w:rFonts w:ascii="Arial" w:eastAsia="Calibri" w:hAnsi="Arial" w:cs="Arial"/>
                <w:sz w:val="24"/>
                <w:szCs w:val="24"/>
              </w:rPr>
              <w:t>a project</w:t>
            </w:r>
            <w:r w:rsidR="00932254" w:rsidRPr="00B568F3">
              <w:rPr>
                <w:rFonts w:ascii="Arial" w:eastAsia="Calibri" w:hAnsi="Arial" w:cs="Arial"/>
                <w:sz w:val="24"/>
                <w:szCs w:val="24"/>
              </w:rPr>
              <w:t xml:space="preserve"> of having an external mentor </w:t>
            </w:r>
            <w:r w:rsidR="00BE6F9C" w:rsidRPr="00B568F3">
              <w:rPr>
                <w:rFonts w:ascii="Arial" w:eastAsia="Calibri" w:hAnsi="Arial" w:cs="Arial"/>
                <w:sz w:val="24"/>
                <w:szCs w:val="24"/>
              </w:rPr>
              <w:t>offer</w:t>
            </w:r>
            <w:r w:rsidR="00932254" w:rsidRPr="00B568F3">
              <w:rPr>
                <w:rFonts w:ascii="Arial" w:eastAsia="Calibri" w:hAnsi="Arial" w:cs="Arial"/>
                <w:sz w:val="24"/>
                <w:szCs w:val="24"/>
              </w:rPr>
              <w:t xml:space="preserve"> </w:t>
            </w:r>
            <w:r w:rsidRPr="00B568F3">
              <w:rPr>
                <w:rFonts w:ascii="Arial" w:eastAsia="Calibri" w:hAnsi="Arial" w:cs="Arial"/>
                <w:sz w:val="24"/>
                <w:szCs w:val="24"/>
              </w:rPr>
              <w:t>support</w:t>
            </w:r>
            <w:r w:rsidR="00BE6F9C" w:rsidRPr="00B568F3">
              <w:rPr>
                <w:rFonts w:ascii="Arial" w:eastAsia="Calibri" w:hAnsi="Arial" w:cs="Arial"/>
                <w:sz w:val="24"/>
                <w:szCs w:val="24"/>
              </w:rPr>
              <w:t xml:space="preserve"> to</w:t>
            </w:r>
            <w:r w:rsidRPr="00B568F3">
              <w:rPr>
                <w:rFonts w:ascii="Arial" w:eastAsia="Calibri" w:hAnsi="Arial" w:cs="Arial"/>
                <w:sz w:val="24"/>
                <w:szCs w:val="24"/>
              </w:rPr>
              <w:t xml:space="preserve"> six </w:t>
            </w:r>
            <w:r w:rsidR="00932254" w:rsidRPr="00B568F3">
              <w:rPr>
                <w:rFonts w:ascii="Arial" w:eastAsia="Calibri" w:hAnsi="Arial" w:cs="Arial"/>
                <w:sz w:val="24"/>
                <w:szCs w:val="24"/>
              </w:rPr>
              <w:t>workers</w:t>
            </w:r>
            <w:r w:rsidR="00BE6F9C" w:rsidRPr="00B568F3">
              <w:rPr>
                <w:rFonts w:ascii="Arial" w:eastAsia="Calibri" w:hAnsi="Arial" w:cs="Arial"/>
                <w:sz w:val="24"/>
                <w:szCs w:val="24"/>
              </w:rPr>
              <w:t>,</w:t>
            </w:r>
            <w:r w:rsidR="00932254" w:rsidRPr="00B568F3">
              <w:rPr>
                <w:rFonts w:ascii="Arial" w:eastAsia="Calibri" w:hAnsi="Arial" w:cs="Arial"/>
                <w:sz w:val="24"/>
                <w:szCs w:val="24"/>
              </w:rPr>
              <w:t xml:space="preserve"> who were </w:t>
            </w:r>
            <w:r w:rsidR="00BE6F9C" w:rsidRPr="00B568F3">
              <w:rPr>
                <w:rFonts w:ascii="Arial" w:eastAsia="Calibri" w:hAnsi="Arial" w:cs="Arial"/>
                <w:sz w:val="24"/>
                <w:szCs w:val="24"/>
              </w:rPr>
              <w:t xml:space="preserve">either </w:t>
            </w:r>
            <w:r w:rsidR="00BF68FE" w:rsidRPr="00B568F3">
              <w:rPr>
                <w:rFonts w:ascii="Arial" w:eastAsia="Calibri" w:hAnsi="Arial" w:cs="Arial"/>
                <w:sz w:val="24"/>
                <w:szCs w:val="24"/>
              </w:rPr>
              <w:t>internation</w:t>
            </w:r>
            <w:r w:rsidR="00E052F5" w:rsidRPr="00B568F3">
              <w:rPr>
                <w:rFonts w:ascii="Arial" w:eastAsia="Calibri" w:hAnsi="Arial" w:cs="Arial"/>
                <w:sz w:val="24"/>
                <w:szCs w:val="24"/>
              </w:rPr>
              <w:t>al</w:t>
            </w:r>
            <w:r w:rsidR="00BE6F9C" w:rsidRPr="00B568F3">
              <w:rPr>
                <w:rFonts w:ascii="Arial" w:eastAsia="Calibri" w:hAnsi="Arial" w:cs="Arial"/>
                <w:sz w:val="24"/>
                <w:szCs w:val="24"/>
              </w:rPr>
              <w:t xml:space="preserve"> or</w:t>
            </w:r>
            <w:r w:rsidR="00BF68FE" w:rsidRPr="00B568F3" w:rsidDel="00850C5F">
              <w:rPr>
                <w:rFonts w:ascii="Arial" w:eastAsia="Calibri" w:hAnsi="Arial" w:cs="Arial"/>
                <w:sz w:val="24"/>
                <w:szCs w:val="24"/>
              </w:rPr>
              <w:t xml:space="preserve"> </w:t>
            </w:r>
            <w:r w:rsidRPr="00B568F3">
              <w:rPr>
                <w:rFonts w:ascii="Arial" w:eastAsia="Calibri" w:hAnsi="Arial" w:cs="Arial"/>
                <w:sz w:val="24"/>
                <w:szCs w:val="24"/>
              </w:rPr>
              <w:t>return</w:t>
            </w:r>
            <w:r w:rsidR="00850C5F" w:rsidRPr="00B568F3">
              <w:rPr>
                <w:rFonts w:ascii="Arial" w:eastAsia="Calibri" w:hAnsi="Arial" w:cs="Arial"/>
                <w:sz w:val="24"/>
                <w:szCs w:val="24"/>
              </w:rPr>
              <w:t>ing</w:t>
            </w:r>
            <w:r w:rsidRPr="00B568F3">
              <w:rPr>
                <w:rFonts w:ascii="Arial" w:eastAsia="Calibri" w:hAnsi="Arial" w:cs="Arial"/>
                <w:sz w:val="24"/>
                <w:szCs w:val="24"/>
              </w:rPr>
              <w:t xml:space="preserve"> to practice</w:t>
            </w:r>
            <w:r w:rsidR="00BE6F9C" w:rsidRPr="00B568F3">
              <w:rPr>
                <w:rFonts w:ascii="Arial" w:eastAsia="Calibri" w:hAnsi="Arial" w:cs="Arial"/>
                <w:sz w:val="24"/>
                <w:szCs w:val="24"/>
              </w:rPr>
              <w:t>. The project</w:t>
            </w:r>
            <w:r w:rsidRPr="00B568F3" w:rsidDel="00BE6F9C">
              <w:rPr>
                <w:rFonts w:ascii="Arial" w:eastAsia="Calibri" w:hAnsi="Arial" w:cs="Arial"/>
                <w:sz w:val="24"/>
                <w:szCs w:val="24"/>
              </w:rPr>
              <w:t xml:space="preserve"> </w:t>
            </w:r>
            <w:r w:rsidRPr="00B568F3">
              <w:rPr>
                <w:rFonts w:ascii="Arial" w:eastAsia="Calibri" w:hAnsi="Arial" w:cs="Arial"/>
                <w:sz w:val="24"/>
                <w:szCs w:val="24"/>
              </w:rPr>
              <w:t>focus</w:t>
            </w:r>
            <w:r w:rsidR="00BE6F9C" w:rsidRPr="00B568F3">
              <w:rPr>
                <w:rFonts w:ascii="Arial" w:eastAsia="Calibri" w:hAnsi="Arial" w:cs="Arial"/>
                <w:sz w:val="24"/>
                <w:szCs w:val="24"/>
              </w:rPr>
              <w:t>ed</w:t>
            </w:r>
            <w:r w:rsidRPr="00B568F3">
              <w:rPr>
                <w:rFonts w:ascii="Arial" w:eastAsia="Calibri" w:hAnsi="Arial" w:cs="Arial"/>
                <w:sz w:val="24"/>
                <w:szCs w:val="24"/>
              </w:rPr>
              <w:t xml:space="preserve"> on court work, writing reports and assessment, </w:t>
            </w:r>
            <w:r w:rsidR="005D2431" w:rsidRPr="00B568F3">
              <w:rPr>
                <w:rFonts w:ascii="Arial" w:eastAsia="Calibri" w:hAnsi="Arial" w:cs="Arial"/>
                <w:sz w:val="24"/>
                <w:szCs w:val="24"/>
              </w:rPr>
              <w:t xml:space="preserve">and </w:t>
            </w:r>
            <w:r w:rsidRPr="00B568F3" w:rsidDel="00850C5F">
              <w:rPr>
                <w:rFonts w:ascii="Arial" w:eastAsia="Calibri" w:hAnsi="Arial" w:cs="Arial"/>
                <w:sz w:val="24"/>
                <w:szCs w:val="24"/>
              </w:rPr>
              <w:t>person</w:t>
            </w:r>
            <w:r w:rsidR="00850C5F" w:rsidRPr="00B568F3">
              <w:rPr>
                <w:rFonts w:ascii="Arial" w:eastAsia="Calibri" w:hAnsi="Arial" w:cs="Arial"/>
                <w:sz w:val="24"/>
                <w:szCs w:val="24"/>
              </w:rPr>
              <w:t>-centred</w:t>
            </w:r>
            <w:r w:rsidRPr="00B568F3">
              <w:rPr>
                <w:rFonts w:ascii="Arial" w:eastAsia="Calibri" w:hAnsi="Arial" w:cs="Arial"/>
                <w:sz w:val="24"/>
                <w:szCs w:val="24"/>
              </w:rPr>
              <w:t xml:space="preserve"> planning and analytical skills. The pilot has been </w:t>
            </w:r>
            <w:r w:rsidR="008A2CA1" w:rsidRPr="00B568F3">
              <w:rPr>
                <w:rFonts w:ascii="Arial" w:eastAsia="Calibri" w:hAnsi="Arial" w:cs="Arial"/>
                <w:sz w:val="24"/>
                <w:szCs w:val="24"/>
              </w:rPr>
              <w:t>completed,</w:t>
            </w:r>
            <w:r w:rsidRPr="00B568F3">
              <w:rPr>
                <w:rFonts w:ascii="Arial" w:eastAsia="Calibri" w:hAnsi="Arial" w:cs="Arial"/>
                <w:sz w:val="24"/>
                <w:szCs w:val="24"/>
              </w:rPr>
              <w:t xml:space="preserve"> and full evaluation and recommendations have been given to the service.</w:t>
            </w:r>
          </w:p>
          <w:p w14:paraId="0C29D2FB" w14:textId="77777777" w:rsidR="002D1B1F" w:rsidRPr="00B568F3" w:rsidRDefault="002D1B1F" w:rsidP="00FC716F">
            <w:pPr>
              <w:rPr>
                <w:rFonts w:ascii="Arial" w:eastAsia="Calibri" w:hAnsi="Arial" w:cs="Arial"/>
                <w:sz w:val="24"/>
                <w:szCs w:val="24"/>
              </w:rPr>
            </w:pPr>
          </w:p>
        </w:tc>
      </w:tr>
    </w:tbl>
    <w:p w14:paraId="0DE565D0" w14:textId="77777777" w:rsidR="002D1B1F" w:rsidRPr="00B568F3" w:rsidRDefault="002D1B1F" w:rsidP="002D1B1F">
      <w:pPr>
        <w:spacing w:after="0" w:line="240" w:lineRule="auto"/>
        <w:rPr>
          <w:rFonts w:ascii="Arial" w:eastAsia="Calibri" w:hAnsi="Arial" w:cs="Arial"/>
          <w:sz w:val="24"/>
          <w:szCs w:val="24"/>
        </w:rPr>
      </w:pPr>
    </w:p>
    <w:tbl>
      <w:tblPr>
        <w:tblStyle w:val="TableGrid"/>
        <w:tblW w:w="0" w:type="auto"/>
        <w:tblInd w:w="-108" w:type="dxa"/>
        <w:tblLook w:val="04A0" w:firstRow="1" w:lastRow="0" w:firstColumn="1" w:lastColumn="0" w:noHBand="0" w:noVBand="1"/>
      </w:tblPr>
      <w:tblGrid>
        <w:gridCol w:w="116"/>
        <w:gridCol w:w="9018"/>
      </w:tblGrid>
      <w:tr w:rsidR="002D1B1F" w:rsidRPr="00B568F3" w14:paraId="29CF90CB" w14:textId="77777777" w:rsidTr="000C06A7">
        <w:tc>
          <w:tcPr>
            <w:tcW w:w="9026" w:type="dxa"/>
            <w:gridSpan w:val="2"/>
            <w:tcBorders>
              <w:top w:val="nil"/>
              <w:left w:val="nil"/>
              <w:bottom w:val="nil"/>
              <w:right w:val="nil"/>
            </w:tcBorders>
          </w:tcPr>
          <w:p w14:paraId="347F9908" w14:textId="77777777" w:rsidR="002D1B1F" w:rsidRPr="00B568F3" w:rsidRDefault="002D1B1F" w:rsidP="00FC716F">
            <w:pPr>
              <w:pBdr>
                <w:top w:val="single" w:sz="4" w:space="1" w:color="auto"/>
                <w:left w:val="single" w:sz="4" w:space="1" w:color="auto"/>
                <w:bottom w:val="single" w:sz="4" w:space="1" w:color="auto"/>
                <w:right w:val="single" w:sz="4" w:space="1" w:color="auto"/>
              </w:pBdr>
              <w:rPr>
                <w:rFonts w:ascii="Arial" w:eastAsia="Calibri" w:hAnsi="Arial" w:cs="Arial"/>
                <w:b/>
                <w:bCs/>
                <w:sz w:val="24"/>
                <w:szCs w:val="24"/>
              </w:rPr>
            </w:pPr>
            <w:r w:rsidRPr="00B568F3">
              <w:rPr>
                <w:rFonts w:ascii="Arial" w:eastAsia="Calibri" w:hAnsi="Arial" w:cs="Arial"/>
                <w:b/>
                <w:bCs/>
                <w:sz w:val="24"/>
                <w:szCs w:val="24"/>
              </w:rPr>
              <w:t>Highlight</w:t>
            </w:r>
          </w:p>
          <w:p w14:paraId="1E1E91CA" w14:textId="77777777" w:rsidR="002D1B1F" w:rsidRPr="00B568F3" w:rsidRDefault="002D1B1F" w:rsidP="00FC716F">
            <w:pPr>
              <w:pBdr>
                <w:top w:val="single" w:sz="4" w:space="1" w:color="auto"/>
                <w:left w:val="single" w:sz="4" w:space="1" w:color="auto"/>
                <w:bottom w:val="single" w:sz="4" w:space="1" w:color="auto"/>
                <w:right w:val="single" w:sz="4" w:space="1" w:color="auto"/>
              </w:pBdr>
              <w:rPr>
                <w:rFonts w:ascii="Arial" w:eastAsia="Calibri" w:hAnsi="Arial" w:cs="Arial"/>
                <w:sz w:val="24"/>
                <w:szCs w:val="24"/>
              </w:rPr>
            </w:pPr>
          </w:p>
          <w:p w14:paraId="15CBA99C" w14:textId="077B8448" w:rsidR="002D1B1F" w:rsidRPr="00B568F3" w:rsidRDefault="003E6E6F" w:rsidP="5EF60A1F">
            <w:pPr>
              <w:pBdr>
                <w:top w:val="single" w:sz="4" w:space="1" w:color="auto"/>
                <w:left w:val="single" w:sz="4" w:space="1" w:color="auto"/>
                <w:bottom w:val="single" w:sz="4" w:space="1" w:color="auto"/>
                <w:right w:val="single" w:sz="4" w:space="1" w:color="auto"/>
              </w:pBdr>
              <w:rPr>
                <w:rFonts w:ascii="Arial" w:eastAsia="Calibri" w:hAnsi="Arial" w:cs="Arial"/>
                <w:sz w:val="24"/>
                <w:szCs w:val="24"/>
              </w:rPr>
            </w:pPr>
            <w:r w:rsidRPr="00B568F3">
              <w:rPr>
                <w:rFonts w:ascii="Arial" w:eastAsia="Calibri" w:hAnsi="Arial" w:cs="Arial"/>
                <w:sz w:val="24"/>
                <w:szCs w:val="24"/>
              </w:rPr>
              <w:t>One</w:t>
            </w:r>
            <w:r w:rsidR="002D1B1F" w:rsidRPr="00B568F3">
              <w:rPr>
                <w:rFonts w:ascii="Arial" w:eastAsia="Calibri" w:hAnsi="Arial" w:cs="Arial"/>
                <w:sz w:val="24"/>
                <w:szCs w:val="24"/>
              </w:rPr>
              <w:t xml:space="preserve"> region continues to support staff to complete the Social Services Practitioner (SSP) </w:t>
            </w:r>
            <w:r w:rsidR="00BE6F9C" w:rsidRPr="00B568F3">
              <w:rPr>
                <w:rFonts w:ascii="Arial" w:eastAsia="Calibri" w:hAnsi="Arial" w:cs="Arial"/>
                <w:sz w:val="24"/>
                <w:szCs w:val="24"/>
              </w:rPr>
              <w:t>p</w:t>
            </w:r>
            <w:r w:rsidR="002D1B1F" w:rsidRPr="00B568F3">
              <w:rPr>
                <w:rFonts w:ascii="Arial" w:eastAsia="Calibri" w:hAnsi="Arial" w:cs="Arial"/>
                <w:sz w:val="24"/>
                <w:szCs w:val="24"/>
              </w:rPr>
              <w:t>rogramme</w:t>
            </w:r>
            <w:r w:rsidR="00BE6F9C" w:rsidRPr="00B568F3">
              <w:rPr>
                <w:rFonts w:ascii="Arial" w:eastAsia="Calibri" w:hAnsi="Arial" w:cs="Arial"/>
                <w:sz w:val="24"/>
                <w:szCs w:val="24"/>
              </w:rPr>
              <w:t>,</w:t>
            </w:r>
            <w:r w:rsidR="002D1B1F" w:rsidRPr="00B568F3">
              <w:rPr>
                <w:rFonts w:ascii="Arial" w:eastAsia="Calibri" w:hAnsi="Arial" w:cs="Arial"/>
                <w:sz w:val="24"/>
                <w:szCs w:val="24"/>
              </w:rPr>
              <w:t xml:space="preserve"> and continues with the work of the regional SSP/IAA group to share good practice and developments around</w:t>
            </w:r>
            <w:r w:rsidR="00BE6F9C" w:rsidRPr="00B568F3">
              <w:rPr>
                <w:rFonts w:ascii="Arial" w:eastAsia="Calibri" w:hAnsi="Arial" w:cs="Arial"/>
                <w:sz w:val="24"/>
                <w:szCs w:val="24"/>
              </w:rPr>
              <w:t xml:space="preserve"> the</w:t>
            </w:r>
            <w:r w:rsidR="002D1B1F" w:rsidRPr="00B568F3">
              <w:rPr>
                <w:rFonts w:ascii="Arial" w:eastAsia="Calibri" w:hAnsi="Arial" w:cs="Arial"/>
                <w:sz w:val="24"/>
                <w:szCs w:val="24"/>
              </w:rPr>
              <w:t xml:space="preserve"> </w:t>
            </w:r>
            <w:r w:rsidR="007B1FB8" w:rsidRPr="00B568F3">
              <w:rPr>
                <w:rFonts w:ascii="Arial" w:eastAsia="Calibri" w:hAnsi="Arial" w:cs="Arial"/>
                <w:sz w:val="24"/>
                <w:szCs w:val="24"/>
              </w:rPr>
              <w:t>i</w:t>
            </w:r>
            <w:r w:rsidR="002D1B1F" w:rsidRPr="00B568F3">
              <w:rPr>
                <w:rFonts w:ascii="Arial" w:eastAsia="Calibri" w:hAnsi="Arial" w:cs="Arial"/>
                <w:sz w:val="24"/>
                <w:szCs w:val="24"/>
              </w:rPr>
              <w:t xml:space="preserve">nformation, </w:t>
            </w:r>
            <w:r w:rsidR="007B1FB8" w:rsidRPr="00B568F3">
              <w:rPr>
                <w:rFonts w:ascii="Arial" w:eastAsia="Calibri" w:hAnsi="Arial" w:cs="Arial"/>
                <w:sz w:val="24"/>
                <w:szCs w:val="24"/>
              </w:rPr>
              <w:t>a</w:t>
            </w:r>
            <w:r w:rsidR="002D1B1F" w:rsidRPr="00B568F3">
              <w:rPr>
                <w:rFonts w:ascii="Arial" w:eastAsia="Calibri" w:hAnsi="Arial" w:cs="Arial"/>
                <w:sz w:val="24"/>
                <w:szCs w:val="24"/>
              </w:rPr>
              <w:t xml:space="preserve">dvice and </w:t>
            </w:r>
            <w:r w:rsidR="007B1FB8" w:rsidRPr="00B568F3">
              <w:rPr>
                <w:rFonts w:ascii="Arial" w:eastAsia="Calibri" w:hAnsi="Arial" w:cs="Arial"/>
                <w:sz w:val="24"/>
                <w:szCs w:val="24"/>
              </w:rPr>
              <w:t>a</w:t>
            </w:r>
            <w:r w:rsidR="002D1B1F" w:rsidRPr="00B568F3">
              <w:rPr>
                <w:rFonts w:ascii="Arial" w:eastAsia="Calibri" w:hAnsi="Arial" w:cs="Arial"/>
                <w:sz w:val="24"/>
                <w:szCs w:val="24"/>
              </w:rPr>
              <w:t xml:space="preserve">ssistance </w:t>
            </w:r>
            <w:r w:rsidR="007B1FB8" w:rsidRPr="00B568F3">
              <w:rPr>
                <w:rFonts w:ascii="Arial" w:eastAsia="Calibri" w:hAnsi="Arial" w:cs="Arial"/>
                <w:sz w:val="24"/>
                <w:szCs w:val="24"/>
              </w:rPr>
              <w:t>f</w:t>
            </w:r>
            <w:r w:rsidR="002D1B1F" w:rsidRPr="00B568F3">
              <w:rPr>
                <w:rFonts w:ascii="Arial" w:eastAsia="Calibri" w:hAnsi="Arial" w:cs="Arial"/>
                <w:sz w:val="24"/>
                <w:szCs w:val="24"/>
              </w:rPr>
              <w:t>ramework and</w:t>
            </w:r>
            <w:r w:rsidR="00E03CC0" w:rsidRPr="00B568F3">
              <w:rPr>
                <w:rFonts w:ascii="Arial" w:eastAsia="Calibri" w:hAnsi="Arial" w:cs="Arial"/>
                <w:sz w:val="24"/>
                <w:szCs w:val="24"/>
              </w:rPr>
              <w:t xml:space="preserve"> the</w:t>
            </w:r>
            <w:r w:rsidR="002D1B1F" w:rsidRPr="00B568F3">
              <w:rPr>
                <w:rFonts w:ascii="Arial" w:eastAsia="Calibri" w:hAnsi="Arial" w:cs="Arial"/>
                <w:sz w:val="24"/>
                <w:szCs w:val="24"/>
              </w:rPr>
              <w:t xml:space="preserve"> SSP role and how they fit into career developments programmes </w:t>
            </w:r>
            <w:r w:rsidR="007B1FB8" w:rsidRPr="00B568F3">
              <w:rPr>
                <w:rFonts w:ascii="Arial" w:eastAsia="Calibri" w:hAnsi="Arial" w:cs="Arial"/>
                <w:sz w:val="24"/>
                <w:szCs w:val="24"/>
              </w:rPr>
              <w:t xml:space="preserve">in local authorities </w:t>
            </w:r>
            <w:r w:rsidR="002D1B1F" w:rsidRPr="00B568F3">
              <w:rPr>
                <w:rFonts w:ascii="Arial" w:eastAsia="Calibri" w:hAnsi="Arial" w:cs="Arial"/>
                <w:sz w:val="24"/>
                <w:szCs w:val="24"/>
              </w:rPr>
              <w:t xml:space="preserve"> across the region. </w:t>
            </w:r>
          </w:p>
          <w:p w14:paraId="41367421" w14:textId="77777777" w:rsidR="002D1B1F" w:rsidRPr="00B568F3" w:rsidRDefault="002D1B1F" w:rsidP="00FC716F">
            <w:pPr>
              <w:pBdr>
                <w:top w:val="single" w:sz="4" w:space="1" w:color="auto"/>
                <w:left w:val="single" w:sz="4" w:space="1" w:color="auto"/>
                <w:bottom w:val="single" w:sz="4" w:space="1" w:color="auto"/>
                <w:right w:val="single" w:sz="4" w:space="1" w:color="auto"/>
              </w:pBdr>
              <w:rPr>
                <w:rFonts w:ascii="Arial" w:eastAsia="Calibri" w:hAnsi="Arial" w:cs="Arial"/>
                <w:sz w:val="24"/>
                <w:szCs w:val="24"/>
              </w:rPr>
            </w:pPr>
          </w:p>
          <w:p w14:paraId="703C4BC1" w14:textId="77777777" w:rsidR="002D1B1F" w:rsidRPr="00B568F3" w:rsidRDefault="002D1B1F" w:rsidP="00FC716F">
            <w:pPr>
              <w:rPr>
                <w:rFonts w:ascii="Arial" w:eastAsia="Calibri" w:hAnsi="Arial" w:cs="Arial"/>
                <w:sz w:val="24"/>
                <w:szCs w:val="24"/>
              </w:rPr>
            </w:pPr>
          </w:p>
          <w:tbl>
            <w:tblPr>
              <w:tblStyle w:val="TableGrid"/>
              <w:tblW w:w="9014" w:type="dxa"/>
              <w:jc w:val="center"/>
              <w:tblLook w:val="04A0" w:firstRow="1" w:lastRow="0" w:firstColumn="1" w:lastColumn="0" w:noHBand="0" w:noVBand="1"/>
            </w:tblPr>
            <w:tblGrid>
              <w:gridCol w:w="9014"/>
            </w:tblGrid>
            <w:tr w:rsidR="00FF2ED1" w:rsidRPr="00B568F3" w14:paraId="31C5EA32" w14:textId="77777777" w:rsidTr="00196D9A">
              <w:trPr>
                <w:jc w:val="center"/>
              </w:trPr>
              <w:tc>
                <w:tcPr>
                  <w:tcW w:w="9014" w:type="dxa"/>
                  <w:tcBorders>
                    <w:top w:val="nil"/>
                    <w:left w:val="nil"/>
                    <w:bottom w:val="nil"/>
                    <w:right w:val="nil"/>
                  </w:tcBorders>
                </w:tcPr>
                <w:p w14:paraId="753A42AC" w14:textId="77777777" w:rsidR="00FF2ED1" w:rsidRPr="00B568F3" w:rsidRDefault="00FF2ED1" w:rsidP="00FF2ED1">
                  <w:pPr>
                    <w:pBdr>
                      <w:top w:val="single" w:sz="4" w:space="1" w:color="auto"/>
                      <w:left w:val="single" w:sz="4" w:space="1" w:color="auto"/>
                      <w:bottom w:val="single" w:sz="4" w:space="1" w:color="auto"/>
                      <w:right w:val="single" w:sz="4" w:space="1" w:color="auto"/>
                    </w:pBdr>
                    <w:rPr>
                      <w:rFonts w:ascii="Arial" w:eastAsia="Calibri" w:hAnsi="Arial" w:cs="Arial"/>
                      <w:b/>
                      <w:bCs/>
                      <w:sz w:val="24"/>
                      <w:szCs w:val="24"/>
                    </w:rPr>
                  </w:pPr>
                  <w:r w:rsidRPr="00B568F3">
                    <w:rPr>
                      <w:rFonts w:ascii="Arial" w:eastAsia="Calibri" w:hAnsi="Arial" w:cs="Arial"/>
                      <w:b/>
                      <w:bCs/>
                      <w:sz w:val="24"/>
                      <w:szCs w:val="24"/>
                    </w:rPr>
                    <w:t>Highlight</w:t>
                  </w:r>
                </w:p>
                <w:p w14:paraId="571CC10F" w14:textId="77777777" w:rsidR="00FF2ED1" w:rsidRPr="00B568F3" w:rsidRDefault="00FF2ED1" w:rsidP="00FF2ED1">
                  <w:pPr>
                    <w:pBdr>
                      <w:top w:val="single" w:sz="4" w:space="1" w:color="auto"/>
                      <w:left w:val="single" w:sz="4" w:space="1" w:color="auto"/>
                      <w:bottom w:val="single" w:sz="4" w:space="1" w:color="auto"/>
                      <w:right w:val="single" w:sz="4" w:space="1" w:color="auto"/>
                    </w:pBdr>
                    <w:rPr>
                      <w:rFonts w:ascii="Arial" w:eastAsia="Calibri" w:hAnsi="Arial" w:cs="Arial"/>
                      <w:sz w:val="24"/>
                      <w:szCs w:val="24"/>
                    </w:rPr>
                  </w:pPr>
                </w:p>
                <w:p w14:paraId="052750F7" w14:textId="227B3827" w:rsidR="00FF2ED1" w:rsidRPr="00B568F3" w:rsidRDefault="00FF2ED1" w:rsidP="00FF2ED1">
                  <w:pPr>
                    <w:pBdr>
                      <w:top w:val="single" w:sz="4" w:space="1" w:color="auto"/>
                      <w:left w:val="single" w:sz="4" w:space="1" w:color="auto"/>
                      <w:bottom w:val="single" w:sz="4" w:space="1" w:color="auto"/>
                      <w:right w:val="single" w:sz="4" w:space="1" w:color="auto"/>
                    </w:pBdr>
                    <w:rPr>
                      <w:rFonts w:ascii="Arial" w:eastAsia="Calibri" w:hAnsi="Arial" w:cs="Arial"/>
                      <w:sz w:val="24"/>
                      <w:szCs w:val="24"/>
                    </w:rPr>
                  </w:pPr>
                  <w:r w:rsidRPr="00B568F3">
                    <w:rPr>
                      <w:rFonts w:ascii="Arial" w:eastAsia="Calibri" w:hAnsi="Arial" w:cs="Arial"/>
                      <w:sz w:val="24"/>
                      <w:szCs w:val="24"/>
                    </w:rPr>
                    <w:t>Another region continues to support a Social Services Practitioner apprentice (</w:t>
                  </w:r>
                  <w:r w:rsidR="00BE6F9C" w:rsidRPr="00B568F3">
                    <w:rPr>
                      <w:rFonts w:ascii="Arial" w:eastAsia="Calibri" w:hAnsi="Arial" w:cs="Arial"/>
                      <w:sz w:val="24"/>
                      <w:szCs w:val="24"/>
                    </w:rPr>
                    <w:t>children’s social care</w:t>
                  </w:r>
                  <w:r w:rsidRPr="00B568F3">
                    <w:rPr>
                      <w:rFonts w:ascii="Arial" w:eastAsia="Calibri" w:hAnsi="Arial" w:cs="Arial"/>
                      <w:sz w:val="24"/>
                      <w:szCs w:val="24"/>
                    </w:rPr>
                    <w:t xml:space="preserve">) and is looking to extend the apprenticeship programme to </w:t>
                  </w:r>
                  <w:r w:rsidR="00BE6F9C" w:rsidRPr="00B568F3">
                    <w:rPr>
                      <w:rFonts w:ascii="Arial" w:eastAsia="Calibri" w:hAnsi="Arial" w:cs="Arial"/>
                      <w:sz w:val="24"/>
                      <w:szCs w:val="24"/>
                    </w:rPr>
                    <w:t>adult social care</w:t>
                  </w:r>
                  <w:r w:rsidRPr="00B568F3">
                    <w:rPr>
                      <w:rFonts w:ascii="Arial" w:eastAsia="Calibri" w:hAnsi="Arial" w:cs="Arial"/>
                      <w:sz w:val="24"/>
                      <w:szCs w:val="24"/>
                    </w:rPr>
                    <w:t>.</w:t>
                  </w:r>
                </w:p>
                <w:p w14:paraId="0392CCC2" w14:textId="77777777" w:rsidR="00FF2ED1" w:rsidRPr="00B568F3" w:rsidRDefault="00FF2ED1" w:rsidP="00FC716F">
                  <w:pPr>
                    <w:rPr>
                      <w:rFonts w:ascii="Arial" w:eastAsia="Calibri" w:hAnsi="Arial" w:cs="Arial"/>
                      <w:sz w:val="24"/>
                      <w:szCs w:val="24"/>
                    </w:rPr>
                  </w:pPr>
                </w:p>
              </w:tc>
            </w:tr>
            <w:tr w:rsidR="00FF2ED1" w:rsidRPr="00B568F3" w14:paraId="4F0AE1A1" w14:textId="77777777" w:rsidTr="00196D9A">
              <w:trPr>
                <w:jc w:val="center"/>
              </w:trPr>
              <w:tc>
                <w:tcPr>
                  <w:tcW w:w="9014" w:type="dxa"/>
                </w:tcPr>
                <w:p w14:paraId="461BA37B" w14:textId="77777777" w:rsidR="00FF2ED1" w:rsidRPr="00B568F3" w:rsidRDefault="00FF2ED1" w:rsidP="00FF2ED1">
                  <w:pPr>
                    <w:rPr>
                      <w:rFonts w:ascii="Arial" w:eastAsia="Calibri" w:hAnsi="Arial" w:cs="Arial"/>
                      <w:b/>
                      <w:bCs/>
                      <w:sz w:val="24"/>
                      <w:szCs w:val="24"/>
                    </w:rPr>
                  </w:pPr>
                  <w:r w:rsidRPr="00B568F3">
                    <w:rPr>
                      <w:rFonts w:ascii="Arial" w:eastAsia="Calibri" w:hAnsi="Arial" w:cs="Arial"/>
                      <w:b/>
                      <w:bCs/>
                      <w:sz w:val="24"/>
                      <w:szCs w:val="24"/>
                    </w:rPr>
                    <w:t>Highlight</w:t>
                  </w:r>
                </w:p>
                <w:p w14:paraId="2D5B842B" w14:textId="77777777" w:rsidR="00FF2ED1" w:rsidRPr="00B568F3" w:rsidRDefault="00FF2ED1" w:rsidP="00FF2ED1">
                  <w:pPr>
                    <w:rPr>
                      <w:rFonts w:ascii="Arial" w:eastAsia="Calibri" w:hAnsi="Arial" w:cs="Arial"/>
                      <w:sz w:val="24"/>
                      <w:szCs w:val="24"/>
                    </w:rPr>
                  </w:pPr>
                </w:p>
                <w:p w14:paraId="139A0652" w14:textId="5F499E2D" w:rsidR="00BE6F9C" w:rsidRPr="00B568F3" w:rsidRDefault="00FF2ED1" w:rsidP="00FF2ED1">
                  <w:pPr>
                    <w:rPr>
                      <w:rFonts w:ascii="Arial" w:eastAsia="Calibri" w:hAnsi="Arial" w:cs="Arial"/>
                      <w:sz w:val="24"/>
                      <w:szCs w:val="24"/>
                    </w:rPr>
                  </w:pPr>
                  <w:r w:rsidRPr="00B568F3">
                    <w:rPr>
                      <w:rFonts w:ascii="Arial" w:eastAsia="Calibri" w:hAnsi="Arial" w:cs="Arial"/>
                      <w:sz w:val="24"/>
                      <w:szCs w:val="24"/>
                    </w:rPr>
                    <w:t xml:space="preserve">A region is </w:t>
                  </w:r>
                  <w:r w:rsidR="008213C6" w:rsidRPr="00B568F3">
                    <w:rPr>
                      <w:rFonts w:ascii="Arial" w:eastAsia="Calibri" w:hAnsi="Arial" w:cs="Arial"/>
                      <w:sz w:val="24"/>
                      <w:szCs w:val="24"/>
                    </w:rPr>
                    <w:t xml:space="preserve">seeing </w:t>
                  </w:r>
                  <w:r w:rsidRPr="00B568F3">
                    <w:rPr>
                      <w:rFonts w:ascii="Arial" w:eastAsia="Calibri" w:hAnsi="Arial" w:cs="Arial"/>
                      <w:sz w:val="24"/>
                      <w:szCs w:val="24"/>
                    </w:rPr>
                    <w:t xml:space="preserve">success </w:t>
                  </w:r>
                  <w:r w:rsidR="008213C6" w:rsidRPr="00B568F3">
                    <w:rPr>
                      <w:rFonts w:ascii="Arial" w:eastAsia="Calibri" w:hAnsi="Arial" w:cs="Arial"/>
                      <w:sz w:val="24"/>
                      <w:szCs w:val="24"/>
                    </w:rPr>
                    <w:t>in</w:t>
                  </w:r>
                  <w:r w:rsidRPr="00B568F3">
                    <w:rPr>
                      <w:rFonts w:ascii="Arial" w:eastAsia="Calibri" w:hAnsi="Arial" w:cs="Arial"/>
                      <w:sz w:val="24"/>
                      <w:szCs w:val="24"/>
                    </w:rPr>
                    <w:t xml:space="preserve"> the number of </w:t>
                  </w:r>
                  <w:r w:rsidR="007B6DF3" w:rsidRPr="00B568F3">
                    <w:rPr>
                      <w:rFonts w:ascii="Arial" w:eastAsia="Calibri" w:hAnsi="Arial" w:cs="Arial"/>
                      <w:sz w:val="24"/>
                      <w:szCs w:val="24"/>
                    </w:rPr>
                    <w:t>p</w:t>
                  </w:r>
                  <w:r w:rsidRPr="00B568F3">
                    <w:rPr>
                      <w:rFonts w:ascii="Arial" w:eastAsia="Calibri" w:hAnsi="Arial" w:cs="Arial"/>
                      <w:sz w:val="24"/>
                      <w:szCs w:val="24"/>
                    </w:rPr>
                    <w:t xml:space="preserve">ractice </w:t>
                  </w:r>
                  <w:r w:rsidR="007B6DF3" w:rsidRPr="00B568F3">
                    <w:rPr>
                      <w:rFonts w:ascii="Arial" w:eastAsia="Calibri" w:hAnsi="Arial" w:cs="Arial"/>
                      <w:sz w:val="24"/>
                      <w:szCs w:val="24"/>
                    </w:rPr>
                    <w:t>e</w:t>
                  </w:r>
                  <w:r w:rsidRPr="00B568F3">
                    <w:rPr>
                      <w:rFonts w:ascii="Arial" w:eastAsia="Calibri" w:hAnsi="Arial" w:cs="Arial"/>
                      <w:sz w:val="24"/>
                      <w:szCs w:val="24"/>
                    </w:rPr>
                    <w:t>ducator candidates</w:t>
                  </w:r>
                  <w:r w:rsidR="008213C6" w:rsidRPr="00B568F3">
                    <w:rPr>
                      <w:rFonts w:ascii="Arial" w:eastAsia="Calibri" w:hAnsi="Arial" w:cs="Arial"/>
                      <w:sz w:val="24"/>
                      <w:szCs w:val="24"/>
                    </w:rPr>
                    <w:t xml:space="preserve"> that </w:t>
                  </w:r>
                  <w:r w:rsidR="00E10AF9" w:rsidRPr="00B568F3">
                    <w:rPr>
                      <w:rFonts w:ascii="Arial" w:eastAsia="Calibri" w:hAnsi="Arial" w:cs="Arial"/>
                      <w:sz w:val="24"/>
                      <w:szCs w:val="24"/>
                    </w:rPr>
                    <w:t>have</w:t>
                  </w:r>
                  <w:r w:rsidRPr="00B568F3">
                    <w:rPr>
                      <w:rFonts w:ascii="Arial" w:eastAsia="Calibri" w:hAnsi="Arial" w:cs="Arial"/>
                      <w:sz w:val="24"/>
                      <w:szCs w:val="24"/>
                    </w:rPr>
                    <w:t xml:space="preserve"> complete</w:t>
                  </w:r>
                  <w:r w:rsidR="00E10AF9" w:rsidRPr="00B568F3">
                    <w:rPr>
                      <w:rFonts w:ascii="Arial" w:eastAsia="Calibri" w:hAnsi="Arial" w:cs="Arial"/>
                      <w:sz w:val="24"/>
                      <w:szCs w:val="24"/>
                    </w:rPr>
                    <w:t>d</w:t>
                  </w:r>
                  <w:r w:rsidRPr="00B568F3">
                    <w:rPr>
                      <w:rFonts w:ascii="Arial" w:eastAsia="Calibri" w:hAnsi="Arial" w:cs="Arial"/>
                      <w:sz w:val="24"/>
                      <w:szCs w:val="24"/>
                    </w:rPr>
                    <w:t xml:space="preserve"> the qualifications </w:t>
                  </w:r>
                  <w:r w:rsidR="00BE6F9C" w:rsidRPr="00B568F3">
                    <w:rPr>
                      <w:rFonts w:ascii="Arial" w:eastAsia="Calibri" w:hAnsi="Arial" w:cs="Arial"/>
                      <w:sz w:val="24"/>
                      <w:szCs w:val="24"/>
                    </w:rPr>
                    <w:t>after being</w:t>
                  </w:r>
                  <w:r w:rsidRPr="00B568F3">
                    <w:rPr>
                      <w:rFonts w:ascii="Arial" w:eastAsia="Calibri" w:hAnsi="Arial" w:cs="Arial"/>
                      <w:sz w:val="24"/>
                      <w:szCs w:val="24"/>
                    </w:rPr>
                    <w:t xml:space="preserve"> supported and mentored by internal colleagues, including assessing observed supervision sessions. </w:t>
                  </w:r>
                </w:p>
                <w:p w14:paraId="086B20A2" w14:textId="77777777" w:rsidR="00BE6F9C" w:rsidRPr="00B568F3" w:rsidRDefault="00BE6F9C" w:rsidP="00FF2ED1">
                  <w:pPr>
                    <w:rPr>
                      <w:rFonts w:ascii="Arial" w:eastAsia="Calibri" w:hAnsi="Arial" w:cs="Arial"/>
                      <w:sz w:val="24"/>
                      <w:szCs w:val="24"/>
                    </w:rPr>
                  </w:pPr>
                </w:p>
                <w:p w14:paraId="3F250BE5" w14:textId="4CCD8C3F" w:rsidR="00BE6F9C" w:rsidRPr="00B568F3" w:rsidRDefault="00FF2ED1" w:rsidP="00FF2ED1">
                  <w:pPr>
                    <w:rPr>
                      <w:rFonts w:ascii="Arial" w:eastAsia="Calibri" w:hAnsi="Arial" w:cs="Arial"/>
                      <w:sz w:val="24"/>
                      <w:szCs w:val="24"/>
                    </w:rPr>
                  </w:pPr>
                  <w:r w:rsidRPr="00B568F3">
                    <w:rPr>
                      <w:rFonts w:ascii="Arial" w:eastAsia="Calibri" w:hAnsi="Arial" w:cs="Arial"/>
                      <w:sz w:val="24"/>
                      <w:szCs w:val="24"/>
                    </w:rPr>
                    <w:t>This has contributed to a healthy number of qualified practice educators in the region. There</w:t>
                  </w:r>
                  <w:r w:rsidR="00BE6F9C" w:rsidRPr="00B568F3">
                    <w:rPr>
                      <w:rFonts w:ascii="Arial" w:eastAsia="Calibri" w:hAnsi="Arial" w:cs="Arial"/>
                      <w:sz w:val="24"/>
                      <w:szCs w:val="24"/>
                    </w:rPr>
                    <w:t>’s</w:t>
                  </w:r>
                  <w:r w:rsidRPr="00B568F3" w:rsidDel="00BE6F9C">
                    <w:rPr>
                      <w:rFonts w:ascii="Arial" w:eastAsia="Calibri" w:hAnsi="Arial" w:cs="Arial"/>
                      <w:sz w:val="24"/>
                      <w:szCs w:val="24"/>
                    </w:rPr>
                    <w:t xml:space="preserve"> </w:t>
                  </w:r>
                  <w:r w:rsidRPr="00B568F3">
                    <w:rPr>
                      <w:rFonts w:ascii="Arial" w:eastAsia="Calibri" w:hAnsi="Arial" w:cs="Arial"/>
                      <w:sz w:val="24"/>
                      <w:szCs w:val="24"/>
                    </w:rPr>
                    <w:t xml:space="preserve">a Microsoft Teams Peer Support Group of more than 70 </w:t>
                  </w:r>
                  <w:r w:rsidR="00C60E85" w:rsidRPr="00B568F3">
                    <w:rPr>
                      <w:rFonts w:ascii="Arial" w:eastAsia="Calibri" w:hAnsi="Arial" w:cs="Arial"/>
                      <w:sz w:val="24"/>
                      <w:szCs w:val="24"/>
                    </w:rPr>
                    <w:t>p</w:t>
                  </w:r>
                  <w:r w:rsidRPr="00B568F3">
                    <w:rPr>
                      <w:rFonts w:ascii="Arial" w:eastAsia="Calibri" w:hAnsi="Arial" w:cs="Arial"/>
                      <w:sz w:val="24"/>
                      <w:szCs w:val="24"/>
                    </w:rPr>
                    <w:t xml:space="preserve">ractice </w:t>
                  </w:r>
                  <w:r w:rsidR="00BE6F9C" w:rsidRPr="00B568F3">
                    <w:rPr>
                      <w:rFonts w:ascii="Arial" w:eastAsia="Calibri" w:hAnsi="Arial" w:cs="Arial"/>
                      <w:sz w:val="24"/>
                      <w:szCs w:val="24"/>
                    </w:rPr>
                    <w:t>e</w:t>
                  </w:r>
                  <w:r w:rsidRPr="00B568F3">
                    <w:rPr>
                      <w:rFonts w:ascii="Arial" w:eastAsia="Calibri" w:hAnsi="Arial" w:cs="Arial"/>
                      <w:sz w:val="24"/>
                      <w:szCs w:val="24"/>
                    </w:rPr>
                    <w:t xml:space="preserve">ducators and onsite supervisors and this is supported and facilitated by a </w:t>
                  </w:r>
                  <w:r w:rsidR="00BE6F9C" w:rsidRPr="00B568F3">
                    <w:rPr>
                      <w:rFonts w:ascii="Arial" w:eastAsia="Calibri" w:hAnsi="Arial" w:cs="Arial"/>
                      <w:sz w:val="24"/>
                      <w:szCs w:val="24"/>
                    </w:rPr>
                    <w:t>social work c</w:t>
                  </w:r>
                  <w:r w:rsidRPr="00B568F3">
                    <w:rPr>
                      <w:rFonts w:ascii="Arial" w:eastAsia="Calibri" w:hAnsi="Arial" w:cs="Arial"/>
                      <w:sz w:val="24"/>
                      <w:szCs w:val="24"/>
                    </w:rPr>
                    <w:t xml:space="preserve">oordinator. The </w:t>
                  </w:r>
                  <w:r w:rsidR="00C60E85" w:rsidRPr="00B568F3">
                    <w:rPr>
                      <w:rFonts w:ascii="Arial" w:eastAsia="Calibri" w:hAnsi="Arial" w:cs="Arial"/>
                      <w:sz w:val="24"/>
                      <w:szCs w:val="24"/>
                    </w:rPr>
                    <w:t>g</w:t>
                  </w:r>
                  <w:r w:rsidRPr="00B568F3">
                    <w:rPr>
                      <w:rFonts w:ascii="Arial" w:eastAsia="Calibri" w:hAnsi="Arial" w:cs="Arial"/>
                      <w:sz w:val="24"/>
                      <w:szCs w:val="24"/>
                    </w:rPr>
                    <w:t xml:space="preserve">roup meets once a month and is </w:t>
                  </w:r>
                  <w:r w:rsidRPr="00B568F3" w:rsidDel="00071370">
                    <w:rPr>
                      <w:rFonts w:ascii="Arial" w:eastAsia="Calibri" w:hAnsi="Arial" w:cs="Arial"/>
                      <w:sz w:val="24"/>
                      <w:szCs w:val="24"/>
                    </w:rPr>
                    <w:t xml:space="preserve">useful </w:t>
                  </w:r>
                  <w:r w:rsidRPr="00B568F3">
                    <w:rPr>
                      <w:rFonts w:ascii="Arial" w:eastAsia="Calibri" w:hAnsi="Arial" w:cs="Arial"/>
                      <w:sz w:val="24"/>
                      <w:szCs w:val="24"/>
                    </w:rPr>
                    <w:t>for sharing issu</w:t>
                  </w:r>
                  <w:r w:rsidR="00C60E85" w:rsidRPr="00B568F3">
                    <w:rPr>
                      <w:rFonts w:ascii="Arial" w:eastAsia="Calibri" w:hAnsi="Arial" w:cs="Arial"/>
                      <w:sz w:val="24"/>
                      <w:szCs w:val="24"/>
                    </w:rPr>
                    <w:t>es and</w:t>
                  </w:r>
                  <w:r w:rsidR="00350B61" w:rsidRPr="00B568F3">
                    <w:rPr>
                      <w:rFonts w:ascii="Arial" w:eastAsia="Calibri" w:hAnsi="Arial" w:cs="Arial"/>
                      <w:sz w:val="24"/>
                      <w:szCs w:val="24"/>
                    </w:rPr>
                    <w:t xml:space="preserve"> </w:t>
                  </w:r>
                  <w:r w:rsidRPr="00B568F3">
                    <w:rPr>
                      <w:rFonts w:ascii="Arial" w:eastAsia="Calibri" w:hAnsi="Arial" w:cs="Arial"/>
                      <w:sz w:val="24"/>
                      <w:szCs w:val="24"/>
                    </w:rPr>
                    <w:t>ideas</w:t>
                  </w:r>
                  <w:r w:rsidR="00BE6F9C" w:rsidRPr="00B568F3">
                    <w:rPr>
                      <w:rFonts w:ascii="Arial" w:eastAsia="Calibri" w:hAnsi="Arial" w:cs="Arial"/>
                      <w:sz w:val="24"/>
                      <w:szCs w:val="24"/>
                    </w:rPr>
                    <w:t xml:space="preserve"> around</w:t>
                  </w:r>
                  <w:r w:rsidRPr="00B568F3" w:rsidDel="00BE6F9C">
                    <w:rPr>
                      <w:rFonts w:ascii="Arial" w:eastAsia="Calibri" w:hAnsi="Arial" w:cs="Arial"/>
                      <w:sz w:val="24"/>
                      <w:szCs w:val="24"/>
                    </w:rPr>
                    <w:t xml:space="preserve"> </w:t>
                  </w:r>
                  <w:r w:rsidRPr="00B568F3">
                    <w:rPr>
                      <w:rFonts w:ascii="Arial" w:eastAsia="Calibri" w:hAnsi="Arial" w:cs="Arial"/>
                      <w:sz w:val="24"/>
                      <w:szCs w:val="24"/>
                    </w:rPr>
                    <w:t xml:space="preserve">facilitating student placements. </w:t>
                  </w:r>
                </w:p>
                <w:p w14:paraId="79E9719A" w14:textId="77777777" w:rsidR="00BE6F9C" w:rsidRPr="00B568F3" w:rsidRDefault="00BE6F9C" w:rsidP="00FF2ED1">
                  <w:pPr>
                    <w:rPr>
                      <w:rFonts w:ascii="Arial" w:eastAsia="Calibri" w:hAnsi="Arial" w:cs="Arial"/>
                      <w:sz w:val="24"/>
                      <w:szCs w:val="24"/>
                    </w:rPr>
                  </w:pPr>
                </w:p>
                <w:p w14:paraId="2AEA4156" w14:textId="42BA6238" w:rsidR="00FF2ED1" w:rsidRPr="00B568F3" w:rsidRDefault="00FF2ED1" w:rsidP="00FF2ED1">
                  <w:pPr>
                    <w:rPr>
                      <w:rFonts w:ascii="Arial" w:eastAsia="Calibri" w:hAnsi="Arial" w:cs="Arial"/>
                      <w:sz w:val="24"/>
                      <w:szCs w:val="24"/>
                    </w:rPr>
                  </w:pPr>
                  <w:r w:rsidRPr="00B568F3">
                    <w:rPr>
                      <w:rFonts w:ascii="Arial" w:eastAsia="Calibri" w:hAnsi="Arial" w:cs="Arial"/>
                      <w:sz w:val="24"/>
                      <w:szCs w:val="24"/>
                    </w:rPr>
                    <w:t xml:space="preserve">This work has enabled sustainability for the </w:t>
                  </w:r>
                  <w:r w:rsidR="00071370" w:rsidRPr="00B568F3">
                    <w:rPr>
                      <w:rFonts w:ascii="Arial" w:eastAsia="Calibri" w:hAnsi="Arial" w:cs="Arial"/>
                      <w:sz w:val="24"/>
                      <w:szCs w:val="24"/>
                    </w:rPr>
                    <w:t>p</w:t>
                  </w:r>
                  <w:r w:rsidRPr="00B568F3">
                    <w:rPr>
                      <w:rFonts w:ascii="Arial" w:eastAsia="Calibri" w:hAnsi="Arial" w:cs="Arial"/>
                      <w:sz w:val="24"/>
                      <w:szCs w:val="24"/>
                    </w:rPr>
                    <w:t xml:space="preserve">ractice </w:t>
                  </w:r>
                  <w:r w:rsidR="00071370" w:rsidRPr="00B568F3">
                    <w:rPr>
                      <w:rFonts w:ascii="Arial" w:eastAsia="Calibri" w:hAnsi="Arial" w:cs="Arial"/>
                      <w:sz w:val="24"/>
                      <w:szCs w:val="24"/>
                    </w:rPr>
                    <w:t>e</w:t>
                  </w:r>
                  <w:r w:rsidRPr="00B568F3">
                    <w:rPr>
                      <w:rFonts w:ascii="Arial" w:eastAsia="Calibri" w:hAnsi="Arial" w:cs="Arial"/>
                      <w:sz w:val="24"/>
                      <w:szCs w:val="24"/>
                    </w:rPr>
                    <w:t>ducators during a pressured time for social work.</w:t>
                  </w:r>
                </w:p>
                <w:p w14:paraId="736399A9" w14:textId="77777777" w:rsidR="00FF2ED1" w:rsidRPr="00B568F3" w:rsidRDefault="00FF2ED1" w:rsidP="00FC716F">
                  <w:pPr>
                    <w:rPr>
                      <w:rFonts w:ascii="Arial" w:eastAsia="Calibri" w:hAnsi="Arial" w:cs="Arial"/>
                      <w:sz w:val="24"/>
                      <w:szCs w:val="24"/>
                    </w:rPr>
                  </w:pPr>
                </w:p>
              </w:tc>
            </w:tr>
          </w:tbl>
          <w:p w14:paraId="7406F561" w14:textId="77777777" w:rsidR="00C1585E" w:rsidRPr="00B568F3" w:rsidRDefault="00C1585E" w:rsidP="00FC716F">
            <w:pPr>
              <w:rPr>
                <w:rFonts w:ascii="Arial" w:eastAsia="Calibri" w:hAnsi="Arial" w:cs="Arial"/>
                <w:sz w:val="24"/>
                <w:szCs w:val="24"/>
              </w:rPr>
            </w:pPr>
          </w:p>
          <w:tbl>
            <w:tblPr>
              <w:tblStyle w:val="TableGrid"/>
              <w:tblW w:w="9014" w:type="dxa"/>
              <w:jc w:val="center"/>
              <w:tblLook w:val="04A0" w:firstRow="1" w:lastRow="0" w:firstColumn="1" w:lastColumn="0" w:noHBand="0" w:noVBand="1"/>
            </w:tblPr>
            <w:tblGrid>
              <w:gridCol w:w="9014"/>
            </w:tblGrid>
            <w:tr w:rsidR="002D1B1F" w:rsidRPr="00B568F3" w14:paraId="560356CF" w14:textId="77777777" w:rsidTr="00FF2ED1">
              <w:trPr>
                <w:jc w:val="center"/>
              </w:trPr>
              <w:tc>
                <w:tcPr>
                  <w:tcW w:w="9014" w:type="dxa"/>
                </w:tcPr>
                <w:p w14:paraId="2719C203" w14:textId="77777777" w:rsidR="002D1B1F" w:rsidRPr="00B568F3" w:rsidRDefault="002D1B1F" w:rsidP="00FC716F">
                  <w:pPr>
                    <w:rPr>
                      <w:rFonts w:ascii="Arial" w:eastAsia="Calibri" w:hAnsi="Arial" w:cs="Arial"/>
                      <w:b/>
                      <w:bCs/>
                      <w:sz w:val="24"/>
                      <w:szCs w:val="24"/>
                    </w:rPr>
                  </w:pPr>
                  <w:r w:rsidRPr="00B568F3">
                    <w:rPr>
                      <w:rFonts w:ascii="Arial" w:eastAsia="Calibri" w:hAnsi="Arial" w:cs="Arial"/>
                      <w:b/>
                      <w:bCs/>
                      <w:sz w:val="24"/>
                      <w:szCs w:val="24"/>
                    </w:rPr>
                    <w:t>Highlight</w:t>
                  </w:r>
                </w:p>
                <w:p w14:paraId="2234BF97" w14:textId="77777777" w:rsidR="002D1B1F" w:rsidRPr="00B568F3" w:rsidRDefault="002D1B1F" w:rsidP="00FC716F">
                  <w:pPr>
                    <w:rPr>
                      <w:rFonts w:ascii="Arial" w:eastAsia="Calibri" w:hAnsi="Arial" w:cs="Arial"/>
                      <w:b/>
                      <w:bCs/>
                      <w:sz w:val="24"/>
                      <w:szCs w:val="24"/>
                    </w:rPr>
                  </w:pPr>
                </w:p>
                <w:p w14:paraId="75A8810C" w14:textId="5A94E9C9" w:rsidR="00A8185B" w:rsidRPr="00B568F3" w:rsidRDefault="007755C4" w:rsidP="00FC716F">
                  <w:pPr>
                    <w:rPr>
                      <w:rFonts w:ascii="Arial" w:eastAsia="Calibri" w:hAnsi="Arial" w:cs="Arial"/>
                      <w:sz w:val="24"/>
                      <w:szCs w:val="24"/>
                    </w:rPr>
                  </w:pPr>
                  <w:r w:rsidRPr="00B568F3">
                    <w:rPr>
                      <w:rFonts w:ascii="Arial" w:eastAsia="Calibri" w:hAnsi="Arial" w:cs="Arial"/>
                      <w:sz w:val="24"/>
                      <w:szCs w:val="24"/>
                    </w:rPr>
                    <w:t>A local authority has a</w:t>
                  </w:r>
                  <w:r w:rsidR="002D1B1F" w:rsidRPr="00B568F3">
                    <w:rPr>
                      <w:rFonts w:ascii="Arial" w:eastAsia="Calibri" w:hAnsi="Arial" w:cs="Arial"/>
                      <w:sz w:val="24"/>
                      <w:szCs w:val="24"/>
                    </w:rPr>
                    <w:t xml:space="preserve"> </w:t>
                  </w:r>
                  <w:r w:rsidR="00E307B2" w:rsidRPr="00B568F3">
                    <w:rPr>
                      <w:rFonts w:ascii="Arial" w:eastAsia="Calibri" w:hAnsi="Arial" w:cs="Arial"/>
                      <w:sz w:val="24"/>
                      <w:szCs w:val="24"/>
                    </w:rPr>
                    <w:t>‘</w:t>
                  </w:r>
                  <w:r w:rsidR="009353CE" w:rsidRPr="00B568F3">
                    <w:rPr>
                      <w:rFonts w:ascii="Arial" w:eastAsia="Calibri" w:hAnsi="Arial" w:cs="Arial"/>
                      <w:sz w:val="24"/>
                      <w:szCs w:val="24"/>
                    </w:rPr>
                    <w:t>g</w:t>
                  </w:r>
                  <w:r w:rsidR="002D1B1F" w:rsidRPr="00B568F3">
                    <w:rPr>
                      <w:rFonts w:ascii="Arial" w:eastAsia="Calibri" w:hAnsi="Arial" w:cs="Arial"/>
                      <w:sz w:val="24"/>
                      <w:szCs w:val="24"/>
                    </w:rPr>
                    <w:t xml:space="preserve">row our </w:t>
                  </w:r>
                  <w:r w:rsidR="009353CE" w:rsidRPr="00B568F3">
                    <w:rPr>
                      <w:rFonts w:ascii="Arial" w:eastAsia="Calibri" w:hAnsi="Arial" w:cs="Arial"/>
                      <w:sz w:val="24"/>
                      <w:szCs w:val="24"/>
                    </w:rPr>
                    <w:t>o</w:t>
                  </w:r>
                  <w:r w:rsidR="002D1B1F" w:rsidRPr="00B568F3">
                    <w:rPr>
                      <w:rFonts w:ascii="Arial" w:eastAsia="Calibri" w:hAnsi="Arial" w:cs="Arial"/>
                      <w:sz w:val="24"/>
                      <w:szCs w:val="24"/>
                    </w:rPr>
                    <w:t>wn</w:t>
                  </w:r>
                  <w:r w:rsidR="00E307B2" w:rsidRPr="00B568F3">
                    <w:rPr>
                      <w:rFonts w:ascii="Arial" w:eastAsia="Calibri" w:hAnsi="Arial" w:cs="Arial"/>
                      <w:sz w:val="24"/>
                      <w:szCs w:val="24"/>
                    </w:rPr>
                    <w:t>’</w:t>
                  </w:r>
                  <w:r w:rsidR="002D1B1F" w:rsidRPr="00B568F3">
                    <w:rPr>
                      <w:rFonts w:ascii="Arial" w:eastAsia="Calibri" w:hAnsi="Arial" w:cs="Arial"/>
                      <w:sz w:val="24"/>
                      <w:szCs w:val="24"/>
                    </w:rPr>
                    <w:t xml:space="preserve"> </w:t>
                  </w:r>
                  <w:r w:rsidR="009353CE" w:rsidRPr="00B568F3">
                    <w:rPr>
                      <w:rFonts w:ascii="Arial" w:eastAsia="Calibri" w:hAnsi="Arial" w:cs="Arial"/>
                      <w:sz w:val="24"/>
                      <w:szCs w:val="24"/>
                    </w:rPr>
                    <w:t>a</w:t>
                  </w:r>
                  <w:r w:rsidR="002D1B1F" w:rsidRPr="00B568F3">
                    <w:rPr>
                      <w:rFonts w:ascii="Arial" w:eastAsia="Calibri" w:hAnsi="Arial" w:cs="Arial"/>
                      <w:sz w:val="24"/>
                      <w:szCs w:val="24"/>
                    </w:rPr>
                    <w:t xml:space="preserve">ction </w:t>
                  </w:r>
                  <w:r w:rsidR="009353CE" w:rsidRPr="00B568F3">
                    <w:rPr>
                      <w:rFonts w:ascii="Arial" w:eastAsia="Calibri" w:hAnsi="Arial" w:cs="Arial"/>
                      <w:sz w:val="24"/>
                      <w:szCs w:val="24"/>
                    </w:rPr>
                    <w:t>p</w:t>
                  </w:r>
                  <w:r w:rsidR="002D1B1F" w:rsidRPr="00B568F3">
                    <w:rPr>
                      <w:rFonts w:ascii="Arial" w:eastAsia="Calibri" w:hAnsi="Arial" w:cs="Arial"/>
                      <w:sz w:val="24"/>
                      <w:szCs w:val="24"/>
                    </w:rPr>
                    <w:t xml:space="preserve">lan </w:t>
                  </w:r>
                  <w:r w:rsidRPr="00B568F3">
                    <w:rPr>
                      <w:rFonts w:ascii="Arial" w:eastAsia="Calibri" w:hAnsi="Arial" w:cs="Arial"/>
                      <w:sz w:val="24"/>
                      <w:szCs w:val="24"/>
                    </w:rPr>
                    <w:t>i</w:t>
                  </w:r>
                  <w:r w:rsidR="002D1B1F" w:rsidRPr="00B568F3">
                    <w:rPr>
                      <w:rFonts w:ascii="Arial" w:eastAsia="Calibri" w:hAnsi="Arial" w:cs="Arial"/>
                      <w:sz w:val="24"/>
                      <w:szCs w:val="24"/>
                    </w:rPr>
                    <w:t xml:space="preserve">n place which includes </w:t>
                  </w:r>
                  <w:r w:rsidR="008D0D06" w:rsidRPr="00B568F3">
                    <w:rPr>
                      <w:rFonts w:ascii="Arial" w:eastAsia="Calibri" w:hAnsi="Arial" w:cs="Arial"/>
                      <w:sz w:val="24"/>
                      <w:szCs w:val="24"/>
                    </w:rPr>
                    <w:t>programmes</w:t>
                  </w:r>
                  <w:r w:rsidR="00043206" w:rsidRPr="00B568F3">
                    <w:rPr>
                      <w:rFonts w:ascii="Arial" w:eastAsia="Calibri" w:hAnsi="Arial" w:cs="Arial"/>
                      <w:sz w:val="24"/>
                      <w:szCs w:val="24"/>
                    </w:rPr>
                    <w:t xml:space="preserve"> that are part of the learning and development programme such </w:t>
                  </w:r>
                  <w:r w:rsidR="006253C9" w:rsidRPr="00B568F3">
                    <w:rPr>
                      <w:rFonts w:ascii="Arial" w:eastAsia="Calibri" w:hAnsi="Arial" w:cs="Arial"/>
                      <w:sz w:val="24"/>
                      <w:szCs w:val="24"/>
                    </w:rPr>
                    <w:t>as</w:t>
                  </w:r>
                  <w:r w:rsidR="00A8185B" w:rsidRPr="00B568F3">
                    <w:rPr>
                      <w:rFonts w:ascii="Arial" w:eastAsia="Calibri" w:hAnsi="Arial" w:cs="Arial"/>
                      <w:sz w:val="24"/>
                      <w:szCs w:val="24"/>
                    </w:rPr>
                    <w:t xml:space="preserve"> the</w:t>
                  </w:r>
                  <w:r w:rsidR="0024289E" w:rsidRPr="00B568F3">
                    <w:rPr>
                      <w:rFonts w:ascii="Arial" w:eastAsia="Calibri" w:hAnsi="Arial" w:cs="Arial"/>
                      <w:sz w:val="24"/>
                      <w:szCs w:val="24"/>
                    </w:rPr>
                    <w:t>:</w:t>
                  </w:r>
                </w:p>
                <w:p w14:paraId="589ED680" w14:textId="18043D61" w:rsidR="00A8185B" w:rsidRPr="00B568F3" w:rsidRDefault="002D1B1F" w:rsidP="00632461">
                  <w:pPr>
                    <w:pStyle w:val="ListParagraph"/>
                    <w:numPr>
                      <w:ilvl w:val="0"/>
                      <w:numId w:val="27"/>
                    </w:numPr>
                    <w:rPr>
                      <w:rFonts w:ascii="Arial" w:eastAsia="Calibri" w:hAnsi="Arial" w:cs="Arial"/>
                      <w:sz w:val="24"/>
                      <w:szCs w:val="24"/>
                    </w:rPr>
                  </w:pPr>
                  <w:r w:rsidRPr="00B568F3">
                    <w:rPr>
                      <w:rFonts w:ascii="Arial" w:eastAsia="Calibri" w:hAnsi="Arial" w:cs="Arial"/>
                      <w:sz w:val="24"/>
                      <w:szCs w:val="24"/>
                    </w:rPr>
                    <w:t xml:space="preserve">Practice Educator Programme </w:t>
                  </w:r>
                </w:p>
                <w:p w14:paraId="75F5BD07" w14:textId="2688BDAD" w:rsidR="00A8185B" w:rsidRPr="00B568F3" w:rsidRDefault="002D1B1F" w:rsidP="00632461">
                  <w:pPr>
                    <w:pStyle w:val="ListParagraph"/>
                    <w:numPr>
                      <w:ilvl w:val="0"/>
                      <w:numId w:val="27"/>
                    </w:numPr>
                    <w:rPr>
                      <w:rFonts w:ascii="Arial" w:eastAsia="Calibri" w:hAnsi="Arial" w:cs="Arial"/>
                      <w:sz w:val="24"/>
                      <w:szCs w:val="24"/>
                    </w:rPr>
                  </w:pPr>
                  <w:r w:rsidRPr="00B568F3">
                    <w:rPr>
                      <w:rFonts w:ascii="Arial" w:eastAsia="Calibri" w:hAnsi="Arial" w:cs="Arial"/>
                      <w:sz w:val="24"/>
                      <w:szCs w:val="24"/>
                    </w:rPr>
                    <w:t xml:space="preserve">development and </w:t>
                  </w:r>
                  <w:r w:rsidR="00A8185B" w:rsidRPr="00B568F3">
                    <w:rPr>
                      <w:rFonts w:ascii="Arial" w:eastAsia="Calibri" w:hAnsi="Arial" w:cs="Arial"/>
                      <w:sz w:val="24"/>
                      <w:szCs w:val="24"/>
                    </w:rPr>
                    <w:t>c</w:t>
                  </w:r>
                  <w:r w:rsidRPr="00B568F3">
                    <w:rPr>
                      <w:rFonts w:ascii="Arial" w:eastAsia="Calibri" w:hAnsi="Arial" w:cs="Arial"/>
                      <w:sz w:val="24"/>
                      <w:szCs w:val="24"/>
                    </w:rPr>
                    <w:t xml:space="preserve">ontinuation of the </w:t>
                  </w:r>
                  <w:r w:rsidR="00A8185B" w:rsidRPr="00B568F3">
                    <w:rPr>
                      <w:rFonts w:ascii="Arial" w:eastAsia="Calibri" w:hAnsi="Arial" w:cs="Arial"/>
                      <w:sz w:val="24"/>
                      <w:szCs w:val="24"/>
                    </w:rPr>
                    <w:t>s</w:t>
                  </w:r>
                  <w:r w:rsidRPr="00B568F3">
                    <w:rPr>
                      <w:rFonts w:ascii="Arial" w:eastAsia="Calibri" w:hAnsi="Arial" w:cs="Arial"/>
                      <w:sz w:val="24"/>
                      <w:szCs w:val="24"/>
                    </w:rPr>
                    <w:t xml:space="preserve">econdment </w:t>
                  </w:r>
                  <w:r w:rsidR="00A8185B" w:rsidRPr="00B568F3">
                    <w:rPr>
                      <w:rFonts w:ascii="Arial" w:eastAsia="Calibri" w:hAnsi="Arial" w:cs="Arial"/>
                      <w:sz w:val="24"/>
                      <w:szCs w:val="24"/>
                    </w:rPr>
                    <w:t>p</w:t>
                  </w:r>
                  <w:r w:rsidRPr="00B568F3">
                    <w:rPr>
                      <w:rFonts w:ascii="Arial" w:eastAsia="Calibri" w:hAnsi="Arial" w:cs="Arial"/>
                      <w:sz w:val="24"/>
                      <w:szCs w:val="24"/>
                    </w:rPr>
                    <w:t>rogramme</w:t>
                  </w:r>
                </w:p>
                <w:p w14:paraId="5CA6CDCF" w14:textId="66E16BA3" w:rsidR="002D1B1F" w:rsidRPr="00B568F3" w:rsidRDefault="002D1B1F" w:rsidP="00632461">
                  <w:pPr>
                    <w:pStyle w:val="ListParagraph"/>
                    <w:numPr>
                      <w:ilvl w:val="0"/>
                      <w:numId w:val="27"/>
                    </w:numPr>
                    <w:rPr>
                      <w:rFonts w:ascii="Arial" w:eastAsia="Calibri" w:hAnsi="Arial" w:cs="Arial"/>
                      <w:sz w:val="24"/>
                      <w:szCs w:val="24"/>
                    </w:rPr>
                  </w:pPr>
                  <w:r w:rsidRPr="00B568F3">
                    <w:rPr>
                      <w:rFonts w:ascii="Arial" w:eastAsia="Calibri" w:hAnsi="Arial" w:cs="Arial"/>
                      <w:sz w:val="24"/>
                      <w:szCs w:val="24"/>
                    </w:rPr>
                    <w:t xml:space="preserve">development of a Development Framework for Social Worker Support Staff Programme as part of the learning and development programme. </w:t>
                  </w:r>
                </w:p>
                <w:p w14:paraId="063262C2" w14:textId="77777777" w:rsidR="002D1B1F" w:rsidRPr="00B568F3" w:rsidRDefault="002D1B1F" w:rsidP="00FC716F">
                  <w:pPr>
                    <w:rPr>
                      <w:rFonts w:ascii="Arial" w:eastAsia="Calibri" w:hAnsi="Arial" w:cs="Arial"/>
                      <w:sz w:val="24"/>
                      <w:szCs w:val="24"/>
                    </w:rPr>
                  </w:pPr>
                </w:p>
              </w:tc>
            </w:tr>
          </w:tbl>
          <w:p w14:paraId="59263517" w14:textId="77777777" w:rsidR="002D1B1F" w:rsidRPr="00B568F3" w:rsidRDefault="002D1B1F" w:rsidP="00FC716F">
            <w:pPr>
              <w:rPr>
                <w:rFonts w:ascii="Arial" w:eastAsia="Calibri" w:hAnsi="Arial" w:cs="Arial"/>
                <w:sz w:val="24"/>
                <w:szCs w:val="24"/>
              </w:rPr>
            </w:pPr>
          </w:p>
        </w:tc>
      </w:tr>
      <w:tr w:rsidR="002D1B1F" w:rsidRPr="00B568F3" w14:paraId="648A2DE2" w14:textId="77777777" w:rsidTr="000C06A7">
        <w:trPr>
          <w:gridBefore w:val="1"/>
          <w:wBefore w:w="108" w:type="dxa"/>
        </w:trPr>
        <w:tc>
          <w:tcPr>
            <w:tcW w:w="9026" w:type="dxa"/>
            <w:tcBorders>
              <w:top w:val="nil"/>
              <w:left w:val="nil"/>
              <w:bottom w:val="nil"/>
              <w:right w:val="nil"/>
            </w:tcBorders>
          </w:tcPr>
          <w:p w14:paraId="1AF282A1" w14:textId="77777777" w:rsidR="002D1B1F" w:rsidRPr="00B568F3" w:rsidRDefault="002D1B1F" w:rsidP="00FC716F">
            <w:pPr>
              <w:rPr>
                <w:rFonts w:ascii="Arial" w:eastAsia="Calibri" w:hAnsi="Arial" w:cs="Arial"/>
                <w:color w:val="FF0000"/>
                <w:sz w:val="24"/>
                <w:szCs w:val="24"/>
              </w:rPr>
            </w:pPr>
          </w:p>
        </w:tc>
      </w:tr>
    </w:tbl>
    <w:p w14:paraId="71FE143A" w14:textId="13CCFF2B" w:rsidR="002D1B1F" w:rsidRPr="000C06A7"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0C06A7">
        <w:rPr>
          <w:rFonts w:ascii="Arial" w:eastAsia="Calibri" w:hAnsi="Arial" w:cs="Arial"/>
          <w:bCs/>
          <w:sz w:val="24"/>
          <w:szCs w:val="24"/>
        </w:rPr>
        <w:t xml:space="preserve">This theme has </w:t>
      </w:r>
      <w:r w:rsidR="00F5491A" w:rsidRPr="000C06A7">
        <w:rPr>
          <w:rFonts w:ascii="Arial" w:eastAsia="Calibri" w:hAnsi="Arial" w:cs="Arial"/>
          <w:bCs/>
          <w:sz w:val="24"/>
          <w:szCs w:val="24"/>
        </w:rPr>
        <w:t xml:space="preserve">had a lot of </w:t>
      </w:r>
      <w:r w:rsidRPr="000C06A7">
        <w:rPr>
          <w:rFonts w:ascii="Arial" w:eastAsia="Calibri" w:hAnsi="Arial" w:cs="Arial"/>
          <w:bCs/>
          <w:sz w:val="24"/>
          <w:szCs w:val="24"/>
        </w:rPr>
        <w:t xml:space="preserve">attention over the last few years </w:t>
      </w:r>
      <w:r w:rsidR="003D19EF" w:rsidRPr="000C06A7">
        <w:rPr>
          <w:rFonts w:ascii="Arial" w:eastAsia="Calibri" w:hAnsi="Arial" w:cs="Arial"/>
          <w:bCs/>
          <w:sz w:val="24"/>
          <w:szCs w:val="24"/>
        </w:rPr>
        <w:t>because of</w:t>
      </w:r>
      <w:r w:rsidRPr="000C06A7">
        <w:rPr>
          <w:rFonts w:ascii="Arial" w:eastAsia="Calibri" w:hAnsi="Arial" w:cs="Arial"/>
          <w:bCs/>
          <w:sz w:val="24"/>
          <w:szCs w:val="24"/>
        </w:rPr>
        <w:t xml:space="preserve"> issues facing this part of the workforce, as</w:t>
      </w:r>
      <w:r w:rsidR="00383257" w:rsidRPr="000C06A7">
        <w:rPr>
          <w:rFonts w:ascii="Arial" w:eastAsia="Calibri" w:hAnsi="Arial" w:cs="Arial"/>
          <w:bCs/>
          <w:sz w:val="24"/>
          <w:szCs w:val="24"/>
        </w:rPr>
        <w:t xml:space="preserve"> noted</w:t>
      </w:r>
      <w:r w:rsidRPr="000C06A7" w:rsidDel="00383257">
        <w:rPr>
          <w:rFonts w:ascii="Arial" w:eastAsia="Calibri" w:hAnsi="Arial" w:cs="Arial"/>
          <w:bCs/>
          <w:sz w:val="24"/>
          <w:szCs w:val="24"/>
        </w:rPr>
        <w:t xml:space="preserve"> </w:t>
      </w:r>
      <w:r w:rsidRPr="000C06A7">
        <w:rPr>
          <w:rFonts w:ascii="Arial" w:eastAsia="Calibri" w:hAnsi="Arial" w:cs="Arial"/>
          <w:bCs/>
          <w:sz w:val="24"/>
          <w:szCs w:val="24"/>
        </w:rPr>
        <w:t xml:space="preserve">in the </w:t>
      </w:r>
      <w:hyperlink r:id="rId28" w:history="1">
        <w:r w:rsidRPr="000C06A7">
          <w:rPr>
            <w:rStyle w:val="Hyperlink"/>
            <w:rFonts w:ascii="Arial" w:eastAsia="Calibri" w:hAnsi="Arial" w:cs="Arial"/>
            <w:bCs/>
            <w:sz w:val="24"/>
            <w:szCs w:val="24"/>
          </w:rPr>
          <w:t>Social Work Workforce Plan</w:t>
        </w:r>
      </w:hyperlink>
      <w:r w:rsidRPr="000C06A7">
        <w:rPr>
          <w:rFonts w:ascii="Arial" w:eastAsia="Calibri" w:hAnsi="Arial" w:cs="Arial"/>
          <w:bCs/>
          <w:sz w:val="24"/>
          <w:szCs w:val="24"/>
        </w:rPr>
        <w:t xml:space="preserve">. </w:t>
      </w:r>
    </w:p>
    <w:p w14:paraId="0555F25B" w14:textId="77777777" w:rsidR="00B314B5" w:rsidRPr="000C06A7" w:rsidRDefault="00B314B5" w:rsidP="00B314B5">
      <w:pPr>
        <w:spacing w:after="200" w:line="276" w:lineRule="auto"/>
        <w:ind w:left="567"/>
        <w:contextualSpacing/>
        <w:rPr>
          <w:rFonts w:ascii="Arial" w:eastAsia="Calibri" w:hAnsi="Arial" w:cs="Arial"/>
          <w:bCs/>
          <w:sz w:val="24"/>
          <w:szCs w:val="24"/>
        </w:rPr>
      </w:pPr>
    </w:p>
    <w:p w14:paraId="3B5AEFCE" w14:textId="6FC9FC18" w:rsidR="002D1B1F" w:rsidRPr="000C06A7"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0C06A7">
        <w:rPr>
          <w:rFonts w:ascii="Arial" w:eastAsia="Calibri" w:hAnsi="Arial" w:cs="Arial"/>
          <w:bCs/>
          <w:sz w:val="24"/>
          <w:szCs w:val="24"/>
        </w:rPr>
        <w:t xml:space="preserve">SCWWDP spend on this priority </w:t>
      </w:r>
      <w:r w:rsidR="00B8221A" w:rsidRPr="000C06A7">
        <w:rPr>
          <w:rFonts w:ascii="Arial" w:eastAsia="Calibri" w:hAnsi="Arial" w:cs="Arial"/>
          <w:bCs/>
          <w:sz w:val="24"/>
          <w:szCs w:val="24"/>
        </w:rPr>
        <w:t xml:space="preserve">stayed </w:t>
      </w:r>
      <w:r w:rsidRPr="000C06A7">
        <w:rPr>
          <w:rFonts w:ascii="Arial" w:eastAsia="Calibri" w:hAnsi="Arial" w:cs="Arial"/>
          <w:bCs/>
          <w:sz w:val="24"/>
          <w:szCs w:val="24"/>
        </w:rPr>
        <w:t>the second highest at 35.5</w:t>
      </w:r>
      <w:r w:rsidR="00B8221A" w:rsidRPr="000C06A7">
        <w:rPr>
          <w:rFonts w:ascii="Arial" w:eastAsia="Calibri" w:hAnsi="Arial" w:cs="Arial"/>
          <w:bCs/>
          <w:sz w:val="24"/>
          <w:szCs w:val="24"/>
        </w:rPr>
        <w:t xml:space="preserve"> per cent</w:t>
      </w:r>
      <w:r w:rsidRPr="000C06A7">
        <w:rPr>
          <w:rFonts w:ascii="Arial" w:eastAsia="Calibri" w:hAnsi="Arial" w:cs="Arial"/>
          <w:bCs/>
          <w:sz w:val="24"/>
          <w:szCs w:val="24"/>
        </w:rPr>
        <w:t xml:space="preserve"> in 2023</w:t>
      </w:r>
      <w:r w:rsidR="00B8221A" w:rsidRPr="000C06A7">
        <w:rPr>
          <w:rFonts w:ascii="Arial" w:eastAsia="Calibri" w:hAnsi="Arial" w:cs="Arial"/>
          <w:bCs/>
          <w:sz w:val="24"/>
          <w:szCs w:val="24"/>
        </w:rPr>
        <w:t xml:space="preserve"> to 20</w:t>
      </w:r>
      <w:r w:rsidRPr="000C06A7">
        <w:rPr>
          <w:rFonts w:ascii="Arial" w:eastAsia="Calibri" w:hAnsi="Arial" w:cs="Arial"/>
          <w:bCs/>
          <w:sz w:val="24"/>
          <w:szCs w:val="24"/>
        </w:rPr>
        <w:t xml:space="preserve">24. For the same period, this priority </w:t>
      </w:r>
      <w:r w:rsidR="00B97F73" w:rsidRPr="000C06A7">
        <w:rPr>
          <w:rFonts w:ascii="Arial" w:eastAsia="Calibri" w:hAnsi="Arial" w:cs="Arial"/>
          <w:bCs/>
          <w:sz w:val="24"/>
          <w:szCs w:val="24"/>
        </w:rPr>
        <w:t xml:space="preserve">made up </w:t>
      </w:r>
      <w:r w:rsidRPr="000C06A7">
        <w:rPr>
          <w:rFonts w:ascii="Arial" w:eastAsia="Calibri" w:hAnsi="Arial" w:cs="Arial"/>
          <w:bCs/>
          <w:sz w:val="24"/>
          <w:szCs w:val="24"/>
        </w:rPr>
        <w:t>for 29.0</w:t>
      </w:r>
      <w:r w:rsidR="00B97F73" w:rsidRPr="000C06A7">
        <w:rPr>
          <w:rFonts w:ascii="Arial" w:eastAsia="Calibri" w:hAnsi="Arial" w:cs="Arial"/>
          <w:bCs/>
          <w:sz w:val="24"/>
          <w:szCs w:val="24"/>
        </w:rPr>
        <w:t xml:space="preserve"> per cent</w:t>
      </w:r>
      <w:r w:rsidRPr="000C06A7">
        <w:rPr>
          <w:rFonts w:ascii="Arial" w:eastAsia="Calibri" w:hAnsi="Arial" w:cs="Arial"/>
          <w:bCs/>
          <w:sz w:val="24"/>
          <w:szCs w:val="24"/>
        </w:rPr>
        <w:t xml:space="preserve"> of additional </w:t>
      </w:r>
      <w:r w:rsidR="00B97F73" w:rsidRPr="000C06A7">
        <w:rPr>
          <w:rFonts w:ascii="Arial" w:eastAsia="Calibri" w:hAnsi="Arial" w:cs="Arial"/>
          <w:bCs/>
          <w:sz w:val="24"/>
          <w:szCs w:val="24"/>
        </w:rPr>
        <w:t>local authority</w:t>
      </w:r>
      <w:r w:rsidRPr="000C06A7">
        <w:rPr>
          <w:rFonts w:ascii="Arial" w:eastAsia="Calibri" w:hAnsi="Arial" w:cs="Arial"/>
          <w:bCs/>
          <w:sz w:val="24"/>
          <w:szCs w:val="24"/>
        </w:rPr>
        <w:t xml:space="preserve"> funding on national priorities. </w:t>
      </w:r>
    </w:p>
    <w:p w14:paraId="0F7BCF5B" w14:textId="77777777" w:rsidR="00B314B5" w:rsidRPr="000C06A7" w:rsidRDefault="00B314B5" w:rsidP="00B314B5">
      <w:pPr>
        <w:spacing w:after="200" w:line="276" w:lineRule="auto"/>
        <w:contextualSpacing/>
        <w:rPr>
          <w:rFonts w:ascii="Arial" w:eastAsia="Calibri" w:hAnsi="Arial" w:cs="Arial"/>
          <w:bCs/>
          <w:sz w:val="24"/>
          <w:szCs w:val="24"/>
        </w:rPr>
      </w:pPr>
    </w:p>
    <w:p w14:paraId="2AAE79B2" w14:textId="2845A7EC" w:rsidR="002D1B1F" w:rsidRPr="000C06A7"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0C06A7">
        <w:rPr>
          <w:rFonts w:ascii="Arial" w:eastAsia="Calibri" w:hAnsi="Arial" w:cs="Arial"/>
          <w:bCs/>
          <w:sz w:val="24"/>
          <w:szCs w:val="24"/>
        </w:rPr>
        <w:t>In 2023</w:t>
      </w:r>
      <w:r w:rsidR="00B97F73" w:rsidRPr="000C06A7">
        <w:rPr>
          <w:rFonts w:ascii="Arial" w:eastAsia="Calibri" w:hAnsi="Arial" w:cs="Arial"/>
          <w:bCs/>
          <w:sz w:val="24"/>
          <w:szCs w:val="24"/>
        </w:rPr>
        <w:t xml:space="preserve"> to 20</w:t>
      </w:r>
      <w:r w:rsidRPr="000C06A7">
        <w:rPr>
          <w:rFonts w:ascii="Arial" w:eastAsia="Calibri" w:hAnsi="Arial" w:cs="Arial"/>
          <w:bCs/>
          <w:sz w:val="24"/>
          <w:szCs w:val="24"/>
        </w:rPr>
        <w:t>24, 41.4</w:t>
      </w:r>
      <w:r w:rsidR="001B2154" w:rsidRPr="000C06A7">
        <w:rPr>
          <w:rFonts w:ascii="Arial" w:eastAsia="Calibri" w:hAnsi="Arial" w:cs="Arial"/>
          <w:bCs/>
          <w:sz w:val="24"/>
          <w:szCs w:val="24"/>
        </w:rPr>
        <w:t xml:space="preserve"> per cent</w:t>
      </w:r>
      <w:r w:rsidRPr="000C06A7">
        <w:rPr>
          <w:rFonts w:ascii="Arial" w:eastAsia="Calibri" w:hAnsi="Arial" w:cs="Arial"/>
          <w:bCs/>
          <w:sz w:val="24"/>
          <w:szCs w:val="24"/>
        </w:rPr>
        <w:t xml:space="preserve"> of the regional facilitation grant was</w:t>
      </w:r>
      <w:r w:rsidRPr="000C06A7" w:rsidDel="001B2154">
        <w:rPr>
          <w:rFonts w:ascii="Arial" w:eastAsia="Calibri" w:hAnsi="Arial" w:cs="Arial"/>
          <w:bCs/>
          <w:sz w:val="24"/>
          <w:szCs w:val="24"/>
        </w:rPr>
        <w:t xml:space="preserve"> </w:t>
      </w:r>
      <w:r w:rsidR="001B2154" w:rsidRPr="000C06A7">
        <w:rPr>
          <w:rFonts w:ascii="Arial" w:eastAsia="Calibri" w:hAnsi="Arial" w:cs="Arial"/>
          <w:bCs/>
          <w:sz w:val="24"/>
          <w:szCs w:val="24"/>
        </w:rPr>
        <w:t xml:space="preserve">given </w:t>
      </w:r>
      <w:r w:rsidRPr="000C06A7">
        <w:rPr>
          <w:rFonts w:ascii="Arial" w:eastAsia="Calibri" w:hAnsi="Arial" w:cs="Arial"/>
          <w:bCs/>
          <w:sz w:val="24"/>
          <w:szCs w:val="24"/>
        </w:rPr>
        <w:t>to social work degree sponsor programmes. One region out of the seven spent an additional £31</w:t>
      </w:r>
      <w:r w:rsidR="00F41561" w:rsidRPr="000C06A7">
        <w:rPr>
          <w:rFonts w:ascii="Arial" w:eastAsia="Calibri" w:hAnsi="Arial" w:cs="Arial"/>
          <w:bCs/>
          <w:sz w:val="24"/>
          <w:szCs w:val="24"/>
        </w:rPr>
        <w:t>,000</w:t>
      </w:r>
      <w:r w:rsidRPr="000C06A7">
        <w:rPr>
          <w:rFonts w:ascii="Arial" w:eastAsia="Calibri" w:hAnsi="Arial" w:cs="Arial"/>
          <w:bCs/>
          <w:sz w:val="24"/>
          <w:szCs w:val="24"/>
        </w:rPr>
        <w:t xml:space="preserve"> of additional </w:t>
      </w:r>
      <w:r w:rsidR="00392069" w:rsidRPr="000C06A7">
        <w:rPr>
          <w:rFonts w:ascii="Arial" w:eastAsia="Calibri" w:hAnsi="Arial" w:cs="Arial"/>
          <w:bCs/>
          <w:sz w:val="24"/>
          <w:szCs w:val="24"/>
        </w:rPr>
        <w:t>local authority</w:t>
      </w:r>
      <w:r w:rsidRPr="000C06A7">
        <w:rPr>
          <w:rFonts w:ascii="Arial" w:eastAsia="Calibri" w:hAnsi="Arial" w:cs="Arial"/>
          <w:bCs/>
          <w:sz w:val="24"/>
          <w:szCs w:val="24"/>
        </w:rPr>
        <w:t xml:space="preserve"> funding to increase the number of </w:t>
      </w:r>
      <w:r w:rsidR="00392069" w:rsidRPr="000C06A7">
        <w:rPr>
          <w:rFonts w:ascii="Arial" w:eastAsia="Calibri" w:hAnsi="Arial" w:cs="Arial"/>
          <w:bCs/>
          <w:sz w:val="24"/>
          <w:szCs w:val="24"/>
        </w:rPr>
        <w:t>l</w:t>
      </w:r>
      <w:r w:rsidRPr="000C06A7">
        <w:rPr>
          <w:rFonts w:ascii="Arial" w:eastAsia="Calibri" w:hAnsi="Arial" w:cs="Arial"/>
          <w:bCs/>
          <w:sz w:val="24"/>
          <w:szCs w:val="24"/>
        </w:rPr>
        <w:t xml:space="preserve">ocal </w:t>
      </w:r>
      <w:r w:rsidR="00392069" w:rsidRPr="000C06A7">
        <w:rPr>
          <w:rFonts w:ascii="Arial" w:eastAsia="Calibri" w:hAnsi="Arial" w:cs="Arial"/>
          <w:bCs/>
          <w:sz w:val="24"/>
          <w:szCs w:val="24"/>
        </w:rPr>
        <w:t>a</w:t>
      </w:r>
      <w:r w:rsidRPr="000C06A7">
        <w:rPr>
          <w:rFonts w:ascii="Arial" w:eastAsia="Calibri" w:hAnsi="Arial" w:cs="Arial"/>
          <w:bCs/>
          <w:sz w:val="24"/>
          <w:szCs w:val="24"/>
        </w:rPr>
        <w:t>uthority sponsored social work students.</w:t>
      </w:r>
    </w:p>
    <w:p w14:paraId="4EEF31AC" w14:textId="77777777" w:rsidR="00B314B5" w:rsidRPr="000C06A7" w:rsidRDefault="00B314B5" w:rsidP="00B314B5">
      <w:pPr>
        <w:spacing w:after="200" w:line="276" w:lineRule="auto"/>
        <w:contextualSpacing/>
        <w:rPr>
          <w:rFonts w:ascii="Arial" w:eastAsia="Calibri" w:hAnsi="Arial" w:cs="Arial"/>
          <w:bCs/>
          <w:sz w:val="24"/>
          <w:szCs w:val="24"/>
        </w:rPr>
      </w:pPr>
    </w:p>
    <w:p w14:paraId="027F5C90" w14:textId="6C5790B9" w:rsidR="002D1B1F" w:rsidRPr="000C06A7"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0C06A7">
        <w:rPr>
          <w:rFonts w:ascii="Arial" w:eastAsia="Calibri" w:hAnsi="Arial" w:cs="Arial"/>
          <w:bCs/>
          <w:sz w:val="24"/>
          <w:szCs w:val="24"/>
        </w:rPr>
        <w:t>The</w:t>
      </w:r>
      <w:r w:rsidRPr="000C06A7" w:rsidDel="009B4C44">
        <w:rPr>
          <w:rFonts w:ascii="Arial" w:eastAsia="Calibri" w:hAnsi="Arial" w:cs="Arial"/>
          <w:bCs/>
          <w:sz w:val="24"/>
          <w:szCs w:val="24"/>
        </w:rPr>
        <w:t xml:space="preserve"> </w:t>
      </w:r>
      <w:r w:rsidRPr="000C06A7">
        <w:rPr>
          <w:rFonts w:ascii="Arial" w:eastAsia="Calibri" w:hAnsi="Arial" w:cs="Arial"/>
          <w:bCs/>
          <w:sz w:val="24"/>
          <w:szCs w:val="24"/>
        </w:rPr>
        <w:t xml:space="preserve">interventions and focus on this theme in the last few years </w:t>
      </w:r>
      <w:r w:rsidR="00F41561" w:rsidRPr="000C06A7">
        <w:rPr>
          <w:rFonts w:ascii="Arial" w:eastAsia="Calibri" w:hAnsi="Arial" w:cs="Arial"/>
          <w:bCs/>
          <w:sz w:val="24"/>
          <w:szCs w:val="24"/>
        </w:rPr>
        <w:t>are</w:t>
      </w:r>
      <w:r w:rsidRPr="000C06A7" w:rsidDel="009B4C44">
        <w:rPr>
          <w:rFonts w:ascii="Arial" w:eastAsia="Calibri" w:hAnsi="Arial" w:cs="Arial"/>
          <w:bCs/>
          <w:sz w:val="24"/>
          <w:szCs w:val="24"/>
        </w:rPr>
        <w:t xml:space="preserve"> </w:t>
      </w:r>
      <w:r w:rsidR="009B4C44" w:rsidRPr="000C06A7">
        <w:rPr>
          <w:rFonts w:ascii="Arial" w:eastAsia="Calibri" w:hAnsi="Arial" w:cs="Arial"/>
          <w:bCs/>
          <w:sz w:val="24"/>
          <w:szCs w:val="24"/>
        </w:rPr>
        <w:t>still</w:t>
      </w:r>
      <w:r w:rsidR="007722F0" w:rsidRPr="000C06A7">
        <w:rPr>
          <w:rFonts w:ascii="Arial" w:eastAsia="Calibri" w:hAnsi="Arial" w:cs="Arial"/>
          <w:bCs/>
          <w:sz w:val="24"/>
          <w:szCs w:val="24"/>
        </w:rPr>
        <w:t xml:space="preserve"> having</w:t>
      </w:r>
      <w:r w:rsidRPr="000C06A7">
        <w:rPr>
          <w:rFonts w:ascii="Arial" w:eastAsia="Calibri" w:hAnsi="Arial" w:cs="Arial"/>
          <w:bCs/>
          <w:sz w:val="24"/>
          <w:szCs w:val="24"/>
        </w:rPr>
        <w:t xml:space="preserve"> a positive impact as there</w:t>
      </w:r>
      <w:r w:rsidR="007722F0" w:rsidRPr="000C06A7">
        <w:rPr>
          <w:rFonts w:ascii="Arial" w:eastAsia="Calibri" w:hAnsi="Arial" w:cs="Arial"/>
          <w:bCs/>
          <w:sz w:val="24"/>
          <w:szCs w:val="24"/>
        </w:rPr>
        <w:t>’s</w:t>
      </w:r>
      <w:r w:rsidRPr="000C06A7" w:rsidDel="007722F0">
        <w:rPr>
          <w:rFonts w:ascii="Arial" w:eastAsia="Calibri" w:hAnsi="Arial" w:cs="Arial"/>
          <w:bCs/>
          <w:sz w:val="24"/>
          <w:szCs w:val="24"/>
        </w:rPr>
        <w:t xml:space="preserve"> </w:t>
      </w:r>
      <w:r w:rsidRPr="000C06A7">
        <w:rPr>
          <w:rFonts w:ascii="Arial" w:eastAsia="Calibri" w:hAnsi="Arial" w:cs="Arial"/>
          <w:bCs/>
          <w:sz w:val="24"/>
          <w:szCs w:val="24"/>
        </w:rPr>
        <w:t>been a 34.1</w:t>
      </w:r>
      <w:r w:rsidR="007722F0" w:rsidRPr="000C06A7">
        <w:rPr>
          <w:rFonts w:ascii="Arial" w:eastAsia="Calibri" w:hAnsi="Arial" w:cs="Arial"/>
          <w:bCs/>
          <w:sz w:val="24"/>
          <w:szCs w:val="24"/>
        </w:rPr>
        <w:t xml:space="preserve"> per cent</w:t>
      </w:r>
      <w:r w:rsidRPr="000C06A7">
        <w:rPr>
          <w:rFonts w:ascii="Arial" w:eastAsia="Calibri" w:hAnsi="Arial" w:cs="Arial"/>
          <w:bCs/>
          <w:sz w:val="24"/>
          <w:szCs w:val="24"/>
        </w:rPr>
        <w:t xml:space="preserve"> increase in the number of sponsored social work students </w:t>
      </w:r>
      <w:r w:rsidR="007722F0" w:rsidRPr="000C06A7">
        <w:rPr>
          <w:rFonts w:ascii="Arial" w:eastAsia="Calibri" w:hAnsi="Arial" w:cs="Arial"/>
          <w:bCs/>
          <w:sz w:val="24"/>
          <w:szCs w:val="24"/>
        </w:rPr>
        <w:t xml:space="preserve">doing </w:t>
      </w:r>
      <w:r w:rsidRPr="000C06A7">
        <w:rPr>
          <w:rFonts w:ascii="Arial" w:eastAsia="Calibri" w:hAnsi="Arial" w:cs="Arial"/>
          <w:bCs/>
          <w:sz w:val="24"/>
          <w:szCs w:val="24"/>
        </w:rPr>
        <w:t>qualifying programmes in 2023</w:t>
      </w:r>
      <w:r w:rsidR="00395E77" w:rsidRPr="000C06A7">
        <w:rPr>
          <w:rFonts w:ascii="Arial" w:eastAsia="Calibri" w:hAnsi="Arial" w:cs="Arial"/>
          <w:bCs/>
          <w:sz w:val="24"/>
          <w:szCs w:val="24"/>
        </w:rPr>
        <w:t xml:space="preserve"> to </w:t>
      </w:r>
      <w:r w:rsidRPr="000C06A7">
        <w:rPr>
          <w:rFonts w:ascii="Arial" w:eastAsia="Calibri" w:hAnsi="Arial" w:cs="Arial"/>
          <w:bCs/>
          <w:sz w:val="24"/>
          <w:szCs w:val="24"/>
        </w:rPr>
        <w:t>2024</w:t>
      </w:r>
      <w:r w:rsidR="00F41561" w:rsidRPr="000C06A7">
        <w:rPr>
          <w:rFonts w:ascii="Arial" w:eastAsia="Calibri" w:hAnsi="Arial" w:cs="Arial"/>
          <w:bCs/>
          <w:sz w:val="24"/>
          <w:szCs w:val="24"/>
        </w:rPr>
        <w:t>,</w:t>
      </w:r>
      <w:r w:rsidRPr="000C06A7">
        <w:rPr>
          <w:rFonts w:ascii="Arial" w:eastAsia="Calibri" w:hAnsi="Arial" w:cs="Arial"/>
          <w:bCs/>
          <w:sz w:val="24"/>
          <w:szCs w:val="24"/>
        </w:rPr>
        <w:t xml:space="preserve"> following on from an increase of 27.5</w:t>
      </w:r>
      <w:r w:rsidR="00395E77" w:rsidRPr="000C06A7">
        <w:rPr>
          <w:rFonts w:ascii="Arial" w:eastAsia="Calibri" w:hAnsi="Arial" w:cs="Arial"/>
          <w:bCs/>
          <w:sz w:val="24"/>
          <w:szCs w:val="24"/>
        </w:rPr>
        <w:t xml:space="preserve"> per cent</w:t>
      </w:r>
      <w:r w:rsidRPr="000C06A7">
        <w:rPr>
          <w:rFonts w:ascii="Arial" w:eastAsia="Calibri" w:hAnsi="Arial" w:cs="Arial"/>
          <w:bCs/>
          <w:sz w:val="24"/>
          <w:szCs w:val="24"/>
        </w:rPr>
        <w:t xml:space="preserve"> in 2022</w:t>
      </w:r>
      <w:r w:rsidR="00395E77" w:rsidRPr="000C06A7">
        <w:rPr>
          <w:rFonts w:ascii="Arial" w:eastAsia="Calibri" w:hAnsi="Arial" w:cs="Arial"/>
          <w:bCs/>
          <w:sz w:val="24"/>
          <w:szCs w:val="24"/>
        </w:rPr>
        <w:t xml:space="preserve"> to 20</w:t>
      </w:r>
      <w:r w:rsidRPr="000C06A7">
        <w:rPr>
          <w:rFonts w:ascii="Arial" w:eastAsia="Calibri" w:hAnsi="Arial" w:cs="Arial"/>
          <w:bCs/>
          <w:sz w:val="24"/>
          <w:szCs w:val="24"/>
        </w:rPr>
        <w:t>23.</w:t>
      </w:r>
    </w:p>
    <w:p w14:paraId="282508E6" w14:textId="77777777" w:rsidR="00B314B5" w:rsidRPr="000C06A7" w:rsidRDefault="00B314B5" w:rsidP="00B314B5">
      <w:pPr>
        <w:spacing w:after="200" w:line="276" w:lineRule="auto"/>
        <w:contextualSpacing/>
        <w:rPr>
          <w:rFonts w:ascii="Arial" w:eastAsia="Calibri" w:hAnsi="Arial" w:cs="Arial"/>
          <w:bCs/>
          <w:sz w:val="24"/>
          <w:szCs w:val="24"/>
        </w:rPr>
      </w:pPr>
    </w:p>
    <w:p w14:paraId="6B0EAAF2" w14:textId="1DB5F2CD" w:rsidR="002D1B1F" w:rsidRPr="000C06A7"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0C06A7">
        <w:rPr>
          <w:rFonts w:ascii="Arial" w:eastAsia="Calibri" w:hAnsi="Arial" w:cs="Arial"/>
          <w:bCs/>
          <w:sz w:val="24"/>
          <w:szCs w:val="24"/>
        </w:rPr>
        <w:t xml:space="preserve">All regions report on the successes of the ‘grow your own model’ with </w:t>
      </w:r>
      <w:r w:rsidR="00F519C9" w:rsidRPr="000C06A7">
        <w:rPr>
          <w:rFonts w:ascii="Arial" w:eastAsia="Calibri" w:hAnsi="Arial" w:cs="Arial"/>
          <w:bCs/>
          <w:sz w:val="24"/>
          <w:szCs w:val="24"/>
        </w:rPr>
        <w:t xml:space="preserve">informal </w:t>
      </w:r>
      <w:r w:rsidRPr="000C06A7">
        <w:rPr>
          <w:rFonts w:ascii="Arial" w:eastAsia="Calibri" w:hAnsi="Arial" w:cs="Arial"/>
          <w:bCs/>
          <w:sz w:val="24"/>
          <w:szCs w:val="24"/>
        </w:rPr>
        <w:t>evidence</w:t>
      </w:r>
      <w:r w:rsidR="00CF4058" w:rsidRPr="000C06A7">
        <w:rPr>
          <w:rFonts w:ascii="Arial" w:eastAsia="Calibri" w:hAnsi="Arial" w:cs="Arial"/>
          <w:bCs/>
          <w:sz w:val="24"/>
          <w:szCs w:val="24"/>
        </w:rPr>
        <w:t xml:space="preserve"> showing</w:t>
      </w:r>
      <w:r w:rsidRPr="000C06A7">
        <w:rPr>
          <w:rFonts w:ascii="Arial" w:eastAsia="Calibri" w:hAnsi="Arial" w:cs="Arial"/>
          <w:bCs/>
          <w:sz w:val="24"/>
          <w:szCs w:val="24"/>
        </w:rPr>
        <w:t xml:space="preserve"> </w:t>
      </w:r>
      <w:r w:rsidR="003B771D" w:rsidRPr="000C06A7">
        <w:rPr>
          <w:rFonts w:ascii="Arial" w:eastAsia="Calibri" w:hAnsi="Arial" w:cs="Arial"/>
          <w:bCs/>
          <w:sz w:val="24"/>
          <w:szCs w:val="24"/>
        </w:rPr>
        <w:t xml:space="preserve">that retention rates of sponsored students </w:t>
      </w:r>
      <w:r w:rsidR="00D71D01" w:rsidRPr="000C06A7">
        <w:rPr>
          <w:rFonts w:ascii="Arial" w:eastAsia="Calibri" w:hAnsi="Arial" w:cs="Arial"/>
          <w:bCs/>
          <w:sz w:val="24"/>
          <w:szCs w:val="24"/>
        </w:rPr>
        <w:t xml:space="preserve">are </w:t>
      </w:r>
      <w:r w:rsidR="003B771D" w:rsidRPr="000C06A7">
        <w:rPr>
          <w:rFonts w:ascii="Arial" w:eastAsia="Calibri" w:hAnsi="Arial" w:cs="Arial"/>
          <w:bCs/>
          <w:sz w:val="24"/>
          <w:szCs w:val="24"/>
        </w:rPr>
        <w:t>improving.</w:t>
      </w:r>
      <w:r w:rsidRPr="000C06A7">
        <w:rPr>
          <w:rFonts w:ascii="Arial" w:eastAsia="Calibri" w:hAnsi="Arial" w:cs="Arial"/>
          <w:bCs/>
          <w:sz w:val="24"/>
          <w:szCs w:val="24"/>
        </w:rPr>
        <w:t xml:space="preserve"> The model </w:t>
      </w:r>
      <w:r w:rsidR="007F5698" w:rsidRPr="000C06A7">
        <w:rPr>
          <w:rFonts w:ascii="Arial" w:eastAsia="Calibri" w:hAnsi="Arial" w:cs="Arial"/>
          <w:bCs/>
          <w:sz w:val="24"/>
          <w:szCs w:val="24"/>
        </w:rPr>
        <w:t xml:space="preserve">uses </w:t>
      </w:r>
      <w:r w:rsidRPr="000C06A7">
        <w:rPr>
          <w:rFonts w:ascii="Arial" w:eastAsia="Calibri" w:hAnsi="Arial" w:cs="Arial"/>
          <w:bCs/>
          <w:sz w:val="24"/>
          <w:szCs w:val="24"/>
        </w:rPr>
        <w:t xml:space="preserve">secondments and trainee posts to secure social work degree students </w:t>
      </w:r>
      <w:r w:rsidR="00397E88" w:rsidRPr="000C06A7">
        <w:rPr>
          <w:rFonts w:ascii="Arial" w:eastAsia="Calibri" w:hAnsi="Arial" w:cs="Arial"/>
          <w:bCs/>
          <w:sz w:val="24"/>
          <w:szCs w:val="24"/>
        </w:rPr>
        <w:t>while they’re studying</w:t>
      </w:r>
      <w:r w:rsidR="00C9774C" w:rsidRPr="000C06A7">
        <w:rPr>
          <w:rFonts w:ascii="Arial" w:eastAsia="Calibri" w:hAnsi="Arial" w:cs="Arial"/>
          <w:bCs/>
          <w:sz w:val="24"/>
          <w:szCs w:val="24"/>
        </w:rPr>
        <w:t>. This</w:t>
      </w:r>
      <w:r w:rsidR="00595002" w:rsidRPr="000C06A7" w:rsidDel="00C9774C">
        <w:rPr>
          <w:rFonts w:ascii="Arial" w:eastAsia="Calibri" w:hAnsi="Arial" w:cs="Arial"/>
          <w:bCs/>
          <w:sz w:val="24"/>
          <w:szCs w:val="24"/>
        </w:rPr>
        <w:t xml:space="preserve"> </w:t>
      </w:r>
      <w:r w:rsidR="00C9774C" w:rsidRPr="000C06A7">
        <w:rPr>
          <w:rFonts w:ascii="Arial" w:eastAsia="Calibri" w:hAnsi="Arial" w:cs="Arial"/>
          <w:bCs/>
          <w:sz w:val="24"/>
          <w:szCs w:val="24"/>
        </w:rPr>
        <w:t>converts</w:t>
      </w:r>
      <w:r w:rsidR="00595002" w:rsidRPr="000C06A7">
        <w:rPr>
          <w:rFonts w:ascii="Arial" w:eastAsia="Calibri" w:hAnsi="Arial" w:cs="Arial"/>
          <w:bCs/>
          <w:sz w:val="24"/>
          <w:szCs w:val="24"/>
        </w:rPr>
        <w:t xml:space="preserve"> into many posts</w:t>
      </w:r>
      <w:r w:rsidR="00E26B37" w:rsidRPr="000C06A7">
        <w:rPr>
          <w:rFonts w:ascii="Arial" w:eastAsia="Calibri" w:hAnsi="Arial" w:cs="Arial"/>
          <w:bCs/>
          <w:sz w:val="24"/>
          <w:szCs w:val="24"/>
        </w:rPr>
        <w:t xml:space="preserve"> being taken </w:t>
      </w:r>
      <w:r w:rsidR="00C9774C" w:rsidRPr="000C06A7">
        <w:rPr>
          <w:rFonts w:ascii="Arial" w:eastAsia="Calibri" w:hAnsi="Arial" w:cs="Arial"/>
          <w:bCs/>
          <w:sz w:val="24"/>
          <w:szCs w:val="24"/>
        </w:rPr>
        <w:t xml:space="preserve">up </w:t>
      </w:r>
      <w:r w:rsidR="00E26B37" w:rsidRPr="000C06A7">
        <w:rPr>
          <w:rFonts w:ascii="Arial" w:eastAsia="Calibri" w:hAnsi="Arial" w:cs="Arial"/>
          <w:bCs/>
          <w:sz w:val="24"/>
          <w:szCs w:val="24"/>
        </w:rPr>
        <w:t>directly after</w:t>
      </w:r>
      <w:r w:rsidRPr="000C06A7" w:rsidDel="00E26B37">
        <w:rPr>
          <w:rFonts w:ascii="Arial" w:eastAsia="Calibri" w:hAnsi="Arial" w:cs="Arial"/>
          <w:bCs/>
          <w:sz w:val="24"/>
          <w:szCs w:val="24"/>
        </w:rPr>
        <w:t xml:space="preserve"> </w:t>
      </w:r>
      <w:r w:rsidR="001334F0" w:rsidRPr="000C06A7">
        <w:rPr>
          <w:rFonts w:ascii="Arial" w:eastAsia="Calibri" w:hAnsi="Arial" w:cs="Arial"/>
          <w:bCs/>
          <w:sz w:val="24"/>
          <w:szCs w:val="24"/>
        </w:rPr>
        <w:t>graduation, either</w:t>
      </w:r>
      <w:r w:rsidRPr="000C06A7">
        <w:rPr>
          <w:rFonts w:ascii="Arial" w:eastAsia="Calibri" w:hAnsi="Arial" w:cs="Arial"/>
          <w:bCs/>
          <w:sz w:val="24"/>
          <w:szCs w:val="24"/>
        </w:rPr>
        <w:t xml:space="preserve"> </w:t>
      </w:r>
      <w:r w:rsidR="00E26B37" w:rsidRPr="000C06A7">
        <w:rPr>
          <w:rFonts w:ascii="Arial" w:eastAsia="Calibri" w:hAnsi="Arial" w:cs="Arial"/>
          <w:bCs/>
          <w:sz w:val="24"/>
          <w:szCs w:val="24"/>
        </w:rPr>
        <w:t>in</w:t>
      </w:r>
      <w:r w:rsidR="00E26B37" w:rsidRPr="000C06A7" w:rsidDel="00C9774C">
        <w:rPr>
          <w:rFonts w:ascii="Arial" w:eastAsia="Calibri" w:hAnsi="Arial" w:cs="Arial"/>
          <w:bCs/>
          <w:sz w:val="24"/>
          <w:szCs w:val="24"/>
        </w:rPr>
        <w:t xml:space="preserve"> </w:t>
      </w:r>
      <w:r w:rsidRPr="000C06A7">
        <w:rPr>
          <w:rFonts w:ascii="Arial" w:eastAsia="Calibri" w:hAnsi="Arial" w:cs="Arial"/>
          <w:bCs/>
          <w:sz w:val="24"/>
          <w:szCs w:val="24"/>
        </w:rPr>
        <w:t xml:space="preserve">the </w:t>
      </w:r>
      <w:r w:rsidR="00E26B37" w:rsidRPr="000C06A7">
        <w:rPr>
          <w:rFonts w:ascii="Arial" w:eastAsia="Calibri" w:hAnsi="Arial" w:cs="Arial"/>
          <w:bCs/>
          <w:sz w:val="24"/>
          <w:szCs w:val="24"/>
        </w:rPr>
        <w:t>local authorities</w:t>
      </w:r>
      <w:r w:rsidRPr="000C06A7">
        <w:rPr>
          <w:rFonts w:ascii="Arial" w:eastAsia="Calibri" w:hAnsi="Arial" w:cs="Arial"/>
          <w:bCs/>
          <w:sz w:val="24"/>
          <w:szCs w:val="24"/>
        </w:rPr>
        <w:t xml:space="preserve"> or locally to the individual.</w:t>
      </w:r>
    </w:p>
    <w:p w14:paraId="5738C0F1" w14:textId="77777777" w:rsidR="00B314B5" w:rsidRPr="000C06A7" w:rsidRDefault="00B314B5" w:rsidP="00B314B5">
      <w:pPr>
        <w:spacing w:after="200" w:line="276" w:lineRule="auto"/>
        <w:contextualSpacing/>
        <w:rPr>
          <w:rFonts w:ascii="Arial" w:eastAsia="Calibri" w:hAnsi="Arial" w:cs="Arial"/>
          <w:bCs/>
          <w:sz w:val="24"/>
          <w:szCs w:val="24"/>
        </w:rPr>
      </w:pPr>
    </w:p>
    <w:p w14:paraId="1B458824" w14:textId="1B5ECB86" w:rsidR="00B314B5" w:rsidRPr="000C06A7"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0C06A7">
        <w:rPr>
          <w:rFonts w:ascii="Arial" w:eastAsia="Calibri" w:hAnsi="Arial" w:cs="Arial"/>
          <w:bCs/>
          <w:sz w:val="24"/>
          <w:szCs w:val="24"/>
        </w:rPr>
        <w:t xml:space="preserve">The Open University (OU) route </w:t>
      </w:r>
      <w:r w:rsidR="00A63147" w:rsidRPr="000C06A7">
        <w:rPr>
          <w:rFonts w:ascii="Arial" w:eastAsia="Calibri" w:hAnsi="Arial" w:cs="Arial"/>
          <w:bCs/>
          <w:sz w:val="24"/>
          <w:szCs w:val="24"/>
        </w:rPr>
        <w:t>is still</w:t>
      </w:r>
      <w:r w:rsidRPr="000C06A7">
        <w:rPr>
          <w:rFonts w:ascii="Arial" w:eastAsia="Calibri" w:hAnsi="Arial" w:cs="Arial"/>
          <w:bCs/>
          <w:sz w:val="24"/>
          <w:szCs w:val="24"/>
        </w:rPr>
        <w:t xml:space="preserve"> a popular route for internal sponsorship across the regions. The flexibility of the OU route allows students a choice of pace for the first stage (Social Services Practitioner - SSP)</w:t>
      </w:r>
      <w:r w:rsidR="002C7EC7" w:rsidRPr="000C06A7">
        <w:rPr>
          <w:rStyle w:val="CommentReference"/>
          <w:rFonts w:ascii="Arial" w:hAnsi="Arial" w:cs="Arial"/>
        </w:rPr>
        <w:t xml:space="preserve">. </w:t>
      </w:r>
      <w:r w:rsidR="001334F0" w:rsidRPr="000C06A7">
        <w:rPr>
          <w:rFonts w:ascii="Arial" w:eastAsia="Calibri" w:hAnsi="Arial" w:cs="Arial"/>
          <w:bCs/>
          <w:sz w:val="24"/>
          <w:szCs w:val="24"/>
        </w:rPr>
        <w:t>This</w:t>
      </w:r>
      <w:r w:rsidRPr="000C06A7">
        <w:rPr>
          <w:rFonts w:ascii="Arial" w:eastAsia="Calibri" w:hAnsi="Arial" w:cs="Arial"/>
          <w:bCs/>
          <w:sz w:val="24"/>
          <w:szCs w:val="24"/>
        </w:rPr>
        <w:t xml:space="preserve"> has been critical in maintaining work</w:t>
      </w:r>
      <w:r w:rsidR="00FC5539" w:rsidRPr="000C06A7">
        <w:rPr>
          <w:rFonts w:ascii="Arial" w:eastAsia="Calibri" w:hAnsi="Arial" w:cs="Arial"/>
          <w:bCs/>
          <w:sz w:val="24"/>
          <w:szCs w:val="24"/>
        </w:rPr>
        <w:t>-</w:t>
      </w:r>
      <w:r w:rsidRPr="000C06A7">
        <w:rPr>
          <w:rFonts w:ascii="Arial" w:eastAsia="Calibri" w:hAnsi="Arial" w:cs="Arial"/>
          <w:bCs/>
          <w:sz w:val="24"/>
          <w:szCs w:val="24"/>
        </w:rPr>
        <w:t>life balance and a return to learn</w:t>
      </w:r>
      <w:r w:rsidR="00C21740" w:rsidRPr="000C06A7">
        <w:rPr>
          <w:rFonts w:ascii="Arial" w:eastAsia="Calibri" w:hAnsi="Arial" w:cs="Arial"/>
          <w:bCs/>
          <w:sz w:val="24"/>
          <w:szCs w:val="24"/>
        </w:rPr>
        <w:t>ing</w:t>
      </w:r>
      <w:r w:rsidRPr="000C06A7">
        <w:rPr>
          <w:rFonts w:ascii="Arial" w:eastAsia="Calibri" w:hAnsi="Arial" w:cs="Arial"/>
          <w:bCs/>
          <w:sz w:val="24"/>
          <w:szCs w:val="24"/>
        </w:rPr>
        <w:t>.</w:t>
      </w:r>
    </w:p>
    <w:p w14:paraId="6F36E440" w14:textId="77777777" w:rsidR="00B314B5" w:rsidRPr="000C06A7" w:rsidRDefault="00B314B5" w:rsidP="00B314B5">
      <w:pPr>
        <w:spacing w:after="200" w:line="276" w:lineRule="auto"/>
        <w:contextualSpacing/>
        <w:rPr>
          <w:rFonts w:ascii="Arial" w:eastAsia="Calibri" w:hAnsi="Arial" w:cs="Arial"/>
          <w:bCs/>
          <w:sz w:val="24"/>
          <w:szCs w:val="24"/>
        </w:rPr>
      </w:pPr>
    </w:p>
    <w:p w14:paraId="005D2076" w14:textId="66BC12CD" w:rsidR="002D1B1F" w:rsidRPr="000C06A7" w:rsidRDefault="002D1B1F" w:rsidP="00632461">
      <w:pPr>
        <w:numPr>
          <w:ilvl w:val="0"/>
          <w:numId w:val="6"/>
        </w:numPr>
        <w:spacing w:after="0" w:line="276" w:lineRule="auto"/>
        <w:ind w:left="567" w:hanging="425"/>
        <w:contextualSpacing/>
        <w:rPr>
          <w:rFonts w:ascii="Arial" w:eastAsia="Calibri" w:hAnsi="Arial" w:cs="Arial"/>
          <w:sz w:val="24"/>
          <w:szCs w:val="24"/>
        </w:rPr>
      </w:pPr>
      <w:r w:rsidRPr="000C06A7">
        <w:rPr>
          <w:rFonts w:ascii="Arial" w:eastAsia="Calibri" w:hAnsi="Arial" w:cs="Arial"/>
          <w:sz w:val="24"/>
          <w:szCs w:val="24"/>
        </w:rPr>
        <w:t xml:space="preserve">Staff </w:t>
      </w:r>
      <w:r w:rsidR="00B61799" w:rsidRPr="000C06A7">
        <w:rPr>
          <w:rFonts w:ascii="Arial" w:eastAsia="Calibri" w:hAnsi="Arial" w:cs="Arial"/>
          <w:sz w:val="24"/>
          <w:szCs w:val="24"/>
        </w:rPr>
        <w:t>are still</w:t>
      </w:r>
      <w:r w:rsidRPr="000C06A7">
        <w:rPr>
          <w:rFonts w:ascii="Arial" w:eastAsia="Calibri" w:hAnsi="Arial" w:cs="Arial"/>
          <w:sz w:val="24"/>
          <w:szCs w:val="24"/>
        </w:rPr>
        <w:t xml:space="preserve"> supported to </w:t>
      </w:r>
      <w:r w:rsidR="00B61799" w:rsidRPr="000C06A7">
        <w:rPr>
          <w:rFonts w:ascii="Arial" w:eastAsia="Calibri" w:hAnsi="Arial" w:cs="Arial"/>
          <w:sz w:val="24"/>
          <w:szCs w:val="24"/>
        </w:rPr>
        <w:t xml:space="preserve">take on </w:t>
      </w:r>
      <w:r w:rsidRPr="000C06A7">
        <w:rPr>
          <w:rFonts w:ascii="Arial" w:eastAsia="Calibri" w:hAnsi="Arial" w:cs="Arial"/>
          <w:sz w:val="24"/>
          <w:szCs w:val="24"/>
        </w:rPr>
        <w:t xml:space="preserve">the SSP award to meet the requirements for undertaking assessments and </w:t>
      </w:r>
      <w:r w:rsidR="00B61799" w:rsidRPr="000C06A7">
        <w:rPr>
          <w:rFonts w:ascii="Arial" w:eastAsia="Calibri" w:hAnsi="Arial" w:cs="Arial"/>
          <w:sz w:val="24"/>
          <w:szCs w:val="24"/>
        </w:rPr>
        <w:t>it’s</w:t>
      </w:r>
      <w:r w:rsidRPr="000C06A7">
        <w:rPr>
          <w:rFonts w:ascii="Arial" w:eastAsia="Calibri" w:hAnsi="Arial" w:cs="Arial"/>
          <w:sz w:val="24"/>
          <w:szCs w:val="24"/>
        </w:rPr>
        <w:t xml:space="preserve"> also used as a pathway to </w:t>
      </w:r>
      <w:r w:rsidR="1E655E1F" w:rsidRPr="000C06A7">
        <w:rPr>
          <w:rFonts w:ascii="Arial" w:eastAsia="Calibri" w:hAnsi="Arial" w:cs="Arial"/>
          <w:sz w:val="24"/>
          <w:szCs w:val="24"/>
        </w:rPr>
        <w:t>qualify</w:t>
      </w:r>
      <w:r w:rsidRPr="000C06A7">
        <w:rPr>
          <w:rFonts w:ascii="Arial" w:eastAsia="Calibri" w:hAnsi="Arial" w:cs="Arial"/>
          <w:sz w:val="24"/>
          <w:szCs w:val="24"/>
        </w:rPr>
        <w:t xml:space="preserve"> as a social worker.</w:t>
      </w:r>
    </w:p>
    <w:p w14:paraId="75ED763D" w14:textId="77777777" w:rsidR="0049151F" w:rsidRPr="000C06A7" w:rsidRDefault="0049151F" w:rsidP="00E51274">
      <w:pPr>
        <w:pStyle w:val="ListParagraph"/>
        <w:spacing w:after="0"/>
        <w:rPr>
          <w:rFonts w:ascii="Arial" w:eastAsia="Calibri" w:hAnsi="Arial" w:cs="Arial"/>
          <w:sz w:val="24"/>
          <w:szCs w:val="24"/>
        </w:rPr>
      </w:pPr>
    </w:p>
    <w:p w14:paraId="0FB2EECA" w14:textId="3DAC4577" w:rsidR="002D1B1F" w:rsidRPr="000C06A7" w:rsidRDefault="002D1B1F" w:rsidP="00632461">
      <w:pPr>
        <w:numPr>
          <w:ilvl w:val="0"/>
          <w:numId w:val="6"/>
        </w:numPr>
        <w:spacing w:after="200" w:line="276" w:lineRule="auto"/>
        <w:ind w:left="567" w:hanging="425"/>
        <w:contextualSpacing/>
        <w:rPr>
          <w:rFonts w:ascii="Arial" w:eastAsia="Calibri" w:hAnsi="Arial" w:cs="Arial"/>
          <w:sz w:val="24"/>
          <w:szCs w:val="24"/>
        </w:rPr>
      </w:pPr>
      <w:r w:rsidRPr="000C06A7">
        <w:rPr>
          <w:rFonts w:ascii="Arial" w:eastAsia="Calibri" w:hAnsi="Arial" w:cs="Arial"/>
          <w:sz w:val="24"/>
          <w:szCs w:val="24"/>
        </w:rPr>
        <w:t xml:space="preserve">Regions report strong engagement and </w:t>
      </w:r>
      <w:r w:rsidR="00CD3E04" w:rsidRPr="000C06A7">
        <w:rPr>
          <w:rFonts w:ascii="Arial" w:eastAsia="Calibri" w:hAnsi="Arial" w:cs="Arial"/>
          <w:sz w:val="24"/>
          <w:szCs w:val="24"/>
        </w:rPr>
        <w:t xml:space="preserve">partnership </w:t>
      </w:r>
      <w:r w:rsidRPr="000C06A7">
        <w:rPr>
          <w:rFonts w:ascii="Arial" w:eastAsia="Calibri" w:hAnsi="Arial" w:cs="Arial"/>
          <w:sz w:val="24"/>
          <w:szCs w:val="24"/>
        </w:rPr>
        <w:t>working with</w:t>
      </w:r>
      <w:r w:rsidR="00C21740" w:rsidRPr="000C06A7">
        <w:rPr>
          <w:rFonts w:ascii="Arial" w:eastAsia="Calibri" w:hAnsi="Arial" w:cs="Arial"/>
          <w:sz w:val="24"/>
          <w:szCs w:val="24"/>
        </w:rPr>
        <w:t xml:space="preserve"> higher education institution (</w:t>
      </w:r>
      <w:r w:rsidRPr="000C06A7">
        <w:rPr>
          <w:rFonts w:ascii="Arial" w:eastAsia="Calibri" w:hAnsi="Arial" w:cs="Arial"/>
          <w:sz w:val="24"/>
          <w:szCs w:val="24"/>
        </w:rPr>
        <w:t>HEI</w:t>
      </w:r>
      <w:r w:rsidR="00C21740" w:rsidRPr="000C06A7">
        <w:rPr>
          <w:rFonts w:ascii="Arial" w:eastAsia="Calibri" w:hAnsi="Arial" w:cs="Arial"/>
          <w:sz w:val="24"/>
          <w:szCs w:val="24"/>
        </w:rPr>
        <w:t>)</w:t>
      </w:r>
      <w:r w:rsidRPr="000C06A7">
        <w:rPr>
          <w:rFonts w:ascii="Arial" w:eastAsia="Calibri" w:hAnsi="Arial" w:cs="Arial"/>
          <w:sz w:val="24"/>
          <w:szCs w:val="24"/>
        </w:rPr>
        <w:t xml:space="preserve"> providers around social work qualifying provision</w:t>
      </w:r>
      <w:r w:rsidR="008D5758" w:rsidRPr="000C06A7">
        <w:rPr>
          <w:rFonts w:ascii="Arial" w:eastAsia="Calibri" w:hAnsi="Arial" w:cs="Arial"/>
          <w:sz w:val="24"/>
          <w:szCs w:val="24"/>
        </w:rPr>
        <w:t xml:space="preserve">. These </w:t>
      </w:r>
      <w:r w:rsidR="00C21740" w:rsidRPr="000C06A7">
        <w:rPr>
          <w:rFonts w:ascii="Arial" w:eastAsia="Calibri" w:hAnsi="Arial" w:cs="Arial"/>
          <w:sz w:val="24"/>
          <w:szCs w:val="24"/>
        </w:rPr>
        <w:t>include</w:t>
      </w:r>
      <w:r w:rsidRPr="000C06A7">
        <w:rPr>
          <w:rFonts w:ascii="Arial" w:eastAsia="Calibri" w:hAnsi="Arial" w:cs="Arial"/>
          <w:sz w:val="24"/>
          <w:szCs w:val="24"/>
        </w:rPr>
        <w:t xml:space="preserve"> engagement in HEIs programme management structures</w:t>
      </w:r>
      <w:r w:rsidR="004223FC" w:rsidRPr="000C06A7">
        <w:rPr>
          <w:rFonts w:ascii="Arial" w:eastAsia="Calibri" w:hAnsi="Arial" w:cs="Arial"/>
          <w:sz w:val="24"/>
          <w:szCs w:val="24"/>
        </w:rPr>
        <w:t xml:space="preserve"> and</w:t>
      </w:r>
      <w:r w:rsidRPr="000C06A7">
        <w:rPr>
          <w:rFonts w:ascii="Arial" w:eastAsia="Calibri" w:hAnsi="Arial" w:cs="Arial"/>
          <w:sz w:val="24"/>
          <w:szCs w:val="24"/>
        </w:rPr>
        <w:t xml:space="preserve"> </w:t>
      </w:r>
      <w:bookmarkStart w:id="25" w:name="_Int_pp54k5Lk"/>
      <w:r w:rsidRPr="000C06A7">
        <w:rPr>
          <w:rFonts w:ascii="Arial" w:eastAsia="Calibri" w:hAnsi="Arial" w:cs="Arial"/>
          <w:sz w:val="24"/>
          <w:szCs w:val="24"/>
        </w:rPr>
        <w:t>interview</w:t>
      </w:r>
      <w:bookmarkEnd w:id="25"/>
      <w:r w:rsidRPr="000C06A7">
        <w:rPr>
          <w:rFonts w:ascii="Arial" w:eastAsia="Calibri" w:hAnsi="Arial" w:cs="Arial"/>
          <w:sz w:val="24"/>
          <w:szCs w:val="24"/>
        </w:rPr>
        <w:t xml:space="preserve"> and assessment panels. </w:t>
      </w:r>
      <w:r w:rsidR="002A7780" w:rsidRPr="000C06A7">
        <w:rPr>
          <w:rFonts w:ascii="Arial" w:eastAsia="Calibri" w:hAnsi="Arial" w:cs="Arial"/>
          <w:sz w:val="24"/>
          <w:szCs w:val="24"/>
        </w:rPr>
        <w:t>This</w:t>
      </w:r>
      <w:r w:rsidR="00FA2BF8" w:rsidRPr="000C06A7">
        <w:rPr>
          <w:rFonts w:ascii="Arial" w:eastAsia="Calibri" w:hAnsi="Arial" w:cs="Arial"/>
          <w:sz w:val="24"/>
          <w:szCs w:val="24"/>
        </w:rPr>
        <w:t xml:space="preserve"> would be </w:t>
      </w:r>
      <w:r w:rsidR="00FA2BF8" w:rsidRPr="000C06A7" w:rsidDel="00402A44">
        <w:rPr>
          <w:rFonts w:ascii="Arial" w:eastAsia="Calibri" w:hAnsi="Arial" w:cs="Arial"/>
          <w:sz w:val="24"/>
          <w:szCs w:val="24"/>
        </w:rPr>
        <w:t>taken</w:t>
      </w:r>
      <w:r w:rsidR="00AD2D15" w:rsidRPr="000C06A7" w:rsidDel="00402A44">
        <w:rPr>
          <w:rFonts w:ascii="Arial" w:eastAsia="Calibri" w:hAnsi="Arial" w:cs="Arial"/>
          <w:sz w:val="24"/>
          <w:szCs w:val="24"/>
        </w:rPr>
        <w:t xml:space="preserve"> </w:t>
      </w:r>
      <w:r w:rsidR="00402A44" w:rsidRPr="000C06A7">
        <w:rPr>
          <w:rFonts w:ascii="Arial" w:eastAsia="Calibri" w:hAnsi="Arial" w:cs="Arial"/>
          <w:sz w:val="24"/>
          <w:szCs w:val="24"/>
        </w:rPr>
        <w:t>on</w:t>
      </w:r>
      <w:r w:rsidR="001E79A5" w:rsidRPr="000C06A7">
        <w:rPr>
          <w:rFonts w:ascii="Arial" w:eastAsia="Calibri" w:hAnsi="Arial" w:cs="Arial"/>
          <w:sz w:val="24"/>
          <w:szCs w:val="24"/>
        </w:rPr>
        <w:t xml:space="preserve"> </w:t>
      </w:r>
      <w:r w:rsidR="00AD2D15" w:rsidRPr="000C06A7">
        <w:rPr>
          <w:rFonts w:ascii="Arial" w:eastAsia="Calibri" w:hAnsi="Arial" w:cs="Arial"/>
          <w:sz w:val="24"/>
          <w:szCs w:val="24"/>
        </w:rPr>
        <w:t>as part of delivery staff funding</w:t>
      </w:r>
      <w:r w:rsidR="00F231B9" w:rsidRPr="000C06A7">
        <w:rPr>
          <w:rFonts w:ascii="Arial" w:eastAsia="Calibri" w:hAnsi="Arial" w:cs="Arial"/>
          <w:sz w:val="24"/>
          <w:szCs w:val="24"/>
        </w:rPr>
        <w:t>, and mos</w:t>
      </w:r>
      <w:r w:rsidR="00632FF7" w:rsidRPr="000C06A7">
        <w:rPr>
          <w:rFonts w:ascii="Arial" w:eastAsia="Calibri" w:hAnsi="Arial" w:cs="Arial"/>
          <w:sz w:val="24"/>
          <w:szCs w:val="24"/>
        </w:rPr>
        <w:t>t regions are in multiple HEI programme partnerships</w:t>
      </w:r>
      <w:r w:rsidRPr="000C06A7">
        <w:rPr>
          <w:rFonts w:ascii="Arial" w:eastAsia="Calibri" w:hAnsi="Arial" w:cs="Arial"/>
          <w:sz w:val="24"/>
          <w:szCs w:val="24"/>
        </w:rPr>
        <w:t>.</w:t>
      </w:r>
    </w:p>
    <w:p w14:paraId="57671469" w14:textId="77777777" w:rsidR="00B314B5" w:rsidRPr="000C06A7" w:rsidRDefault="00B314B5" w:rsidP="00B314B5">
      <w:pPr>
        <w:spacing w:after="200" w:line="276" w:lineRule="auto"/>
        <w:contextualSpacing/>
        <w:rPr>
          <w:rFonts w:ascii="Arial" w:eastAsia="Calibri" w:hAnsi="Arial" w:cs="Arial"/>
          <w:bCs/>
          <w:sz w:val="24"/>
          <w:szCs w:val="24"/>
        </w:rPr>
      </w:pPr>
    </w:p>
    <w:p w14:paraId="5E7F7D65" w14:textId="1EB28C8D" w:rsidR="002D1B1F" w:rsidRPr="000C06A7"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0C06A7">
        <w:rPr>
          <w:rFonts w:ascii="Arial" w:eastAsia="Calibri" w:hAnsi="Arial" w:cs="Arial"/>
          <w:bCs/>
          <w:sz w:val="24"/>
          <w:szCs w:val="24"/>
        </w:rPr>
        <w:t>There</w:t>
      </w:r>
      <w:r w:rsidR="00402A44" w:rsidRPr="000C06A7">
        <w:rPr>
          <w:rFonts w:ascii="Arial" w:eastAsia="Calibri" w:hAnsi="Arial" w:cs="Arial"/>
          <w:bCs/>
          <w:sz w:val="24"/>
          <w:szCs w:val="24"/>
        </w:rPr>
        <w:t>’s</w:t>
      </w:r>
      <w:r w:rsidRPr="000C06A7" w:rsidDel="00402A44">
        <w:rPr>
          <w:rFonts w:ascii="Arial" w:eastAsia="Calibri" w:hAnsi="Arial" w:cs="Arial"/>
          <w:bCs/>
          <w:sz w:val="24"/>
          <w:szCs w:val="24"/>
        </w:rPr>
        <w:t xml:space="preserve"> </w:t>
      </w:r>
      <w:r w:rsidR="001E79A5" w:rsidRPr="000C06A7">
        <w:rPr>
          <w:rFonts w:ascii="Arial" w:eastAsia="Calibri" w:hAnsi="Arial" w:cs="Arial"/>
          <w:bCs/>
          <w:sz w:val="24"/>
          <w:szCs w:val="24"/>
        </w:rPr>
        <w:t xml:space="preserve">still </w:t>
      </w:r>
      <w:r w:rsidRPr="000C06A7">
        <w:rPr>
          <w:rFonts w:ascii="Arial" w:eastAsia="Calibri" w:hAnsi="Arial" w:cs="Arial"/>
          <w:bCs/>
          <w:sz w:val="24"/>
          <w:szCs w:val="24"/>
        </w:rPr>
        <w:t>a strong focus on the support needs of newly qualified students</w:t>
      </w:r>
      <w:r w:rsidR="00E50046" w:rsidRPr="000C06A7">
        <w:rPr>
          <w:rFonts w:ascii="Arial" w:eastAsia="Calibri" w:hAnsi="Arial" w:cs="Arial"/>
          <w:bCs/>
          <w:sz w:val="24"/>
          <w:szCs w:val="24"/>
        </w:rPr>
        <w:t>. Some examples of the support in place are</w:t>
      </w:r>
      <w:r w:rsidRPr="000C06A7" w:rsidDel="00E50046">
        <w:rPr>
          <w:rFonts w:ascii="Arial" w:eastAsia="Calibri" w:hAnsi="Arial" w:cs="Arial"/>
          <w:bCs/>
          <w:sz w:val="24"/>
          <w:szCs w:val="24"/>
        </w:rPr>
        <w:t xml:space="preserve"> </w:t>
      </w:r>
      <w:r w:rsidRPr="000C06A7">
        <w:rPr>
          <w:rFonts w:ascii="Arial" w:eastAsia="Calibri" w:hAnsi="Arial" w:cs="Arial"/>
          <w:bCs/>
          <w:sz w:val="24"/>
          <w:szCs w:val="24"/>
        </w:rPr>
        <w:t xml:space="preserve">mentoring programmes, peer support and </w:t>
      </w:r>
      <w:r w:rsidR="002C282A" w:rsidRPr="000C06A7">
        <w:rPr>
          <w:rFonts w:ascii="Arial" w:eastAsia="Calibri" w:hAnsi="Arial" w:cs="Arial"/>
          <w:bCs/>
          <w:sz w:val="24"/>
          <w:szCs w:val="24"/>
        </w:rPr>
        <w:t>tailor-made</w:t>
      </w:r>
      <w:r w:rsidR="00387B82" w:rsidRPr="000C06A7">
        <w:rPr>
          <w:rFonts w:ascii="Arial" w:eastAsia="Calibri" w:hAnsi="Arial" w:cs="Arial"/>
          <w:bCs/>
          <w:sz w:val="24"/>
          <w:szCs w:val="24"/>
        </w:rPr>
        <w:t xml:space="preserve"> </w:t>
      </w:r>
      <w:r w:rsidRPr="000C06A7">
        <w:rPr>
          <w:rFonts w:ascii="Arial" w:eastAsia="Calibri" w:hAnsi="Arial" w:cs="Arial"/>
          <w:bCs/>
          <w:sz w:val="24"/>
          <w:szCs w:val="24"/>
        </w:rPr>
        <w:t>training programmes</w:t>
      </w:r>
      <w:r w:rsidR="00E50046" w:rsidRPr="000C06A7">
        <w:rPr>
          <w:rFonts w:ascii="Arial" w:eastAsia="Calibri" w:hAnsi="Arial" w:cs="Arial"/>
          <w:bCs/>
          <w:sz w:val="24"/>
          <w:szCs w:val="24"/>
        </w:rPr>
        <w:t>.</w:t>
      </w:r>
    </w:p>
    <w:p w14:paraId="24436333" w14:textId="77777777" w:rsidR="001E79A5" w:rsidRPr="000C06A7" w:rsidRDefault="001E79A5" w:rsidP="008733BE">
      <w:pPr>
        <w:spacing w:after="200" w:line="276" w:lineRule="auto"/>
        <w:contextualSpacing/>
        <w:rPr>
          <w:rFonts w:ascii="Arial" w:eastAsia="Calibri" w:hAnsi="Arial" w:cs="Arial"/>
          <w:bCs/>
          <w:sz w:val="24"/>
          <w:szCs w:val="24"/>
        </w:rPr>
      </w:pPr>
    </w:p>
    <w:p w14:paraId="5BFA74DF" w14:textId="6AC5DF20" w:rsidR="002D1B1F" w:rsidRPr="000C06A7" w:rsidRDefault="00402A44" w:rsidP="00632461">
      <w:pPr>
        <w:numPr>
          <w:ilvl w:val="0"/>
          <w:numId w:val="6"/>
        </w:numPr>
        <w:spacing w:after="200" w:line="276" w:lineRule="auto"/>
        <w:ind w:left="567" w:hanging="425"/>
        <w:contextualSpacing/>
        <w:rPr>
          <w:rFonts w:ascii="Arial" w:eastAsia="Calibri" w:hAnsi="Arial" w:cs="Arial"/>
          <w:bCs/>
          <w:sz w:val="24"/>
          <w:szCs w:val="24"/>
        </w:rPr>
      </w:pPr>
      <w:r w:rsidRPr="000C06A7">
        <w:rPr>
          <w:rFonts w:ascii="Arial" w:eastAsia="Calibri" w:hAnsi="Arial" w:cs="Arial"/>
          <w:bCs/>
          <w:sz w:val="24"/>
          <w:szCs w:val="24"/>
        </w:rPr>
        <w:t>There’s a consistent i</w:t>
      </w:r>
      <w:r w:rsidR="002D1B1F" w:rsidRPr="000C06A7">
        <w:rPr>
          <w:rFonts w:ascii="Arial" w:eastAsia="Calibri" w:hAnsi="Arial" w:cs="Arial"/>
          <w:bCs/>
          <w:sz w:val="24"/>
          <w:szCs w:val="24"/>
        </w:rPr>
        <w:t xml:space="preserve">nvolvement in and achievement of post qualifying </w:t>
      </w:r>
      <w:r w:rsidR="00E20870" w:rsidRPr="000C06A7">
        <w:rPr>
          <w:rFonts w:ascii="Arial" w:eastAsia="Calibri" w:hAnsi="Arial" w:cs="Arial"/>
          <w:bCs/>
          <w:sz w:val="24"/>
          <w:szCs w:val="24"/>
        </w:rPr>
        <w:t xml:space="preserve">specialist </w:t>
      </w:r>
      <w:r w:rsidR="002D1B1F" w:rsidRPr="000C06A7">
        <w:rPr>
          <w:rFonts w:ascii="Arial" w:eastAsia="Calibri" w:hAnsi="Arial" w:cs="Arial"/>
          <w:bCs/>
          <w:sz w:val="24"/>
          <w:szCs w:val="24"/>
        </w:rPr>
        <w:t>awards</w:t>
      </w:r>
      <w:r w:rsidRPr="000C06A7">
        <w:rPr>
          <w:rFonts w:ascii="Arial" w:eastAsia="Calibri" w:hAnsi="Arial" w:cs="Arial"/>
          <w:bCs/>
          <w:sz w:val="24"/>
          <w:szCs w:val="24"/>
        </w:rPr>
        <w:t>,</w:t>
      </w:r>
      <w:r w:rsidR="002D1B1F" w:rsidRPr="000C06A7" w:rsidDel="00402A44">
        <w:rPr>
          <w:rFonts w:ascii="Arial" w:eastAsia="Calibri" w:hAnsi="Arial" w:cs="Arial"/>
          <w:bCs/>
          <w:sz w:val="24"/>
          <w:szCs w:val="24"/>
        </w:rPr>
        <w:t xml:space="preserve"> </w:t>
      </w:r>
      <w:r w:rsidR="002D1B1F" w:rsidRPr="000C06A7">
        <w:rPr>
          <w:rFonts w:ascii="Arial" w:eastAsia="Calibri" w:hAnsi="Arial" w:cs="Arial"/>
          <w:bCs/>
          <w:sz w:val="24"/>
          <w:szCs w:val="24"/>
        </w:rPr>
        <w:t>with a particular emphasis on</w:t>
      </w:r>
      <w:r w:rsidRPr="000C06A7">
        <w:rPr>
          <w:rFonts w:ascii="Arial" w:eastAsia="Calibri" w:hAnsi="Arial" w:cs="Arial"/>
          <w:bCs/>
          <w:sz w:val="24"/>
          <w:szCs w:val="24"/>
        </w:rPr>
        <w:t xml:space="preserve"> developing</w:t>
      </w:r>
      <w:r w:rsidR="002D1B1F" w:rsidRPr="000C06A7" w:rsidDel="00402A44">
        <w:rPr>
          <w:rFonts w:ascii="Arial" w:eastAsia="Calibri" w:hAnsi="Arial" w:cs="Arial"/>
          <w:bCs/>
          <w:sz w:val="24"/>
          <w:szCs w:val="24"/>
        </w:rPr>
        <w:t xml:space="preserve"> </w:t>
      </w:r>
      <w:r w:rsidR="002D1B1F" w:rsidRPr="000C06A7">
        <w:rPr>
          <w:rFonts w:ascii="Arial" w:eastAsia="Calibri" w:hAnsi="Arial" w:cs="Arial"/>
          <w:bCs/>
          <w:sz w:val="24"/>
          <w:szCs w:val="24"/>
        </w:rPr>
        <w:t xml:space="preserve">new approved mental health professionals (AMHP) and the ongoing </w:t>
      </w:r>
      <w:r w:rsidR="001B1FD6" w:rsidRPr="000C06A7">
        <w:rPr>
          <w:rFonts w:ascii="Arial" w:eastAsia="Calibri" w:hAnsi="Arial" w:cs="Arial"/>
          <w:bCs/>
          <w:sz w:val="24"/>
          <w:szCs w:val="24"/>
        </w:rPr>
        <w:t>continu</w:t>
      </w:r>
      <w:r w:rsidR="0047150A" w:rsidRPr="000C06A7">
        <w:rPr>
          <w:rFonts w:ascii="Arial" w:eastAsia="Calibri" w:hAnsi="Arial" w:cs="Arial"/>
          <w:bCs/>
          <w:sz w:val="24"/>
          <w:szCs w:val="24"/>
        </w:rPr>
        <w:t>ing</w:t>
      </w:r>
      <w:r w:rsidR="001B1FD6" w:rsidRPr="000C06A7">
        <w:rPr>
          <w:rFonts w:ascii="Arial" w:eastAsia="Calibri" w:hAnsi="Arial" w:cs="Arial"/>
          <w:bCs/>
          <w:sz w:val="24"/>
          <w:szCs w:val="24"/>
        </w:rPr>
        <w:t xml:space="preserve"> professional development </w:t>
      </w:r>
      <w:r w:rsidR="006C1DD3" w:rsidRPr="000C06A7">
        <w:rPr>
          <w:rFonts w:ascii="Arial" w:eastAsia="Calibri" w:hAnsi="Arial" w:cs="Arial"/>
          <w:bCs/>
          <w:sz w:val="24"/>
          <w:szCs w:val="24"/>
        </w:rPr>
        <w:t>(</w:t>
      </w:r>
      <w:r w:rsidR="002D1B1F" w:rsidRPr="000C06A7">
        <w:rPr>
          <w:rFonts w:ascii="Arial" w:eastAsia="Calibri" w:hAnsi="Arial" w:cs="Arial"/>
          <w:bCs/>
          <w:sz w:val="24"/>
          <w:szCs w:val="24"/>
        </w:rPr>
        <w:t>CPD</w:t>
      </w:r>
      <w:r w:rsidR="006C1DD3" w:rsidRPr="000C06A7">
        <w:rPr>
          <w:rFonts w:ascii="Arial" w:eastAsia="Calibri" w:hAnsi="Arial" w:cs="Arial"/>
          <w:bCs/>
          <w:sz w:val="24"/>
          <w:szCs w:val="24"/>
        </w:rPr>
        <w:t>)</w:t>
      </w:r>
      <w:r w:rsidR="002D1B1F" w:rsidRPr="000C06A7">
        <w:rPr>
          <w:rFonts w:ascii="Arial" w:eastAsia="Calibri" w:hAnsi="Arial" w:cs="Arial"/>
          <w:bCs/>
          <w:sz w:val="24"/>
          <w:szCs w:val="24"/>
        </w:rPr>
        <w:t xml:space="preserve"> needs of existing AMHPs.</w:t>
      </w:r>
    </w:p>
    <w:p w14:paraId="46335C33" w14:textId="77777777" w:rsidR="00B314B5" w:rsidRPr="000C06A7" w:rsidRDefault="00B314B5" w:rsidP="00B314B5">
      <w:pPr>
        <w:spacing w:after="200" w:line="276" w:lineRule="auto"/>
        <w:contextualSpacing/>
        <w:rPr>
          <w:rFonts w:ascii="Arial" w:eastAsia="Calibri" w:hAnsi="Arial" w:cs="Arial"/>
          <w:bCs/>
          <w:sz w:val="24"/>
          <w:szCs w:val="24"/>
        </w:rPr>
      </w:pPr>
    </w:p>
    <w:p w14:paraId="3262719E" w14:textId="0A434FD7" w:rsidR="002D1B1F" w:rsidRPr="000C06A7" w:rsidRDefault="002D1B1F" w:rsidP="00632461">
      <w:pPr>
        <w:numPr>
          <w:ilvl w:val="0"/>
          <w:numId w:val="6"/>
        </w:numPr>
        <w:spacing w:after="200" w:line="276" w:lineRule="auto"/>
        <w:ind w:left="567" w:hanging="425"/>
        <w:contextualSpacing/>
        <w:rPr>
          <w:rFonts w:ascii="Arial" w:eastAsia="Calibri" w:hAnsi="Arial" w:cs="Arial"/>
          <w:color w:val="FF0000"/>
          <w:sz w:val="24"/>
          <w:szCs w:val="24"/>
        </w:rPr>
      </w:pPr>
      <w:r w:rsidRPr="000C06A7">
        <w:rPr>
          <w:rFonts w:ascii="Arial" w:eastAsia="Calibri" w:hAnsi="Arial" w:cs="Arial"/>
          <w:sz w:val="24"/>
          <w:szCs w:val="24"/>
        </w:rPr>
        <w:t>The additional mental health funding</w:t>
      </w:r>
      <w:r w:rsidR="005B1117" w:rsidRPr="000C06A7">
        <w:rPr>
          <w:rFonts w:ascii="Arial" w:eastAsia="Calibri" w:hAnsi="Arial" w:cs="Arial"/>
          <w:sz w:val="24"/>
          <w:szCs w:val="24"/>
        </w:rPr>
        <w:t xml:space="preserve"> we’ve made available</w:t>
      </w:r>
      <w:r w:rsidRPr="000C06A7" w:rsidDel="00EA605B">
        <w:rPr>
          <w:rFonts w:ascii="Arial" w:eastAsia="Calibri" w:hAnsi="Arial" w:cs="Arial"/>
          <w:sz w:val="24"/>
          <w:szCs w:val="24"/>
        </w:rPr>
        <w:t xml:space="preserve"> </w:t>
      </w:r>
      <w:r w:rsidR="005B1117" w:rsidRPr="000C06A7">
        <w:rPr>
          <w:rFonts w:ascii="Arial" w:eastAsia="Calibri" w:hAnsi="Arial" w:cs="Arial"/>
          <w:sz w:val="24"/>
          <w:szCs w:val="24"/>
        </w:rPr>
        <w:t>is reported as being</w:t>
      </w:r>
      <w:r w:rsidRPr="000C06A7">
        <w:rPr>
          <w:rFonts w:ascii="Arial" w:eastAsia="Calibri" w:hAnsi="Arial" w:cs="Arial"/>
          <w:sz w:val="24"/>
          <w:szCs w:val="24"/>
        </w:rPr>
        <w:t xml:space="preserve"> important in the continued growth of AMHP. </w:t>
      </w:r>
      <w:r w:rsidR="00FA37C9" w:rsidRPr="000C06A7">
        <w:rPr>
          <w:rFonts w:ascii="Arial" w:eastAsia="Calibri" w:hAnsi="Arial" w:cs="Arial"/>
          <w:sz w:val="24"/>
          <w:szCs w:val="24"/>
        </w:rPr>
        <w:t xml:space="preserve">This is an example of </w:t>
      </w:r>
      <w:r w:rsidR="004E7B58" w:rsidRPr="000C06A7">
        <w:rPr>
          <w:rFonts w:ascii="Arial" w:eastAsia="Calibri" w:hAnsi="Arial" w:cs="Arial"/>
          <w:sz w:val="24"/>
          <w:szCs w:val="24"/>
        </w:rPr>
        <w:t xml:space="preserve">how other streams of work, in this </w:t>
      </w:r>
      <w:r w:rsidR="00EA605B" w:rsidRPr="000C06A7">
        <w:rPr>
          <w:rFonts w:ascii="Arial" w:eastAsia="Calibri" w:hAnsi="Arial" w:cs="Arial"/>
          <w:sz w:val="24"/>
          <w:szCs w:val="24"/>
        </w:rPr>
        <w:t>case</w:t>
      </w:r>
      <w:r w:rsidR="004E7B58" w:rsidRPr="000C06A7" w:rsidDel="00EA605B">
        <w:rPr>
          <w:rFonts w:ascii="Arial" w:eastAsia="Calibri" w:hAnsi="Arial" w:cs="Arial"/>
          <w:sz w:val="24"/>
          <w:szCs w:val="24"/>
        </w:rPr>
        <w:t xml:space="preserve"> </w:t>
      </w:r>
      <w:r w:rsidR="004E7B58" w:rsidRPr="000C06A7">
        <w:rPr>
          <w:rFonts w:ascii="Arial" w:eastAsia="Calibri" w:hAnsi="Arial" w:cs="Arial"/>
          <w:sz w:val="24"/>
          <w:szCs w:val="24"/>
        </w:rPr>
        <w:t>joint working between Social Care Wales</w:t>
      </w:r>
      <w:r w:rsidR="005C683D" w:rsidRPr="000C06A7">
        <w:rPr>
          <w:rFonts w:ascii="Arial" w:eastAsia="Calibri" w:hAnsi="Arial" w:cs="Arial"/>
          <w:sz w:val="24"/>
          <w:szCs w:val="24"/>
        </w:rPr>
        <w:t xml:space="preserve"> and </w:t>
      </w:r>
      <w:r w:rsidR="004E7B58" w:rsidRPr="000C06A7">
        <w:rPr>
          <w:rFonts w:ascii="Arial" w:eastAsia="Calibri" w:hAnsi="Arial" w:cs="Arial"/>
          <w:sz w:val="24"/>
          <w:szCs w:val="24"/>
        </w:rPr>
        <w:t>H</w:t>
      </w:r>
      <w:r w:rsidR="005B1117" w:rsidRPr="000C06A7">
        <w:rPr>
          <w:rFonts w:ascii="Arial" w:eastAsia="Calibri" w:hAnsi="Arial" w:cs="Arial"/>
          <w:sz w:val="24"/>
          <w:szCs w:val="24"/>
        </w:rPr>
        <w:t xml:space="preserve">ealth </w:t>
      </w:r>
      <w:r w:rsidR="004E7B58" w:rsidRPr="000C06A7">
        <w:rPr>
          <w:rFonts w:ascii="Arial" w:eastAsia="Calibri" w:hAnsi="Arial" w:cs="Arial"/>
          <w:sz w:val="24"/>
          <w:szCs w:val="24"/>
        </w:rPr>
        <w:t>E</w:t>
      </w:r>
      <w:r w:rsidR="005B1117" w:rsidRPr="000C06A7">
        <w:rPr>
          <w:rFonts w:ascii="Arial" w:eastAsia="Calibri" w:hAnsi="Arial" w:cs="Arial"/>
          <w:sz w:val="24"/>
          <w:szCs w:val="24"/>
        </w:rPr>
        <w:t xml:space="preserve">ducation and </w:t>
      </w:r>
      <w:r w:rsidR="004E7B58" w:rsidRPr="000C06A7">
        <w:rPr>
          <w:rFonts w:ascii="Arial" w:eastAsia="Calibri" w:hAnsi="Arial" w:cs="Arial"/>
          <w:sz w:val="24"/>
          <w:szCs w:val="24"/>
        </w:rPr>
        <w:t>I</w:t>
      </w:r>
      <w:r w:rsidR="005B1117" w:rsidRPr="000C06A7">
        <w:rPr>
          <w:rFonts w:ascii="Arial" w:eastAsia="Calibri" w:hAnsi="Arial" w:cs="Arial"/>
          <w:sz w:val="24"/>
          <w:szCs w:val="24"/>
        </w:rPr>
        <w:t xml:space="preserve">mprovement </w:t>
      </w:r>
      <w:r w:rsidR="004E7B58" w:rsidRPr="000C06A7">
        <w:rPr>
          <w:rFonts w:ascii="Arial" w:eastAsia="Calibri" w:hAnsi="Arial" w:cs="Arial"/>
          <w:sz w:val="24"/>
          <w:szCs w:val="24"/>
        </w:rPr>
        <w:t>W</w:t>
      </w:r>
      <w:r w:rsidR="005B1117" w:rsidRPr="000C06A7">
        <w:rPr>
          <w:rFonts w:ascii="Arial" w:eastAsia="Calibri" w:hAnsi="Arial" w:cs="Arial"/>
          <w:sz w:val="24"/>
          <w:szCs w:val="24"/>
        </w:rPr>
        <w:t>ales (HEIW)</w:t>
      </w:r>
      <w:r w:rsidR="004E7B58" w:rsidRPr="000C06A7">
        <w:rPr>
          <w:rFonts w:ascii="Arial" w:eastAsia="Calibri" w:hAnsi="Arial" w:cs="Arial"/>
          <w:sz w:val="24"/>
          <w:szCs w:val="24"/>
        </w:rPr>
        <w:t xml:space="preserve"> </w:t>
      </w:r>
      <w:r w:rsidR="00EA605B" w:rsidRPr="000C06A7">
        <w:rPr>
          <w:rFonts w:ascii="Arial" w:eastAsia="Calibri" w:hAnsi="Arial" w:cs="Arial"/>
          <w:sz w:val="24"/>
          <w:szCs w:val="24"/>
        </w:rPr>
        <w:t>around</w:t>
      </w:r>
      <w:r w:rsidR="004E7B58" w:rsidRPr="000C06A7">
        <w:rPr>
          <w:rFonts w:ascii="Arial" w:eastAsia="Calibri" w:hAnsi="Arial" w:cs="Arial"/>
          <w:sz w:val="24"/>
          <w:szCs w:val="24"/>
        </w:rPr>
        <w:t xml:space="preserve"> the</w:t>
      </w:r>
      <w:r w:rsidR="000342BD" w:rsidRPr="000C06A7">
        <w:rPr>
          <w:rFonts w:ascii="Arial" w:eastAsia="Calibri" w:hAnsi="Arial" w:cs="Arial"/>
          <w:sz w:val="24"/>
          <w:szCs w:val="24"/>
        </w:rPr>
        <w:t xml:space="preserve"> </w:t>
      </w:r>
      <w:hyperlink r:id="rId29">
        <w:r w:rsidR="000342BD" w:rsidRPr="000C06A7">
          <w:rPr>
            <w:rStyle w:val="Hyperlink"/>
            <w:rFonts w:ascii="Arial" w:eastAsia="Calibri" w:hAnsi="Arial" w:cs="Arial"/>
            <w:sz w:val="24"/>
            <w:szCs w:val="24"/>
          </w:rPr>
          <w:t>strategic</w:t>
        </w:r>
        <w:r w:rsidR="004E7B58" w:rsidRPr="000C06A7">
          <w:rPr>
            <w:rStyle w:val="Hyperlink"/>
            <w:rFonts w:ascii="Arial" w:eastAsia="Calibri" w:hAnsi="Arial" w:cs="Arial"/>
            <w:sz w:val="24"/>
            <w:szCs w:val="24"/>
          </w:rPr>
          <w:t xml:space="preserve"> mental health workforce plan</w:t>
        </w:r>
      </w:hyperlink>
      <w:r w:rsidR="004E7B58" w:rsidRPr="000C06A7">
        <w:rPr>
          <w:rFonts w:ascii="Arial" w:eastAsia="Calibri" w:hAnsi="Arial" w:cs="Arial"/>
          <w:sz w:val="24"/>
          <w:szCs w:val="24"/>
        </w:rPr>
        <w:t xml:space="preserve">, is </w:t>
      </w:r>
      <w:r w:rsidR="00FA37C9" w:rsidRPr="000C06A7">
        <w:rPr>
          <w:rFonts w:ascii="Arial" w:eastAsia="Calibri" w:hAnsi="Arial" w:cs="Arial"/>
          <w:sz w:val="24"/>
          <w:szCs w:val="24"/>
        </w:rPr>
        <w:t>contribut</w:t>
      </w:r>
      <w:r w:rsidR="004E7B58" w:rsidRPr="000C06A7">
        <w:rPr>
          <w:rFonts w:ascii="Arial" w:eastAsia="Calibri" w:hAnsi="Arial" w:cs="Arial"/>
          <w:sz w:val="24"/>
          <w:szCs w:val="24"/>
        </w:rPr>
        <w:t xml:space="preserve">ing </w:t>
      </w:r>
      <w:r w:rsidR="00FA37C9" w:rsidRPr="000C06A7">
        <w:rPr>
          <w:rFonts w:ascii="Arial" w:eastAsia="Calibri" w:hAnsi="Arial" w:cs="Arial"/>
          <w:sz w:val="24"/>
          <w:szCs w:val="24"/>
        </w:rPr>
        <w:t xml:space="preserve">to the development of the workforce and in turn provides </w:t>
      </w:r>
      <w:r w:rsidR="00EA605B" w:rsidRPr="000C06A7">
        <w:rPr>
          <w:rFonts w:ascii="Arial" w:eastAsia="Calibri" w:hAnsi="Arial" w:cs="Arial"/>
          <w:sz w:val="24"/>
          <w:szCs w:val="24"/>
        </w:rPr>
        <w:t>more</w:t>
      </w:r>
      <w:r w:rsidR="00FA37C9" w:rsidRPr="000C06A7">
        <w:rPr>
          <w:rFonts w:ascii="Arial" w:eastAsia="Calibri" w:hAnsi="Arial" w:cs="Arial"/>
          <w:sz w:val="24"/>
          <w:szCs w:val="24"/>
        </w:rPr>
        <w:t xml:space="preserve"> resources to supplement SCWWDP</w:t>
      </w:r>
      <w:r w:rsidR="001450E0" w:rsidRPr="000C06A7">
        <w:rPr>
          <w:rFonts w:ascii="Arial" w:eastAsia="Calibri" w:hAnsi="Arial" w:cs="Arial"/>
          <w:sz w:val="24"/>
          <w:szCs w:val="24"/>
        </w:rPr>
        <w:t>.</w:t>
      </w:r>
    </w:p>
    <w:p w14:paraId="7F16EA51" w14:textId="77777777" w:rsidR="00B314B5" w:rsidRPr="000C06A7" w:rsidRDefault="00B314B5" w:rsidP="00B314B5">
      <w:pPr>
        <w:spacing w:after="200" w:line="276" w:lineRule="auto"/>
        <w:contextualSpacing/>
        <w:rPr>
          <w:rFonts w:ascii="Arial" w:eastAsia="Calibri" w:hAnsi="Arial" w:cs="Arial"/>
          <w:bCs/>
          <w:color w:val="FF0000"/>
          <w:sz w:val="24"/>
          <w:szCs w:val="24"/>
        </w:rPr>
      </w:pPr>
    </w:p>
    <w:p w14:paraId="05AD95BD" w14:textId="4E5DB6CC" w:rsidR="002D1B1F" w:rsidRPr="000C06A7" w:rsidRDefault="00782B0B" w:rsidP="00632461">
      <w:pPr>
        <w:numPr>
          <w:ilvl w:val="0"/>
          <w:numId w:val="6"/>
        </w:numPr>
        <w:spacing w:after="200" w:line="276" w:lineRule="auto"/>
        <w:ind w:left="567" w:hanging="425"/>
        <w:contextualSpacing/>
        <w:rPr>
          <w:rFonts w:ascii="Arial" w:eastAsia="Calibri" w:hAnsi="Arial" w:cs="Arial"/>
          <w:sz w:val="24"/>
          <w:szCs w:val="24"/>
        </w:rPr>
      </w:pPr>
      <w:r w:rsidRPr="000C06A7">
        <w:rPr>
          <w:rFonts w:ascii="Arial" w:eastAsia="Calibri" w:hAnsi="Arial" w:cs="Arial"/>
          <w:sz w:val="24"/>
          <w:szCs w:val="24"/>
        </w:rPr>
        <w:t>A key theme in all the regions’ responses was p</w:t>
      </w:r>
      <w:r w:rsidR="002D1B1F" w:rsidRPr="000C06A7">
        <w:rPr>
          <w:rFonts w:ascii="Arial" w:eastAsia="Calibri" w:hAnsi="Arial" w:cs="Arial"/>
          <w:sz w:val="24"/>
          <w:szCs w:val="24"/>
        </w:rPr>
        <w:t xml:space="preserve">lacement planning and </w:t>
      </w:r>
      <w:r w:rsidRPr="000C06A7">
        <w:rPr>
          <w:rFonts w:ascii="Arial" w:eastAsia="Calibri" w:hAnsi="Arial" w:cs="Arial"/>
          <w:sz w:val="24"/>
          <w:szCs w:val="24"/>
        </w:rPr>
        <w:t>practice e</w:t>
      </w:r>
      <w:r w:rsidR="002D1B1F" w:rsidRPr="000C06A7">
        <w:rPr>
          <w:rFonts w:ascii="Arial" w:eastAsia="Calibri" w:hAnsi="Arial" w:cs="Arial"/>
          <w:sz w:val="24"/>
          <w:szCs w:val="24"/>
        </w:rPr>
        <w:t>ducators (PE)</w:t>
      </w:r>
      <w:r w:rsidRPr="000C06A7">
        <w:rPr>
          <w:rFonts w:ascii="Arial" w:eastAsia="Calibri" w:hAnsi="Arial" w:cs="Arial"/>
          <w:sz w:val="24"/>
          <w:szCs w:val="24"/>
        </w:rPr>
        <w:t>. There was f</w:t>
      </w:r>
      <w:r w:rsidR="00095494" w:rsidRPr="000C06A7">
        <w:rPr>
          <w:rFonts w:ascii="Arial" w:eastAsia="Calibri" w:hAnsi="Arial" w:cs="Arial"/>
          <w:sz w:val="24"/>
          <w:szCs w:val="24"/>
        </w:rPr>
        <w:t>eedback from</w:t>
      </w:r>
      <w:r w:rsidR="002D1B1F" w:rsidRPr="000C06A7">
        <w:rPr>
          <w:rFonts w:ascii="Arial" w:eastAsia="Calibri" w:hAnsi="Arial" w:cs="Arial"/>
          <w:sz w:val="24"/>
          <w:szCs w:val="24"/>
        </w:rPr>
        <w:t xml:space="preserve"> discussions with voluntary and independent sector partners </w:t>
      </w:r>
      <w:r w:rsidR="00095494" w:rsidRPr="000C06A7">
        <w:rPr>
          <w:rFonts w:ascii="Arial" w:eastAsia="Calibri" w:hAnsi="Arial" w:cs="Arial"/>
          <w:sz w:val="24"/>
          <w:szCs w:val="24"/>
        </w:rPr>
        <w:t>when talking about</w:t>
      </w:r>
      <w:r w:rsidR="002D1B1F" w:rsidRPr="000C06A7">
        <w:rPr>
          <w:rFonts w:ascii="Arial" w:eastAsia="Calibri" w:hAnsi="Arial" w:cs="Arial"/>
          <w:sz w:val="24"/>
          <w:szCs w:val="24"/>
        </w:rPr>
        <w:t xml:space="preserve"> hosting social work students</w:t>
      </w:r>
      <w:r w:rsidR="007F3A55" w:rsidRPr="000C06A7">
        <w:rPr>
          <w:rFonts w:ascii="Arial" w:eastAsia="Calibri" w:hAnsi="Arial" w:cs="Arial"/>
          <w:sz w:val="24"/>
          <w:szCs w:val="24"/>
        </w:rPr>
        <w:t>. This noted</w:t>
      </w:r>
      <w:r w:rsidR="002D1B1F" w:rsidRPr="000C06A7" w:rsidDel="007F3A55">
        <w:rPr>
          <w:rFonts w:ascii="Arial" w:eastAsia="Calibri" w:hAnsi="Arial" w:cs="Arial"/>
          <w:sz w:val="24"/>
          <w:szCs w:val="24"/>
        </w:rPr>
        <w:t xml:space="preserve"> </w:t>
      </w:r>
      <w:r w:rsidR="002D1B1F" w:rsidRPr="000C06A7">
        <w:rPr>
          <w:rFonts w:ascii="Arial" w:eastAsia="Calibri" w:hAnsi="Arial" w:cs="Arial"/>
          <w:sz w:val="24"/>
          <w:szCs w:val="24"/>
        </w:rPr>
        <w:t>the importance of evaluating placements and the placement planning process</w:t>
      </w:r>
      <w:r w:rsidR="007F3A55" w:rsidRPr="000C06A7">
        <w:rPr>
          <w:rFonts w:ascii="Arial" w:eastAsia="Calibri" w:hAnsi="Arial" w:cs="Arial"/>
          <w:sz w:val="24"/>
          <w:szCs w:val="24"/>
        </w:rPr>
        <w:t>,</w:t>
      </w:r>
      <w:r w:rsidR="00095494" w:rsidRPr="000C06A7">
        <w:rPr>
          <w:rFonts w:ascii="Arial" w:eastAsia="Calibri" w:hAnsi="Arial" w:cs="Arial"/>
          <w:sz w:val="24"/>
          <w:szCs w:val="24"/>
        </w:rPr>
        <w:t xml:space="preserve"> so regions </w:t>
      </w:r>
      <w:r w:rsidR="007F3A55" w:rsidRPr="000C06A7">
        <w:rPr>
          <w:rFonts w:ascii="Arial" w:eastAsia="Calibri" w:hAnsi="Arial" w:cs="Arial"/>
          <w:sz w:val="24"/>
          <w:szCs w:val="24"/>
        </w:rPr>
        <w:t>can</w:t>
      </w:r>
      <w:r w:rsidR="002D1B1F" w:rsidRPr="000C06A7">
        <w:rPr>
          <w:rFonts w:ascii="Arial" w:eastAsia="Calibri" w:hAnsi="Arial" w:cs="Arial"/>
          <w:sz w:val="24"/>
          <w:szCs w:val="24"/>
        </w:rPr>
        <w:t xml:space="preserve"> learn and adapt from feedback. There</w:t>
      </w:r>
      <w:r w:rsidR="00EA73BF" w:rsidRPr="000C06A7">
        <w:rPr>
          <w:rFonts w:ascii="Arial" w:eastAsia="Calibri" w:hAnsi="Arial" w:cs="Arial"/>
          <w:sz w:val="24"/>
          <w:szCs w:val="24"/>
        </w:rPr>
        <w:t>’</w:t>
      </w:r>
      <w:r w:rsidR="002D1B1F" w:rsidRPr="000C06A7">
        <w:rPr>
          <w:rFonts w:ascii="Arial" w:eastAsia="Calibri" w:hAnsi="Arial" w:cs="Arial"/>
          <w:sz w:val="24"/>
          <w:szCs w:val="24"/>
        </w:rPr>
        <w:t xml:space="preserve">s continued support for individuals to </w:t>
      </w:r>
      <w:r w:rsidR="00D31353" w:rsidRPr="000C06A7">
        <w:rPr>
          <w:rFonts w:ascii="Arial" w:eastAsia="Calibri" w:hAnsi="Arial" w:cs="Arial"/>
          <w:sz w:val="24"/>
          <w:szCs w:val="24"/>
        </w:rPr>
        <w:t xml:space="preserve">follow </w:t>
      </w:r>
      <w:r w:rsidR="002D1B1F" w:rsidRPr="000C06A7">
        <w:rPr>
          <w:rFonts w:ascii="Arial" w:eastAsia="Calibri" w:hAnsi="Arial" w:cs="Arial"/>
          <w:sz w:val="24"/>
          <w:szCs w:val="24"/>
        </w:rPr>
        <w:t xml:space="preserve">and </w:t>
      </w:r>
      <w:r w:rsidR="00CD190C" w:rsidRPr="000C06A7">
        <w:rPr>
          <w:rFonts w:ascii="Arial" w:eastAsia="Calibri" w:hAnsi="Arial" w:cs="Arial"/>
          <w:sz w:val="24"/>
          <w:szCs w:val="24"/>
        </w:rPr>
        <w:t>finish</w:t>
      </w:r>
      <w:r w:rsidR="002D1B1F" w:rsidRPr="000C06A7">
        <w:rPr>
          <w:rFonts w:ascii="Arial" w:eastAsia="Calibri" w:hAnsi="Arial" w:cs="Arial"/>
          <w:sz w:val="24"/>
          <w:szCs w:val="24"/>
        </w:rPr>
        <w:t xml:space="preserve"> PE qualifications and ongoing support for PE</w:t>
      </w:r>
      <w:r w:rsidR="007F3A55" w:rsidRPr="000C06A7">
        <w:rPr>
          <w:rFonts w:ascii="Arial" w:eastAsia="Calibri" w:hAnsi="Arial" w:cs="Arial"/>
          <w:sz w:val="24"/>
          <w:szCs w:val="24"/>
        </w:rPr>
        <w:t>,</w:t>
      </w:r>
      <w:r w:rsidR="002D1B1F" w:rsidRPr="000C06A7">
        <w:rPr>
          <w:rFonts w:ascii="Arial" w:eastAsia="Calibri" w:hAnsi="Arial" w:cs="Arial"/>
          <w:sz w:val="24"/>
          <w:szCs w:val="24"/>
        </w:rPr>
        <w:t xml:space="preserve"> </w:t>
      </w:r>
      <w:r w:rsidR="00D33D74" w:rsidRPr="000C06A7">
        <w:rPr>
          <w:rFonts w:ascii="Arial" w:eastAsia="Calibri" w:hAnsi="Arial" w:cs="Arial"/>
          <w:sz w:val="24"/>
          <w:szCs w:val="24"/>
        </w:rPr>
        <w:t>such as</w:t>
      </w:r>
      <w:r w:rsidR="002D1B1F" w:rsidRPr="000C06A7">
        <w:rPr>
          <w:rFonts w:ascii="Arial" w:eastAsia="Calibri" w:hAnsi="Arial" w:cs="Arial"/>
          <w:sz w:val="24"/>
          <w:szCs w:val="24"/>
        </w:rPr>
        <w:t xml:space="preserve"> support groups (on-site </w:t>
      </w:r>
      <w:r w:rsidR="007F3A55" w:rsidRPr="000C06A7">
        <w:rPr>
          <w:rFonts w:ascii="Arial" w:eastAsia="Calibri" w:hAnsi="Arial" w:cs="Arial"/>
          <w:sz w:val="24"/>
          <w:szCs w:val="24"/>
        </w:rPr>
        <w:t>and</w:t>
      </w:r>
      <w:r w:rsidR="002D1B1F" w:rsidRPr="000C06A7">
        <w:rPr>
          <w:rFonts w:ascii="Arial" w:eastAsia="Calibri" w:hAnsi="Arial" w:cs="Arial"/>
          <w:sz w:val="24"/>
          <w:szCs w:val="24"/>
        </w:rPr>
        <w:t xml:space="preserve"> distance), on-site supervisors and </w:t>
      </w:r>
      <w:r w:rsidR="00F91D7C" w:rsidRPr="000C06A7">
        <w:rPr>
          <w:rFonts w:ascii="Arial" w:eastAsia="Calibri" w:hAnsi="Arial" w:cs="Arial"/>
          <w:sz w:val="24"/>
          <w:szCs w:val="24"/>
        </w:rPr>
        <w:t>being able to get</w:t>
      </w:r>
      <w:r w:rsidR="007F3A55" w:rsidRPr="000C06A7">
        <w:rPr>
          <w:rFonts w:ascii="Arial" w:eastAsia="Calibri" w:hAnsi="Arial" w:cs="Arial"/>
          <w:sz w:val="24"/>
          <w:szCs w:val="24"/>
        </w:rPr>
        <w:t xml:space="preserve"> extra</w:t>
      </w:r>
      <w:r w:rsidR="00F91D7C" w:rsidRPr="000C06A7" w:rsidDel="007F3A55">
        <w:rPr>
          <w:rFonts w:ascii="Arial" w:eastAsia="Calibri" w:hAnsi="Arial" w:cs="Arial"/>
          <w:sz w:val="24"/>
          <w:szCs w:val="24"/>
        </w:rPr>
        <w:t xml:space="preserve"> </w:t>
      </w:r>
      <w:r w:rsidR="002D1B1F" w:rsidRPr="000C06A7">
        <w:rPr>
          <w:rFonts w:ascii="Arial" w:eastAsia="Calibri" w:hAnsi="Arial" w:cs="Arial"/>
          <w:sz w:val="24"/>
          <w:szCs w:val="24"/>
        </w:rPr>
        <w:t xml:space="preserve">and bespoke training and development. There was also a focus on </w:t>
      </w:r>
      <w:r w:rsidR="00C45CF9" w:rsidRPr="000C06A7">
        <w:rPr>
          <w:rFonts w:ascii="Arial" w:eastAsia="Calibri" w:hAnsi="Arial" w:cs="Arial"/>
          <w:sz w:val="24"/>
          <w:szCs w:val="24"/>
        </w:rPr>
        <w:t>making sure</w:t>
      </w:r>
      <w:r w:rsidR="002D1B1F" w:rsidRPr="000C06A7">
        <w:rPr>
          <w:rFonts w:ascii="Arial" w:eastAsia="Calibri" w:hAnsi="Arial" w:cs="Arial"/>
          <w:sz w:val="24"/>
          <w:szCs w:val="24"/>
        </w:rPr>
        <w:t xml:space="preserve"> </w:t>
      </w:r>
      <w:r w:rsidR="007F3A55" w:rsidRPr="000C06A7">
        <w:rPr>
          <w:rFonts w:ascii="Arial" w:eastAsia="Calibri" w:hAnsi="Arial" w:cs="Arial"/>
          <w:sz w:val="24"/>
          <w:szCs w:val="24"/>
        </w:rPr>
        <w:t>practice educators can</w:t>
      </w:r>
      <w:r w:rsidR="002D1B1F" w:rsidRPr="000C06A7">
        <w:rPr>
          <w:rFonts w:ascii="Arial" w:eastAsia="Calibri" w:hAnsi="Arial" w:cs="Arial"/>
          <w:sz w:val="24"/>
          <w:szCs w:val="24"/>
        </w:rPr>
        <w:t xml:space="preserve"> support students in Welsh. </w:t>
      </w:r>
    </w:p>
    <w:p w14:paraId="6F56373E" w14:textId="77777777" w:rsidR="002D1B1F" w:rsidRPr="00B568F3" w:rsidRDefault="002D1B1F" w:rsidP="002D1B1F">
      <w:pPr>
        <w:spacing w:after="200" w:line="276" w:lineRule="auto"/>
        <w:contextualSpacing/>
        <w:rPr>
          <w:rFonts w:ascii="Arial" w:eastAsia="Calibri" w:hAnsi="Arial" w:cs="Arial"/>
          <w:bCs/>
          <w:sz w:val="24"/>
          <w:szCs w:val="24"/>
        </w:rPr>
      </w:pPr>
    </w:p>
    <w:p w14:paraId="481B34FA" w14:textId="77777777" w:rsidR="002D1B1F" w:rsidRPr="00B568F3" w:rsidRDefault="002D1B1F" w:rsidP="000C06A7">
      <w:pPr>
        <w:pStyle w:val="Heading3"/>
      </w:pPr>
      <w:r w:rsidRPr="00B568F3">
        <w:t>Challenges</w:t>
      </w:r>
    </w:p>
    <w:p w14:paraId="5A9E0CEC" w14:textId="77777777" w:rsidR="002D1B1F" w:rsidRPr="00B568F3" w:rsidRDefault="002D1B1F" w:rsidP="002D1B1F">
      <w:pPr>
        <w:spacing w:after="200" w:line="276" w:lineRule="auto"/>
        <w:contextualSpacing/>
        <w:rPr>
          <w:rFonts w:ascii="Arial" w:eastAsia="Calibri" w:hAnsi="Arial" w:cs="Arial"/>
          <w:bCs/>
          <w:color w:val="FF0000"/>
          <w:sz w:val="24"/>
          <w:szCs w:val="24"/>
        </w:rPr>
      </w:pPr>
    </w:p>
    <w:p w14:paraId="7C6292BF" w14:textId="13AB683C" w:rsidR="002D1B1F" w:rsidRPr="00B568F3" w:rsidRDefault="007F3A55"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It’s been reported that p</w:t>
      </w:r>
      <w:r w:rsidR="008E2E35" w:rsidRPr="00B568F3">
        <w:rPr>
          <w:rFonts w:ascii="Arial" w:eastAsia="Calibri" w:hAnsi="Arial" w:cs="Arial"/>
          <w:sz w:val="24"/>
          <w:szCs w:val="24"/>
        </w:rPr>
        <w:t>ressu</w:t>
      </w:r>
      <w:r w:rsidR="00952700" w:rsidRPr="00B568F3">
        <w:rPr>
          <w:rFonts w:ascii="Arial" w:eastAsia="Calibri" w:hAnsi="Arial" w:cs="Arial"/>
          <w:sz w:val="24"/>
          <w:szCs w:val="24"/>
        </w:rPr>
        <w:t>res on the service have an impac</w:t>
      </w:r>
      <w:r w:rsidR="00C814D9" w:rsidRPr="00B568F3">
        <w:rPr>
          <w:rFonts w:ascii="Arial" w:eastAsia="Calibri" w:hAnsi="Arial" w:cs="Arial"/>
          <w:sz w:val="24"/>
          <w:szCs w:val="24"/>
        </w:rPr>
        <w:t xml:space="preserve">t on </w:t>
      </w:r>
      <w:r w:rsidR="00D56737" w:rsidRPr="00B568F3">
        <w:rPr>
          <w:rFonts w:ascii="Arial" w:eastAsia="Calibri" w:hAnsi="Arial" w:cs="Arial"/>
          <w:sz w:val="24"/>
          <w:szCs w:val="24"/>
        </w:rPr>
        <w:t>the capacity of internal PE</w:t>
      </w:r>
      <w:r w:rsidRPr="00B568F3">
        <w:rPr>
          <w:rFonts w:ascii="Arial" w:eastAsia="Calibri" w:hAnsi="Arial" w:cs="Arial"/>
          <w:sz w:val="24"/>
          <w:szCs w:val="24"/>
        </w:rPr>
        <w:t>s</w:t>
      </w:r>
      <w:r w:rsidR="004B2695" w:rsidRPr="00B568F3">
        <w:rPr>
          <w:rFonts w:ascii="Arial" w:eastAsia="Calibri" w:hAnsi="Arial" w:cs="Arial"/>
          <w:sz w:val="24"/>
          <w:szCs w:val="24"/>
        </w:rPr>
        <w:t>. This</w:t>
      </w:r>
      <w:r w:rsidR="00161244" w:rsidRPr="00B568F3">
        <w:rPr>
          <w:rFonts w:ascii="Arial" w:eastAsia="Calibri" w:hAnsi="Arial" w:cs="Arial"/>
          <w:sz w:val="24"/>
          <w:szCs w:val="24"/>
        </w:rPr>
        <w:t xml:space="preserve"> has led to</w:t>
      </w:r>
      <w:r w:rsidR="006F6EBA" w:rsidRPr="00B568F3">
        <w:rPr>
          <w:rFonts w:ascii="Arial" w:eastAsia="Calibri" w:hAnsi="Arial" w:cs="Arial"/>
          <w:sz w:val="24"/>
          <w:szCs w:val="24"/>
        </w:rPr>
        <w:t xml:space="preserve"> </w:t>
      </w:r>
      <w:r w:rsidRPr="00B568F3">
        <w:rPr>
          <w:rFonts w:ascii="Arial" w:eastAsia="Calibri" w:hAnsi="Arial" w:cs="Arial"/>
          <w:sz w:val="24"/>
          <w:szCs w:val="24"/>
        </w:rPr>
        <w:t>the</w:t>
      </w:r>
      <w:r w:rsidR="006F6EBA" w:rsidRPr="00B568F3">
        <w:rPr>
          <w:rFonts w:ascii="Arial" w:eastAsia="Calibri" w:hAnsi="Arial" w:cs="Arial"/>
          <w:sz w:val="24"/>
          <w:szCs w:val="24"/>
        </w:rPr>
        <w:t xml:space="preserve"> commissioning </w:t>
      </w:r>
      <w:r w:rsidRPr="00B568F3">
        <w:rPr>
          <w:rFonts w:ascii="Arial" w:eastAsia="Calibri" w:hAnsi="Arial" w:cs="Arial"/>
          <w:sz w:val="24"/>
          <w:szCs w:val="24"/>
        </w:rPr>
        <w:t xml:space="preserve">of </w:t>
      </w:r>
      <w:r w:rsidR="006F6EBA" w:rsidRPr="00B568F3">
        <w:rPr>
          <w:rFonts w:ascii="Arial" w:eastAsia="Calibri" w:hAnsi="Arial" w:cs="Arial"/>
          <w:sz w:val="24"/>
          <w:szCs w:val="24"/>
        </w:rPr>
        <w:t xml:space="preserve">external services to respond to the </w:t>
      </w:r>
      <w:r w:rsidR="002D1B1F" w:rsidRPr="00B568F3">
        <w:rPr>
          <w:rFonts w:ascii="Arial" w:eastAsia="Calibri" w:hAnsi="Arial" w:cs="Arial"/>
          <w:sz w:val="24"/>
          <w:szCs w:val="24"/>
        </w:rPr>
        <w:t xml:space="preserve">qualifying and post qualifying PE demand. </w:t>
      </w:r>
      <w:r w:rsidRPr="00B568F3">
        <w:rPr>
          <w:rFonts w:ascii="Arial" w:eastAsia="Calibri" w:hAnsi="Arial" w:cs="Arial"/>
          <w:sz w:val="24"/>
          <w:szCs w:val="24"/>
        </w:rPr>
        <w:t>I</w:t>
      </w:r>
      <w:r w:rsidR="002D1B1F" w:rsidRPr="00B568F3">
        <w:rPr>
          <w:rFonts w:ascii="Arial" w:eastAsia="Calibri" w:hAnsi="Arial" w:cs="Arial"/>
          <w:sz w:val="24"/>
          <w:szCs w:val="24"/>
        </w:rPr>
        <w:t>t</w:t>
      </w:r>
      <w:r w:rsidR="00CC1005" w:rsidRPr="00B568F3">
        <w:rPr>
          <w:rFonts w:ascii="Arial" w:eastAsia="Calibri" w:hAnsi="Arial" w:cs="Arial"/>
          <w:sz w:val="24"/>
          <w:szCs w:val="24"/>
        </w:rPr>
        <w:t>’</w:t>
      </w:r>
      <w:r w:rsidR="002D1B1F" w:rsidRPr="00B568F3">
        <w:rPr>
          <w:rFonts w:ascii="Arial" w:eastAsia="Calibri" w:hAnsi="Arial" w:cs="Arial"/>
          <w:sz w:val="24"/>
          <w:szCs w:val="24"/>
        </w:rPr>
        <w:t xml:space="preserve">s </w:t>
      </w:r>
      <w:r w:rsidRPr="00B568F3">
        <w:rPr>
          <w:rFonts w:ascii="Arial" w:eastAsia="Calibri" w:hAnsi="Arial" w:cs="Arial"/>
          <w:sz w:val="24"/>
          <w:szCs w:val="24"/>
        </w:rPr>
        <w:t xml:space="preserve">also </w:t>
      </w:r>
      <w:r w:rsidR="002D1B1F" w:rsidRPr="00B568F3">
        <w:rPr>
          <w:rFonts w:ascii="Arial" w:eastAsia="Calibri" w:hAnsi="Arial" w:cs="Arial"/>
          <w:sz w:val="24"/>
          <w:szCs w:val="24"/>
        </w:rPr>
        <w:t>reported that there</w:t>
      </w:r>
      <w:r w:rsidR="0073314E" w:rsidRPr="00B568F3">
        <w:rPr>
          <w:rFonts w:ascii="Arial" w:eastAsia="Calibri" w:hAnsi="Arial" w:cs="Arial"/>
          <w:sz w:val="24"/>
          <w:szCs w:val="24"/>
        </w:rPr>
        <w:t>’</w:t>
      </w:r>
      <w:r w:rsidR="002D1B1F" w:rsidRPr="00B568F3">
        <w:rPr>
          <w:rFonts w:ascii="Arial" w:eastAsia="Calibri" w:hAnsi="Arial" w:cs="Arial"/>
          <w:sz w:val="24"/>
          <w:szCs w:val="24"/>
        </w:rPr>
        <w:t xml:space="preserve">s </w:t>
      </w:r>
      <w:r w:rsidR="0073314E" w:rsidRPr="00B568F3">
        <w:rPr>
          <w:rFonts w:ascii="Arial" w:eastAsia="Calibri" w:hAnsi="Arial" w:cs="Arial"/>
          <w:sz w:val="24"/>
          <w:szCs w:val="24"/>
        </w:rPr>
        <w:t>more</w:t>
      </w:r>
      <w:r w:rsidR="002D1B1F" w:rsidRPr="00B568F3">
        <w:rPr>
          <w:rFonts w:ascii="Arial" w:eastAsia="Calibri" w:hAnsi="Arial" w:cs="Arial"/>
          <w:sz w:val="24"/>
          <w:szCs w:val="24"/>
        </w:rPr>
        <w:t xml:space="preserve"> complexity in supporting students, including</w:t>
      </w:r>
      <w:r w:rsidR="0073314E" w:rsidRPr="00B568F3">
        <w:rPr>
          <w:rFonts w:ascii="Arial" w:eastAsia="Calibri" w:hAnsi="Arial" w:cs="Arial"/>
          <w:sz w:val="24"/>
          <w:szCs w:val="24"/>
        </w:rPr>
        <w:t>:</w:t>
      </w:r>
      <w:r w:rsidR="002D1B1F" w:rsidRPr="00B568F3">
        <w:rPr>
          <w:rFonts w:ascii="Arial" w:eastAsia="Calibri" w:hAnsi="Arial" w:cs="Arial"/>
          <w:sz w:val="24"/>
          <w:szCs w:val="24"/>
        </w:rPr>
        <w:t xml:space="preserve"> </w:t>
      </w:r>
    </w:p>
    <w:p w14:paraId="6CA4A17F" w14:textId="67F4F2B6" w:rsidR="002D1B1F" w:rsidRPr="00B568F3" w:rsidRDefault="002D1B1F" w:rsidP="00632461">
      <w:pPr>
        <w:numPr>
          <w:ilvl w:val="1"/>
          <w:numId w:val="6"/>
        </w:numPr>
        <w:spacing w:after="200" w:line="276" w:lineRule="auto"/>
        <w:contextualSpacing/>
        <w:rPr>
          <w:rFonts w:ascii="Arial" w:eastAsia="Calibri" w:hAnsi="Arial" w:cs="Arial"/>
          <w:sz w:val="24"/>
          <w:szCs w:val="24"/>
        </w:rPr>
      </w:pPr>
      <w:r w:rsidRPr="00B568F3">
        <w:rPr>
          <w:rFonts w:ascii="Arial" w:eastAsia="Calibri" w:hAnsi="Arial" w:cs="Arial"/>
          <w:sz w:val="24"/>
          <w:szCs w:val="24"/>
        </w:rPr>
        <w:t>non-drivers</w:t>
      </w:r>
    </w:p>
    <w:p w14:paraId="02D46593" w14:textId="558F5930" w:rsidR="002D1B1F" w:rsidRPr="00B568F3" w:rsidRDefault="002D1B1F" w:rsidP="00632461">
      <w:pPr>
        <w:numPr>
          <w:ilvl w:val="1"/>
          <w:numId w:val="6"/>
        </w:numPr>
        <w:spacing w:after="200" w:line="276" w:lineRule="auto"/>
        <w:contextualSpacing/>
        <w:rPr>
          <w:rFonts w:ascii="Arial" w:eastAsia="Calibri" w:hAnsi="Arial" w:cs="Arial"/>
          <w:sz w:val="24"/>
          <w:szCs w:val="24"/>
        </w:rPr>
      </w:pPr>
      <w:r w:rsidRPr="00B568F3">
        <w:rPr>
          <w:rFonts w:ascii="Arial" w:eastAsia="Calibri" w:hAnsi="Arial" w:cs="Arial"/>
          <w:sz w:val="24"/>
          <w:szCs w:val="24"/>
        </w:rPr>
        <w:t xml:space="preserve">additional learning needs </w:t>
      </w:r>
    </w:p>
    <w:p w14:paraId="29496330" w14:textId="31CA8BC8" w:rsidR="002D1B1F" w:rsidRPr="00B568F3" w:rsidRDefault="002D1B1F" w:rsidP="00632461">
      <w:pPr>
        <w:numPr>
          <w:ilvl w:val="1"/>
          <w:numId w:val="6"/>
        </w:numPr>
        <w:spacing w:after="200" w:line="276" w:lineRule="auto"/>
        <w:contextualSpacing/>
        <w:rPr>
          <w:rFonts w:ascii="Arial" w:eastAsia="Calibri" w:hAnsi="Arial" w:cs="Arial"/>
          <w:bCs/>
          <w:sz w:val="24"/>
          <w:szCs w:val="24"/>
        </w:rPr>
      </w:pPr>
      <w:r w:rsidRPr="00B568F3">
        <w:rPr>
          <w:rFonts w:ascii="Arial" w:eastAsia="Calibri" w:hAnsi="Arial" w:cs="Arial"/>
          <w:bCs/>
          <w:sz w:val="24"/>
          <w:szCs w:val="24"/>
        </w:rPr>
        <w:t>complex family circumstances</w:t>
      </w:r>
    </w:p>
    <w:p w14:paraId="7F6EF769" w14:textId="606EFB68" w:rsidR="002D1B1F" w:rsidRPr="00B568F3" w:rsidRDefault="002D1B1F" w:rsidP="00632461">
      <w:pPr>
        <w:numPr>
          <w:ilvl w:val="1"/>
          <w:numId w:val="6"/>
        </w:numPr>
        <w:spacing w:after="200" w:line="276" w:lineRule="auto"/>
        <w:contextualSpacing/>
        <w:rPr>
          <w:rFonts w:ascii="Arial" w:eastAsia="Calibri" w:hAnsi="Arial" w:cs="Arial"/>
          <w:sz w:val="24"/>
          <w:szCs w:val="24"/>
        </w:rPr>
      </w:pPr>
      <w:r w:rsidRPr="00B568F3">
        <w:rPr>
          <w:rFonts w:ascii="Arial" w:eastAsia="Calibri" w:hAnsi="Arial" w:cs="Arial"/>
          <w:sz w:val="24"/>
          <w:szCs w:val="24"/>
        </w:rPr>
        <w:t>limited pre course experience for students coming through the HEI route in particular</w:t>
      </w:r>
      <w:r w:rsidR="002C7EC7" w:rsidRPr="00B568F3">
        <w:rPr>
          <w:rFonts w:ascii="Arial" w:eastAsia="Calibri" w:hAnsi="Arial" w:cs="Arial"/>
          <w:sz w:val="24"/>
          <w:szCs w:val="24"/>
        </w:rPr>
        <w:t xml:space="preserve">. </w:t>
      </w:r>
    </w:p>
    <w:p w14:paraId="24C48B48" w14:textId="77777777" w:rsidR="00B314B5" w:rsidRPr="00B568F3" w:rsidRDefault="00B314B5" w:rsidP="00B314B5">
      <w:pPr>
        <w:spacing w:after="200" w:line="276" w:lineRule="auto"/>
        <w:ind w:left="2160"/>
        <w:contextualSpacing/>
        <w:rPr>
          <w:rFonts w:ascii="Arial" w:eastAsia="Calibri" w:hAnsi="Arial" w:cs="Arial"/>
          <w:bCs/>
          <w:sz w:val="24"/>
          <w:szCs w:val="24"/>
        </w:rPr>
      </w:pPr>
    </w:p>
    <w:p w14:paraId="311C12FE" w14:textId="45D7464D" w:rsidR="000A776E" w:rsidRPr="00B568F3" w:rsidRDefault="007F3A55"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As well as</w:t>
      </w:r>
      <w:r w:rsidR="00AD216B" w:rsidRPr="00B568F3">
        <w:rPr>
          <w:rFonts w:ascii="Arial" w:eastAsia="Calibri" w:hAnsi="Arial" w:cs="Arial"/>
          <w:sz w:val="24"/>
          <w:szCs w:val="24"/>
        </w:rPr>
        <w:t xml:space="preserve"> the </w:t>
      </w:r>
      <w:r w:rsidRPr="00B568F3">
        <w:rPr>
          <w:rFonts w:ascii="Arial" w:eastAsia="Calibri" w:hAnsi="Arial" w:cs="Arial"/>
          <w:sz w:val="24"/>
          <w:szCs w:val="24"/>
        </w:rPr>
        <w:t>informal</w:t>
      </w:r>
      <w:r w:rsidR="00653EA3" w:rsidRPr="00B568F3">
        <w:rPr>
          <w:rFonts w:ascii="Arial" w:eastAsia="Calibri" w:hAnsi="Arial" w:cs="Arial"/>
          <w:sz w:val="24"/>
          <w:szCs w:val="24"/>
        </w:rPr>
        <w:t xml:space="preserve"> </w:t>
      </w:r>
      <w:r w:rsidR="00AD216B" w:rsidRPr="00B568F3">
        <w:rPr>
          <w:rFonts w:ascii="Arial" w:eastAsia="Calibri" w:hAnsi="Arial" w:cs="Arial"/>
          <w:sz w:val="24"/>
          <w:szCs w:val="24"/>
        </w:rPr>
        <w:t xml:space="preserve">evidence of the challenges </w:t>
      </w:r>
      <w:r w:rsidR="004926A7" w:rsidRPr="00B568F3">
        <w:rPr>
          <w:rFonts w:ascii="Arial" w:eastAsia="Calibri" w:hAnsi="Arial" w:cs="Arial"/>
          <w:sz w:val="24"/>
          <w:szCs w:val="24"/>
        </w:rPr>
        <w:t xml:space="preserve">about </w:t>
      </w:r>
      <w:r w:rsidR="00AD216B" w:rsidRPr="00B568F3">
        <w:rPr>
          <w:rFonts w:ascii="Arial" w:eastAsia="Calibri" w:hAnsi="Arial" w:cs="Arial"/>
          <w:sz w:val="24"/>
          <w:szCs w:val="24"/>
        </w:rPr>
        <w:t>PE capacity</w:t>
      </w:r>
      <w:r w:rsidR="002738C0" w:rsidRPr="00B568F3">
        <w:rPr>
          <w:rFonts w:ascii="Arial" w:eastAsia="Calibri" w:hAnsi="Arial" w:cs="Arial"/>
          <w:sz w:val="24"/>
          <w:szCs w:val="24"/>
        </w:rPr>
        <w:t>, which is</w:t>
      </w:r>
      <w:r w:rsidR="00AD216B" w:rsidRPr="00B568F3">
        <w:rPr>
          <w:rFonts w:ascii="Arial" w:eastAsia="Calibri" w:hAnsi="Arial" w:cs="Arial"/>
          <w:sz w:val="24"/>
          <w:szCs w:val="24"/>
        </w:rPr>
        <w:t xml:space="preserve"> recorded as part of the SCWWDP </w:t>
      </w:r>
      <w:r w:rsidR="00DD0F35" w:rsidRPr="00B568F3">
        <w:rPr>
          <w:rFonts w:ascii="Arial" w:eastAsia="Calibri" w:hAnsi="Arial" w:cs="Arial"/>
          <w:sz w:val="24"/>
          <w:szCs w:val="24"/>
        </w:rPr>
        <w:t>grant process</w:t>
      </w:r>
      <w:r w:rsidR="00CA66A0" w:rsidRPr="00B568F3">
        <w:rPr>
          <w:rFonts w:ascii="Arial" w:eastAsia="Calibri" w:hAnsi="Arial" w:cs="Arial"/>
          <w:sz w:val="24"/>
          <w:szCs w:val="24"/>
        </w:rPr>
        <w:t>,</w:t>
      </w:r>
      <w:r w:rsidR="00DD0F35" w:rsidRPr="00B568F3">
        <w:rPr>
          <w:rFonts w:ascii="Arial" w:eastAsia="Calibri" w:hAnsi="Arial" w:cs="Arial"/>
          <w:sz w:val="24"/>
          <w:szCs w:val="24"/>
        </w:rPr>
        <w:t xml:space="preserve"> the same themes</w:t>
      </w:r>
      <w:r w:rsidR="007B75CA" w:rsidRPr="00B568F3">
        <w:rPr>
          <w:rFonts w:ascii="Arial" w:eastAsia="Calibri" w:hAnsi="Arial" w:cs="Arial"/>
          <w:sz w:val="24"/>
          <w:szCs w:val="24"/>
        </w:rPr>
        <w:t xml:space="preserve"> </w:t>
      </w:r>
      <w:r w:rsidR="00CA66A0" w:rsidRPr="00B568F3">
        <w:rPr>
          <w:rFonts w:ascii="Arial" w:eastAsia="Calibri" w:hAnsi="Arial" w:cs="Arial"/>
          <w:sz w:val="24"/>
          <w:szCs w:val="24"/>
        </w:rPr>
        <w:t>come out of the</w:t>
      </w:r>
      <w:r w:rsidR="006E33C4" w:rsidRPr="00B568F3">
        <w:rPr>
          <w:rFonts w:ascii="Arial" w:eastAsia="Calibri" w:hAnsi="Arial" w:cs="Arial"/>
          <w:sz w:val="24"/>
          <w:szCs w:val="24"/>
        </w:rPr>
        <w:t xml:space="preserve"> practice educator</w:t>
      </w:r>
      <w:r w:rsidR="0038624F" w:rsidRPr="00B568F3">
        <w:rPr>
          <w:rFonts w:ascii="Arial" w:eastAsia="Calibri" w:hAnsi="Arial" w:cs="Arial"/>
          <w:sz w:val="24"/>
          <w:szCs w:val="24"/>
        </w:rPr>
        <w:t xml:space="preserve"> hub </w:t>
      </w:r>
      <w:r w:rsidR="002C282A" w:rsidRPr="00B568F3">
        <w:rPr>
          <w:rFonts w:ascii="Arial" w:eastAsia="Calibri" w:hAnsi="Arial" w:cs="Arial"/>
          <w:sz w:val="24"/>
          <w:szCs w:val="24"/>
        </w:rPr>
        <w:t>meetings.</w:t>
      </w:r>
      <w:r w:rsidR="0038624F" w:rsidRPr="00B568F3">
        <w:rPr>
          <w:rFonts w:ascii="Arial" w:eastAsia="Calibri" w:hAnsi="Arial" w:cs="Arial"/>
          <w:sz w:val="24"/>
          <w:szCs w:val="24"/>
        </w:rPr>
        <w:t xml:space="preserve"> </w:t>
      </w:r>
      <w:r w:rsidR="007B75CA" w:rsidRPr="00B568F3">
        <w:rPr>
          <w:rFonts w:ascii="Arial" w:eastAsia="Calibri" w:hAnsi="Arial" w:cs="Arial"/>
          <w:sz w:val="24"/>
          <w:szCs w:val="24"/>
        </w:rPr>
        <w:t xml:space="preserve">To </w:t>
      </w:r>
      <w:r w:rsidR="000C3118" w:rsidRPr="00B568F3">
        <w:rPr>
          <w:rFonts w:ascii="Arial" w:eastAsia="Calibri" w:hAnsi="Arial" w:cs="Arial"/>
          <w:sz w:val="24"/>
          <w:szCs w:val="24"/>
        </w:rPr>
        <w:t>get a</w:t>
      </w:r>
      <w:r w:rsidR="00A450FF" w:rsidRPr="00B568F3">
        <w:rPr>
          <w:rFonts w:ascii="Arial" w:eastAsia="Calibri" w:hAnsi="Arial" w:cs="Arial"/>
          <w:sz w:val="24"/>
          <w:szCs w:val="24"/>
        </w:rPr>
        <w:t xml:space="preserve"> better understanding of the </w:t>
      </w:r>
      <w:r w:rsidR="00BE6AA2" w:rsidRPr="00B568F3">
        <w:rPr>
          <w:rFonts w:ascii="Arial" w:eastAsia="Calibri" w:hAnsi="Arial" w:cs="Arial"/>
          <w:sz w:val="24"/>
          <w:szCs w:val="24"/>
        </w:rPr>
        <w:t xml:space="preserve">situation </w:t>
      </w:r>
      <w:r w:rsidR="00A450FF" w:rsidRPr="00B568F3">
        <w:rPr>
          <w:rFonts w:ascii="Arial" w:eastAsia="Calibri" w:hAnsi="Arial" w:cs="Arial"/>
          <w:sz w:val="24"/>
          <w:szCs w:val="24"/>
        </w:rPr>
        <w:t xml:space="preserve">across Wales and to understand the variations that might exist, </w:t>
      </w:r>
      <w:r w:rsidR="00F74BC4" w:rsidRPr="00B568F3">
        <w:rPr>
          <w:rFonts w:ascii="Arial" w:eastAsia="Calibri" w:hAnsi="Arial" w:cs="Arial"/>
          <w:sz w:val="24"/>
          <w:szCs w:val="24"/>
        </w:rPr>
        <w:t>we</w:t>
      </w:r>
      <w:r w:rsidRPr="00B568F3">
        <w:rPr>
          <w:rFonts w:ascii="Arial" w:eastAsia="Calibri" w:hAnsi="Arial" w:cs="Arial"/>
          <w:sz w:val="24"/>
          <w:szCs w:val="24"/>
        </w:rPr>
        <w:t>’ll</w:t>
      </w:r>
      <w:r w:rsidR="003F76AA" w:rsidRPr="00B568F3">
        <w:rPr>
          <w:rFonts w:ascii="Arial" w:eastAsia="Calibri" w:hAnsi="Arial" w:cs="Arial"/>
          <w:sz w:val="24"/>
          <w:szCs w:val="24"/>
        </w:rPr>
        <w:t xml:space="preserve"> </w:t>
      </w:r>
      <w:r w:rsidR="003F76AA" w:rsidRPr="00B568F3" w:rsidDel="007F3A55">
        <w:rPr>
          <w:rFonts w:ascii="Arial" w:eastAsia="Calibri" w:hAnsi="Arial" w:cs="Arial"/>
          <w:sz w:val="24"/>
          <w:szCs w:val="24"/>
        </w:rPr>
        <w:t>be</w:t>
      </w:r>
      <w:r w:rsidR="003F76AA" w:rsidRPr="00B568F3">
        <w:rPr>
          <w:rFonts w:ascii="Arial" w:eastAsia="Calibri" w:hAnsi="Arial" w:cs="Arial"/>
          <w:sz w:val="24"/>
          <w:szCs w:val="24"/>
        </w:rPr>
        <w:t xml:space="preserve"> working in</w:t>
      </w:r>
      <w:r w:rsidR="003F76AA" w:rsidRPr="00B568F3" w:rsidDel="00F74BC4">
        <w:rPr>
          <w:rFonts w:ascii="Arial" w:eastAsia="Calibri" w:hAnsi="Arial" w:cs="Arial"/>
          <w:sz w:val="24"/>
          <w:szCs w:val="24"/>
        </w:rPr>
        <w:t xml:space="preserve"> </w:t>
      </w:r>
      <w:r w:rsidR="003F76AA" w:rsidRPr="00B568F3">
        <w:rPr>
          <w:rFonts w:ascii="Arial" w:eastAsia="Calibri" w:hAnsi="Arial" w:cs="Arial"/>
          <w:sz w:val="24"/>
          <w:szCs w:val="24"/>
        </w:rPr>
        <w:t>with</w:t>
      </w:r>
      <w:r w:rsidR="008C4CD6" w:rsidRPr="00B568F3">
        <w:rPr>
          <w:rFonts w:ascii="Arial" w:eastAsia="Calibri" w:hAnsi="Arial" w:cs="Arial"/>
          <w:sz w:val="24"/>
          <w:szCs w:val="24"/>
        </w:rPr>
        <w:t xml:space="preserve"> </w:t>
      </w:r>
      <w:r w:rsidR="00F74BC4" w:rsidRPr="00B568F3">
        <w:rPr>
          <w:rFonts w:ascii="Arial" w:eastAsia="Calibri" w:hAnsi="Arial" w:cs="Arial"/>
          <w:sz w:val="24"/>
          <w:szCs w:val="24"/>
        </w:rPr>
        <w:t>the local authorities</w:t>
      </w:r>
      <w:r w:rsidR="008C4CD6" w:rsidRPr="00B568F3">
        <w:rPr>
          <w:rFonts w:ascii="Arial" w:eastAsia="Calibri" w:hAnsi="Arial" w:cs="Arial"/>
          <w:sz w:val="24"/>
          <w:szCs w:val="24"/>
        </w:rPr>
        <w:t xml:space="preserve"> and all </w:t>
      </w:r>
      <w:r w:rsidR="003F76AA" w:rsidRPr="00B568F3">
        <w:rPr>
          <w:rFonts w:ascii="Arial" w:eastAsia="Calibri" w:hAnsi="Arial" w:cs="Arial"/>
          <w:sz w:val="24"/>
          <w:szCs w:val="24"/>
        </w:rPr>
        <w:t>practice educators</w:t>
      </w:r>
      <w:r w:rsidR="009E5957" w:rsidRPr="00B568F3">
        <w:rPr>
          <w:rFonts w:ascii="Arial" w:eastAsia="Calibri" w:hAnsi="Arial" w:cs="Arial"/>
          <w:sz w:val="24"/>
          <w:szCs w:val="24"/>
        </w:rPr>
        <w:t xml:space="preserve"> to </w:t>
      </w:r>
      <w:r w:rsidR="009A32D1" w:rsidRPr="00B568F3">
        <w:rPr>
          <w:rFonts w:ascii="Arial" w:eastAsia="Calibri" w:hAnsi="Arial" w:cs="Arial"/>
          <w:sz w:val="24"/>
          <w:szCs w:val="24"/>
        </w:rPr>
        <w:t>collect</w:t>
      </w:r>
      <w:r w:rsidR="00B5236C" w:rsidRPr="00B568F3">
        <w:rPr>
          <w:rFonts w:ascii="Arial" w:eastAsia="Calibri" w:hAnsi="Arial" w:cs="Arial"/>
          <w:sz w:val="24"/>
          <w:szCs w:val="24"/>
        </w:rPr>
        <w:t xml:space="preserve"> evidence</w:t>
      </w:r>
      <w:r w:rsidR="001C2BCC" w:rsidRPr="00B568F3">
        <w:rPr>
          <w:rFonts w:ascii="Arial" w:eastAsia="Calibri" w:hAnsi="Arial" w:cs="Arial"/>
          <w:sz w:val="24"/>
          <w:szCs w:val="24"/>
        </w:rPr>
        <w:t xml:space="preserve"> and create</w:t>
      </w:r>
      <w:r w:rsidR="009E5957" w:rsidRPr="00B568F3">
        <w:rPr>
          <w:rFonts w:ascii="Arial" w:eastAsia="Calibri" w:hAnsi="Arial" w:cs="Arial"/>
          <w:sz w:val="24"/>
          <w:szCs w:val="24"/>
        </w:rPr>
        <w:t xml:space="preserve"> a </w:t>
      </w:r>
      <w:r w:rsidR="005D766B" w:rsidRPr="00B568F3">
        <w:rPr>
          <w:rFonts w:ascii="Arial" w:eastAsia="Calibri" w:hAnsi="Arial" w:cs="Arial"/>
          <w:sz w:val="24"/>
          <w:szCs w:val="24"/>
        </w:rPr>
        <w:t>national picture</w:t>
      </w:r>
      <w:r w:rsidR="000A776E" w:rsidRPr="00B568F3">
        <w:rPr>
          <w:rFonts w:ascii="Arial" w:eastAsia="Calibri" w:hAnsi="Arial" w:cs="Arial"/>
          <w:sz w:val="24"/>
          <w:szCs w:val="24"/>
        </w:rPr>
        <w:t xml:space="preserve"> on this matter.</w:t>
      </w:r>
    </w:p>
    <w:p w14:paraId="06F60FDE" w14:textId="77777777" w:rsidR="00032074" w:rsidRPr="00B568F3" w:rsidRDefault="00032074" w:rsidP="00A423A1">
      <w:pPr>
        <w:spacing w:after="200" w:line="276" w:lineRule="auto"/>
        <w:ind w:left="2160"/>
        <w:contextualSpacing/>
        <w:rPr>
          <w:rFonts w:ascii="Arial" w:eastAsia="Calibri" w:hAnsi="Arial" w:cs="Arial"/>
          <w:bCs/>
          <w:sz w:val="24"/>
          <w:szCs w:val="24"/>
        </w:rPr>
      </w:pPr>
    </w:p>
    <w:p w14:paraId="5F167938" w14:textId="60F27C43"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A region reported that the pause on </w:t>
      </w:r>
      <w:r w:rsidR="00F313DE" w:rsidRPr="00B568F3">
        <w:rPr>
          <w:rFonts w:ascii="Arial" w:eastAsia="Calibri" w:hAnsi="Arial" w:cs="Arial"/>
          <w:sz w:val="24"/>
          <w:szCs w:val="24"/>
        </w:rPr>
        <w:t>the Liberty Protection Safeguards (</w:t>
      </w:r>
      <w:r w:rsidRPr="00B568F3">
        <w:rPr>
          <w:rFonts w:ascii="Arial" w:eastAsia="Calibri" w:hAnsi="Arial" w:cs="Arial"/>
          <w:sz w:val="24"/>
          <w:szCs w:val="24"/>
        </w:rPr>
        <w:t>LPS</w:t>
      </w:r>
      <w:r w:rsidR="00F313DE" w:rsidRPr="00B568F3">
        <w:rPr>
          <w:rFonts w:ascii="Arial" w:eastAsia="Calibri" w:hAnsi="Arial" w:cs="Arial"/>
          <w:sz w:val="24"/>
          <w:szCs w:val="24"/>
        </w:rPr>
        <w:t>)</w:t>
      </w:r>
      <w:r w:rsidRPr="00B568F3">
        <w:rPr>
          <w:rFonts w:ascii="Arial" w:eastAsia="Calibri" w:hAnsi="Arial" w:cs="Arial"/>
          <w:sz w:val="24"/>
          <w:szCs w:val="24"/>
        </w:rPr>
        <w:t xml:space="preserve"> had</w:t>
      </w:r>
      <w:r w:rsidRPr="00B568F3" w:rsidDel="00715910">
        <w:rPr>
          <w:rFonts w:ascii="Arial" w:eastAsia="Calibri" w:hAnsi="Arial" w:cs="Arial"/>
          <w:sz w:val="24"/>
          <w:szCs w:val="24"/>
        </w:rPr>
        <w:t xml:space="preserve"> </w:t>
      </w:r>
      <w:r w:rsidRPr="00B568F3">
        <w:rPr>
          <w:rFonts w:ascii="Arial" w:eastAsia="Calibri" w:hAnsi="Arial" w:cs="Arial"/>
          <w:sz w:val="24"/>
          <w:szCs w:val="24"/>
        </w:rPr>
        <w:t xml:space="preserve">led to higher </w:t>
      </w:r>
      <w:r w:rsidRPr="00B568F3" w:rsidDel="007F3A55">
        <w:rPr>
          <w:rFonts w:ascii="Arial" w:eastAsia="Calibri" w:hAnsi="Arial" w:cs="Arial"/>
          <w:sz w:val="24"/>
          <w:szCs w:val="24"/>
        </w:rPr>
        <w:t>cost</w:t>
      </w:r>
      <w:r w:rsidR="00715910" w:rsidRPr="00B568F3" w:rsidDel="007F3A55">
        <w:rPr>
          <w:rFonts w:ascii="Arial" w:eastAsia="Calibri" w:hAnsi="Arial" w:cs="Arial"/>
          <w:sz w:val="24"/>
          <w:szCs w:val="24"/>
        </w:rPr>
        <w:t>s</w:t>
      </w:r>
      <w:r w:rsidRPr="00B568F3" w:rsidDel="007F3A55">
        <w:rPr>
          <w:rFonts w:ascii="Arial" w:eastAsia="Calibri" w:hAnsi="Arial" w:cs="Arial"/>
          <w:sz w:val="24"/>
          <w:szCs w:val="24"/>
        </w:rPr>
        <w:t xml:space="preserve"> </w:t>
      </w:r>
      <w:r w:rsidR="007F3A55" w:rsidRPr="00B568F3">
        <w:rPr>
          <w:rFonts w:ascii="Arial" w:eastAsia="Calibri" w:hAnsi="Arial" w:cs="Arial"/>
          <w:sz w:val="24"/>
          <w:szCs w:val="24"/>
        </w:rPr>
        <w:t>to</w:t>
      </w:r>
      <w:r w:rsidRPr="00B568F3">
        <w:rPr>
          <w:rFonts w:ascii="Arial" w:eastAsia="Calibri" w:hAnsi="Arial" w:cs="Arial"/>
          <w:sz w:val="24"/>
          <w:szCs w:val="24"/>
        </w:rPr>
        <w:t xml:space="preserve"> finance best interest assessors</w:t>
      </w:r>
      <w:r w:rsidR="007F3A55" w:rsidRPr="00B568F3">
        <w:rPr>
          <w:rFonts w:ascii="Arial" w:eastAsia="Calibri" w:hAnsi="Arial" w:cs="Arial"/>
          <w:sz w:val="24"/>
          <w:szCs w:val="24"/>
        </w:rPr>
        <w:t>’</w:t>
      </w:r>
      <w:r w:rsidR="3137FFDA" w:rsidRPr="00B568F3">
        <w:rPr>
          <w:rFonts w:ascii="Arial" w:eastAsia="Calibri" w:hAnsi="Arial" w:cs="Arial"/>
          <w:sz w:val="24"/>
          <w:szCs w:val="24"/>
        </w:rPr>
        <w:t xml:space="preserve"> training</w:t>
      </w:r>
      <w:r w:rsidRPr="00B568F3">
        <w:rPr>
          <w:rFonts w:ascii="Arial" w:eastAsia="Calibri" w:hAnsi="Arial" w:cs="Arial"/>
          <w:sz w:val="24"/>
          <w:szCs w:val="24"/>
        </w:rPr>
        <w:t xml:space="preserve">. </w:t>
      </w:r>
    </w:p>
    <w:p w14:paraId="3D857326" w14:textId="77777777" w:rsidR="000A776E" w:rsidRPr="00B568F3" w:rsidRDefault="000A776E" w:rsidP="008F001A">
      <w:pPr>
        <w:spacing w:after="200" w:line="276" w:lineRule="auto"/>
        <w:ind w:left="567"/>
        <w:contextualSpacing/>
        <w:rPr>
          <w:rFonts w:ascii="Arial" w:eastAsia="Calibri" w:hAnsi="Arial" w:cs="Arial"/>
          <w:bCs/>
          <w:sz w:val="24"/>
          <w:szCs w:val="24"/>
        </w:rPr>
      </w:pPr>
    </w:p>
    <w:p w14:paraId="7C353FC4" w14:textId="4D6D434A"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A region noted that they were looking to increase the number of sponsored students through the </w:t>
      </w:r>
      <w:r w:rsidR="00606599" w:rsidRPr="00B568F3">
        <w:rPr>
          <w:rFonts w:ascii="Arial" w:eastAsia="Calibri" w:hAnsi="Arial" w:cs="Arial"/>
          <w:sz w:val="24"/>
          <w:szCs w:val="24"/>
        </w:rPr>
        <w:t>O</w:t>
      </w:r>
      <w:r w:rsidRPr="00B568F3">
        <w:rPr>
          <w:rFonts w:ascii="Arial" w:eastAsia="Calibri" w:hAnsi="Arial" w:cs="Arial"/>
          <w:sz w:val="24"/>
          <w:szCs w:val="24"/>
        </w:rPr>
        <w:t xml:space="preserve">pen </w:t>
      </w:r>
      <w:r w:rsidR="00606599" w:rsidRPr="00B568F3">
        <w:rPr>
          <w:rFonts w:ascii="Arial" w:eastAsia="Calibri" w:hAnsi="Arial" w:cs="Arial"/>
          <w:sz w:val="24"/>
          <w:szCs w:val="24"/>
        </w:rPr>
        <w:t>U</w:t>
      </w:r>
      <w:r w:rsidRPr="00B568F3">
        <w:rPr>
          <w:rFonts w:ascii="Arial" w:eastAsia="Calibri" w:hAnsi="Arial" w:cs="Arial"/>
          <w:sz w:val="24"/>
          <w:szCs w:val="24"/>
        </w:rPr>
        <w:t xml:space="preserve">niversity route rather than with </w:t>
      </w:r>
      <w:r w:rsidR="56D6F3D8" w:rsidRPr="00B568F3">
        <w:rPr>
          <w:rFonts w:ascii="Arial" w:eastAsia="Calibri" w:hAnsi="Arial" w:cs="Arial"/>
          <w:sz w:val="24"/>
          <w:szCs w:val="24"/>
        </w:rPr>
        <w:t>other</w:t>
      </w:r>
      <w:r w:rsidRPr="00B568F3">
        <w:rPr>
          <w:rFonts w:ascii="Arial" w:eastAsia="Calibri" w:hAnsi="Arial" w:cs="Arial"/>
          <w:sz w:val="24"/>
          <w:szCs w:val="24"/>
        </w:rPr>
        <w:t xml:space="preserve"> H</w:t>
      </w:r>
      <w:r w:rsidR="4AF672EB" w:rsidRPr="00B568F3">
        <w:rPr>
          <w:rFonts w:ascii="Arial" w:eastAsia="Calibri" w:hAnsi="Arial" w:cs="Arial"/>
          <w:sz w:val="24"/>
          <w:szCs w:val="24"/>
        </w:rPr>
        <w:t>EIs</w:t>
      </w:r>
      <w:r w:rsidR="007F3A55" w:rsidRPr="00B568F3">
        <w:rPr>
          <w:rFonts w:ascii="Arial" w:eastAsia="Calibri" w:hAnsi="Arial" w:cs="Arial"/>
          <w:sz w:val="24"/>
          <w:szCs w:val="24"/>
        </w:rPr>
        <w:t>.</w:t>
      </w:r>
      <w:r w:rsidRPr="00B568F3">
        <w:rPr>
          <w:rFonts w:ascii="Arial" w:eastAsia="Calibri" w:hAnsi="Arial" w:cs="Arial"/>
          <w:sz w:val="24"/>
          <w:szCs w:val="24"/>
        </w:rPr>
        <w:t xml:space="preserve"> </w:t>
      </w:r>
      <w:r w:rsidR="001161A3" w:rsidRPr="00B568F3">
        <w:rPr>
          <w:rFonts w:ascii="Arial" w:eastAsia="Calibri" w:hAnsi="Arial" w:cs="Arial"/>
          <w:sz w:val="24"/>
          <w:szCs w:val="24"/>
        </w:rPr>
        <w:t xml:space="preserve">because of </w:t>
      </w:r>
      <w:r w:rsidRPr="00B568F3">
        <w:rPr>
          <w:rFonts w:ascii="Arial" w:eastAsia="Calibri" w:hAnsi="Arial" w:cs="Arial"/>
          <w:sz w:val="24"/>
          <w:szCs w:val="24"/>
        </w:rPr>
        <w:t xml:space="preserve">cost implications to them as a </w:t>
      </w:r>
      <w:r w:rsidR="00271E6B" w:rsidRPr="00B568F3">
        <w:rPr>
          <w:rFonts w:ascii="Arial" w:eastAsia="Calibri" w:hAnsi="Arial" w:cs="Arial"/>
          <w:sz w:val="24"/>
          <w:szCs w:val="24"/>
        </w:rPr>
        <w:t>local authority</w:t>
      </w:r>
      <w:r w:rsidRPr="00B568F3">
        <w:rPr>
          <w:rFonts w:ascii="Arial" w:eastAsia="Calibri" w:hAnsi="Arial" w:cs="Arial"/>
          <w:sz w:val="24"/>
          <w:szCs w:val="24"/>
        </w:rPr>
        <w:t xml:space="preserve">. </w:t>
      </w:r>
    </w:p>
    <w:p w14:paraId="47769E93" w14:textId="77777777" w:rsidR="00C3078A" w:rsidRPr="00B568F3" w:rsidRDefault="00C3078A" w:rsidP="00C3078A">
      <w:pPr>
        <w:spacing w:after="200" w:line="276" w:lineRule="auto"/>
        <w:contextualSpacing/>
        <w:rPr>
          <w:rFonts w:ascii="Arial" w:eastAsia="Calibri" w:hAnsi="Arial" w:cs="Arial"/>
          <w:bCs/>
          <w:sz w:val="24"/>
          <w:szCs w:val="24"/>
        </w:rPr>
      </w:pPr>
    </w:p>
    <w:p w14:paraId="0A2F182B" w14:textId="77777777" w:rsidR="007C608A" w:rsidRPr="00B568F3" w:rsidRDefault="007C608A" w:rsidP="00C3078A">
      <w:pPr>
        <w:spacing w:after="200" w:line="276" w:lineRule="auto"/>
        <w:contextualSpacing/>
        <w:rPr>
          <w:rFonts w:ascii="Arial" w:eastAsia="Calibri" w:hAnsi="Arial" w:cs="Arial"/>
          <w:bCs/>
          <w:sz w:val="24"/>
          <w:szCs w:val="24"/>
        </w:rPr>
      </w:pPr>
    </w:p>
    <w:p w14:paraId="7B54318B" w14:textId="77777777" w:rsidR="007C608A" w:rsidRPr="00B568F3" w:rsidRDefault="007C608A" w:rsidP="00C3078A">
      <w:pPr>
        <w:spacing w:after="200" w:line="276" w:lineRule="auto"/>
        <w:contextualSpacing/>
        <w:rPr>
          <w:rFonts w:ascii="Arial" w:eastAsia="Calibri" w:hAnsi="Arial" w:cs="Arial"/>
          <w:bCs/>
          <w:sz w:val="24"/>
          <w:szCs w:val="24"/>
        </w:rPr>
      </w:pPr>
    </w:p>
    <w:p w14:paraId="020314E9" w14:textId="77777777" w:rsidR="007C608A" w:rsidRPr="00B568F3" w:rsidRDefault="007C608A" w:rsidP="00C3078A">
      <w:pPr>
        <w:spacing w:after="200" w:line="276" w:lineRule="auto"/>
        <w:contextualSpacing/>
        <w:rPr>
          <w:rFonts w:ascii="Arial" w:eastAsia="Calibri" w:hAnsi="Arial" w:cs="Arial"/>
          <w:bCs/>
          <w:sz w:val="24"/>
          <w:szCs w:val="24"/>
        </w:rPr>
      </w:pPr>
    </w:p>
    <w:p w14:paraId="6BF93104" w14:textId="77777777" w:rsidR="007C608A" w:rsidRPr="00B568F3" w:rsidRDefault="007C608A" w:rsidP="00C3078A">
      <w:pPr>
        <w:spacing w:after="200" w:line="276" w:lineRule="auto"/>
        <w:contextualSpacing/>
        <w:rPr>
          <w:rFonts w:ascii="Arial" w:eastAsia="Calibri" w:hAnsi="Arial" w:cs="Arial"/>
          <w:bCs/>
          <w:sz w:val="24"/>
          <w:szCs w:val="24"/>
        </w:rPr>
      </w:pPr>
    </w:p>
    <w:p w14:paraId="6ACE31DB" w14:textId="77777777" w:rsidR="007C608A" w:rsidRPr="00B568F3" w:rsidRDefault="007C608A" w:rsidP="00C3078A">
      <w:pPr>
        <w:spacing w:after="200" w:line="276" w:lineRule="auto"/>
        <w:contextualSpacing/>
        <w:rPr>
          <w:rFonts w:ascii="Arial" w:eastAsia="Calibri" w:hAnsi="Arial" w:cs="Arial"/>
          <w:bCs/>
          <w:sz w:val="24"/>
          <w:szCs w:val="24"/>
        </w:rPr>
      </w:pPr>
    </w:p>
    <w:p w14:paraId="09A765FD" w14:textId="77777777" w:rsidR="007C608A" w:rsidRPr="00B568F3" w:rsidRDefault="007C608A" w:rsidP="00C3078A">
      <w:pPr>
        <w:spacing w:after="200" w:line="276" w:lineRule="auto"/>
        <w:contextualSpacing/>
        <w:rPr>
          <w:rFonts w:ascii="Arial" w:eastAsia="Calibri" w:hAnsi="Arial" w:cs="Arial"/>
          <w:bCs/>
          <w:sz w:val="24"/>
          <w:szCs w:val="24"/>
        </w:rPr>
      </w:pPr>
    </w:p>
    <w:p w14:paraId="28F3A00B" w14:textId="77777777" w:rsidR="007C608A" w:rsidRPr="00B568F3" w:rsidRDefault="007C608A" w:rsidP="00C3078A">
      <w:pPr>
        <w:spacing w:after="200" w:line="276" w:lineRule="auto"/>
        <w:contextualSpacing/>
        <w:rPr>
          <w:rFonts w:ascii="Arial" w:eastAsia="Calibri" w:hAnsi="Arial" w:cs="Arial"/>
          <w:bCs/>
          <w:sz w:val="24"/>
          <w:szCs w:val="24"/>
        </w:rPr>
      </w:pPr>
    </w:p>
    <w:p w14:paraId="21288C38" w14:textId="77777777" w:rsidR="007C608A" w:rsidRPr="00B568F3" w:rsidRDefault="007C608A" w:rsidP="00C3078A">
      <w:pPr>
        <w:spacing w:after="200" w:line="276" w:lineRule="auto"/>
        <w:contextualSpacing/>
        <w:rPr>
          <w:rFonts w:ascii="Arial" w:eastAsia="Calibri" w:hAnsi="Arial" w:cs="Arial"/>
          <w:bCs/>
          <w:sz w:val="24"/>
          <w:szCs w:val="24"/>
        </w:rPr>
      </w:pPr>
    </w:p>
    <w:p w14:paraId="1BA9ED8F" w14:textId="3F9E3EDF" w:rsidR="002D1B1F" w:rsidRPr="000C06A7" w:rsidRDefault="002D1B1F" w:rsidP="00BC7EBC">
      <w:pPr>
        <w:pStyle w:val="Heading2"/>
      </w:pPr>
      <w:bookmarkStart w:id="26" w:name="_Toc179481638"/>
      <w:r w:rsidRPr="000C06A7">
        <w:t>Priority 4:</w:t>
      </w:r>
      <w:r w:rsidR="007F3A55" w:rsidRPr="00B568F3">
        <w:t xml:space="preserve"> </w:t>
      </w:r>
      <w:r w:rsidRPr="000C06A7">
        <w:t>Leadership and succession</w:t>
      </w:r>
      <w:bookmarkEnd w:id="26"/>
    </w:p>
    <w:p w14:paraId="610B5553" w14:textId="77777777" w:rsidR="002D1B1F" w:rsidRPr="00B568F3" w:rsidRDefault="002D1B1F" w:rsidP="002D1B1F">
      <w:pPr>
        <w:spacing w:after="0" w:line="240" w:lineRule="auto"/>
        <w:contextualSpacing/>
        <w:rPr>
          <w:rFonts w:ascii="Arial" w:eastAsia="Calibri" w:hAnsi="Arial" w:cs="Arial"/>
          <w:b/>
          <w:color w:val="FF0000"/>
          <w:sz w:val="24"/>
          <w:szCs w:val="24"/>
        </w:rPr>
      </w:pPr>
    </w:p>
    <w:p w14:paraId="0AD52AD8" w14:textId="49B04D45" w:rsidR="002D1B1F" w:rsidRPr="00B568F3" w:rsidRDefault="005B7E36" w:rsidP="002D1B1F">
      <w:pPr>
        <w:spacing w:after="0" w:line="240" w:lineRule="auto"/>
        <w:rPr>
          <w:rFonts w:ascii="Arial" w:eastAsia="Calibri" w:hAnsi="Arial" w:cs="Arial"/>
          <w:sz w:val="24"/>
          <w:szCs w:val="24"/>
        </w:rPr>
      </w:pPr>
      <w:r w:rsidRPr="00B568F3">
        <w:rPr>
          <w:rFonts w:ascii="Arial" w:eastAsia="Calibri" w:hAnsi="Arial" w:cs="Arial"/>
          <w:bCs/>
          <w:sz w:val="24"/>
          <w:szCs w:val="24"/>
        </w:rPr>
        <w:t>B</w:t>
      </w:r>
      <w:r w:rsidR="002D1B1F" w:rsidRPr="00B568F3">
        <w:rPr>
          <w:rFonts w:ascii="Arial" w:eastAsia="Calibri" w:hAnsi="Arial" w:cs="Arial"/>
          <w:bCs/>
          <w:sz w:val="24"/>
          <w:szCs w:val="24"/>
        </w:rPr>
        <w:t>y 2030</w:t>
      </w:r>
      <w:r w:rsidRPr="00B568F3">
        <w:rPr>
          <w:rFonts w:ascii="Arial" w:eastAsia="Calibri" w:hAnsi="Arial" w:cs="Arial"/>
          <w:bCs/>
          <w:sz w:val="24"/>
          <w:szCs w:val="24"/>
        </w:rPr>
        <w:t xml:space="preserve">, the </w:t>
      </w:r>
      <w:r w:rsidR="002D1B1F" w:rsidRPr="00B568F3" w:rsidDel="005B7E36">
        <w:rPr>
          <w:rFonts w:ascii="Arial" w:eastAsia="Calibri" w:hAnsi="Arial" w:cs="Arial"/>
          <w:bCs/>
          <w:sz w:val="24"/>
          <w:szCs w:val="24"/>
        </w:rPr>
        <w:t xml:space="preserve">workforce strategy </w:t>
      </w:r>
      <w:r w:rsidR="00F44155" w:rsidRPr="00B568F3">
        <w:rPr>
          <w:rFonts w:ascii="Arial" w:eastAsia="Calibri" w:hAnsi="Arial" w:cs="Arial"/>
          <w:bCs/>
          <w:sz w:val="24"/>
          <w:szCs w:val="24"/>
        </w:rPr>
        <w:t>hopes</w:t>
      </w:r>
      <w:r w:rsidR="002D1B1F" w:rsidRPr="00B568F3" w:rsidDel="00F44155">
        <w:rPr>
          <w:rFonts w:ascii="Arial" w:eastAsia="Calibri" w:hAnsi="Arial" w:cs="Arial"/>
          <w:bCs/>
          <w:sz w:val="24"/>
          <w:szCs w:val="24"/>
        </w:rPr>
        <w:t xml:space="preserve"> </w:t>
      </w:r>
      <w:r w:rsidR="002D1B1F" w:rsidRPr="00B568F3">
        <w:rPr>
          <w:rFonts w:ascii="Arial" w:eastAsia="Calibri" w:hAnsi="Arial" w:cs="Arial"/>
          <w:bCs/>
          <w:sz w:val="24"/>
          <w:szCs w:val="24"/>
        </w:rPr>
        <w:t>that le</w:t>
      </w:r>
      <w:r w:rsidR="002D1B1F" w:rsidRPr="00B568F3">
        <w:rPr>
          <w:rFonts w:ascii="Arial" w:eastAsia="Calibri" w:hAnsi="Arial" w:cs="Arial"/>
          <w:sz w:val="24"/>
          <w:szCs w:val="24"/>
        </w:rPr>
        <w:t xml:space="preserve">aders in the health and social care system will </w:t>
      </w:r>
      <w:r w:rsidRPr="00B568F3">
        <w:rPr>
          <w:rFonts w:ascii="Arial" w:eastAsia="Calibri" w:hAnsi="Arial" w:cs="Arial"/>
          <w:sz w:val="24"/>
          <w:szCs w:val="24"/>
        </w:rPr>
        <w:t xml:space="preserve">show </w:t>
      </w:r>
      <w:r w:rsidR="002D1B1F" w:rsidRPr="00B568F3">
        <w:rPr>
          <w:rFonts w:ascii="Arial" w:eastAsia="Calibri" w:hAnsi="Arial" w:cs="Arial"/>
          <w:sz w:val="24"/>
          <w:szCs w:val="24"/>
        </w:rPr>
        <w:t xml:space="preserve">collective and compassionate leadership. </w:t>
      </w:r>
    </w:p>
    <w:p w14:paraId="2ED96435" w14:textId="77777777" w:rsidR="002D1B1F" w:rsidRPr="00B568F3" w:rsidRDefault="002D1B1F" w:rsidP="002D1B1F">
      <w:pPr>
        <w:spacing w:after="0" w:line="240" w:lineRule="auto"/>
        <w:rPr>
          <w:rFonts w:ascii="Arial" w:eastAsia="Calibri" w:hAnsi="Arial" w:cs="Arial"/>
          <w:color w:val="FF0000"/>
          <w:sz w:val="24"/>
          <w:szCs w:val="24"/>
        </w:rPr>
      </w:pPr>
    </w:p>
    <w:p w14:paraId="64E60085" w14:textId="0B9120D8" w:rsidR="002D1B1F" w:rsidRPr="00B568F3" w:rsidRDefault="002D1B1F" w:rsidP="002D1B1F">
      <w:pPr>
        <w:spacing w:after="0" w:line="240" w:lineRule="auto"/>
        <w:rPr>
          <w:rFonts w:ascii="Arial" w:eastAsia="Calibri" w:hAnsi="Arial" w:cs="Arial"/>
          <w:sz w:val="24"/>
          <w:szCs w:val="24"/>
        </w:rPr>
      </w:pPr>
      <w:r w:rsidRPr="00B568F3">
        <w:rPr>
          <w:rFonts w:ascii="Arial" w:eastAsia="Calibri" w:hAnsi="Arial" w:cs="Arial"/>
          <w:sz w:val="24"/>
          <w:szCs w:val="24"/>
        </w:rPr>
        <w:t>SCWWDP in 2023</w:t>
      </w:r>
      <w:r w:rsidR="001C3D86" w:rsidRPr="00B568F3">
        <w:rPr>
          <w:rFonts w:ascii="Arial" w:eastAsia="Calibri" w:hAnsi="Arial" w:cs="Arial"/>
          <w:sz w:val="24"/>
          <w:szCs w:val="24"/>
        </w:rPr>
        <w:t xml:space="preserve"> to </w:t>
      </w:r>
      <w:r w:rsidRPr="00B568F3">
        <w:rPr>
          <w:rFonts w:ascii="Arial" w:eastAsia="Calibri" w:hAnsi="Arial" w:cs="Arial"/>
          <w:sz w:val="24"/>
          <w:szCs w:val="24"/>
        </w:rPr>
        <w:t>2024 has contributed the following:</w:t>
      </w:r>
    </w:p>
    <w:p w14:paraId="66AEE227" w14:textId="77777777" w:rsidR="002D1B1F" w:rsidRPr="00B568F3" w:rsidRDefault="002D1B1F" w:rsidP="002D1B1F">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9016"/>
      </w:tblGrid>
      <w:tr w:rsidR="002D1B1F" w:rsidRPr="00B568F3" w14:paraId="1DF55293" w14:textId="77777777" w:rsidTr="4BA15C28">
        <w:tc>
          <w:tcPr>
            <w:tcW w:w="9016" w:type="dxa"/>
          </w:tcPr>
          <w:p w14:paraId="5E26EB53" w14:textId="77777777" w:rsidR="002D1B1F" w:rsidRPr="00B568F3" w:rsidRDefault="002D1B1F" w:rsidP="00FC716F">
            <w:pPr>
              <w:rPr>
                <w:rFonts w:ascii="Arial" w:eastAsia="Calibri" w:hAnsi="Arial" w:cs="Arial"/>
                <w:b/>
                <w:bCs/>
                <w:sz w:val="24"/>
                <w:szCs w:val="24"/>
              </w:rPr>
            </w:pPr>
            <w:r w:rsidRPr="00B568F3">
              <w:rPr>
                <w:rFonts w:ascii="Arial" w:eastAsia="Calibri" w:hAnsi="Arial" w:cs="Arial"/>
                <w:b/>
                <w:bCs/>
                <w:sz w:val="24"/>
                <w:szCs w:val="24"/>
              </w:rPr>
              <w:t>Highlight</w:t>
            </w:r>
          </w:p>
          <w:p w14:paraId="161EC458" w14:textId="77777777" w:rsidR="002D1B1F" w:rsidRPr="00B568F3" w:rsidRDefault="002D1B1F" w:rsidP="00FC716F">
            <w:pPr>
              <w:rPr>
                <w:rFonts w:ascii="Arial" w:eastAsia="Calibri" w:hAnsi="Arial" w:cs="Arial"/>
                <w:sz w:val="24"/>
                <w:szCs w:val="24"/>
              </w:rPr>
            </w:pPr>
          </w:p>
          <w:p w14:paraId="6B91D816" w14:textId="59A5AA9A" w:rsidR="007F3A55" w:rsidRPr="00B568F3" w:rsidRDefault="002D1B1F" w:rsidP="00FC716F">
            <w:pPr>
              <w:rPr>
                <w:rFonts w:ascii="Arial" w:eastAsia="Calibri" w:hAnsi="Arial" w:cs="Arial"/>
                <w:sz w:val="24"/>
                <w:szCs w:val="24"/>
              </w:rPr>
            </w:pPr>
            <w:r w:rsidRPr="00B568F3">
              <w:rPr>
                <w:rFonts w:ascii="Arial" w:eastAsia="Calibri" w:hAnsi="Arial" w:cs="Arial"/>
                <w:sz w:val="24"/>
                <w:szCs w:val="24"/>
              </w:rPr>
              <w:t>A region has developed a bespoke managers</w:t>
            </w:r>
            <w:r w:rsidR="007F3A55" w:rsidRPr="00B568F3">
              <w:rPr>
                <w:rFonts w:ascii="Arial" w:eastAsia="Calibri" w:hAnsi="Arial" w:cs="Arial"/>
                <w:sz w:val="24"/>
                <w:szCs w:val="24"/>
              </w:rPr>
              <w:t>’</w:t>
            </w:r>
            <w:r w:rsidRPr="00B568F3">
              <w:rPr>
                <w:rFonts w:ascii="Arial" w:eastAsia="Calibri" w:hAnsi="Arial" w:cs="Arial"/>
                <w:sz w:val="24"/>
                <w:szCs w:val="24"/>
              </w:rPr>
              <w:t xml:space="preserve"> AWIF</w:t>
            </w:r>
            <w:r w:rsidR="007F3A55" w:rsidRPr="00B568F3">
              <w:rPr>
                <w:rFonts w:ascii="Arial" w:eastAsia="Calibri" w:hAnsi="Arial" w:cs="Arial"/>
                <w:sz w:val="24"/>
                <w:szCs w:val="24"/>
              </w:rPr>
              <w:t>,</w:t>
            </w:r>
            <w:r w:rsidRPr="00B568F3">
              <w:rPr>
                <w:rFonts w:ascii="Arial" w:eastAsia="Calibri" w:hAnsi="Arial" w:cs="Arial"/>
                <w:sz w:val="24"/>
                <w:szCs w:val="24"/>
              </w:rPr>
              <w:t xml:space="preserve"> which is now being delivered across the region, </w:t>
            </w:r>
            <w:r w:rsidR="00E0647C" w:rsidRPr="00B568F3">
              <w:rPr>
                <w:rFonts w:ascii="Arial" w:eastAsia="Calibri" w:hAnsi="Arial" w:cs="Arial"/>
                <w:sz w:val="24"/>
                <w:szCs w:val="24"/>
              </w:rPr>
              <w:t xml:space="preserve">giving </w:t>
            </w:r>
            <w:r w:rsidRPr="00B568F3">
              <w:rPr>
                <w:rFonts w:ascii="Arial" w:eastAsia="Calibri" w:hAnsi="Arial" w:cs="Arial"/>
                <w:sz w:val="24"/>
                <w:szCs w:val="24"/>
              </w:rPr>
              <w:t xml:space="preserve">knowledge and understanding of responsibilities at manager level. </w:t>
            </w:r>
          </w:p>
          <w:p w14:paraId="4DE10E5E" w14:textId="77777777" w:rsidR="007F3A55" w:rsidRPr="00B568F3" w:rsidRDefault="007F3A55" w:rsidP="00FC716F">
            <w:pPr>
              <w:rPr>
                <w:rFonts w:ascii="Arial" w:eastAsia="Calibri" w:hAnsi="Arial" w:cs="Arial"/>
                <w:sz w:val="24"/>
                <w:szCs w:val="24"/>
              </w:rPr>
            </w:pPr>
          </w:p>
          <w:p w14:paraId="355F1ABE" w14:textId="186FA141" w:rsidR="002D1B1F" w:rsidRPr="00B568F3" w:rsidRDefault="002D1B1F" w:rsidP="00FC716F">
            <w:pPr>
              <w:rPr>
                <w:rFonts w:ascii="Arial" w:eastAsia="Calibri" w:hAnsi="Arial" w:cs="Arial"/>
                <w:sz w:val="24"/>
                <w:szCs w:val="24"/>
              </w:rPr>
            </w:pPr>
            <w:r w:rsidRPr="00B568F3" w:rsidDel="00234CFE">
              <w:rPr>
                <w:rFonts w:ascii="Arial" w:eastAsia="Calibri" w:hAnsi="Arial" w:cs="Arial"/>
                <w:sz w:val="24"/>
                <w:szCs w:val="24"/>
              </w:rPr>
              <w:t>The same region</w:t>
            </w:r>
            <w:r w:rsidRPr="00B568F3">
              <w:rPr>
                <w:rFonts w:ascii="Arial" w:eastAsia="Calibri" w:hAnsi="Arial" w:cs="Arial"/>
                <w:sz w:val="24"/>
                <w:szCs w:val="24"/>
              </w:rPr>
              <w:t xml:space="preserve"> </w:t>
            </w:r>
            <w:r w:rsidR="00563D20" w:rsidRPr="00B568F3">
              <w:rPr>
                <w:rFonts w:ascii="Arial" w:eastAsia="Calibri" w:hAnsi="Arial" w:cs="Arial"/>
                <w:sz w:val="24"/>
                <w:szCs w:val="24"/>
              </w:rPr>
              <w:t>ha</w:t>
            </w:r>
            <w:r w:rsidR="007F3A55" w:rsidRPr="00B568F3">
              <w:rPr>
                <w:rFonts w:ascii="Arial" w:eastAsia="Calibri" w:hAnsi="Arial" w:cs="Arial"/>
                <w:sz w:val="24"/>
                <w:szCs w:val="24"/>
              </w:rPr>
              <w:t>s</w:t>
            </w:r>
            <w:r w:rsidR="00563D20" w:rsidRPr="00B568F3">
              <w:rPr>
                <w:rFonts w:ascii="Arial" w:eastAsia="Calibri" w:hAnsi="Arial" w:cs="Arial"/>
                <w:sz w:val="24"/>
                <w:szCs w:val="24"/>
              </w:rPr>
              <w:t xml:space="preserve"> also developed a </w:t>
            </w:r>
            <w:r w:rsidRPr="00B568F3">
              <w:rPr>
                <w:rFonts w:ascii="Arial" w:eastAsia="Calibri" w:hAnsi="Arial" w:cs="Arial"/>
                <w:sz w:val="24"/>
                <w:szCs w:val="24"/>
              </w:rPr>
              <w:t xml:space="preserve">bespoke management programme. The programme has been </w:t>
            </w:r>
            <w:r w:rsidR="00A82C1C" w:rsidRPr="00B568F3">
              <w:rPr>
                <w:rFonts w:ascii="Arial" w:eastAsia="Calibri" w:hAnsi="Arial" w:cs="Arial"/>
                <w:sz w:val="24"/>
                <w:szCs w:val="24"/>
              </w:rPr>
              <w:t>based</w:t>
            </w:r>
            <w:r w:rsidRPr="00B568F3">
              <w:rPr>
                <w:rFonts w:ascii="Arial" w:eastAsia="Calibri" w:hAnsi="Arial" w:cs="Arial"/>
                <w:sz w:val="24"/>
                <w:szCs w:val="24"/>
              </w:rPr>
              <w:t xml:space="preserve"> the Level 4 Leadership and Management qualification for Adult Care and </w:t>
            </w:r>
            <w:r w:rsidR="00A82C1C" w:rsidRPr="00B568F3">
              <w:rPr>
                <w:rFonts w:ascii="Arial" w:eastAsia="Calibri" w:hAnsi="Arial" w:cs="Arial"/>
                <w:sz w:val="24"/>
                <w:szCs w:val="24"/>
              </w:rPr>
              <w:t xml:space="preserve">includes </w:t>
            </w:r>
            <w:r w:rsidRPr="00B568F3">
              <w:rPr>
                <w:rFonts w:ascii="Arial" w:eastAsia="Calibri" w:hAnsi="Arial" w:cs="Arial"/>
                <w:sz w:val="24"/>
                <w:szCs w:val="24"/>
              </w:rPr>
              <w:t>12 different subject areas</w:t>
            </w:r>
            <w:r w:rsidR="007F3A55" w:rsidRPr="00B568F3">
              <w:rPr>
                <w:rFonts w:ascii="Arial" w:eastAsia="Calibri" w:hAnsi="Arial" w:cs="Arial"/>
                <w:sz w:val="24"/>
                <w:szCs w:val="24"/>
              </w:rPr>
              <w:t>. E</w:t>
            </w:r>
            <w:r w:rsidRPr="00B568F3">
              <w:rPr>
                <w:rFonts w:ascii="Arial" w:eastAsia="Calibri" w:hAnsi="Arial" w:cs="Arial"/>
                <w:sz w:val="24"/>
                <w:szCs w:val="24"/>
              </w:rPr>
              <w:t xml:space="preserve">ach subject area will be delivered </w:t>
            </w:r>
            <w:r w:rsidR="00E71391" w:rsidRPr="00B568F3">
              <w:rPr>
                <w:rFonts w:ascii="Arial" w:eastAsia="Calibri" w:hAnsi="Arial" w:cs="Arial"/>
                <w:sz w:val="24"/>
                <w:szCs w:val="24"/>
              </w:rPr>
              <w:t>four</w:t>
            </w:r>
            <w:r w:rsidRPr="00B568F3">
              <w:rPr>
                <w:rFonts w:ascii="Arial" w:eastAsia="Calibri" w:hAnsi="Arial" w:cs="Arial"/>
                <w:sz w:val="24"/>
                <w:szCs w:val="24"/>
              </w:rPr>
              <w:t xml:space="preserve"> times throughout the year. </w:t>
            </w:r>
            <w:r w:rsidR="00642C34" w:rsidRPr="00B568F3">
              <w:rPr>
                <w:rFonts w:ascii="Arial" w:eastAsia="Calibri" w:hAnsi="Arial" w:cs="Arial"/>
                <w:sz w:val="24"/>
                <w:szCs w:val="24"/>
              </w:rPr>
              <w:t>So far</w:t>
            </w:r>
            <w:r w:rsidR="007F3A55" w:rsidRPr="00B568F3">
              <w:rPr>
                <w:rFonts w:ascii="Arial" w:eastAsia="Calibri" w:hAnsi="Arial" w:cs="Arial"/>
                <w:sz w:val="24"/>
                <w:szCs w:val="24"/>
              </w:rPr>
              <w:t>,</w:t>
            </w:r>
            <w:r w:rsidRPr="00B568F3">
              <w:rPr>
                <w:rFonts w:ascii="Arial" w:eastAsia="Calibri" w:hAnsi="Arial" w:cs="Arial"/>
                <w:sz w:val="24"/>
                <w:szCs w:val="24"/>
              </w:rPr>
              <w:t xml:space="preserve"> the feedback</w:t>
            </w:r>
            <w:r w:rsidR="008F4EA0" w:rsidRPr="00B568F3">
              <w:rPr>
                <w:rFonts w:ascii="Arial" w:eastAsia="Calibri" w:hAnsi="Arial" w:cs="Arial"/>
                <w:sz w:val="24"/>
                <w:szCs w:val="24"/>
              </w:rPr>
              <w:t xml:space="preserve"> </w:t>
            </w:r>
            <w:r w:rsidRPr="00B568F3">
              <w:rPr>
                <w:rFonts w:ascii="Arial" w:eastAsia="Calibri" w:hAnsi="Arial" w:cs="Arial"/>
                <w:sz w:val="24"/>
                <w:szCs w:val="24"/>
              </w:rPr>
              <w:t>has been positive</w:t>
            </w:r>
            <w:r w:rsidR="16327E3D" w:rsidRPr="00B568F3">
              <w:rPr>
                <w:rFonts w:ascii="Arial" w:eastAsia="Calibri" w:hAnsi="Arial" w:cs="Arial"/>
                <w:sz w:val="24"/>
                <w:szCs w:val="24"/>
              </w:rPr>
              <w:t>.</w:t>
            </w:r>
          </w:p>
          <w:p w14:paraId="1C91BC66" w14:textId="77777777" w:rsidR="002D1B1F" w:rsidRPr="00B568F3" w:rsidRDefault="002D1B1F" w:rsidP="00FC716F">
            <w:pPr>
              <w:rPr>
                <w:rFonts w:ascii="Arial" w:eastAsia="Calibri" w:hAnsi="Arial" w:cs="Arial"/>
                <w:sz w:val="24"/>
                <w:szCs w:val="24"/>
              </w:rPr>
            </w:pPr>
          </w:p>
        </w:tc>
      </w:tr>
    </w:tbl>
    <w:p w14:paraId="676D89BF" w14:textId="77777777" w:rsidR="002D1B1F" w:rsidRPr="00B568F3" w:rsidRDefault="002D1B1F" w:rsidP="002D1B1F">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9016"/>
      </w:tblGrid>
      <w:tr w:rsidR="002D1B1F" w:rsidRPr="00B568F3" w14:paraId="74B0C030" w14:textId="77777777" w:rsidTr="4BA15C28">
        <w:tc>
          <w:tcPr>
            <w:tcW w:w="9016" w:type="dxa"/>
          </w:tcPr>
          <w:p w14:paraId="704A5500" w14:textId="77777777" w:rsidR="002D1B1F" w:rsidRPr="00B568F3" w:rsidRDefault="002D1B1F" w:rsidP="00FC716F">
            <w:pPr>
              <w:rPr>
                <w:rFonts w:ascii="Arial" w:eastAsia="Calibri" w:hAnsi="Arial" w:cs="Arial"/>
                <w:b/>
                <w:bCs/>
                <w:sz w:val="24"/>
                <w:szCs w:val="24"/>
              </w:rPr>
            </w:pPr>
            <w:r w:rsidRPr="00B568F3">
              <w:rPr>
                <w:rFonts w:ascii="Arial" w:eastAsia="Calibri" w:hAnsi="Arial" w:cs="Arial"/>
                <w:b/>
                <w:bCs/>
                <w:sz w:val="24"/>
                <w:szCs w:val="24"/>
              </w:rPr>
              <w:t>Highlight</w:t>
            </w:r>
          </w:p>
          <w:p w14:paraId="6EABE16D" w14:textId="77777777" w:rsidR="002D1B1F" w:rsidRPr="00B568F3" w:rsidRDefault="002D1B1F" w:rsidP="00FC716F">
            <w:pPr>
              <w:rPr>
                <w:rFonts w:ascii="Arial" w:eastAsia="Calibri" w:hAnsi="Arial" w:cs="Arial"/>
                <w:sz w:val="24"/>
                <w:szCs w:val="24"/>
              </w:rPr>
            </w:pPr>
          </w:p>
          <w:p w14:paraId="5215924F" w14:textId="6DD05DD5" w:rsidR="004C446D" w:rsidRPr="00B568F3" w:rsidRDefault="002D1B1F" w:rsidP="00FC716F">
            <w:pPr>
              <w:rPr>
                <w:rFonts w:ascii="Arial" w:eastAsia="Calibri" w:hAnsi="Arial" w:cs="Arial"/>
                <w:sz w:val="24"/>
                <w:szCs w:val="24"/>
              </w:rPr>
            </w:pPr>
            <w:r w:rsidRPr="00B568F3">
              <w:rPr>
                <w:rFonts w:ascii="Arial" w:eastAsia="Calibri" w:hAnsi="Arial" w:cs="Arial"/>
                <w:sz w:val="24"/>
                <w:szCs w:val="24"/>
              </w:rPr>
              <w:t xml:space="preserve">A region </w:t>
            </w:r>
            <w:r w:rsidR="002C79AD" w:rsidRPr="00B568F3">
              <w:rPr>
                <w:rFonts w:ascii="Arial" w:eastAsia="Calibri" w:hAnsi="Arial" w:cs="Arial"/>
                <w:sz w:val="24"/>
                <w:szCs w:val="24"/>
              </w:rPr>
              <w:t xml:space="preserve">tested </w:t>
            </w:r>
            <w:r w:rsidRPr="00B568F3">
              <w:rPr>
                <w:rFonts w:ascii="Arial" w:eastAsia="Calibri" w:hAnsi="Arial" w:cs="Arial"/>
                <w:sz w:val="24"/>
                <w:szCs w:val="24"/>
              </w:rPr>
              <w:t xml:space="preserve">supervision and appraisal training for domiciliary </w:t>
            </w:r>
            <w:r w:rsidR="47E53A54" w:rsidRPr="00B568F3">
              <w:rPr>
                <w:rFonts w:ascii="Arial" w:eastAsia="Calibri" w:hAnsi="Arial" w:cs="Arial"/>
                <w:sz w:val="24"/>
                <w:szCs w:val="24"/>
              </w:rPr>
              <w:t xml:space="preserve">care </w:t>
            </w:r>
            <w:r w:rsidRPr="00B568F3">
              <w:rPr>
                <w:rFonts w:ascii="Arial" w:eastAsia="Calibri" w:hAnsi="Arial" w:cs="Arial"/>
                <w:sz w:val="24"/>
                <w:szCs w:val="24"/>
              </w:rPr>
              <w:t>service</w:t>
            </w:r>
            <w:r w:rsidR="335497C5" w:rsidRPr="00B568F3">
              <w:rPr>
                <w:rFonts w:ascii="Arial" w:eastAsia="Calibri" w:hAnsi="Arial" w:cs="Arial"/>
                <w:sz w:val="24"/>
                <w:szCs w:val="24"/>
              </w:rPr>
              <w:t>s</w:t>
            </w:r>
            <w:r w:rsidRPr="00B568F3">
              <w:rPr>
                <w:rFonts w:ascii="Arial" w:eastAsia="Calibri" w:hAnsi="Arial" w:cs="Arial"/>
                <w:sz w:val="24"/>
                <w:szCs w:val="24"/>
              </w:rPr>
              <w:t xml:space="preserve"> in Jan</w:t>
            </w:r>
            <w:r w:rsidR="002C79AD" w:rsidRPr="00B568F3">
              <w:rPr>
                <w:rFonts w:ascii="Arial" w:eastAsia="Calibri" w:hAnsi="Arial" w:cs="Arial"/>
                <w:sz w:val="24"/>
                <w:szCs w:val="24"/>
              </w:rPr>
              <w:t>uary</w:t>
            </w:r>
            <w:r w:rsidRPr="00B568F3">
              <w:rPr>
                <w:rFonts w:ascii="Arial" w:eastAsia="Calibri" w:hAnsi="Arial" w:cs="Arial"/>
                <w:sz w:val="24"/>
                <w:szCs w:val="24"/>
              </w:rPr>
              <w:t xml:space="preserve"> 2024. The training pack is in-keeping with</w:t>
            </w:r>
            <w:r w:rsidR="00AD1649" w:rsidRPr="00B568F3">
              <w:rPr>
                <w:rFonts w:ascii="Arial" w:eastAsia="Calibri" w:hAnsi="Arial" w:cs="Arial"/>
                <w:sz w:val="24"/>
                <w:szCs w:val="24"/>
              </w:rPr>
              <w:t xml:space="preserve"> our</w:t>
            </w:r>
            <w:r w:rsidRPr="00B568F3">
              <w:rPr>
                <w:rFonts w:ascii="Arial" w:eastAsia="Calibri" w:hAnsi="Arial" w:cs="Arial"/>
                <w:sz w:val="24"/>
                <w:szCs w:val="24"/>
              </w:rPr>
              <w:t xml:space="preserve"> </w:t>
            </w:r>
            <w:r w:rsidR="007F3A55" w:rsidRPr="00B568F3">
              <w:rPr>
                <w:rFonts w:ascii="Arial" w:eastAsia="Calibri" w:hAnsi="Arial" w:cs="Arial"/>
                <w:sz w:val="24"/>
                <w:szCs w:val="24"/>
              </w:rPr>
              <w:t>‘</w:t>
            </w:r>
            <w:r w:rsidRPr="00B568F3">
              <w:rPr>
                <w:rFonts w:ascii="Arial" w:eastAsia="Calibri" w:hAnsi="Arial" w:cs="Arial"/>
                <w:sz w:val="24"/>
                <w:szCs w:val="24"/>
              </w:rPr>
              <w:t xml:space="preserve">Supervising </w:t>
            </w:r>
            <w:r w:rsidR="00B63F95" w:rsidRPr="00B568F3">
              <w:rPr>
                <w:rFonts w:ascii="Arial" w:eastAsia="Calibri" w:hAnsi="Arial" w:cs="Arial"/>
                <w:sz w:val="24"/>
                <w:szCs w:val="24"/>
              </w:rPr>
              <w:t>and</w:t>
            </w:r>
            <w:r w:rsidRPr="00B568F3">
              <w:rPr>
                <w:rFonts w:ascii="Arial" w:eastAsia="Calibri" w:hAnsi="Arial" w:cs="Arial"/>
                <w:sz w:val="24"/>
                <w:szCs w:val="24"/>
              </w:rPr>
              <w:t xml:space="preserve"> </w:t>
            </w:r>
            <w:r w:rsidR="00B63F95" w:rsidRPr="00B568F3">
              <w:rPr>
                <w:rFonts w:ascii="Arial" w:eastAsia="Calibri" w:hAnsi="Arial" w:cs="Arial"/>
                <w:sz w:val="24"/>
                <w:szCs w:val="24"/>
              </w:rPr>
              <w:t>a</w:t>
            </w:r>
            <w:r w:rsidRPr="00B568F3">
              <w:rPr>
                <w:rFonts w:ascii="Arial" w:eastAsia="Calibri" w:hAnsi="Arial" w:cs="Arial"/>
                <w:sz w:val="24"/>
                <w:szCs w:val="24"/>
              </w:rPr>
              <w:t xml:space="preserve">ppraising </w:t>
            </w:r>
            <w:r w:rsidR="00B63F95" w:rsidRPr="00B568F3">
              <w:rPr>
                <w:rFonts w:ascii="Arial" w:eastAsia="Calibri" w:hAnsi="Arial" w:cs="Arial"/>
                <w:sz w:val="24"/>
                <w:szCs w:val="24"/>
              </w:rPr>
              <w:t>w</w:t>
            </w:r>
            <w:r w:rsidRPr="00B568F3">
              <w:rPr>
                <w:rFonts w:ascii="Arial" w:eastAsia="Calibri" w:hAnsi="Arial" w:cs="Arial"/>
                <w:sz w:val="24"/>
                <w:szCs w:val="24"/>
              </w:rPr>
              <w:t>ell’ guidance. The course focuses on</w:t>
            </w:r>
            <w:r w:rsidR="004C446D" w:rsidRPr="00B568F3">
              <w:rPr>
                <w:rFonts w:ascii="Arial" w:eastAsia="Calibri" w:hAnsi="Arial" w:cs="Arial"/>
                <w:sz w:val="24"/>
                <w:szCs w:val="24"/>
              </w:rPr>
              <w:t xml:space="preserve"> the following:</w:t>
            </w:r>
          </w:p>
          <w:p w14:paraId="30398CA8" w14:textId="6DACA3CB" w:rsidR="004C446D" w:rsidRPr="00B568F3" w:rsidRDefault="002D1B1F" w:rsidP="00632461">
            <w:pPr>
              <w:pStyle w:val="ListParagraph"/>
              <w:numPr>
                <w:ilvl w:val="0"/>
                <w:numId w:val="18"/>
              </w:numPr>
              <w:rPr>
                <w:rFonts w:ascii="Arial" w:eastAsia="Calibri" w:hAnsi="Arial" w:cs="Arial"/>
                <w:sz w:val="24"/>
                <w:szCs w:val="24"/>
              </w:rPr>
            </w:pPr>
            <w:r w:rsidRPr="00B568F3">
              <w:rPr>
                <w:rFonts w:ascii="Arial" w:eastAsia="Calibri" w:hAnsi="Arial" w:cs="Arial"/>
                <w:sz w:val="24"/>
                <w:szCs w:val="24"/>
              </w:rPr>
              <w:t>understanding the performance management cycle</w:t>
            </w:r>
          </w:p>
          <w:p w14:paraId="3B147C47" w14:textId="6218ACFD" w:rsidR="00CD5032" w:rsidRPr="00B568F3" w:rsidRDefault="002D1B1F" w:rsidP="00632461">
            <w:pPr>
              <w:pStyle w:val="ListParagraph"/>
              <w:numPr>
                <w:ilvl w:val="0"/>
                <w:numId w:val="18"/>
              </w:numPr>
              <w:rPr>
                <w:rFonts w:ascii="Arial" w:eastAsia="Calibri" w:hAnsi="Arial" w:cs="Arial"/>
                <w:sz w:val="24"/>
                <w:szCs w:val="24"/>
              </w:rPr>
            </w:pPr>
            <w:bookmarkStart w:id="27" w:name="_Int_V65oFWFp"/>
            <w:r w:rsidRPr="00B568F3">
              <w:rPr>
                <w:rFonts w:ascii="Arial" w:eastAsia="Calibri" w:hAnsi="Arial" w:cs="Arial"/>
                <w:sz w:val="24"/>
                <w:szCs w:val="24"/>
              </w:rPr>
              <w:t>conditions</w:t>
            </w:r>
            <w:bookmarkEnd w:id="27"/>
            <w:r w:rsidRPr="00B568F3">
              <w:rPr>
                <w:rFonts w:ascii="Arial" w:eastAsia="Calibri" w:hAnsi="Arial" w:cs="Arial"/>
                <w:sz w:val="24"/>
                <w:szCs w:val="24"/>
              </w:rPr>
              <w:t xml:space="preserve"> for supervision</w:t>
            </w:r>
          </w:p>
          <w:p w14:paraId="08DF9AAE" w14:textId="17320B8D" w:rsidR="00CD5032" w:rsidRPr="00B568F3" w:rsidRDefault="002D1B1F" w:rsidP="00632461">
            <w:pPr>
              <w:pStyle w:val="ListParagraph"/>
              <w:numPr>
                <w:ilvl w:val="0"/>
                <w:numId w:val="18"/>
              </w:numPr>
              <w:rPr>
                <w:rFonts w:ascii="Arial" w:eastAsia="Calibri" w:hAnsi="Arial" w:cs="Arial"/>
                <w:sz w:val="24"/>
                <w:szCs w:val="24"/>
              </w:rPr>
            </w:pPr>
            <w:r w:rsidRPr="00B568F3">
              <w:rPr>
                <w:rFonts w:ascii="Arial" w:eastAsia="Calibri" w:hAnsi="Arial" w:cs="Arial"/>
                <w:sz w:val="24"/>
                <w:szCs w:val="24"/>
              </w:rPr>
              <w:t>creating a ‘supervision contract’</w:t>
            </w:r>
          </w:p>
          <w:p w14:paraId="404C74DC" w14:textId="5CF981AB" w:rsidR="00CD5032" w:rsidRPr="00B568F3" w:rsidRDefault="002D1B1F" w:rsidP="00632461">
            <w:pPr>
              <w:pStyle w:val="ListParagraph"/>
              <w:numPr>
                <w:ilvl w:val="0"/>
                <w:numId w:val="18"/>
              </w:numPr>
              <w:rPr>
                <w:rFonts w:ascii="Arial" w:eastAsia="Calibri" w:hAnsi="Arial" w:cs="Arial"/>
                <w:sz w:val="24"/>
                <w:szCs w:val="24"/>
              </w:rPr>
            </w:pPr>
            <w:r w:rsidRPr="00B568F3">
              <w:rPr>
                <w:rFonts w:ascii="Arial" w:eastAsia="Calibri" w:hAnsi="Arial" w:cs="Arial"/>
                <w:sz w:val="24"/>
                <w:szCs w:val="24"/>
              </w:rPr>
              <w:t>managing difficult conversations</w:t>
            </w:r>
          </w:p>
          <w:p w14:paraId="13D6E183" w14:textId="21B7E7DE" w:rsidR="00CD5032" w:rsidRPr="00B568F3" w:rsidRDefault="002D1B1F" w:rsidP="00632461">
            <w:pPr>
              <w:pStyle w:val="ListParagraph"/>
              <w:numPr>
                <w:ilvl w:val="0"/>
                <w:numId w:val="18"/>
              </w:numPr>
              <w:rPr>
                <w:rFonts w:ascii="Arial" w:eastAsia="Calibri" w:hAnsi="Arial" w:cs="Arial"/>
                <w:sz w:val="24"/>
                <w:szCs w:val="24"/>
              </w:rPr>
            </w:pPr>
            <w:bookmarkStart w:id="28" w:name="_Int_pFOqFNhJ"/>
            <w:r w:rsidRPr="00B568F3">
              <w:rPr>
                <w:rFonts w:ascii="Arial" w:eastAsia="Calibri" w:hAnsi="Arial" w:cs="Arial"/>
                <w:sz w:val="24"/>
                <w:szCs w:val="24"/>
              </w:rPr>
              <w:t>understanding</w:t>
            </w:r>
            <w:bookmarkEnd w:id="28"/>
            <w:r w:rsidRPr="00B568F3">
              <w:rPr>
                <w:rFonts w:ascii="Arial" w:eastAsia="Calibri" w:hAnsi="Arial" w:cs="Arial"/>
                <w:sz w:val="24"/>
                <w:szCs w:val="24"/>
              </w:rPr>
              <w:t xml:space="preserve"> and achieving personal and strategic operational goals</w:t>
            </w:r>
          </w:p>
          <w:p w14:paraId="52F3F953" w14:textId="42C46D5C" w:rsidR="002D1B1F" w:rsidRPr="00B568F3" w:rsidRDefault="002D1B1F" w:rsidP="00632461">
            <w:pPr>
              <w:pStyle w:val="ListParagraph"/>
              <w:numPr>
                <w:ilvl w:val="0"/>
                <w:numId w:val="18"/>
              </w:numPr>
              <w:rPr>
                <w:rFonts w:ascii="Arial" w:eastAsia="Calibri" w:hAnsi="Arial" w:cs="Arial"/>
                <w:sz w:val="24"/>
                <w:szCs w:val="24"/>
              </w:rPr>
            </w:pPr>
            <w:r w:rsidRPr="00B568F3">
              <w:rPr>
                <w:rFonts w:ascii="Arial" w:eastAsia="Calibri" w:hAnsi="Arial" w:cs="Arial"/>
                <w:sz w:val="24"/>
                <w:szCs w:val="24"/>
              </w:rPr>
              <w:t xml:space="preserve">monitoring staff well-being within their roles. </w:t>
            </w:r>
          </w:p>
        </w:tc>
      </w:tr>
    </w:tbl>
    <w:p w14:paraId="3BC9E5E0" w14:textId="77777777" w:rsidR="002D1B1F" w:rsidRPr="00B568F3" w:rsidRDefault="002D1B1F" w:rsidP="002D1B1F">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9016"/>
      </w:tblGrid>
      <w:tr w:rsidR="002D1B1F" w:rsidRPr="00B568F3" w14:paraId="5EB3A44C" w14:textId="77777777" w:rsidTr="4D3BE396">
        <w:tc>
          <w:tcPr>
            <w:tcW w:w="9016" w:type="dxa"/>
          </w:tcPr>
          <w:p w14:paraId="4B84A6B4" w14:textId="77777777" w:rsidR="002D1B1F" w:rsidRPr="00B568F3" w:rsidRDefault="002D1B1F" w:rsidP="00FC716F">
            <w:pPr>
              <w:rPr>
                <w:rFonts w:ascii="Arial" w:eastAsia="Calibri" w:hAnsi="Arial" w:cs="Arial"/>
                <w:b/>
                <w:bCs/>
                <w:sz w:val="24"/>
                <w:szCs w:val="24"/>
              </w:rPr>
            </w:pPr>
            <w:r w:rsidRPr="00B568F3">
              <w:rPr>
                <w:rFonts w:ascii="Arial" w:eastAsia="Calibri" w:hAnsi="Arial" w:cs="Arial"/>
                <w:b/>
                <w:bCs/>
                <w:sz w:val="24"/>
                <w:szCs w:val="24"/>
              </w:rPr>
              <w:t>Highlight</w:t>
            </w:r>
          </w:p>
          <w:p w14:paraId="3AFC298C" w14:textId="77777777" w:rsidR="002D1B1F" w:rsidRPr="00B568F3" w:rsidRDefault="002D1B1F" w:rsidP="00FC716F">
            <w:pPr>
              <w:rPr>
                <w:rFonts w:ascii="Arial" w:eastAsia="Calibri" w:hAnsi="Arial" w:cs="Arial"/>
                <w:sz w:val="24"/>
                <w:szCs w:val="24"/>
              </w:rPr>
            </w:pPr>
          </w:p>
          <w:p w14:paraId="0F655F5C" w14:textId="0B76C913" w:rsidR="001344C5" w:rsidRPr="00B568F3" w:rsidRDefault="002D1B1F" w:rsidP="00FC716F">
            <w:pPr>
              <w:rPr>
                <w:rFonts w:ascii="Arial" w:eastAsia="Calibri" w:hAnsi="Arial" w:cs="Arial"/>
                <w:sz w:val="24"/>
                <w:szCs w:val="24"/>
              </w:rPr>
            </w:pPr>
            <w:r w:rsidRPr="00B568F3">
              <w:rPr>
                <w:rFonts w:ascii="Arial" w:eastAsia="Calibri" w:hAnsi="Arial" w:cs="Arial"/>
                <w:sz w:val="24"/>
                <w:szCs w:val="24"/>
              </w:rPr>
              <w:t xml:space="preserve">A region has delivered Core Skills for Team Leaders Training for two </w:t>
            </w:r>
            <w:r w:rsidR="001344C5" w:rsidRPr="00B568F3">
              <w:rPr>
                <w:rFonts w:ascii="Arial" w:eastAsia="Calibri" w:hAnsi="Arial" w:cs="Arial"/>
                <w:sz w:val="24"/>
                <w:szCs w:val="24"/>
              </w:rPr>
              <w:t xml:space="preserve">sets </w:t>
            </w:r>
            <w:r w:rsidRPr="00B568F3">
              <w:rPr>
                <w:rFonts w:ascii="Arial" w:eastAsia="Calibri" w:hAnsi="Arial" w:cs="Arial"/>
                <w:sz w:val="24"/>
                <w:szCs w:val="24"/>
              </w:rPr>
              <w:t xml:space="preserve">of learners. The training </w:t>
            </w:r>
            <w:r w:rsidR="001344C5" w:rsidRPr="00B568F3">
              <w:rPr>
                <w:rFonts w:ascii="Arial" w:eastAsia="Calibri" w:hAnsi="Arial" w:cs="Arial"/>
                <w:sz w:val="24"/>
                <w:szCs w:val="24"/>
              </w:rPr>
              <w:t xml:space="preserve">gives </w:t>
            </w:r>
            <w:r w:rsidRPr="00B568F3">
              <w:rPr>
                <w:rFonts w:ascii="Arial" w:eastAsia="Calibri" w:hAnsi="Arial" w:cs="Arial"/>
                <w:sz w:val="24"/>
                <w:szCs w:val="24"/>
              </w:rPr>
              <w:t>team leaders</w:t>
            </w:r>
            <w:r w:rsidRPr="00B568F3" w:rsidDel="001344C5">
              <w:rPr>
                <w:rFonts w:ascii="Arial" w:eastAsia="Calibri" w:hAnsi="Arial" w:cs="Arial"/>
                <w:sz w:val="24"/>
                <w:szCs w:val="24"/>
              </w:rPr>
              <w:t xml:space="preserve"> </w:t>
            </w:r>
            <w:r w:rsidRPr="00B568F3">
              <w:rPr>
                <w:rFonts w:ascii="Arial" w:eastAsia="Calibri" w:hAnsi="Arial" w:cs="Arial"/>
                <w:sz w:val="24"/>
                <w:szCs w:val="24"/>
              </w:rPr>
              <w:t xml:space="preserve">an understanding of how they can make a positive impact on their team and organisation by </w:t>
            </w:r>
            <w:r w:rsidR="001344C5" w:rsidRPr="00B568F3">
              <w:rPr>
                <w:rFonts w:ascii="Arial" w:eastAsia="Calibri" w:hAnsi="Arial" w:cs="Arial"/>
                <w:sz w:val="24"/>
                <w:szCs w:val="24"/>
              </w:rPr>
              <w:t xml:space="preserve">giving </w:t>
            </w:r>
            <w:r w:rsidRPr="00B568F3">
              <w:rPr>
                <w:rFonts w:ascii="Arial" w:eastAsia="Calibri" w:hAnsi="Arial" w:cs="Arial"/>
                <w:sz w:val="24"/>
                <w:szCs w:val="24"/>
              </w:rPr>
              <w:t>techniques to help them</w:t>
            </w:r>
            <w:r w:rsidR="001344C5" w:rsidRPr="00B568F3">
              <w:rPr>
                <w:rFonts w:ascii="Arial" w:eastAsia="Calibri" w:hAnsi="Arial" w:cs="Arial"/>
                <w:sz w:val="24"/>
                <w:szCs w:val="24"/>
              </w:rPr>
              <w:t>:</w:t>
            </w:r>
            <w:r w:rsidRPr="00B568F3">
              <w:rPr>
                <w:rFonts w:ascii="Arial" w:eastAsia="Calibri" w:hAnsi="Arial" w:cs="Arial"/>
                <w:sz w:val="24"/>
                <w:szCs w:val="24"/>
              </w:rPr>
              <w:t xml:space="preserve"> </w:t>
            </w:r>
          </w:p>
          <w:p w14:paraId="29F88159" w14:textId="32529D95" w:rsidR="001344C5" w:rsidRPr="00B568F3" w:rsidRDefault="00B00E36" w:rsidP="00632461">
            <w:pPr>
              <w:pStyle w:val="ListParagraph"/>
              <w:numPr>
                <w:ilvl w:val="0"/>
                <w:numId w:val="19"/>
              </w:numPr>
              <w:rPr>
                <w:rFonts w:ascii="Arial" w:eastAsia="Calibri" w:hAnsi="Arial" w:cs="Arial"/>
                <w:sz w:val="24"/>
                <w:szCs w:val="24"/>
              </w:rPr>
            </w:pPr>
            <w:r w:rsidRPr="00B568F3">
              <w:rPr>
                <w:rFonts w:ascii="Arial" w:eastAsia="Calibri" w:hAnsi="Arial" w:cs="Arial"/>
                <w:sz w:val="24"/>
                <w:szCs w:val="24"/>
              </w:rPr>
              <w:t>b</w:t>
            </w:r>
            <w:r w:rsidR="001344C5" w:rsidRPr="00B568F3">
              <w:rPr>
                <w:rFonts w:ascii="Arial" w:eastAsia="Calibri" w:hAnsi="Arial" w:cs="Arial"/>
                <w:sz w:val="24"/>
                <w:szCs w:val="24"/>
              </w:rPr>
              <w:t xml:space="preserve">ecome </w:t>
            </w:r>
            <w:r w:rsidR="002D1B1F" w:rsidRPr="00B568F3">
              <w:rPr>
                <w:rFonts w:ascii="Arial" w:eastAsia="Calibri" w:hAnsi="Arial" w:cs="Arial"/>
                <w:sz w:val="24"/>
                <w:szCs w:val="24"/>
              </w:rPr>
              <w:t>more self-aware and confident</w:t>
            </w:r>
          </w:p>
          <w:p w14:paraId="610FFB1F" w14:textId="267419D3" w:rsidR="001344C5" w:rsidRPr="00B568F3" w:rsidRDefault="002D1B1F" w:rsidP="00632461">
            <w:pPr>
              <w:pStyle w:val="ListParagraph"/>
              <w:numPr>
                <w:ilvl w:val="0"/>
                <w:numId w:val="19"/>
              </w:numPr>
              <w:rPr>
                <w:rFonts w:ascii="Arial" w:eastAsia="Calibri" w:hAnsi="Arial" w:cs="Arial"/>
                <w:sz w:val="24"/>
                <w:szCs w:val="24"/>
              </w:rPr>
            </w:pPr>
            <w:r w:rsidRPr="00B568F3">
              <w:rPr>
                <w:rFonts w:ascii="Arial" w:eastAsia="Calibri" w:hAnsi="Arial" w:cs="Arial"/>
                <w:sz w:val="24"/>
                <w:szCs w:val="24"/>
              </w:rPr>
              <w:t>be better communicators</w:t>
            </w:r>
          </w:p>
          <w:p w14:paraId="59FF8E2F" w14:textId="1DB1E621" w:rsidR="001344C5" w:rsidRPr="00B568F3" w:rsidRDefault="002D1B1F" w:rsidP="00632461">
            <w:pPr>
              <w:pStyle w:val="ListParagraph"/>
              <w:numPr>
                <w:ilvl w:val="0"/>
                <w:numId w:val="19"/>
              </w:numPr>
              <w:rPr>
                <w:rFonts w:ascii="Arial" w:eastAsia="Calibri" w:hAnsi="Arial" w:cs="Arial"/>
                <w:sz w:val="24"/>
                <w:szCs w:val="24"/>
              </w:rPr>
            </w:pPr>
            <w:r w:rsidRPr="00B568F3">
              <w:rPr>
                <w:rFonts w:ascii="Arial" w:eastAsia="Calibri" w:hAnsi="Arial" w:cs="Arial"/>
                <w:sz w:val="24"/>
                <w:szCs w:val="24"/>
              </w:rPr>
              <w:t>develop motivational skills</w:t>
            </w:r>
          </w:p>
          <w:p w14:paraId="76D2B7BF" w14:textId="4FEBB4A0" w:rsidR="002D1B1F" w:rsidRPr="00B568F3" w:rsidRDefault="002D1B1F" w:rsidP="00632461">
            <w:pPr>
              <w:pStyle w:val="ListParagraph"/>
              <w:numPr>
                <w:ilvl w:val="0"/>
                <w:numId w:val="19"/>
              </w:numPr>
              <w:rPr>
                <w:rFonts w:ascii="Arial" w:eastAsia="Calibri" w:hAnsi="Arial" w:cs="Arial"/>
                <w:sz w:val="24"/>
                <w:szCs w:val="24"/>
              </w:rPr>
            </w:pPr>
            <w:r w:rsidRPr="00B568F3">
              <w:rPr>
                <w:rFonts w:ascii="Arial" w:eastAsia="Calibri" w:hAnsi="Arial" w:cs="Arial"/>
                <w:sz w:val="24"/>
                <w:szCs w:val="24"/>
              </w:rPr>
              <w:t>deal with difficult situations</w:t>
            </w:r>
            <w:r w:rsidR="4046F6FA" w:rsidRPr="00B568F3">
              <w:rPr>
                <w:rFonts w:ascii="Arial" w:eastAsia="Calibri" w:hAnsi="Arial" w:cs="Arial"/>
                <w:sz w:val="24"/>
                <w:szCs w:val="24"/>
              </w:rPr>
              <w:t>.</w:t>
            </w:r>
          </w:p>
          <w:p w14:paraId="0CE01D11" w14:textId="77777777" w:rsidR="002D1B1F" w:rsidRPr="00B568F3" w:rsidRDefault="002D1B1F" w:rsidP="00FC716F">
            <w:pPr>
              <w:rPr>
                <w:rFonts w:ascii="Arial" w:eastAsia="Calibri" w:hAnsi="Arial" w:cs="Arial"/>
                <w:sz w:val="24"/>
                <w:szCs w:val="24"/>
              </w:rPr>
            </w:pPr>
          </w:p>
          <w:p w14:paraId="0CC7C043" w14:textId="4A91670A" w:rsidR="002D1B1F" w:rsidRPr="00B568F3" w:rsidRDefault="002D1B1F" w:rsidP="00FC716F">
            <w:pPr>
              <w:rPr>
                <w:rFonts w:ascii="Arial" w:eastAsia="Calibri" w:hAnsi="Arial" w:cs="Arial"/>
                <w:sz w:val="24"/>
                <w:szCs w:val="24"/>
              </w:rPr>
            </w:pPr>
            <w:r w:rsidRPr="00B568F3">
              <w:rPr>
                <w:rFonts w:ascii="Arial" w:eastAsia="Calibri" w:hAnsi="Arial" w:cs="Arial"/>
                <w:sz w:val="24"/>
                <w:szCs w:val="24"/>
              </w:rPr>
              <w:t xml:space="preserve">This training has been well received and was </w:t>
            </w:r>
            <w:r w:rsidR="007752B5" w:rsidRPr="00B568F3">
              <w:rPr>
                <w:rFonts w:ascii="Arial" w:eastAsia="Calibri" w:hAnsi="Arial" w:cs="Arial"/>
                <w:sz w:val="24"/>
                <w:szCs w:val="24"/>
              </w:rPr>
              <w:t xml:space="preserve">given </w:t>
            </w:r>
            <w:r w:rsidRPr="00B568F3">
              <w:rPr>
                <w:rFonts w:ascii="Arial" w:eastAsia="Calibri" w:hAnsi="Arial" w:cs="Arial"/>
                <w:sz w:val="24"/>
                <w:szCs w:val="24"/>
              </w:rPr>
              <w:t xml:space="preserve">over </w:t>
            </w:r>
            <w:r w:rsidR="001344C5" w:rsidRPr="00B568F3">
              <w:rPr>
                <w:rFonts w:ascii="Arial" w:eastAsia="Calibri" w:hAnsi="Arial" w:cs="Arial"/>
                <w:sz w:val="24"/>
                <w:szCs w:val="24"/>
              </w:rPr>
              <w:t>four</w:t>
            </w:r>
            <w:r w:rsidRPr="00B568F3">
              <w:rPr>
                <w:rFonts w:ascii="Arial" w:eastAsia="Calibri" w:hAnsi="Arial" w:cs="Arial"/>
                <w:sz w:val="24"/>
                <w:szCs w:val="24"/>
              </w:rPr>
              <w:t xml:space="preserve"> days</w:t>
            </w:r>
            <w:r w:rsidR="007752B5" w:rsidRPr="00B568F3">
              <w:rPr>
                <w:rFonts w:ascii="Arial" w:eastAsia="Calibri" w:hAnsi="Arial" w:cs="Arial"/>
                <w:sz w:val="24"/>
                <w:szCs w:val="24"/>
              </w:rPr>
              <w:t>. Training</w:t>
            </w:r>
            <w:r w:rsidRPr="00B568F3">
              <w:rPr>
                <w:rFonts w:ascii="Arial" w:eastAsia="Calibri" w:hAnsi="Arial" w:cs="Arial"/>
                <w:sz w:val="24"/>
                <w:szCs w:val="24"/>
              </w:rPr>
              <w:t xml:space="preserve"> cover</w:t>
            </w:r>
            <w:r w:rsidR="007752B5" w:rsidRPr="00B568F3">
              <w:rPr>
                <w:rFonts w:ascii="Arial" w:eastAsia="Calibri" w:hAnsi="Arial" w:cs="Arial"/>
                <w:sz w:val="24"/>
                <w:szCs w:val="24"/>
              </w:rPr>
              <w:t>ed</w:t>
            </w:r>
            <w:r w:rsidRPr="00B568F3">
              <w:rPr>
                <w:rFonts w:ascii="Arial" w:eastAsia="Calibri" w:hAnsi="Arial" w:cs="Arial"/>
                <w:sz w:val="24"/>
                <w:szCs w:val="24"/>
              </w:rPr>
              <w:t>:</w:t>
            </w:r>
          </w:p>
          <w:p w14:paraId="66278ED3" w14:textId="61BBD193" w:rsidR="002D1B1F" w:rsidRPr="00B568F3" w:rsidRDefault="007752B5" w:rsidP="00632461">
            <w:pPr>
              <w:pStyle w:val="ListParagraph"/>
              <w:numPr>
                <w:ilvl w:val="0"/>
                <w:numId w:val="11"/>
              </w:numPr>
              <w:rPr>
                <w:rFonts w:ascii="Arial" w:eastAsia="Calibri" w:hAnsi="Arial" w:cs="Arial"/>
                <w:sz w:val="24"/>
                <w:szCs w:val="24"/>
              </w:rPr>
            </w:pPr>
            <w:r w:rsidRPr="00B568F3">
              <w:rPr>
                <w:rFonts w:ascii="Arial" w:eastAsia="Calibri" w:hAnsi="Arial" w:cs="Arial"/>
                <w:sz w:val="24"/>
                <w:szCs w:val="24"/>
              </w:rPr>
              <w:t>m</w:t>
            </w:r>
            <w:r w:rsidR="002D1B1F" w:rsidRPr="00B568F3">
              <w:rPr>
                <w:rFonts w:ascii="Arial" w:eastAsia="Calibri" w:hAnsi="Arial" w:cs="Arial"/>
                <w:sz w:val="24"/>
                <w:szCs w:val="24"/>
              </w:rPr>
              <w:t xml:space="preserve">anagement </w:t>
            </w:r>
            <w:r w:rsidRPr="00B568F3">
              <w:rPr>
                <w:rFonts w:ascii="Arial" w:eastAsia="Calibri" w:hAnsi="Arial" w:cs="Arial"/>
                <w:sz w:val="24"/>
                <w:szCs w:val="24"/>
              </w:rPr>
              <w:t>versus</w:t>
            </w:r>
            <w:r w:rsidR="002D1B1F" w:rsidRPr="00B568F3">
              <w:rPr>
                <w:rFonts w:ascii="Arial" w:eastAsia="Calibri" w:hAnsi="Arial" w:cs="Arial"/>
                <w:sz w:val="24"/>
                <w:szCs w:val="24"/>
              </w:rPr>
              <w:t xml:space="preserve"> </w:t>
            </w:r>
            <w:r w:rsidRPr="00B568F3">
              <w:rPr>
                <w:rFonts w:ascii="Arial" w:eastAsia="Calibri" w:hAnsi="Arial" w:cs="Arial"/>
                <w:sz w:val="24"/>
                <w:szCs w:val="24"/>
              </w:rPr>
              <w:t>l</w:t>
            </w:r>
            <w:r w:rsidR="002D1B1F" w:rsidRPr="00B568F3">
              <w:rPr>
                <w:rFonts w:ascii="Arial" w:eastAsia="Calibri" w:hAnsi="Arial" w:cs="Arial"/>
                <w:sz w:val="24"/>
                <w:szCs w:val="24"/>
              </w:rPr>
              <w:t xml:space="preserve">eadership </w:t>
            </w:r>
          </w:p>
          <w:p w14:paraId="169F0F3E" w14:textId="3FB433FE" w:rsidR="002D1B1F" w:rsidRPr="00B568F3" w:rsidRDefault="007752B5" w:rsidP="00632461">
            <w:pPr>
              <w:pStyle w:val="ListParagraph"/>
              <w:numPr>
                <w:ilvl w:val="0"/>
                <w:numId w:val="11"/>
              </w:numPr>
              <w:rPr>
                <w:rFonts w:ascii="Arial" w:eastAsia="Calibri" w:hAnsi="Arial" w:cs="Arial"/>
                <w:sz w:val="24"/>
                <w:szCs w:val="24"/>
              </w:rPr>
            </w:pPr>
            <w:r w:rsidRPr="00B568F3">
              <w:rPr>
                <w:rFonts w:ascii="Arial" w:eastAsia="Calibri" w:hAnsi="Arial" w:cs="Arial"/>
                <w:sz w:val="24"/>
                <w:szCs w:val="24"/>
              </w:rPr>
              <w:t>u</w:t>
            </w:r>
            <w:r w:rsidR="002D1B1F" w:rsidRPr="00B568F3">
              <w:rPr>
                <w:rFonts w:ascii="Arial" w:eastAsia="Calibri" w:hAnsi="Arial" w:cs="Arial"/>
                <w:sz w:val="24"/>
                <w:szCs w:val="24"/>
              </w:rPr>
              <w:t xml:space="preserve">sing </w:t>
            </w:r>
            <w:r w:rsidRPr="00B568F3">
              <w:rPr>
                <w:rFonts w:ascii="Arial" w:eastAsia="Calibri" w:hAnsi="Arial" w:cs="Arial"/>
                <w:sz w:val="24"/>
                <w:szCs w:val="24"/>
              </w:rPr>
              <w:t>c</w:t>
            </w:r>
            <w:r w:rsidR="002D1B1F" w:rsidRPr="00B568F3">
              <w:rPr>
                <w:rFonts w:ascii="Arial" w:eastAsia="Calibri" w:hAnsi="Arial" w:cs="Arial"/>
                <w:sz w:val="24"/>
                <w:szCs w:val="24"/>
              </w:rPr>
              <w:t>ompassionate</w:t>
            </w:r>
            <w:r w:rsidR="00B00E36" w:rsidRPr="00B568F3">
              <w:rPr>
                <w:rFonts w:ascii="Arial" w:eastAsia="Calibri" w:hAnsi="Arial" w:cs="Arial"/>
                <w:sz w:val="24"/>
                <w:szCs w:val="24"/>
              </w:rPr>
              <w:t xml:space="preserve"> </w:t>
            </w:r>
            <w:r w:rsidRPr="00B568F3">
              <w:rPr>
                <w:rFonts w:ascii="Arial" w:eastAsia="Calibri" w:hAnsi="Arial" w:cs="Arial"/>
                <w:sz w:val="24"/>
                <w:szCs w:val="24"/>
              </w:rPr>
              <w:t>l</w:t>
            </w:r>
            <w:r w:rsidR="002D1B1F" w:rsidRPr="00B568F3">
              <w:rPr>
                <w:rFonts w:ascii="Arial" w:eastAsia="Calibri" w:hAnsi="Arial" w:cs="Arial"/>
                <w:sz w:val="24"/>
                <w:szCs w:val="24"/>
              </w:rPr>
              <w:t xml:space="preserve">eadership </w:t>
            </w:r>
          </w:p>
          <w:p w14:paraId="6F188826" w14:textId="25E25D8C" w:rsidR="002D1B1F" w:rsidRPr="00B568F3" w:rsidRDefault="007752B5" w:rsidP="00632461">
            <w:pPr>
              <w:pStyle w:val="ListParagraph"/>
              <w:numPr>
                <w:ilvl w:val="0"/>
                <w:numId w:val="11"/>
              </w:numPr>
              <w:rPr>
                <w:rFonts w:ascii="Arial" w:eastAsia="Calibri" w:hAnsi="Arial" w:cs="Arial"/>
                <w:sz w:val="24"/>
                <w:szCs w:val="24"/>
              </w:rPr>
            </w:pPr>
            <w:r w:rsidRPr="00B568F3">
              <w:rPr>
                <w:rFonts w:ascii="Arial" w:eastAsia="Calibri" w:hAnsi="Arial" w:cs="Arial"/>
                <w:sz w:val="24"/>
                <w:szCs w:val="24"/>
              </w:rPr>
              <w:t>v</w:t>
            </w:r>
            <w:r w:rsidR="002D1B1F" w:rsidRPr="00B568F3">
              <w:rPr>
                <w:rFonts w:ascii="Arial" w:eastAsia="Calibri" w:hAnsi="Arial" w:cs="Arial"/>
                <w:sz w:val="24"/>
                <w:szCs w:val="24"/>
              </w:rPr>
              <w:t xml:space="preserve">alues in </w:t>
            </w:r>
            <w:r w:rsidRPr="00B568F3">
              <w:rPr>
                <w:rFonts w:ascii="Arial" w:eastAsia="Calibri" w:hAnsi="Arial" w:cs="Arial"/>
                <w:sz w:val="24"/>
                <w:szCs w:val="24"/>
              </w:rPr>
              <w:t>l</w:t>
            </w:r>
            <w:r w:rsidR="002D1B1F" w:rsidRPr="00B568F3">
              <w:rPr>
                <w:rFonts w:ascii="Arial" w:eastAsia="Calibri" w:hAnsi="Arial" w:cs="Arial"/>
                <w:sz w:val="24"/>
                <w:szCs w:val="24"/>
              </w:rPr>
              <w:t xml:space="preserve">eadership </w:t>
            </w:r>
          </w:p>
          <w:p w14:paraId="1B2C16B6" w14:textId="38039F1A" w:rsidR="002D1B1F" w:rsidRPr="00B568F3" w:rsidRDefault="007752B5" w:rsidP="00632461">
            <w:pPr>
              <w:pStyle w:val="ListParagraph"/>
              <w:numPr>
                <w:ilvl w:val="0"/>
                <w:numId w:val="11"/>
              </w:numPr>
              <w:rPr>
                <w:rFonts w:ascii="Arial" w:eastAsia="Calibri" w:hAnsi="Arial" w:cs="Arial"/>
                <w:sz w:val="24"/>
                <w:szCs w:val="24"/>
              </w:rPr>
            </w:pPr>
            <w:r w:rsidRPr="00B568F3">
              <w:rPr>
                <w:rFonts w:ascii="Arial" w:eastAsia="Calibri" w:hAnsi="Arial" w:cs="Arial"/>
                <w:sz w:val="24"/>
                <w:szCs w:val="24"/>
              </w:rPr>
              <w:t>having d</w:t>
            </w:r>
            <w:r w:rsidR="002D1B1F" w:rsidRPr="00B568F3">
              <w:rPr>
                <w:rFonts w:ascii="Arial" w:eastAsia="Calibri" w:hAnsi="Arial" w:cs="Arial"/>
                <w:sz w:val="24"/>
                <w:szCs w:val="24"/>
              </w:rPr>
              <w:t xml:space="preserve">ifficult </w:t>
            </w:r>
            <w:r w:rsidRPr="00B568F3">
              <w:rPr>
                <w:rFonts w:ascii="Arial" w:eastAsia="Calibri" w:hAnsi="Arial" w:cs="Arial"/>
                <w:sz w:val="24"/>
                <w:szCs w:val="24"/>
              </w:rPr>
              <w:t>c</w:t>
            </w:r>
            <w:r w:rsidR="002D1B1F" w:rsidRPr="00B568F3">
              <w:rPr>
                <w:rFonts w:ascii="Arial" w:eastAsia="Calibri" w:hAnsi="Arial" w:cs="Arial"/>
                <w:sz w:val="24"/>
                <w:szCs w:val="24"/>
              </w:rPr>
              <w:t xml:space="preserve">onversations </w:t>
            </w:r>
          </w:p>
          <w:p w14:paraId="0570162B" w14:textId="3FA45133" w:rsidR="002D1B1F" w:rsidRPr="00B568F3" w:rsidRDefault="007752B5" w:rsidP="00632461">
            <w:pPr>
              <w:pStyle w:val="ListParagraph"/>
              <w:numPr>
                <w:ilvl w:val="0"/>
                <w:numId w:val="11"/>
              </w:numPr>
              <w:rPr>
                <w:rFonts w:ascii="Arial" w:eastAsia="Calibri" w:hAnsi="Arial" w:cs="Arial"/>
                <w:sz w:val="24"/>
                <w:szCs w:val="24"/>
              </w:rPr>
            </w:pPr>
            <w:r w:rsidRPr="00B568F3">
              <w:rPr>
                <w:rFonts w:ascii="Arial" w:eastAsia="Calibri" w:hAnsi="Arial" w:cs="Arial"/>
                <w:sz w:val="24"/>
                <w:szCs w:val="24"/>
              </w:rPr>
              <w:t>u</w:t>
            </w:r>
            <w:r w:rsidR="002D1B1F" w:rsidRPr="00B568F3">
              <w:rPr>
                <w:rFonts w:ascii="Arial" w:eastAsia="Calibri" w:hAnsi="Arial" w:cs="Arial"/>
                <w:sz w:val="24"/>
                <w:szCs w:val="24"/>
              </w:rPr>
              <w:t xml:space="preserve">sing </w:t>
            </w:r>
            <w:r w:rsidRPr="00B568F3">
              <w:rPr>
                <w:rFonts w:ascii="Arial" w:eastAsia="Calibri" w:hAnsi="Arial" w:cs="Arial"/>
                <w:sz w:val="24"/>
                <w:szCs w:val="24"/>
              </w:rPr>
              <w:t>a</w:t>
            </w:r>
            <w:r w:rsidR="002D1B1F" w:rsidRPr="00B568F3">
              <w:rPr>
                <w:rFonts w:ascii="Arial" w:eastAsia="Calibri" w:hAnsi="Arial" w:cs="Arial"/>
                <w:sz w:val="24"/>
                <w:szCs w:val="24"/>
              </w:rPr>
              <w:t xml:space="preserve">ction </w:t>
            </w:r>
            <w:r w:rsidRPr="00B568F3">
              <w:rPr>
                <w:rFonts w:ascii="Arial" w:eastAsia="Calibri" w:hAnsi="Arial" w:cs="Arial"/>
                <w:sz w:val="24"/>
                <w:szCs w:val="24"/>
              </w:rPr>
              <w:t>l</w:t>
            </w:r>
            <w:r w:rsidR="002D1B1F" w:rsidRPr="00B568F3">
              <w:rPr>
                <w:rFonts w:ascii="Arial" w:eastAsia="Calibri" w:hAnsi="Arial" w:cs="Arial"/>
                <w:sz w:val="24"/>
                <w:szCs w:val="24"/>
              </w:rPr>
              <w:t xml:space="preserve">earning </w:t>
            </w:r>
            <w:r w:rsidRPr="00B568F3">
              <w:rPr>
                <w:rFonts w:ascii="Arial" w:eastAsia="Calibri" w:hAnsi="Arial" w:cs="Arial"/>
                <w:sz w:val="24"/>
                <w:szCs w:val="24"/>
              </w:rPr>
              <w:t>e</w:t>
            </w:r>
            <w:r w:rsidR="002D1B1F" w:rsidRPr="00B568F3">
              <w:rPr>
                <w:rFonts w:ascii="Arial" w:eastAsia="Calibri" w:hAnsi="Arial" w:cs="Arial"/>
                <w:sz w:val="24"/>
                <w:szCs w:val="24"/>
              </w:rPr>
              <w:t>ffectively</w:t>
            </w:r>
          </w:p>
          <w:p w14:paraId="3729EE9C" w14:textId="40E14153" w:rsidR="002D1B1F" w:rsidRPr="00B568F3" w:rsidRDefault="007752B5" w:rsidP="0010410E">
            <w:pPr>
              <w:pStyle w:val="ListParagraph"/>
              <w:numPr>
                <w:ilvl w:val="0"/>
                <w:numId w:val="11"/>
              </w:numPr>
              <w:rPr>
                <w:rFonts w:ascii="Arial" w:eastAsia="Calibri" w:hAnsi="Arial" w:cs="Arial"/>
                <w:color w:val="FF0000"/>
                <w:sz w:val="24"/>
                <w:szCs w:val="24"/>
              </w:rPr>
            </w:pPr>
            <w:r w:rsidRPr="00B568F3">
              <w:rPr>
                <w:rFonts w:ascii="Arial" w:eastAsia="Calibri" w:hAnsi="Arial" w:cs="Arial"/>
                <w:sz w:val="24"/>
                <w:szCs w:val="24"/>
              </w:rPr>
              <w:t>s</w:t>
            </w:r>
            <w:r w:rsidR="002D1B1F" w:rsidRPr="00B568F3">
              <w:rPr>
                <w:rFonts w:ascii="Arial" w:eastAsia="Calibri" w:hAnsi="Arial" w:cs="Arial"/>
                <w:sz w:val="24"/>
                <w:szCs w:val="24"/>
              </w:rPr>
              <w:t xml:space="preserve">upporting </w:t>
            </w:r>
            <w:r w:rsidRPr="00B568F3">
              <w:rPr>
                <w:rFonts w:ascii="Arial" w:eastAsia="Calibri" w:hAnsi="Arial" w:cs="Arial"/>
                <w:sz w:val="24"/>
                <w:szCs w:val="24"/>
              </w:rPr>
              <w:t>s</w:t>
            </w:r>
            <w:r w:rsidR="002D1B1F" w:rsidRPr="00B568F3">
              <w:rPr>
                <w:rFonts w:ascii="Arial" w:eastAsia="Calibri" w:hAnsi="Arial" w:cs="Arial"/>
                <w:sz w:val="24"/>
                <w:szCs w:val="24"/>
              </w:rPr>
              <w:t xml:space="preserve">taff </w:t>
            </w:r>
            <w:r w:rsidRPr="00B568F3">
              <w:rPr>
                <w:rFonts w:ascii="Arial" w:eastAsia="Calibri" w:hAnsi="Arial" w:cs="Arial"/>
                <w:sz w:val="24"/>
                <w:szCs w:val="24"/>
              </w:rPr>
              <w:t>w</w:t>
            </w:r>
            <w:r w:rsidR="002D1B1F" w:rsidRPr="00B568F3">
              <w:rPr>
                <w:rFonts w:ascii="Arial" w:eastAsia="Calibri" w:hAnsi="Arial" w:cs="Arial"/>
                <w:sz w:val="24"/>
                <w:szCs w:val="24"/>
              </w:rPr>
              <w:t>ell</w:t>
            </w:r>
            <w:r w:rsidRPr="00B568F3">
              <w:rPr>
                <w:rFonts w:ascii="Arial" w:eastAsia="Calibri" w:hAnsi="Arial" w:cs="Arial"/>
                <w:sz w:val="24"/>
                <w:szCs w:val="24"/>
              </w:rPr>
              <w:t>-</w:t>
            </w:r>
            <w:r w:rsidR="002D1B1F" w:rsidRPr="00B568F3">
              <w:rPr>
                <w:rFonts w:ascii="Arial" w:eastAsia="Calibri" w:hAnsi="Arial" w:cs="Arial"/>
                <w:sz w:val="24"/>
                <w:szCs w:val="24"/>
              </w:rPr>
              <w:t>being</w:t>
            </w:r>
            <w:r w:rsidRPr="00B568F3">
              <w:rPr>
                <w:rFonts w:ascii="Arial" w:eastAsia="Calibri" w:hAnsi="Arial" w:cs="Arial"/>
                <w:sz w:val="24"/>
                <w:szCs w:val="24"/>
              </w:rPr>
              <w:t>.</w:t>
            </w:r>
          </w:p>
        </w:tc>
      </w:tr>
    </w:tbl>
    <w:p w14:paraId="2CB2D858" w14:textId="77777777" w:rsidR="002D1B1F" w:rsidRPr="00B568F3" w:rsidRDefault="002D1B1F" w:rsidP="002D1B1F">
      <w:pPr>
        <w:spacing w:after="200" w:line="276" w:lineRule="auto"/>
        <w:ind w:left="567"/>
        <w:contextualSpacing/>
        <w:rPr>
          <w:rFonts w:ascii="Arial" w:eastAsia="Calibri" w:hAnsi="Arial" w:cs="Arial"/>
          <w:bCs/>
          <w:sz w:val="24"/>
          <w:szCs w:val="24"/>
        </w:rPr>
      </w:pPr>
    </w:p>
    <w:tbl>
      <w:tblPr>
        <w:tblStyle w:val="TableGrid"/>
        <w:tblW w:w="0" w:type="auto"/>
        <w:tblLook w:val="04A0" w:firstRow="1" w:lastRow="0" w:firstColumn="1" w:lastColumn="0" w:noHBand="0" w:noVBand="1"/>
      </w:tblPr>
      <w:tblGrid>
        <w:gridCol w:w="9016"/>
      </w:tblGrid>
      <w:tr w:rsidR="002D1B1F" w:rsidRPr="00B568F3" w14:paraId="24A25BDD" w14:textId="77777777" w:rsidTr="4BA15C28">
        <w:tc>
          <w:tcPr>
            <w:tcW w:w="9016" w:type="dxa"/>
          </w:tcPr>
          <w:p w14:paraId="64226E8D" w14:textId="77777777" w:rsidR="002D1B1F" w:rsidRPr="00B568F3" w:rsidRDefault="002D1B1F" w:rsidP="00FC716F">
            <w:pPr>
              <w:rPr>
                <w:rFonts w:ascii="Arial" w:eastAsia="Calibri" w:hAnsi="Arial" w:cs="Arial"/>
                <w:b/>
                <w:bCs/>
                <w:sz w:val="24"/>
                <w:szCs w:val="24"/>
              </w:rPr>
            </w:pPr>
            <w:r w:rsidRPr="00B568F3">
              <w:rPr>
                <w:rFonts w:ascii="Arial" w:eastAsia="Calibri" w:hAnsi="Arial" w:cs="Arial"/>
                <w:b/>
                <w:bCs/>
                <w:sz w:val="24"/>
                <w:szCs w:val="24"/>
              </w:rPr>
              <w:t>Highlight</w:t>
            </w:r>
          </w:p>
          <w:p w14:paraId="17F7F51C" w14:textId="77777777" w:rsidR="002D1B1F" w:rsidRPr="00B568F3" w:rsidRDefault="002D1B1F" w:rsidP="00FC716F">
            <w:pPr>
              <w:rPr>
                <w:rFonts w:ascii="Arial" w:eastAsia="Calibri" w:hAnsi="Arial" w:cs="Arial"/>
                <w:sz w:val="24"/>
                <w:szCs w:val="24"/>
              </w:rPr>
            </w:pPr>
          </w:p>
          <w:p w14:paraId="1E82FD81" w14:textId="3894C4AF" w:rsidR="002D1B1F" w:rsidRPr="00B568F3" w:rsidRDefault="002D1B1F" w:rsidP="00FC716F">
            <w:pPr>
              <w:rPr>
                <w:rFonts w:ascii="Arial" w:eastAsia="Calibri" w:hAnsi="Arial" w:cs="Arial"/>
                <w:sz w:val="24"/>
                <w:szCs w:val="24"/>
              </w:rPr>
            </w:pPr>
            <w:r w:rsidRPr="00B568F3">
              <w:rPr>
                <w:rFonts w:ascii="Arial" w:eastAsia="Calibri" w:hAnsi="Arial" w:cs="Arial"/>
                <w:sz w:val="24"/>
                <w:szCs w:val="24"/>
              </w:rPr>
              <w:t>One region has been focusing on</w:t>
            </w:r>
            <w:r w:rsidRPr="00B568F3" w:rsidDel="00176CB0">
              <w:rPr>
                <w:rFonts w:ascii="Arial" w:eastAsia="Calibri" w:hAnsi="Arial" w:cs="Arial"/>
                <w:sz w:val="24"/>
                <w:szCs w:val="24"/>
              </w:rPr>
              <w:t xml:space="preserve"> </w:t>
            </w:r>
            <w:r w:rsidRPr="00B568F3">
              <w:rPr>
                <w:rFonts w:ascii="Arial" w:eastAsia="Calibri" w:hAnsi="Arial" w:cs="Arial"/>
                <w:sz w:val="24"/>
                <w:szCs w:val="24"/>
              </w:rPr>
              <w:t>develop</w:t>
            </w:r>
            <w:r w:rsidR="006532C8" w:rsidRPr="00B568F3">
              <w:rPr>
                <w:rFonts w:ascii="Arial" w:eastAsia="Calibri" w:hAnsi="Arial" w:cs="Arial"/>
                <w:sz w:val="24"/>
                <w:szCs w:val="24"/>
              </w:rPr>
              <w:t>in</w:t>
            </w:r>
            <w:r w:rsidR="00C954E2" w:rsidRPr="00B568F3">
              <w:rPr>
                <w:rFonts w:ascii="Arial" w:eastAsia="Calibri" w:hAnsi="Arial" w:cs="Arial"/>
                <w:sz w:val="24"/>
                <w:szCs w:val="24"/>
              </w:rPr>
              <w:t xml:space="preserve">g </w:t>
            </w:r>
            <w:r w:rsidR="00261E28" w:rsidRPr="00B568F3">
              <w:rPr>
                <w:rFonts w:ascii="Arial" w:eastAsia="Calibri" w:hAnsi="Arial" w:cs="Arial"/>
                <w:sz w:val="24"/>
                <w:szCs w:val="24"/>
              </w:rPr>
              <w:t>practice in teams</w:t>
            </w:r>
            <w:r w:rsidR="00AE1688" w:rsidRPr="00B568F3">
              <w:rPr>
                <w:rFonts w:ascii="Arial" w:eastAsia="Calibri" w:hAnsi="Arial" w:cs="Arial"/>
                <w:sz w:val="24"/>
                <w:szCs w:val="24"/>
              </w:rPr>
              <w:t xml:space="preserve"> </w:t>
            </w:r>
            <w:r w:rsidRPr="00B568F3">
              <w:rPr>
                <w:rFonts w:ascii="Arial" w:eastAsia="Calibri" w:hAnsi="Arial" w:cs="Arial"/>
                <w:sz w:val="24"/>
                <w:szCs w:val="24"/>
              </w:rPr>
              <w:t xml:space="preserve">in </w:t>
            </w:r>
            <w:r w:rsidR="00D32797" w:rsidRPr="00B568F3">
              <w:rPr>
                <w:rFonts w:ascii="Arial" w:eastAsia="Calibri" w:hAnsi="Arial" w:cs="Arial"/>
                <w:sz w:val="24"/>
                <w:szCs w:val="24"/>
              </w:rPr>
              <w:t xml:space="preserve">children’s services </w:t>
            </w:r>
            <w:r w:rsidRPr="00B568F3">
              <w:rPr>
                <w:rFonts w:ascii="Arial" w:eastAsia="Calibri" w:hAnsi="Arial" w:cs="Arial"/>
                <w:sz w:val="24"/>
                <w:szCs w:val="24"/>
              </w:rPr>
              <w:t>by introducing the ‘</w:t>
            </w:r>
            <w:r w:rsidR="00C105BF" w:rsidRPr="00B568F3">
              <w:rPr>
                <w:rFonts w:ascii="Arial" w:eastAsia="Calibri" w:hAnsi="Arial" w:cs="Arial"/>
                <w:sz w:val="24"/>
                <w:szCs w:val="24"/>
              </w:rPr>
              <w:t>t</w:t>
            </w:r>
            <w:r w:rsidRPr="00B568F3">
              <w:rPr>
                <w:rFonts w:ascii="Arial" w:eastAsia="Calibri" w:hAnsi="Arial" w:cs="Arial"/>
                <w:sz w:val="24"/>
                <w:szCs w:val="24"/>
              </w:rPr>
              <w:t>heme of the month</w:t>
            </w:r>
            <w:r w:rsidR="002C7EC7" w:rsidRPr="00B568F3">
              <w:rPr>
                <w:rFonts w:ascii="Arial" w:eastAsia="Calibri" w:hAnsi="Arial" w:cs="Arial"/>
                <w:sz w:val="24"/>
                <w:szCs w:val="24"/>
              </w:rPr>
              <w:t>.’</w:t>
            </w:r>
            <w:r w:rsidR="00D32797" w:rsidRPr="00B568F3">
              <w:rPr>
                <w:rFonts w:ascii="Arial" w:eastAsia="Calibri" w:hAnsi="Arial" w:cs="Arial"/>
                <w:sz w:val="24"/>
                <w:szCs w:val="24"/>
              </w:rPr>
              <w:t xml:space="preserve"> There are also</w:t>
            </w:r>
            <w:r w:rsidR="1BA5A18C" w:rsidRPr="00B568F3" w:rsidDel="00A775B0">
              <w:rPr>
                <w:rFonts w:ascii="Arial" w:eastAsia="Calibri" w:hAnsi="Arial" w:cs="Arial"/>
                <w:sz w:val="24"/>
                <w:szCs w:val="24"/>
              </w:rPr>
              <w:t xml:space="preserve"> </w:t>
            </w:r>
            <w:r w:rsidR="00C70E2B" w:rsidRPr="00B568F3">
              <w:rPr>
                <w:rFonts w:ascii="Arial" w:eastAsia="Calibri" w:hAnsi="Arial" w:cs="Arial"/>
                <w:sz w:val="24"/>
                <w:szCs w:val="24"/>
              </w:rPr>
              <w:t>thematic audits</w:t>
            </w:r>
            <w:r w:rsidR="00524EA3" w:rsidRPr="00B568F3">
              <w:rPr>
                <w:rFonts w:ascii="Arial" w:eastAsia="Calibri" w:hAnsi="Arial" w:cs="Arial"/>
                <w:sz w:val="24"/>
                <w:szCs w:val="24"/>
              </w:rPr>
              <w:t xml:space="preserve"> that give</w:t>
            </w:r>
            <w:r w:rsidR="00892F6F" w:rsidRPr="00B568F3">
              <w:rPr>
                <w:rFonts w:ascii="Arial" w:eastAsia="Calibri" w:hAnsi="Arial" w:cs="Arial"/>
                <w:sz w:val="24"/>
                <w:szCs w:val="24"/>
              </w:rPr>
              <w:t xml:space="preserve"> clear recommendations through the action plan.</w:t>
            </w:r>
            <w:r w:rsidR="36FE9F2A" w:rsidRPr="00B568F3">
              <w:rPr>
                <w:rFonts w:ascii="Arial" w:eastAsia="Calibri" w:hAnsi="Arial" w:cs="Arial"/>
                <w:sz w:val="24"/>
                <w:szCs w:val="24"/>
              </w:rPr>
              <w:t xml:space="preserve"> </w:t>
            </w:r>
            <w:r w:rsidRPr="00B568F3">
              <w:rPr>
                <w:rFonts w:ascii="Arial" w:eastAsia="Calibri" w:hAnsi="Arial" w:cs="Arial"/>
                <w:sz w:val="24"/>
                <w:szCs w:val="24"/>
              </w:rPr>
              <w:t>The Safeguarding Fora have been re-launched in the first half of the year</w:t>
            </w:r>
            <w:r w:rsidR="00D32797" w:rsidRPr="00B568F3">
              <w:rPr>
                <w:rFonts w:ascii="Arial" w:eastAsia="Calibri" w:hAnsi="Arial" w:cs="Arial"/>
                <w:sz w:val="24"/>
                <w:szCs w:val="24"/>
              </w:rPr>
              <w:t>,</w:t>
            </w:r>
            <w:r w:rsidRPr="00B568F3">
              <w:rPr>
                <w:rFonts w:ascii="Arial" w:eastAsia="Calibri" w:hAnsi="Arial" w:cs="Arial"/>
                <w:sz w:val="24"/>
                <w:szCs w:val="24"/>
              </w:rPr>
              <w:t xml:space="preserve"> with themes being the multi-agency Harmful Sexual Behaviour Audit (NSPCC Framework) and a Safer Sleep Seminar. 110 delegates attended both </w:t>
            </w:r>
            <w:r w:rsidR="00D32797" w:rsidRPr="00B568F3">
              <w:rPr>
                <w:rFonts w:ascii="Arial" w:eastAsia="Calibri" w:hAnsi="Arial" w:cs="Arial"/>
                <w:sz w:val="24"/>
                <w:szCs w:val="24"/>
              </w:rPr>
              <w:t xml:space="preserve">fora </w:t>
            </w:r>
            <w:r w:rsidRPr="00B568F3">
              <w:rPr>
                <w:rFonts w:ascii="Arial" w:eastAsia="Calibri" w:hAnsi="Arial" w:cs="Arial"/>
                <w:sz w:val="24"/>
                <w:szCs w:val="24"/>
              </w:rPr>
              <w:t>from different agencies.</w:t>
            </w:r>
          </w:p>
          <w:p w14:paraId="2243F889" w14:textId="77777777" w:rsidR="002D1B1F" w:rsidRPr="00B568F3" w:rsidRDefault="002D1B1F" w:rsidP="00FC716F">
            <w:pPr>
              <w:rPr>
                <w:rFonts w:ascii="Arial" w:eastAsia="Calibri" w:hAnsi="Arial" w:cs="Arial"/>
                <w:color w:val="FF0000"/>
                <w:sz w:val="24"/>
                <w:szCs w:val="24"/>
              </w:rPr>
            </w:pPr>
          </w:p>
        </w:tc>
      </w:tr>
    </w:tbl>
    <w:p w14:paraId="03AAFAB1" w14:textId="77777777" w:rsidR="002D1B1F" w:rsidRPr="00B568F3" w:rsidRDefault="002D1B1F" w:rsidP="002D1B1F">
      <w:pPr>
        <w:spacing w:after="200" w:line="276" w:lineRule="auto"/>
        <w:ind w:left="567"/>
        <w:contextualSpacing/>
        <w:rPr>
          <w:rFonts w:ascii="Arial" w:eastAsia="Calibri" w:hAnsi="Arial" w:cs="Arial"/>
          <w:bCs/>
          <w:sz w:val="24"/>
          <w:szCs w:val="24"/>
        </w:rPr>
      </w:pPr>
    </w:p>
    <w:p w14:paraId="6A971B25" w14:textId="1BCFFFBE"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Leadership and succession </w:t>
      </w:r>
      <w:bookmarkStart w:id="29" w:name="_Int_giJQT1Rl"/>
      <w:r w:rsidRPr="00B568F3">
        <w:rPr>
          <w:rFonts w:ascii="Arial" w:eastAsia="Calibri" w:hAnsi="Arial" w:cs="Arial"/>
          <w:sz w:val="24"/>
          <w:szCs w:val="24"/>
        </w:rPr>
        <w:t>is</w:t>
      </w:r>
      <w:bookmarkEnd w:id="29"/>
      <w:r w:rsidRPr="00B568F3">
        <w:rPr>
          <w:rFonts w:ascii="Arial" w:eastAsia="Calibri" w:hAnsi="Arial" w:cs="Arial"/>
          <w:sz w:val="24"/>
          <w:szCs w:val="24"/>
        </w:rPr>
        <w:t xml:space="preserve"> supported across all regions by a blended approach that encompass</w:t>
      </w:r>
      <w:r w:rsidR="00565E8B" w:rsidRPr="00B568F3">
        <w:rPr>
          <w:rFonts w:ascii="Arial" w:eastAsia="Calibri" w:hAnsi="Arial" w:cs="Arial"/>
          <w:sz w:val="24"/>
          <w:szCs w:val="24"/>
        </w:rPr>
        <w:t>es</w:t>
      </w:r>
      <w:r w:rsidRPr="00B568F3">
        <w:rPr>
          <w:rFonts w:ascii="Arial" w:eastAsia="Calibri" w:hAnsi="Arial" w:cs="Arial"/>
          <w:sz w:val="24"/>
          <w:szCs w:val="24"/>
        </w:rPr>
        <w:t xml:space="preserve"> both non</w:t>
      </w:r>
      <w:r w:rsidR="00BD4E6E" w:rsidRPr="00B568F3">
        <w:rPr>
          <w:rFonts w:ascii="Arial" w:eastAsia="Calibri" w:hAnsi="Arial" w:cs="Arial"/>
          <w:sz w:val="24"/>
          <w:szCs w:val="24"/>
        </w:rPr>
        <w:t>-</w:t>
      </w:r>
      <w:r w:rsidRPr="00B568F3">
        <w:rPr>
          <w:rFonts w:ascii="Arial" w:eastAsia="Calibri" w:hAnsi="Arial" w:cs="Arial"/>
          <w:sz w:val="24"/>
          <w:szCs w:val="24"/>
        </w:rPr>
        <w:t>accredited development programmes, which are often developed and delivered in-house, and accredited qualifications.</w:t>
      </w:r>
    </w:p>
    <w:p w14:paraId="3E9541DF" w14:textId="77777777" w:rsidR="00B314B5" w:rsidRPr="00B568F3" w:rsidRDefault="00B314B5" w:rsidP="00B314B5">
      <w:pPr>
        <w:spacing w:after="200" w:line="276" w:lineRule="auto"/>
        <w:ind w:left="567"/>
        <w:contextualSpacing/>
        <w:rPr>
          <w:rFonts w:ascii="Arial" w:eastAsia="Calibri" w:hAnsi="Arial" w:cs="Arial"/>
          <w:bCs/>
          <w:sz w:val="24"/>
          <w:szCs w:val="24"/>
        </w:rPr>
      </w:pPr>
    </w:p>
    <w:p w14:paraId="41F95D91" w14:textId="71CA6B41" w:rsidR="002D1B1F" w:rsidRPr="00B568F3"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B568F3">
        <w:rPr>
          <w:rFonts w:ascii="Arial" w:eastAsia="Calibri" w:hAnsi="Arial" w:cs="Arial"/>
          <w:bCs/>
          <w:sz w:val="24"/>
          <w:szCs w:val="24"/>
        </w:rPr>
        <w:t xml:space="preserve">The leadership and management development programmes developed and delivered in-house, </w:t>
      </w:r>
      <w:r w:rsidR="0075280C" w:rsidRPr="00B568F3">
        <w:rPr>
          <w:rFonts w:ascii="Arial" w:eastAsia="Calibri" w:hAnsi="Arial" w:cs="Arial"/>
          <w:bCs/>
          <w:sz w:val="24"/>
          <w:szCs w:val="24"/>
        </w:rPr>
        <w:t xml:space="preserve">even if they’re </w:t>
      </w:r>
      <w:r w:rsidRPr="00B568F3">
        <w:rPr>
          <w:rFonts w:ascii="Arial" w:eastAsia="Calibri" w:hAnsi="Arial" w:cs="Arial"/>
          <w:bCs/>
          <w:sz w:val="24"/>
          <w:szCs w:val="24"/>
        </w:rPr>
        <w:t>no</w:t>
      </w:r>
      <w:r w:rsidR="0075280C" w:rsidRPr="00B568F3">
        <w:rPr>
          <w:rFonts w:ascii="Arial" w:eastAsia="Calibri" w:hAnsi="Arial" w:cs="Arial"/>
          <w:bCs/>
          <w:sz w:val="24"/>
          <w:szCs w:val="24"/>
        </w:rPr>
        <w:t>t</w:t>
      </w:r>
      <w:r w:rsidRPr="00B568F3">
        <w:rPr>
          <w:rFonts w:ascii="Arial" w:eastAsia="Calibri" w:hAnsi="Arial" w:cs="Arial"/>
          <w:bCs/>
          <w:sz w:val="24"/>
          <w:szCs w:val="24"/>
        </w:rPr>
        <w:t xml:space="preserve"> accredited, are an important aspect of </w:t>
      </w:r>
      <w:r w:rsidR="00B43DD4" w:rsidRPr="00B568F3">
        <w:rPr>
          <w:rFonts w:ascii="Arial" w:eastAsia="Calibri" w:hAnsi="Arial" w:cs="Arial"/>
          <w:bCs/>
          <w:sz w:val="24"/>
          <w:szCs w:val="24"/>
        </w:rPr>
        <w:t xml:space="preserve">making sure that part of the workforce </w:t>
      </w:r>
      <w:r w:rsidR="00BD4E6E" w:rsidRPr="00B568F3">
        <w:rPr>
          <w:rFonts w:ascii="Arial" w:eastAsia="Calibri" w:hAnsi="Arial" w:cs="Arial"/>
          <w:bCs/>
          <w:sz w:val="24"/>
          <w:szCs w:val="24"/>
        </w:rPr>
        <w:t>is</w:t>
      </w:r>
      <w:r w:rsidR="00B43DD4" w:rsidRPr="00B568F3">
        <w:rPr>
          <w:rFonts w:ascii="Arial" w:eastAsia="Calibri" w:hAnsi="Arial" w:cs="Arial"/>
          <w:bCs/>
          <w:sz w:val="24"/>
          <w:szCs w:val="24"/>
        </w:rPr>
        <w:t xml:space="preserve"> competent</w:t>
      </w:r>
      <w:r w:rsidR="00DF2A55" w:rsidRPr="00B568F3">
        <w:rPr>
          <w:rFonts w:ascii="Arial" w:eastAsia="Calibri" w:hAnsi="Arial" w:cs="Arial"/>
          <w:bCs/>
          <w:sz w:val="24"/>
          <w:szCs w:val="24"/>
        </w:rPr>
        <w:t>. I</w:t>
      </w:r>
      <w:r w:rsidR="00C238A6" w:rsidRPr="00B568F3">
        <w:rPr>
          <w:rFonts w:ascii="Arial" w:eastAsia="Calibri" w:hAnsi="Arial" w:cs="Arial"/>
          <w:bCs/>
          <w:sz w:val="24"/>
          <w:szCs w:val="24"/>
        </w:rPr>
        <w:t>t also allows</w:t>
      </w:r>
      <w:r w:rsidRPr="00B568F3">
        <w:rPr>
          <w:rFonts w:ascii="Arial" w:eastAsia="Calibri" w:hAnsi="Arial" w:cs="Arial"/>
          <w:bCs/>
          <w:sz w:val="24"/>
          <w:szCs w:val="24"/>
        </w:rPr>
        <w:t xml:space="preserve"> succession planning and progression opportunities for managers.</w:t>
      </w:r>
    </w:p>
    <w:p w14:paraId="07C66C68" w14:textId="77777777" w:rsidR="00B314B5" w:rsidRPr="00B568F3" w:rsidRDefault="00B314B5" w:rsidP="00B314B5">
      <w:pPr>
        <w:spacing w:after="200" w:line="276" w:lineRule="auto"/>
        <w:contextualSpacing/>
        <w:rPr>
          <w:rFonts w:ascii="Arial" w:eastAsia="Calibri" w:hAnsi="Arial" w:cs="Arial"/>
          <w:bCs/>
          <w:sz w:val="24"/>
          <w:szCs w:val="24"/>
        </w:rPr>
      </w:pPr>
    </w:p>
    <w:p w14:paraId="16875893" w14:textId="7D817F37" w:rsidR="002D1B1F" w:rsidRPr="00B568F3"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B568F3">
        <w:rPr>
          <w:rFonts w:ascii="Arial" w:eastAsia="Calibri" w:hAnsi="Arial" w:cs="Arial"/>
          <w:bCs/>
          <w:sz w:val="24"/>
          <w:szCs w:val="24"/>
        </w:rPr>
        <w:t xml:space="preserve">Many regions continued to invest in supporting national programmes for team and middle managers, and </w:t>
      </w:r>
      <w:r w:rsidR="00C40376" w:rsidRPr="00B568F3">
        <w:rPr>
          <w:rFonts w:ascii="Arial" w:eastAsia="Calibri" w:hAnsi="Arial" w:cs="Arial"/>
          <w:bCs/>
          <w:sz w:val="24"/>
          <w:szCs w:val="24"/>
        </w:rPr>
        <w:t xml:space="preserve">to those that aspire to be </w:t>
      </w:r>
      <w:r w:rsidRPr="00B568F3">
        <w:rPr>
          <w:rFonts w:ascii="Arial" w:eastAsia="Calibri" w:hAnsi="Arial" w:cs="Arial"/>
          <w:bCs/>
          <w:sz w:val="24"/>
          <w:szCs w:val="24"/>
        </w:rPr>
        <w:t>middle managers, and contributed to programme reviews and evaluations.</w:t>
      </w:r>
    </w:p>
    <w:p w14:paraId="3A819402" w14:textId="77777777" w:rsidR="00B314B5" w:rsidRPr="00B568F3" w:rsidRDefault="00B314B5" w:rsidP="00B314B5">
      <w:pPr>
        <w:spacing w:after="200" w:line="276" w:lineRule="auto"/>
        <w:contextualSpacing/>
        <w:rPr>
          <w:rFonts w:ascii="Arial" w:eastAsia="Calibri" w:hAnsi="Arial" w:cs="Arial"/>
          <w:bCs/>
          <w:sz w:val="24"/>
          <w:szCs w:val="24"/>
        </w:rPr>
      </w:pPr>
    </w:p>
    <w:p w14:paraId="615DAB29" w14:textId="6BFA62AE" w:rsidR="002D1B1F" w:rsidRPr="00B568F3" w:rsidRDefault="002D1B1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Investment was also made to enable </w:t>
      </w:r>
      <w:r w:rsidR="00C734B3" w:rsidRPr="00B568F3">
        <w:rPr>
          <w:rFonts w:ascii="Arial" w:eastAsia="Calibri" w:hAnsi="Arial" w:cs="Arial"/>
          <w:sz w:val="24"/>
          <w:szCs w:val="24"/>
        </w:rPr>
        <w:t xml:space="preserve">the workforce to take part </w:t>
      </w:r>
      <w:r w:rsidRPr="00B568F3">
        <w:rPr>
          <w:rFonts w:ascii="Arial" w:eastAsia="Calibri" w:hAnsi="Arial" w:cs="Arial"/>
          <w:sz w:val="24"/>
          <w:szCs w:val="24"/>
        </w:rPr>
        <w:t>in Intensive Learning Academies</w:t>
      </w:r>
      <w:r w:rsidR="1E13BF9C" w:rsidRPr="00B568F3">
        <w:rPr>
          <w:rFonts w:ascii="Arial" w:eastAsia="Calibri" w:hAnsi="Arial" w:cs="Arial"/>
          <w:sz w:val="24"/>
          <w:szCs w:val="24"/>
        </w:rPr>
        <w:t xml:space="preserve">. </w:t>
      </w:r>
    </w:p>
    <w:p w14:paraId="3730165E" w14:textId="77777777" w:rsidR="00B314B5" w:rsidRPr="00B568F3" w:rsidRDefault="00B314B5" w:rsidP="00B314B5">
      <w:pPr>
        <w:spacing w:after="200" w:line="276" w:lineRule="auto"/>
        <w:contextualSpacing/>
        <w:rPr>
          <w:rFonts w:ascii="Arial" w:eastAsia="Calibri" w:hAnsi="Arial" w:cs="Arial"/>
          <w:bCs/>
          <w:sz w:val="24"/>
          <w:szCs w:val="24"/>
        </w:rPr>
      </w:pPr>
    </w:p>
    <w:p w14:paraId="617C20BB" w14:textId="01BEB38A" w:rsidR="002D1B1F" w:rsidRPr="00B568F3" w:rsidRDefault="002D1B1F" w:rsidP="00632461">
      <w:pPr>
        <w:numPr>
          <w:ilvl w:val="0"/>
          <w:numId w:val="6"/>
        </w:numPr>
        <w:spacing w:after="0" w:line="276" w:lineRule="auto"/>
        <w:ind w:left="567" w:hanging="425"/>
        <w:contextualSpacing/>
        <w:rPr>
          <w:rFonts w:ascii="Arial" w:eastAsia="Calibri" w:hAnsi="Arial" w:cs="Arial"/>
          <w:bCs/>
          <w:sz w:val="24"/>
          <w:szCs w:val="24"/>
        </w:rPr>
      </w:pPr>
      <w:r w:rsidRPr="00B568F3">
        <w:rPr>
          <w:rFonts w:ascii="Arial" w:eastAsia="Calibri" w:hAnsi="Arial" w:cs="Arial"/>
          <w:bCs/>
          <w:sz w:val="24"/>
          <w:szCs w:val="24"/>
        </w:rPr>
        <w:t xml:space="preserve">Coaching and mentoring training </w:t>
      </w:r>
      <w:r w:rsidR="004A6738" w:rsidRPr="00B568F3">
        <w:rPr>
          <w:rFonts w:ascii="Arial" w:eastAsia="Calibri" w:hAnsi="Arial" w:cs="Arial"/>
          <w:bCs/>
          <w:sz w:val="24"/>
          <w:szCs w:val="24"/>
        </w:rPr>
        <w:t>is still a</w:t>
      </w:r>
      <w:r w:rsidRPr="00B568F3">
        <w:rPr>
          <w:rFonts w:ascii="Arial" w:eastAsia="Calibri" w:hAnsi="Arial" w:cs="Arial"/>
          <w:bCs/>
          <w:sz w:val="24"/>
          <w:szCs w:val="24"/>
        </w:rPr>
        <w:t xml:space="preserve"> theme of development for managers </w:t>
      </w:r>
      <w:r w:rsidR="004A6738" w:rsidRPr="00B568F3">
        <w:rPr>
          <w:rFonts w:ascii="Arial" w:eastAsia="Calibri" w:hAnsi="Arial" w:cs="Arial"/>
          <w:bCs/>
          <w:sz w:val="24"/>
          <w:szCs w:val="24"/>
        </w:rPr>
        <w:t>and</w:t>
      </w:r>
      <w:r w:rsidRPr="00B568F3">
        <w:rPr>
          <w:rFonts w:ascii="Arial" w:eastAsia="Calibri" w:hAnsi="Arial" w:cs="Arial"/>
          <w:bCs/>
          <w:sz w:val="24"/>
          <w:szCs w:val="24"/>
        </w:rPr>
        <w:t xml:space="preserve"> efforts </w:t>
      </w:r>
      <w:r w:rsidR="004A6738" w:rsidRPr="00B568F3">
        <w:rPr>
          <w:rFonts w:ascii="Arial" w:eastAsia="Calibri" w:hAnsi="Arial" w:cs="Arial"/>
          <w:bCs/>
          <w:sz w:val="24"/>
          <w:szCs w:val="24"/>
        </w:rPr>
        <w:t xml:space="preserve">are </w:t>
      </w:r>
      <w:r w:rsidRPr="00B568F3">
        <w:rPr>
          <w:rFonts w:ascii="Arial" w:eastAsia="Calibri" w:hAnsi="Arial" w:cs="Arial"/>
          <w:bCs/>
          <w:sz w:val="24"/>
          <w:szCs w:val="24"/>
        </w:rPr>
        <w:t>being made to increase capacity in these areas.</w:t>
      </w:r>
    </w:p>
    <w:p w14:paraId="6764FBB5" w14:textId="77777777" w:rsidR="00B314B5" w:rsidRPr="00B568F3" w:rsidRDefault="00B314B5" w:rsidP="00B314B5">
      <w:pPr>
        <w:spacing w:after="200" w:line="276" w:lineRule="auto"/>
        <w:contextualSpacing/>
        <w:rPr>
          <w:rFonts w:ascii="Arial" w:eastAsia="Calibri" w:hAnsi="Arial" w:cs="Arial"/>
          <w:bCs/>
          <w:sz w:val="24"/>
          <w:szCs w:val="24"/>
        </w:rPr>
      </w:pPr>
    </w:p>
    <w:p w14:paraId="720081CB" w14:textId="50A9541A" w:rsidR="002D1B1F" w:rsidRPr="00B568F3" w:rsidRDefault="002D1B1F" w:rsidP="00632461">
      <w:pPr>
        <w:numPr>
          <w:ilvl w:val="0"/>
          <w:numId w:val="6"/>
        </w:numPr>
        <w:spacing w:after="0" w:line="276" w:lineRule="auto"/>
        <w:ind w:left="567" w:hanging="425"/>
        <w:contextualSpacing/>
        <w:rPr>
          <w:rFonts w:ascii="Arial" w:eastAsia="Calibri" w:hAnsi="Arial" w:cs="Arial"/>
          <w:bCs/>
          <w:sz w:val="24"/>
          <w:szCs w:val="24"/>
        </w:rPr>
      </w:pPr>
      <w:r w:rsidRPr="00B568F3">
        <w:rPr>
          <w:rFonts w:ascii="Arial" w:eastAsia="Calibri" w:hAnsi="Arial" w:cs="Arial"/>
          <w:bCs/>
          <w:sz w:val="24"/>
          <w:szCs w:val="24"/>
        </w:rPr>
        <w:t xml:space="preserve">Resilience, well-being, and crisis management </w:t>
      </w:r>
      <w:r w:rsidR="008D3BEA" w:rsidRPr="00B568F3">
        <w:rPr>
          <w:rFonts w:ascii="Arial" w:eastAsia="Calibri" w:hAnsi="Arial" w:cs="Arial"/>
          <w:bCs/>
          <w:sz w:val="24"/>
          <w:szCs w:val="24"/>
        </w:rPr>
        <w:t>are still</w:t>
      </w:r>
      <w:r w:rsidRPr="00B568F3">
        <w:rPr>
          <w:rFonts w:ascii="Arial" w:eastAsia="Calibri" w:hAnsi="Arial" w:cs="Arial"/>
          <w:bCs/>
          <w:sz w:val="24"/>
          <w:szCs w:val="24"/>
        </w:rPr>
        <w:t xml:space="preserve"> reported as important themes </w:t>
      </w:r>
      <w:r w:rsidR="008D3BEA" w:rsidRPr="00B568F3">
        <w:rPr>
          <w:rFonts w:ascii="Arial" w:eastAsia="Calibri" w:hAnsi="Arial" w:cs="Arial"/>
          <w:bCs/>
          <w:sz w:val="24"/>
          <w:szCs w:val="24"/>
        </w:rPr>
        <w:t>to</w:t>
      </w:r>
      <w:r w:rsidRPr="00B568F3">
        <w:rPr>
          <w:rFonts w:ascii="Arial" w:eastAsia="Calibri" w:hAnsi="Arial" w:cs="Arial"/>
          <w:bCs/>
          <w:sz w:val="24"/>
          <w:szCs w:val="24"/>
        </w:rPr>
        <w:t xml:space="preserve"> support leaders and managers.</w:t>
      </w:r>
    </w:p>
    <w:p w14:paraId="3D44963A" w14:textId="77777777" w:rsidR="00563D20" w:rsidRPr="00B568F3" w:rsidRDefault="00563D20" w:rsidP="00A3409E">
      <w:pPr>
        <w:pStyle w:val="ListParagraph"/>
        <w:spacing w:after="0"/>
        <w:rPr>
          <w:rFonts w:ascii="Arial" w:eastAsia="Calibri" w:hAnsi="Arial" w:cs="Arial"/>
          <w:bCs/>
          <w:sz w:val="24"/>
          <w:szCs w:val="24"/>
        </w:rPr>
      </w:pPr>
    </w:p>
    <w:p w14:paraId="0AB53876" w14:textId="6F5A7D86" w:rsidR="002D1B1F" w:rsidRPr="00B568F3" w:rsidRDefault="008D3BEA"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bCs/>
          <w:sz w:val="24"/>
          <w:szCs w:val="24"/>
        </w:rPr>
        <w:t xml:space="preserve">Informal </w:t>
      </w:r>
      <w:r w:rsidR="002D1B1F" w:rsidRPr="00B568F3">
        <w:rPr>
          <w:rFonts w:ascii="Arial" w:eastAsia="Calibri" w:hAnsi="Arial" w:cs="Arial"/>
          <w:bCs/>
          <w:sz w:val="24"/>
          <w:szCs w:val="24"/>
        </w:rPr>
        <w:t>evidence suggests that bitesize learning opportunities are more attractive to the workforce than longer, intensive, accredited programmes of learning.</w:t>
      </w:r>
      <w:r w:rsidR="006B6490" w:rsidRPr="00B568F3">
        <w:rPr>
          <w:rFonts w:ascii="Arial" w:eastAsia="Calibri" w:hAnsi="Arial" w:cs="Arial"/>
          <w:sz w:val="24"/>
          <w:szCs w:val="24"/>
        </w:rPr>
        <w:t xml:space="preserve"> </w:t>
      </w:r>
      <w:r w:rsidR="002D1B1F" w:rsidRPr="00B568F3">
        <w:rPr>
          <w:rFonts w:ascii="Arial" w:eastAsia="Calibri" w:hAnsi="Arial" w:cs="Arial"/>
          <w:sz w:val="24"/>
          <w:szCs w:val="24"/>
        </w:rPr>
        <w:t xml:space="preserve">This is </w:t>
      </w:r>
      <w:r w:rsidR="00755E91" w:rsidRPr="00B568F3">
        <w:rPr>
          <w:rFonts w:ascii="Arial" w:eastAsia="Calibri" w:hAnsi="Arial" w:cs="Arial"/>
          <w:sz w:val="24"/>
          <w:szCs w:val="24"/>
        </w:rPr>
        <w:t>shown</w:t>
      </w:r>
      <w:r w:rsidR="002D1B1F" w:rsidRPr="00B568F3">
        <w:rPr>
          <w:rFonts w:ascii="Arial" w:eastAsia="Calibri" w:hAnsi="Arial" w:cs="Arial"/>
          <w:sz w:val="24"/>
          <w:szCs w:val="24"/>
        </w:rPr>
        <w:t xml:space="preserve"> in the reduced engagements and achievements in the TMDP and MMDP programmes.</w:t>
      </w:r>
    </w:p>
    <w:p w14:paraId="73226A32" w14:textId="77777777" w:rsidR="002D1B1F" w:rsidRPr="00B568F3" w:rsidRDefault="002D1B1F" w:rsidP="002D1B1F">
      <w:pPr>
        <w:spacing w:after="0" w:line="240" w:lineRule="auto"/>
        <w:ind w:left="993"/>
        <w:contextualSpacing/>
        <w:rPr>
          <w:rFonts w:ascii="Arial" w:eastAsia="Calibri" w:hAnsi="Arial" w:cs="Arial"/>
          <w:color w:val="FF0000"/>
          <w:sz w:val="24"/>
          <w:szCs w:val="24"/>
        </w:rPr>
      </w:pPr>
    </w:p>
    <w:p w14:paraId="36B360E9" w14:textId="44CB76E1" w:rsidR="002D3F73" w:rsidRDefault="002D3F73">
      <w:pPr>
        <w:rPr>
          <w:rFonts w:ascii="Arial" w:eastAsia="Calibri" w:hAnsi="Arial" w:cs="Arial"/>
          <w:color w:val="FF0000"/>
          <w:sz w:val="24"/>
          <w:szCs w:val="24"/>
        </w:rPr>
      </w:pPr>
      <w:r>
        <w:rPr>
          <w:rFonts w:ascii="Arial" w:eastAsia="Calibri" w:hAnsi="Arial" w:cs="Arial"/>
          <w:color w:val="FF0000"/>
          <w:sz w:val="24"/>
          <w:szCs w:val="24"/>
        </w:rPr>
        <w:br w:type="page"/>
      </w:r>
    </w:p>
    <w:p w14:paraId="0A5105FD" w14:textId="3D07BC2D" w:rsidR="002D1B1F" w:rsidRPr="000C06A7" w:rsidRDefault="002D1B1F" w:rsidP="00BC7EBC">
      <w:pPr>
        <w:pStyle w:val="Heading2"/>
      </w:pPr>
      <w:bookmarkStart w:id="30" w:name="_Toc179481639"/>
      <w:r w:rsidRPr="000C06A7">
        <w:t>Priority 5:</w:t>
      </w:r>
      <w:r w:rsidR="002F2AE5" w:rsidRPr="00B568F3">
        <w:t xml:space="preserve"> </w:t>
      </w:r>
      <w:r w:rsidRPr="000C06A7">
        <w:t>Workforce shape and supply</w:t>
      </w:r>
      <w:bookmarkEnd w:id="30"/>
      <w:r w:rsidRPr="000C06A7">
        <w:t xml:space="preserve"> </w:t>
      </w:r>
    </w:p>
    <w:p w14:paraId="615F7E45" w14:textId="77777777" w:rsidR="002D1B1F" w:rsidRPr="00B568F3" w:rsidRDefault="002D1B1F" w:rsidP="002D1B1F">
      <w:pPr>
        <w:spacing w:after="0" w:line="240" w:lineRule="auto"/>
        <w:rPr>
          <w:rFonts w:ascii="Arial" w:eastAsia="Calibri" w:hAnsi="Arial" w:cs="Arial"/>
          <w:sz w:val="24"/>
          <w:szCs w:val="24"/>
        </w:rPr>
      </w:pPr>
    </w:p>
    <w:p w14:paraId="277C0239" w14:textId="37EBF2CA" w:rsidR="002D1B1F" w:rsidRPr="00B568F3" w:rsidRDefault="002F2AE5" w:rsidP="002D1B1F">
      <w:pPr>
        <w:spacing w:after="0" w:line="240" w:lineRule="auto"/>
        <w:rPr>
          <w:rFonts w:ascii="Arial" w:eastAsia="Calibri" w:hAnsi="Arial" w:cs="Arial"/>
          <w:sz w:val="24"/>
          <w:szCs w:val="24"/>
        </w:rPr>
      </w:pPr>
      <w:r w:rsidRPr="00B568F3">
        <w:rPr>
          <w:rFonts w:ascii="Arial" w:eastAsia="Calibri" w:hAnsi="Arial" w:cs="Arial"/>
          <w:sz w:val="24"/>
          <w:szCs w:val="24"/>
        </w:rPr>
        <w:t>By</w:t>
      </w:r>
      <w:r w:rsidR="002D1B1F" w:rsidRPr="00B568F3">
        <w:rPr>
          <w:rFonts w:ascii="Arial" w:eastAsia="Calibri" w:hAnsi="Arial" w:cs="Arial"/>
          <w:sz w:val="24"/>
          <w:szCs w:val="24"/>
        </w:rPr>
        <w:t xml:space="preserve"> 2030</w:t>
      </w:r>
      <w:r w:rsidRPr="00B568F3">
        <w:rPr>
          <w:rFonts w:ascii="Arial" w:eastAsia="Calibri" w:hAnsi="Arial" w:cs="Arial"/>
          <w:sz w:val="24"/>
          <w:szCs w:val="24"/>
        </w:rPr>
        <w:t xml:space="preserve">, the workforce strategy </w:t>
      </w:r>
      <w:r w:rsidR="00393DCF" w:rsidRPr="00B568F3">
        <w:rPr>
          <w:rFonts w:ascii="Arial" w:eastAsia="Calibri" w:hAnsi="Arial" w:cs="Arial"/>
          <w:sz w:val="24"/>
          <w:szCs w:val="24"/>
        </w:rPr>
        <w:t>hopes</w:t>
      </w:r>
      <w:r w:rsidR="002A45FF" w:rsidRPr="00B568F3">
        <w:rPr>
          <w:rFonts w:ascii="Arial" w:eastAsia="Calibri" w:hAnsi="Arial" w:cs="Arial"/>
          <w:sz w:val="24"/>
          <w:szCs w:val="24"/>
        </w:rPr>
        <w:t xml:space="preserve"> to have</w:t>
      </w:r>
      <w:r w:rsidR="002D1B1F" w:rsidRPr="00B568F3">
        <w:rPr>
          <w:rFonts w:ascii="Arial" w:eastAsia="Calibri" w:hAnsi="Arial" w:cs="Arial"/>
          <w:sz w:val="24"/>
          <w:szCs w:val="24"/>
        </w:rPr>
        <w:t xml:space="preserve"> a sustainable workforce </w:t>
      </w:r>
      <w:r w:rsidR="006026A2" w:rsidRPr="00B568F3">
        <w:rPr>
          <w:rFonts w:ascii="Arial" w:eastAsia="Calibri" w:hAnsi="Arial" w:cs="Arial"/>
          <w:sz w:val="24"/>
          <w:szCs w:val="24"/>
        </w:rPr>
        <w:t>with enough</w:t>
      </w:r>
      <w:r w:rsidR="002D1B1F" w:rsidRPr="00B568F3">
        <w:rPr>
          <w:rFonts w:ascii="Arial" w:eastAsia="Calibri" w:hAnsi="Arial" w:cs="Arial"/>
          <w:sz w:val="24"/>
          <w:szCs w:val="24"/>
        </w:rPr>
        <w:t xml:space="preserve"> numbers to meet the health and social care needs of our population</w:t>
      </w:r>
      <w:r w:rsidR="7BDBFB2D" w:rsidRPr="00B568F3">
        <w:rPr>
          <w:rFonts w:ascii="Arial" w:eastAsia="Calibri" w:hAnsi="Arial" w:cs="Arial"/>
          <w:sz w:val="24"/>
          <w:szCs w:val="24"/>
        </w:rPr>
        <w:t xml:space="preserve">. </w:t>
      </w:r>
    </w:p>
    <w:p w14:paraId="5B6E006C" w14:textId="77777777" w:rsidR="002D1B1F" w:rsidRPr="00B568F3" w:rsidRDefault="002D1B1F" w:rsidP="002D1B1F">
      <w:pPr>
        <w:spacing w:after="0" w:line="240" w:lineRule="auto"/>
        <w:rPr>
          <w:rFonts w:ascii="Arial" w:eastAsia="Calibri" w:hAnsi="Arial" w:cs="Arial"/>
          <w:sz w:val="24"/>
          <w:szCs w:val="24"/>
        </w:rPr>
      </w:pPr>
    </w:p>
    <w:p w14:paraId="26132686" w14:textId="728F4BF7" w:rsidR="002D1B1F" w:rsidRPr="00B568F3" w:rsidRDefault="002D1B1F" w:rsidP="002D1B1F">
      <w:pPr>
        <w:spacing w:after="0" w:line="240" w:lineRule="auto"/>
        <w:rPr>
          <w:rFonts w:ascii="Arial" w:eastAsia="Calibri" w:hAnsi="Arial" w:cs="Arial"/>
          <w:sz w:val="24"/>
          <w:szCs w:val="24"/>
        </w:rPr>
      </w:pPr>
      <w:r w:rsidRPr="00B568F3">
        <w:rPr>
          <w:rFonts w:ascii="Arial" w:eastAsia="Calibri" w:hAnsi="Arial" w:cs="Arial"/>
          <w:sz w:val="24"/>
          <w:szCs w:val="24"/>
        </w:rPr>
        <w:t>SCWWDP in 2023</w:t>
      </w:r>
      <w:r w:rsidR="00D82795" w:rsidRPr="00B568F3">
        <w:rPr>
          <w:rFonts w:ascii="Arial" w:eastAsia="Calibri" w:hAnsi="Arial" w:cs="Arial"/>
          <w:sz w:val="24"/>
          <w:szCs w:val="24"/>
        </w:rPr>
        <w:t xml:space="preserve"> to </w:t>
      </w:r>
      <w:r w:rsidRPr="00B568F3">
        <w:rPr>
          <w:rFonts w:ascii="Arial" w:eastAsia="Calibri" w:hAnsi="Arial" w:cs="Arial"/>
          <w:sz w:val="24"/>
          <w:szCs w:val="24"/>
        </w:rPr>
        <w:t>2024 has contributed the following:</w:t>
      </w:r>
    </w:p>
    <w:p w14:paraId="47B99CC0" w14:textId="77777777" w:rsidR="002D1B1F" w:rsidRPr="00B568F3" w:rsidRDefault="002D1B1F" w:rsidP="002D1B1F">
      <w:pPr>
        <w:spacing w:after="0" w:line="240" w:lineRule="auto"/>
        <w:rPr>
          <w:rFonts w:ascii="Arial" w:eastAsia="Calibri" w:hAnsi="Arial" w:cs="Arial"/>
          <w:color w:val="FF0000"/>
          <w:sz w:val="24"/>
          <w:szCs w:val="24"/>
        </w:rPr>
      </w:pPr>
    </w:p>
    <w:tbl>
      <w:tblPr>
        <w:tblStyle w:val="TableGrid"/>
        <w:tblW w:w="0" w:type="auto"/>
        <w:tblLook w:val="04A0" w:firstRow="1" w:lastRow="0" w:firstColumn="1" w:lastColumn="0" w:noHBand="0" w:noVBand="1"/>
      </w:tblPr>
      <w:tblGrid>
        <w:gridCol w:w="9016"/>
      </w:tblGrid>
      <w:tr w:rsidR="002D1B1F" w:rsidRPr="00B568F3" w14:paraId="28C857E1" w14:textId="77777777" w:rsidTr="4BA15C28">
        <w:tc>
          <w:tcPr>
            <w:tcW w:w="9016" w:type="dxa"/>
          </w:tcPr>
          <w:p w14:paraId="36BF42D3" w14:textId="77777777" w:rsidR="002D1B1F" w:rsidRPr="00B568F3" w:rsidRDefault="002D1B1F" w:rsidP="00FC716F">
            <w:pPr>
              <w:rPr>
                <w:rFonts w:ascii="Arial" w:eastAsia="Calibri" w:hAnsi="Arial" w:cs="Arial"/>
                <w:b/>
                <w:bCs/>
                <w:sz w:val="24"/>
                <w:szCs w:val="24"/>
              </w:rPr>
            </w:pPr>
            <w:r w:rsidRPr="00B568F3">
              <w:rPr>
                <w:rFonts w:ascii="Arial" w:eastAsia="Calibri" w:hAnsi="Arial" w:cs="Arial"/>
                <w:b/>
                <w:bCs/>
                <w:sz w:val="24"/>
                <w:szCs w:val="24"/>
              </w:rPr>
              <w:t>Highlight</w:t>
            </w:r>
          </w:p>
          <w:p w14:paraId="627360A8" w14:textId="77777777" w:rsidR="002D1B1F" w:rsidRPr="00B568F3" w:rsidRDefault="002D1B1F" w:rsidP="00FC716F">
            <w:pPr>
              <w:rPr>
                <w:rFonts w:ascii="Arial" w:eastAsia="Calibri" w:hAnsi="Arial" w:cs="Arial"/>
                <w:sz w:val="24"/>
                <w:szCs w:val="24"/>
              </w:rPr>
            </w:pPr>
          </w:p>
          <w:p w14:paraId="7F4FFC39" w14:textId="2A6DBE8E" w:rsidR="002D1B1F" w:rsidRPr="00B568F3" w:rsidRDefault="002D1B1F" w:rsidP="00FC716F">
            <w:pPr>
              <w:rPr>
                <w:rFonts w:ascii="Arial" w:eastAsia="Calibri" w:hAnsi="Arial" w:cs="Arial"/>
                <w:sz w:val="24"/>
                <w:szCs w:val="24"/>
              </w:rPr>
            </w:pPr>
            <w:r w:rsidRPr="00B568F3">
              <w:rPr>
                <w:rFonts w:ascii="Arial" w:eastAsia="Calibri" w:hAnsi="Arial" w:cs="Arial"/>
                <w:sz w:val="24"/>
                <w:szCs w:val="24"/>
              </w:rPr>
              <w:t>In 2023</w:t>
            </w:r>
            <w:r w:rsidR="00D82795" w:rsidRPr="00B568F3">
              <w:rPr>
                <w:rFonts w:ascii="Arial" w:eastAsia="Calibri" w:hAnsi="Arial" w:cs="Arial"/>
                <w:sz w:val="24"/>
                <w:szCs w:val="24"/>
              </w:rPr>
              <w:t xml:space="preserve"> to 20</w:t>
            </w:r>
            <w:r w:rsidRPr="00B568F3">
              <w:rPr>
                <w:rFonts w:ascii="Arial" w:eastAsia="Calibri" w:hAnsi="Arial" w:cs="Arial"/>
                <w:sz w:val="24"/>
                <w:szCs w:val="24"/>
              </w:rPr>
              <w:t>24</w:t>
            </w:r>
            <w:r w:rsidR="00DF2A55" w:rsidRPr="00B568F3">
              <w:rPr>
                <w:rFonts w:ascii="Arial" w:eastAsia="Calibri" w:hAnsi="Arial" w:cs="Arial"/>
                <w:sz w:val="24"/>
                <w:szCs w:val="24"/>
              </w:rPr>
              <w:t>,</w:t>
            </w:r>
            <w:r w:rsidRPr="00B568F3">
              <w:rPr>
                <w:rFonts w:ascii="Arial" w:eastAsia="Calibri" w:hAnsi="Arial" w:cs="Arial"/>
                <w:sz w:val="24"/>
                <w:szCs w:val="24"/>
              </w:rPr>
              <w:t xml:space="preserve"> one region </w:t>
            </w:r>
            <w:r w:rsidR="00D82795" w:rsidRPr="00B568F3">
              <w:rPr>
                <w:rFonts w:ascii="Arial" w:eastAsia="Calibri" w:hAnsi="Arial" w:cs="Arial"/>
                <w:sz w:val="24"/>
                <w:szCs w:val="24"/>
              </w:rPr>
              <w:t>looked at</w:t>
            </w:r>
            <w:r w:rsidRPr="00B568F3">
              <w:rPr>
                <w:rFonts w:ascii="Arial" w:eastAsia="Calibri" w:hAnsi="Arial" w:cs="Arial"/>
                <w:sz w:val="24"/>
                <w:szCs w:val="24"/>
              </w:rPr>
              <w:t xml:space="preserve"> their recruitment process</w:t>
            </w:r>
            <w:r w:rsidR="00DF2A55" w:rsidRPr="00B568F3">
              <w:rPr>
                <w:rFonts w:ascii="Arial" w:eastAsia="Calibri" w:hAnsi="Arial" w:cs="Arial"/>
                <w:sz w:val="24"/>
                <w:szCs w:val="24"/>
              </w:rPr>
              <w:t>,</w:t>
            </w:r>
            <w:r w:rsidRPr="00B568F3">
              <w:rPr>
                <w:rFonts w:ascii="Arial" w:eastAsia="Calibri" w:hAnsi="Arial" w:cs="Arial"/>
                <w:sz w:val="24"/>
                <w:szCs w:val="24"/>
              </w:rPr>
              <w:t xml:space="preserve"> which included reviewing job descriptions and adverts </w:t>
            </w:r>
            <w:r w:rsidR="00140DE7" w:rsidRPr="00B568F3">
              <w:rPr>
                <w:rFonts w:ascii="Arial" w:eastAsia="Calibri" w:hAnsi="Arial" w:cs="Arial"/>
                <w:sz w:val="24"/>
                <w:szCs w:val="24"/>
              </w:rPr>
              <w:t>so they can</w:t>
            </w:r>
            <w:r w:rsidRPr="00B568F3">
              <w:rPr>
                <w:rFonts w:ascii="Arial" w:eastAsia="Calibri" w:hAnsi="Arial" w:cs="Arial"/>
                <w:sz w:val="24"/>
                <w:szCs w:val="24"/>
              </w:rPr>
              <w:t xml:space="preserve"> grow the workforce to better reflect the</w:t>
            </w:r>
            <w:r w:rsidR="00AC6972" w:rsidRPr="00B568F3">
              <w:rPr>
                <w:rFonts w:ascii="Arial" w:eastAsia="Calibri" w:hAnsi="Arial" w:cs="Arial"/>
                <w:sz w:val="24"/>
                <w:szCs w:val="24"/>
              </w:rPr>
              <w:t xml:space="preserve"> Welsh language needs of their</w:t>
            </w:r>
            <w:r w:rsidRPr="00B568F3">
              <w:rPr>
                <w:rFonts w:ascii="Arial" w:eastAsia="Calibri" w:hAnsi="Arial" w:cs="Arial"/>
                <w:sz w:val="24"/>
                <w:szCs w:val="24"/>
              </w:rPr>
              <w:t xml:space="preserve"> communities. The region also worked closely with the Into Work Advice Services to attract Welsh speaking applicants. </w:t>
            </w:r>
          </w:p>
          <w:p w14:paraId="3A8C05D4" w14:textId="77777777" w:rsidR="002D1B1F" w:rsidRPr="00B568F3" w:rsidRDefault="002D1B1F" w:rsidP="00FC716F">
            <w:pPr>
              <w:rPr>
                <w:rFonts w:ascii="Arial" w:eastAsia="Calibri" w:hAnsi="Arial" w:cs="Arial"/>
                <w:color w:val="FF0000"/>
                <w:sz w:val="24"/>
                <w:szCs w:val="24"/>
              </w:rPr>
            </w:pPr>
          </w:p>
        </w:tc>
      </w:tr>
    </w:tbl>
    <w:p w14:paraId="28E01F9E" w14:textId="77777777" w:rsidR="002D1B1F" w:rsidRPr="00B568F3" w:rsidRDefault="002D1B1F" w:rsidP="002D1B1F">
      <w:pPr>
        <w:spacing w:after="0" w:line="240" w:lineRule="auto"/>
        <w:rPr>
          <w:rFonts w:ascii="Arial" w:eastAsia="Calibri" w:hAnsi="Arial" w:cs="Arial"/>
          <w:color w:val="FF0000"/>
          <w:sz w:val="24"/>
          <w:szCs w:val="24"/>
        </w:rPr>
      </w:pPr>
    </w:p>
    <w:tbl>
      <w:tblPr>
        <w:tblStyle w:val="TableGrid"/>
        <w:tblW w:w="0" w:type="auto"/>
        <w:tblLook w:val="04A0" w:firstRow="1" w:lastRow="0" w:firstColumn="1" w:lastColumn="0" w:noHBand="0" w:noVBand="1"/>
      </w:tblPr>
      <w:tblGrid>
        <w:gridCol w:w="9016"/>
      </w:tblGrid>
      <w:tr w:rsidR="002D1B1F" w:rsidRPr="00B568F3" w14:paraId="47CE8CD4" w14:textId="77777777" w:rsidTr="4BA15C28">
        <w:tc>
          <w:tcPr>
            <w:tcW w:w="9016" w:type="dxa"/>
          </w:tcPr>
          <w:p w14:paraId="485722B0" w14:textId="77777777" w:rsidR="002D1B1F" w:rsidRPr="00B568F3" w:rsidRDefault="002D1B1F" w:rsidP="00FC716F">
            <w:pPr>
              <w:rPr>
                <w:rFonts w:ascii="Arial" w:eastAsia="Calibri" w:hAnsi="Arial" w:cs="Arial"/>
                <w:b/>
                <w:bCs/>
                <w:sz w:val="24"/>
                <w:szCs w:val="24"/>
              </w:rPr>
            </w:pPr>
            <w:r w:rsidRPr="00B568F3">
              <w:rPr>
                <w:rFonts w:ascii="Arial" w:eastAsia="Calibri" w:hAnsi="Arial" w:cs="Arial"/>
                <w:b/>
                <w:bCs/>
                <w:sz w:val="24"/>
                <w:szCs w:val="24"/>
              </w:rPr>
              <w:t>Highlight</w:t>
            </w:r>
          </w:p>
          <w:p w14:paraId="51DAA7DB" w14:textId="77777777" w:rsidR="002D1B1F" w:rsidRPr="00B568F3" w:rsidRDefault="002D1B1F" w:rsidP="00FC716F">
            <w:pPr>
              <w:rPr>
                <w:rFonts w:ascii="Arial" w:eastAsia="Calibri" w:hAnsi="Arial" w:cs="Arial"/>
                <w:sz w:val="24"/>
                <w:szCs w:val="24"/>
              </w:rPr>
            </w:pPr>
          </w:p>
          <w:p w14:paraId="4C66684E" w14:textId="7B2C5F53" w:rsidR="002D1B1F" w:rsidRPr="00B568F3" w:rsidRDefault="00DF2A55" w:rsidP="00FC716F">
            <w:pPr>
              <w:rPr>
                <w:rFonts w:ascii="Arial" w:eastAsia="Calibri" w:hAnsi="Arial" w:cs="Arial"/>
                <w:sz w:val="24"/>
                <w:szCs w:val="24"/>
              </w:rPr>
            </w:pPr>
            <w:r w:rsidRPr="00B568F3">
              <w:rPr>
                <w:rFonts w:ascii="Arial" w:eastAsia="Calibri" w:hAnsi="Arial" w:cs="Arial"/>
                <w:sz w:val="24"/>
                <w:szCs w:val="24"/>
              </w:rPr>
              <w:t xml:space="preserve">Twelve </w:t>
            </w:r>
            <w:r w:rsidR="00603E86" w:rsidRPr="00B568F3">
              <w:rPr>
                <w:rFonts w:ascii="Arial" w:eastAsia="Calibri" w:hAnsi="Arial" w:cs="Arial"/>
                <w:sz w:val="24"/>
                <w:szCs w:val="24"/>
              </w:rPr>
              <w:t>s</w:t>
            </w:r>
            <w:r w:rsidR="002D1B1F" w:rsidRPr="00B568F3">
              <w:rPr>
                <w:rFonts w:ascii="Arial" w:eastAsia="Calibri" w:hAnsi="Arial" w:cs="Arial"/>
                <w:sz w:val="24"/>
                <w:szCs w:val="24"/>
              </w:rPr>
              <w:t xml:space="preserve">ocial </w:t>
            </w:r>
            <w:r w:rsidR="00603E86" w:rsidRPr="00B568F3">
              <w:rPr>
                <w:rFonts w:ascii="Arial" w:eastAsia="Calibri" w:hAnsi="Arial" w:cs="Arial"/>
                <w:sz w:val="24"/>
                <w:szCs w:val="24"/>
              </w:rPr>
              <w:t>c</w:t>
            </w:r>
            <w:r w:rsidR="002D1B1F" w:rsidRPr="00B568F3">
              <w:rPr>
                <w:rFonts w:ascii="Arial" w:eastAsia="Calibri" w:hAnsi="Arial" w:cs="Arial"/>
                <w:sz w:val="24"/>
                <w:szCs w:val="24"/>
              </w:rPr>
              <w:t xml:space="preserve">are </w:t>
            </w:r>
            <w:r w:rsidR="00603E86" w:rsidRPr="00B568F3">
              <w:rPr>
                <w:rFonts w:ascii="Arial" w:eastAsia="Calibri" w:hAnsi="Arial" w:cs="Arial"/>
                <w:sz w:val="24"/>
                <w:szCs w:val="24"/>
              </w:rPr>
              <w:t>i</w:t>
            </w:r>
            <w:r w:rsidR="002D1B1F" w:rsidRPr="00B568F3">
              <w:rPr>
                <w:rFonts w:ascii="Arial" w:eastAsia="Calibri" w:hAnsi="Arial" w:cs="Arial"/>
                <w:sz w:val="24"/>
                <w:szCs w:val="24"/>
              </w:rPr>
              <w:t xml:space="preserve">nduction </w:t>
            </w:r>
            <w:r w:rsidR="00603E86" w:rsidRPr="00B568F3">
              <w:rPr>
                <w:rFonts w:ascii="Arial" w:eastAsia="Calibri" w:hAnsi="Arial" w:cs="Arial"/>
                <w:sz w:val="24"/>
                <w:szCs w:val="24"/>
              </w:rPr>
              <w:t>p</w:t>
            </w:r>
            <w:r w:rsidR="002D1B1F" w:rsidRPr="00B568F3">
              <w:rPr>
                <w:rFonts w:ascii="Arial" w:eastAsia="Calibri" w:hAnsi="Arial" w:cs="Arial"/>
                <w:sz w:val="24"/>
                <w:szCs w:val="24"/>
              </w:rPr>
              <w:t xml:space="preserve">rogrammes </w:t>
            </w:r>
            <w:r w:rsidRPr="00B568F3">
              <w:rPr>
                <w:rFonts w:ascii="Arial" w:eastAsia="Calibri" w:hAnsi="Arial" w:cs="Arial"/>
                <w:sz w:val="24"/>
                <w:szCs w:val="24"/>
              </w:rPr>
              <w:t xml:space="preserve">have been </w:t>
            </w:r>
            <w:r w:rsidR="002D1B1F" w:rsidRPr="00B568F3">
              <w:rPr>
                <w:rFonts w:ascii="Arial" w:eastAsia="Calibri" w:hAnsi="Arial" w:cs="Arial"/>
                <w:sz w:val="24"/>
                <w:szCs w:val="24"/>
              </w:rPr>
              <w:t xml:space="preserve">delivered in this </w:t>
            </w:r>
            <w:r w:rsidR="008E49E0" w:rsidRPr="00B568F3">
              <w:rPr>
                <w:rFonts w:ascii="Arial" w:eastAsia="Calibri" w:hAnsi="Arial" w:cs="Arial"/>
                <w:sz w:val="24"/>
                <w:szCs w:val="24"/>
              </w:rPr>
              <w:t>time</w:t>
            </w:r>
            <w:r w:rsidR="00FE09C9" w:rsidRPr="00B568F3">
              <w:rPr>
                <w:rFonts w:ascii="Arial" w:eastAsia="Calibri" w:hAnsi="Arial" w:cs="Arial"/>
                <w:sz w:val="24"/>
                <w:szCs w:val="24"/>
              </w:rPr>
              <w:t xml:space="preserve"> in one local authority</w:t>
            </w:r>
            <w:r w:rsidR="002D1B1F" w:rsidRPr="00B568F3">
              <w:rPr>
                <w:rFonts w:ascii="Arial" w:eastAsia="Calibri" w:hAnsi="Arial" w:cs="Arial"/>
                <w:sz w:val="24"/>
                <w:szCs w:val="24"/>
              </w:rPr>
              <w:t xml:space="preserve">. The induction </w:t>
            </w:r>
            <w:r w:rsidR="008E49E0" w:rsidRPr="00B568F3">
              <w:rPr>
                <w:rFonts w:ascii="Arial" w:eastAsia="Calibri" w:hAnsi="Arial" w:cs="Arial"/>
                <w:sz w:val="24"/>
                <w:szCs w:val="24"/>
              </w:rPr>
              <w:t>covers</w:t>
            </w:r>
            <w:r w:rsidR="002D1B1F" w:rsidRPr="00B568F3">
              <w:rPr>
                <w:rFonts w:ascii="Arial" w:eastAsia="Calibri" w:hAnsi="Arial" w:cs="Arial"/>
                <w:sz w:val="24"/>
                <w:szCs w:val="24"/>
              </w:rPr>
              <w:t xml:space="preserve"> many topics</w:t>
            </w:r>
            <w:r w:rsidRPr="00B568F3">
              <w:rPr>
                <w:rFonts w:ascii="Arial" w:eastAsia="Calibri" w:hAnsi="Arial" w:cs="Arial"/>
                <w:sz w:val="24"/>
                <w:szCs w:val="24"/>
              </w:rPr>
              <w:t>,</w:t>
            </w:r>
            <w:r w:rsidR="002D1B1F" w:rsidRPr="00B568F3">
              <w:rPr>
                <w:rFonts w:ascii="Arial" w:eastAsia="Calibri" w:hAnsi="Arial" w:cs="Arial"/>
                <w:sz w:val="24"/>
                <w:szCs w:val="24"/>
              </w:rPr>
              <w:t xml:space="preserve"> including the </w:t>
            </w:r>
            <w:r w:rsidRPr="00B568F3">
              <w:rPr>
                <w:rFonts w:ascii="Arial" w:eastAsia="Calibri" w:hAnsi="Arial" w:cs="Arial"/>
                <w:sz w:val="24"/>
                <w:szCs w:val="24"/>
              </w:rPr>
              <w:t>A</w:t>
            </w:r>
            <w:r w:rsidR="002D1B1F" w:rsidRPr="00B568F3">
              <w:rPr>
                <w:rFonts w:ascii="Arial" w:eastAsia="Calibri" w:hAnsi="Arial" w:cs="Arial"/>
                <w:sz w:val="24"/>
                <w:szCs w:val="24"/>
              </w:rPr>
              <w:t xml:space="preserve">ctive </w:t>
            </w:r>
            <w:r w:rsidRPr="00B568F3">
              <w:rPr>
                <w:rFonts w:ascii="Arial" w:eastAsia="Calibri" w:hAnsi="Arial" w:cs="Arial"/>
                <w:sz w:val="24"/>
                <w:szCs w:val="24"/>
              </w:rPr>
              <w:t>O</w:t>
            </w:r>
            <w:r w:rsidR="002D1B1F" w:rsidRPr="00B568F3">
              <w:rPr>
                <w:rFonts w:ascii="Arial" w:eastAsia="Calibri" w:hAnsi="Arial" w:cs="Arial"/>
                <w:sz w:val="24"/>
                <w:szCs w:val="24"/>
              </w:rPr>
              <w:t>ffer</w:t>
            </w:r>
            <w:r w:rsidRPr="00B568F3">
              <w:rPr>
                <w:rFonts w:ascii="Arial" w:eastAsia="Calibri" w:hAnsi="Arial" w:cs="Arial"/>
                <w:sz w:val="24"/>
                <w:szCs w:val="24"/>
              </w:rPr>
              <w:t>,</w:t>
            </w:r>
            <w:r w:rsidR="002D1B1F" w:rsidRPr="00B568F3">
              <w:rPr>
                <w:rFonts w:ascii="Arial" w:eastAsia="Calibri" w:hAnsi="Arial" w:cs="Arial"/>
                <w:sz w:val="24"/>
                <w:szCs w:val="24"/>
              </w:rPr>
              <w:t xml:space="preserve"> and is held </w:t>
            </w:r>
            <w:r w:rsidR="008E49E0" w:rsidRPr="00B568F3">
              <w:rPr>
                <w:rFonts w:ascii="Arial" w:eastAsia="Calibri" w:hAnsi="Arial" w:cs="Arial"/>
                <w:sz w:val="24"/>
                <w:szCs w:val="24"/>
              </w:rPr>
              <w:t>over five</w:t>
            </w:r>
            <w:r w:rsidR="002D1B1F" w:rsidRPr="00B568F3">
              <w:rPr>
                <w:rFonts w:ascii="Arial" w:eastAsia="Calibri" w:hAnsi="Arial" w:cs="Arial"/>
                <w:sz w:val="24"/>
                <w:szCs w:val="24"/>
              </w:rPr>
              <w:t xml:space="preserve"> days. This </w:t>
            </w:r>
            <w:r w:rsidR="008E49E0" w:rsidRPr="00B568F3">
              <w:rPr>
                <w:rFonts w:ascii="Arial" w:eastAsia="Calibri" w:hAnsi="Arial" w:cs="Arial"/>
                <w:sz w:val="24"/>
                <w:szCs w:val="24"/>
              </w:rPr>
              <w:t>is still</w:t>
            </w:r>
            <w:r w:rsidR="002D1B1F" w:rsidRPr="00B568F3">
              <w:rPr>
                <w:rFonts w:ascii="Arial" w:eastAsia="Calibri" w:hAnsi="Arial" w:cs="Arial"/>
                <w:sz w:val="24"/>
                <w:szCs w:val="24"/>
              </w:rPr>
              <w:t xml:space="preserve"> delivered face to face to support front line staff </w:t>
            </w:r>
            <w:r w:rsidR="008E49E0" w:rsidRPr="00B568F3">
              <w:rPr>
                <w:rFonts w:ascii="Arial" w:eastAsia="Calibri" w:hAnsi="Arial" w:cs="Arial"/>
                <w:sz w:val="24"/>
                <w:szCs w:val="24"/>
              </w:rPr>
              <w:t>that have</w:t>
            </w:r>
            <w:r w:rsidR="002D1B1F" w:rsidRPr="00B568F3">
              <w:rPr>
                <w:rFonts w:ascii="Arial" w:eastAsia="Calibri" w:hAnsi="Arial" w:cs="Arial"/>
                <w:sz w:val="24"/>
                <w:szCs w:val="24"/>
              </w:rPr>
              <w:t xml:space="preserve"> limited access to email and IT resources</w:t>
            </w:r>
            <w:r w:rsidR="68F42BF1" w:rsidRPr="00B568F3">
              <w:rPr>
                <w:rFonts w:ascii="Arial" w:eastAsia="Calibri" w:hAnsi="Arial" w:cs="Arial"/>
                <w:sz w:val="24"/>
                <w:szCs w:val="24"/>
              </w:rPr>
              <w:t xml:space="preserve">. </w:t>
            </w:r>
            <w:r w:rsidR="002D1B1F" w:rsidRPr="00B568F3">
              <w:rPr>
                <w:rFonts w:ascii="Arial" w:eastAsia="Calibri" w:hAnsi="Arial" w:cs="Arial"/>
                <w:sz w:val="24"/>
                <w:szCs w:val="24"/>
              </w:rPr>
              <w:t xml:space="preserve">253 staff completed </w:t>
            </w:r>
            <w:r w:rsidRPr="00B568F3">
              <w:rPr>
                <w:rFonts w:ascii="Arial" w:eastAsia="Calibri" w:hAnsi="Arial" w:cs="Arial"/>
                <w:sz w:val="24"/>
                <w:szCs w:val="24"/>
              </w:rPr>
              <w:t xml:space="preserve">the induction </w:t>
            </w:r>
            <w:r w:rsidR="002D1B1F" w:rsidRPr="00B568F3">
              <w:rPr>
                <w:rFonts w:ascii="Arial" w:eastAsia="Calibri" w:hAnsi="Arial" w:cs="Arial"/>
                <w:sz w:val="24"/>
                <w:szCs w:val="24"/>
              </w:rPr>
              <w:t>during the reporting perio</w:t>
            </w:r>
            <w:r w:rsidRPr="00B568F3">
              <w:rPr>
                <w:rFonts w:ascii="Arial" w:eastAsia="Calibri" w:hAnsi="Arial" w:cs="Arial"/>
                <w:sz w:val="24"/>
                <w:szCs w:val="24"/>
              </w:rPr>
              <w:t>d and are</w:t>
            </w:r>
            <w:r w:rsidR="002D1B1F" w:rsidRPr="00B568F3">
              <w:rPr>
                <w:rFonts w:ascii="Arial" w:eastAsia="Calibri" w:hAnsi="Arial" w:cs="Arial"/>
                <w:sz w:val="24"/>
                <w:szCs w:val="24"/>
              </w:rPr>
              <w:t xml:space="preserve"> </w:t>
            </w:r>
            <w:bookmarkStart w:id="31" w:name="_Int_5uC2Vsg5"/>
            <w:r w:rsidR="002D1B1F" w:rsidRPr="00B568F3">
              <w:rPr>
                <w:rFonts w:ascii="Arial" w:eastAsia="Calibri" w:hAnsi="Arial" w:cs="Arial"/>
                <w:sz w:val="24"/>
                <w:szCs w:val="24"/>
              </w:rPr>
              <w:t>work-ready</w:t>
            </w:r>
            <w:bookmarkEnd w:id="31"/>
            <w:r w:rsidR="002D1B1F" w:rsidRPr="00B568F3">
              <w:rPr>
                <w:rFonts w:ascii="Arial" w:eastAsia="Calibri" w:hAnsi="Arial" w:cs="Arial"/>
                <w:sz w:val="24"/>
                <w:szCs w:val="24"/>
              </w:rPr>
              <w:t>.</w:t>
            </w:r>
          </w:p>
          <w:p w14:paraId="0FBC59D2" w14:textId="77777777" w:rsidR="002D1B1F" w:rsidRPr="00B568F3" w:rsidRDefault="002D1B1F" w:rsidP="00FC716F">
            <w:pPr>
              <w:rPr>
                <w:rFonts w:ascii="Arial" w:eastAsia="Calibri" w:hAnsi="Arial" w:cs="Arial"/>
                <w:color w:val="FF0000"/>
                <w:sz w:val="24"/>
                <w:szCs w:val="24"/>
              </w:rPr>
            </w:pPr>
          </w:p>
        </w:tc>
      </w:tr>
    </w:tbl>
    <w:p w14:paraId="59FD7C0D" w14:textId="77777777" w:rsidR="002D1B1F" w:rsidRPr="00B568F3" w:rsidRDefault="002D1B1F" w:rsidP="002D1B1F">
      <w:pPr>
        <w:spacing w:after="0" w:line="240" w:lineRule="auto"/>
        <w:rPr>
          <w:rFonts w:ascii="Arial" w:eastAsia="Calibri" w:hAnsi="Arial" w:cs="Arial"/>
          <w:color w:val="FF0000"/>
          <w:sz w:val="24"/>
          <w:szCs w:val="24"/>
        </w:rPr>
      </w:pPr>
    </w:p>
    <w:tbl>
      <w:tblPr>
        <w:tblStyle w:val="TableGrid"/>
        <w:tblW w:w="0" w:type="auto"/>
        <w:tblLook w:val="04A0" w:firstRow="1" w:lastRow="0" w:firstColumn="1" w:lastColumn="0" w:noHBand="0" w:noVBand="1"/>
      </w:tblPr>
      <w:tblGrid>
        <w:gridCol w:w="9016"/>
      </w:tblGrid>
      <w:tr w:rsidR="002D1B1F" w:rsidRPr="00B568F3" w14:paraId="63C6FE03" w14:textId="77777777" w:rsidTr="611FAC9C">
        <w:tc>
          <w:tcPr>
            <w:tcW w:w="9016" w:type="dxa"/>
          </w:tcPr>
          <w:p w14:paraId="6C8CF329" w14:textId="77777777" w:rsidR="002D1B1F" w:rsidRPr="00B568F3" w:rsidRDefault="002D1B1F" w:rsidP="00FC716F">
            <w:pPr>
              <w:rPr>
                <w:rFonts w:ascii="Arial" w:eastAsia="Calibri" w:hAnsi="Arial" w:cs="Arial"/>
                <w:b/>
                <w:bCs/>
                <w:sz w:val="24"/>
                <w:szCs w:val="24"/>
              </w:rPr>
            </w:pPr>
            <w:r w:rsidRPr="00B568F3">
              <w:rPr>
                <w:rFonts w:ascii="Arial" w:eastAsia="Calibri" w:hAnsi="Arial" w:cs="Arial"/>
                <w:b/>
                <w:bCs/>
                <w:sz w:val="24"/>
                <w:szCs w:val="24"/>
              </w:rPr>
              <w:t>Highlight</w:t>
            </w:r>
          </w:p>
          <w:p w14:paraId="76595012" w14:textId="77777777" w:rsidR="002D1B1F" w:rsidRPr="00B568F3" w:rsidRDefault="002D1B1F" w:rsidP="00FC716F">
            <w:pPr>
              <w:rPr>
                <w:rFonts w:ascii="Arial" w:eastAsia="Calibri" w:hAnsi="Arial" w:cs="Arial"/>
                <w:sz w:val="24"/>
                <w:szCs w:val="24"/>
              </w:rPr>
            </w:pPr>
          </w:p>
          <w:p w14:paraId="5B61BD32" w14:textId="325133D0" w:rsidR="002D1B1F" w:rsidRPr="00B568F3" w:rsidRDefault="1CE18A48" w:rsidP="00FC716F">
            <w:pPr>
              <w:rPr>
                <w:rFonts w:ascii="Arial" w:eastAsia="Calibri" w:hAnsi="Arial" w:cs="Arial"/>
                <w:sz w:val="24"/>
                <w:szCs w:val="24"/>
              </w:rPr>
            </w:pPr>
            <w:r w:rsidRPr="00B568F3">
              <w:rPr>
                <w:rFonts w:ascii="Arial" w:eastAsia="Calibri" w:hAnsi="Arial" w:cs="Arial"/>
                <w:sz w:val="24"/>
                <w:szCs w:val="24"/>
              </w:rPr>
              <w:t xml:space="preserve">In one </w:t>
            </w:r>
            <w:r w:rsidR="00AC650B" w:rsidRPr="00B568F3">
              <w:rPr>
                <w:rFonts w:ascii="Arial" w:eastAsia="Calibri" w:hAnsi="Arial" w:cs="Arial"/>
                <w:sz w:val="24"/>
                <w:szCs w:val="24"/>
              </w:rPr>
              <w:t>local authority</w:t>
            </w:r>
            <w:r w:rsidRPr="00B568F3">
              <w:rPr>
                <w:rFonts w:ascii="Arial" w:eastAsia="Calibri" w:hAnsi="Arial" w:cs="Arial"/>
                <w:sz w:val="24"/>
                <w:szCs w:val="24"/>
              </w:rPr>
              <w:t>, t</w:t>
            </w:r>
            <w:r w:rsidR="002D1B1F" w:rsidRPr="00B568F3">
              <w:rPr>
                <w:rFonts w:ascii="Arial" w:eastAsia="Calibri" w:hAnsi="Arial" w:cs="Arial"/>
                <w:sz w:val="24"/>
                <w:szCs w:val="24"/>
              </w:rPr>
              <w:t xml:space="preserve">he </w:t>
            </w:r>
            <w:r w:rsidR="0001750E" w:rsidRPr="00B568F3">
              <w:rPr>
                <w:rFonts w:ascii="Arial" w:eastAsia="Calibri" w:hAnsi="Arial" w:cs="Arial"/>
                <w:sz w:val="24"/>
                <w:szCs w:val="24"/>
              </w:rPr>
              <w:t xml:space="preserve">social services </w:t>
            </w:r>
            <w:r w:rsidR="002D1B1F" w:rsidRPr="00B568F3">
              <w:rPr>
                <w:rFonts w:ascii="Arial" w:eastAsia="Calibri" w:hAnsi="Arial" w:cs="Arial"/>
                <w:sz w:val="24"/>
                <w:szCs w:val="24"/>
              </w:rPr>
              <w:t>department continues to develop automated reports from the HR system. The quality of the reporting process has improved and been streamlined</w:t>
            </w:r>
            <w:r w:rsidR="00DB659B" w:rsidRPr="00B568F3">
              <w:rPr>
                <w:rFonts w:ascii="Arial" w:eastAsia="Calibri" w:hAnsi="Arial" w:cs="Arial"/>
                <w:sz w:val="24"/>
                <w:szCs w:val="24"/>
              </w:rPr>
              <w:t>,</w:t>
            </w:r>
            <w:r w:rsidR="002D1B1F" w:rsidRPr="00B568F3">
              <w:rPr>
                <w:rFonts w:ascii="Arial" w:eastAsia="Calibri" w:hAnsi="Arial" w:cs="Arial"/>
                <w:sz w:val="24"/>
                <w:szCs w:val="24"/>
              </w:rPr>
              <w:t xml:space="preserve"> creating</w:t>
            </w:r>
            <w:r w:rsidR="00DB659B" w:rsidRPr="00B568F3">
              <w:rPr>
                <w:rFonts w:ascii="Arial" w:eastAsia="Calibri" w:hAnsi="Arial" w:cs="Arial"/>
                <w:sz w:val="24"/>
                <w:szCs w:val="24"/>
              </w:rPr>
              <w:t xml:space="preserve"> an</w:t>
            </w:r>
            <w:r w:rsidR="002D1B1F" w:rsidRPr="00B568F3">
              <w:rPr>
                <w:rFonts w:ascii="Arial" w:eastAsia="Calibri" w:hAnsi="Arial" w:cs="Arial"/>
                <w:sz w:val="24"/>
                <w:szCs w:val="24"/>
              </w:rPr>
              <w:t xml:space="preserve"> efficiency saving with the reduction of</w:t>
            </w:r>
            <w:r w:rsidR="00DB659B" w:rsidRPr="00B568F3">
              <w:rPr>
                <w:rFonts w:ascii="Arial" w:eastAsia="Calibri" w:hAnsi="Arial" w:cs="Arial"/>
                <w:sz w:val="24"/>
                <w:szCs w:val="24"/>
              </w:rPr>
              <w:t xml:space="preserve"> one full-time equivalent member of staff.</w:t>
            </w:r>
            <w:r w:rsidR="002D1B1F" w:rsidRPr="00B568F3">
              <w:rPr>
                <w:rFonts w:ascii="Arial" w:eastAsia="Calibri" w:hAnsi="Arial" w:cs="Arial"/>
                <w:sz w:val="24"/>
                <w:szCs w:val="24"/>
              </w:rPr>
              <w:t xml:space="preserve"> The Senior Training Administrator is booked to attend </w:t>
            </w:r>
            <w:r w:rsidR="00DB659B" w:rsidRPr="00B568F3">
              <w:rPr>
                <w:rFonts w:ascii="Arial" w:eastAsia="Calibri" w:hAnsi="Arial" w:cs="Arial"/>
                <w:sz w:val="24"/>
                <w:szCs w:val="24"/>
              </w:rPr>
              <w:t>d</w:t>
            </w:r>
            <w:r w:rsidR="002D1B1F" w:rsidRPr="00B568F3">
              <w:rPr>
                <w:rFonts w:ascii="Arial" w:eastAsia="Calibri" w:hAnsi="Arial" w:cs="Arial"/>
                <w:sz w:val="24"/>
                <w:szCs w:val="24"/>
              </w:rPr>
              <w:t xml:space="preserve">ata </w:t>
            </w:r>
            <w:r w:rsidR="00DB659B" w:rsidRPr="00B568F3">
              <w:rPr>
                <w:rFonts w:ascii="Arial" w:eastAsia="Calibri" w:hAnsi="Arial" w:cs="Arial"/>
                <w:sz w:val="24"/>
                <w:szCs w:val="24"/>
              </w:rPr>
              <w:t>v</w:t>
            </w:r>
            <w:r w:rsidR="002D1B1F" w:rsidRPr="00B568F3">
              <w:rPr>
                <w:rFonts w:ascii="Arial" w:eastAsia="Calibri" w:hAnsi="Arial" w:cs="Arial"/>
                <w:sz w:val="24"/>
                <w:szCs w:val="24"/>
              </w:rPr>
              <w:t>isualisation training in April 2024 to help support the development of reporting for data collections.</w:t>
            </w:r>
          </w:p>
          <w:p w14:paraId="4FA40E57" w14:textId="77777777" w:rsidR="002D1B1F" w:rsidRPr="00B568F3" w:rsidRDefault="002D1B1F" w:rsidP="00FC716F">
            <w:pPr>
              <w:rPr>
                <w:rFonts w:ascii="Arial" w:eastAsia="Calibri" w:hAnsi="Arial" w:cs="Arial"/>
                <w:color w:val="FF0000"/>
                <w:sz w:val="24"/>
                <w:szCs w:val="24"/>
              </w:rPr>
            </w:pPr>
          </w:p>
        </w:tc>
      </w:tr>
    </w:tbl>
    <w:p w14:paraId="640BB432" w14:textId="77777777" w:rsidR="002D1B1F" w:rsidRPr="00B568F3" w:rsidRDefault="002D1B1F" w:rsidP="002D1B1F">
      <w:pPr>
        <w:spacing w:after="0" w:line="240" w:lineRule="auto"/>
        <w:rPr>
          <w:rFonts w:ascii="Arial" w:eastAsia="Calibri" w:hAnsi="Arial" w:cs="Arial"/>
          <w:color w:val="FF0000"/>
          <w:sz w:val="24"/>
          <w:szCs w:val="24"/>
        </w:rPr>
      </w:pPr>
    </w:p>
    <w:tbl>
      <w:tblPr>
        <w:tblStyle w:val="TableGrid"/>
        <w:tblW w:w="0" w:type="auto"/>
        <w:tblLook w:val="04A0" w:firstRow="1" w:lastRow="0" w:firstColumn="1" w:lastColumn="0" w:noHBand="0" w:noVBand="1"/>
      </w:tblPr>
      <w:tblGrid>
        <w:gridCol w:w="9016"/>
      </w:tblGrid>
      <w:tr w:rsidR="002D1B1F" w:rsidRPr="00B568F3" w14:paraId="08A5A9B5" w14:textId="77777777" w:rsidTr="4BA15C28">
        <w:tc>
          <w:tcPr>
            <w:tcW w:w="9016" w:type="dxa"/>
          </w:tcPr>
          <w:p w14:paraId="76164731" w14:textId="77777777" w:rsidR="002D1B1F" w:rsidRPr="00B568F3" w:rsidRDefault="002D1B1F" w:rsidP="00FC716F">
            <w:pPr>
              <w:rPr>
                <w:rFonts w:ascii="Arial" w:eastAsia="Calibri" w:hAnsi="Arial" w:cs="Arial"/>
                <w:b/>
                <w:bCs/>
                <w:sz w:val="24"/>
                <w:szCs w:val="24"/>
              </w:rPr>
            </w:pPr>
            <w:r w:rsidRPr="00B568F3">
              <w:rPr>
                <w:rFonts w:ascii="Arial" w:eastAsia="Calibri" w:hAnsi="Arial" w:cs="Arial"/>
                <w:b/>
                <w:bCs/>
                <w:sz w:val="24"/>
                <w:szCs w:val="24"/>
              </w:rPr>
              <w:t>Highlight</w:t>
            </w:r>
          </w:p>
          <w:p w14:paraId="4FB62447" w14:textId="77777777" w:rsidR="002D1B1F" w:rsidRPr="00B568F3" w:rsidRDefault="002D1B1F" w:rsidP="00FC716F">
            <w:pPr>
              <w:rPr>
                <w:rFonts w:ascii="Arial" w:eastAsia="Calibri" w:hAnsi="Arial" w:cs="Arial"/>
                <w:sz w:val="24"/>
                <w:szCs w:val="24"/>
              </w:rPr>
            </w:pPr>
          </w:p>
          <w:p w14:paraId="199A8CD7" w14:textId="443E02B7" w:rsidR="002D1B1F" w:rsidRPr="00B568F3" w:rsidRDefault="002D1B1F" w:rsidP="00FC716F">
            <w:pPr>
              <w:rPr>
                <w:rFonts w:ascii="Arial" w:eastAsia="Calibri" w:hAnsi="Arial" w:cs="Arial"/>
                <w:sz w:val="24"/>
                <w:szCs w:val="24"/>
              </w:rPr>
            </w:pPr>
            <w:r w:rsidRPr="00B568F3">
              <w:rPr>
                <w:rFonts w:ascii="Arial" w:eastAsia="Calibri" w:hAnsi="Arial" w:cs="Arial"/>
                <w:sz w:val="24"/>
                <w:szCs w:val="24"/>
              </w:rPr>
              <w:t>One region continue</w:t>
            </w:r>
            <w:r w:rsidR="2E07B1D9" w:rsidRPr="00B568F3">
              <w:rPr>
                <w:rFonts w:ascii="Arial" w:eastAsia="Calibri" w:hAnsi="Arial" w:cs="Arial"/>
                <w:sz w:val="24"/>
                <w:szCs w:val="24"/>
              </w:rPr>
              <w:t>s</w:t>
            </w:r>
            <w:r w:rsidRPr="00B568F3">
              <w:rPr>
                <w:rFonts w:ascii="Arial" w:eastAsia="Calibri" w:hAnsi="Arial" w:cs="Arial"/>
                <w:sz w:val="24"/>
                <w:szCs w:val="24"/>
              </w:rPr>
              <w:t xml:space="preserve"> to attend a </w:t>
            </w:r>
            <w:r w:rsidR="00843CEE" w:rsidRPr="00B568F3">
              <w:rPr>
                <w:rFonts w:ascii="Arial" w:eastAsia="Calibri" w:hAnsi="Arial" w:cs="Arial"/>
                <w:sz w:val="24"/>
                <w:szCs w:val="24"/>
              </w:rPr>
              <w:t>t</w:t>
            </w:r>
            <w:r w:rsidRPr="00B568F3">
              <w:rPr>
                <w:rFonts w:ascii="Arial" w:eastAsia="Calibri" w:hAnsi="Arial" w:cs="Arial"/>
                <w:sz w:val="24"/>
                <w:szCs w:val="24"/>
              </w:rPr>
              <w:t xml:space="preserve">ask and </w:t>
            </w:r>
            <w:r w:rsidR="00843CEE" w:rsidRPr="00B568F3">
              <w:rPr>
                <w:rFonts w:ascii="Arial" w:eastAsia="Calibri" w:hAnsi="Arial" w:cs="Arial"/>
                <w:sz w:val="24"/>
                <w:szCs w:val="24"/>
              </w:rPr>
              <w:t>f</w:t>
            </w:r>
            <w:r w:rsidRPr="00B568F3">
              <w:rPr>
                <w:rFonts w:ascii="Arial" w:eastAsia="Calibri" w:hAnsi="Arial" w:cs="Arial"/>
                <w:sz w:val="24"/>
                <w:szCs w:val="24"/>
              </w:rPr>
              <w:t xml:space="preserve">inish </w:t>
            </w:r>
            <w:r w:rsidR="00843CEE" w:rsidRPr="00B568F3">
              <w:rPr>
                <w:rFonts w:ascii="Arial" w:eastAsia="Calibri" w:hAnsi="Arial" w:cs="Arial"/>
                <w:sz w:val="24"/>
                <w:szCs w:val="24"/>
              </w:rPr>
              <w:t>g</w:t>
            </w:r>
            <w:r w:rsidRPr="00B568F3">
              <w:rPr>
                <w:rFonts w:ascii="Arial" w:eastAsia="Calibri" w:hAnsi="Arial" w:cs="Arial"/>
                <w:sz w:val="24"/>
                <w:szCs w:val="24"/>
              </w:rPr>
              <w:t xml:space="preserve">roup for </w:t>
            </w:r>
            <w:r w:rsidR="00843CEE" w:rsidRPr="00B568F3">
              <w:rPr>
                <w:rFonts w:ascii="Arial" w:eastAsia="Calibri" w:hAnsi="Arial" w:cs="Arial"/>
                <w:sz w:val="24"/>
                <w:szCs w:val="24"/>
              </w:rPr>
              <w:t>w</w:t>
            </w:r>
            <w:r w:rsidRPr="00B568F3">
              <w:rPr>
                <w:rFonts w:ascii="Arial" w:eastAsia="Calibri" w:hAnsi="Arial" w:cs="Arial"/>
                <w:sz w:val="24"/>
                <w:szCs w:val="24"/>
              </w:rPr>
              <w:t xml:space="preserve">orkforce and </w:t>
            </w:r>
            <w:r w:rsidR="00843CEE" w:rsidRPr="00B568F3">
              <w:rPr>
                <w:rFonts w:ascii="Arial" w:eastAsia="Calibri" w:hAnsi="Arial" w:cs="Arial"/>
                <w:sz w:val="24"/>
                <w:szCs w:val="24"/>
              </w:rPr>
              <w:t>t</w:t>
            </w:r>
            <w:r w:rsidRPr="00B568F3">
              <w:rPr>
                <w:rFonts w:ascii="Arial" w:eastAsia="Calibri" w:hAnsi="Arial" w:cs="Arial"/>
                <w:sz w:val="24"/>
                <w:szCs w:val="24"/>
              </w:rPr>
              <w:t>raining</w:t>
            </w:r>
            <w:r w:rsidR="00843CEE" w:rsidRPr="00B568F3">
              <w:rPr>
                <w:rFonts w:ascii="Arial" w:eastAsia="Calibri" w:hAnsi="Arial" w:cs="Arial"/>
                <w:sz w:val="24"/>
                <w:szCs w:val="24"/>
              </w:rPr>
              <w:t>. The group</w:t>
            </w:r>
            <w:r w:rsidRPr="00B568F3">
              <w:rPr>
                <w:rFonts w:ascii="Arial" w:eastAsia="Calibri" w:hAnsi="Arial" w:cs="Arial"/>
                <w:sz w:val="24"/>
                <w:szCs w:val="24"/>
              </w:rPr>
              <w:t xml:space="preserve"> ha</w:t>
            </w:r>
            <w:r w:rsidR="00DB659B" w:rsidRPr="00B568F3">
              <w:rPr>
                <w:rFonts w:ascii="Arial" w:eastAsia="Calibri" w:hAnsi="Arial" w:cs="Arial"/>
                <w:sz w:val="24"/>
                <w:szCs w:val="24"/>
              </w:rPr>
              <w:t>s</w:t>
            </w:r>
            <w:r w:rsidRPr="00B568F3">
              <w:rPr>
                <w:rFonts w:ascii="Arial" w:eastAsia="Calibri" w:hAnsi="Arial" w:cs="Arial"/>
                <w:sz w:val="24"/>
                <w:szCs w:val="24"/>
              </w:rPr>
              <w:t xml:space="preserve"> developed a survey</w:t>
            </w:r>
            <w:r w:rsidR="00843CEE" w:rsidRPr="00B568F3">
              <w:rPr>
                <w:rFonts w:ascii="Arial" w:eastAsia="Calibri" w:hAnsi="Arial" w:cs="Arial"/>
                <w:sz w:val="24"/>
                <w:szCs w:val="24"/>
              </w:rPr>
              <w:t xml:space="preserve"> to </w:t>
            </w:r>
            <w:r w:rsidR="00A56BE1" w:rsidRPr="00B568F3">
              <w:rPr>
                <w:rFonts w:ascii="Arial" w:eastAsia="Calibri" w:hAnsi="Arial" w:cs="Arial"/>
                <w:sz w:val="24"/>
                <w:szCs w:val="24"/>
              </w:rPr>
              <w:t xml:space="preserve">understand the training </w:t>
            </w:r>
            <w:r w:rsidR="001A2CD4" w:rsidRPr="00B568F3">
              <w:rPr>
                <w:rFonts w:ascii="Arial" w:eastAsia="Calibri" w:hAnsi="Arial" w:cs="Arial"/>
                <w:sz w:val="24"/>
                <w:szCs w:val="24"/>
              </w:rPr>
              <w:t xml:space="preserve">available to </w:t>
            </w:r>
            <w:r w:rsidR="00A4767E" w:rsidRPr="00B568F3">
              <w:rPr>
                <w:rFonts w:ascii="Arial" w:eastAsia="Calibri" w:hAnsi="Arial" w:cs="Arial"/>
                <w:sz w:val="24"/>
                <w:szCs w:val="24"/>
              </w:rPr>
              <w:t>wor</w:t>
            </w:r>
            <w:r w:rsidR="00A56BE1" w:rsidRPr="00B568F3">
              <w:rPr>
                <w:rFonts w:ascii="Arial" w:eastAsia="Calibri" w:hAnsi="Arial" w:cs="Arial"/>
                <w:sz w:val="24"/>
                <w:szCs w:val="24"/>
              </w:rPr>
              <w:t xml:space="preserve">kers who </w:t>
            </w:r>
            <w:r w:rsidR="00843CEE" w:rsidRPr="00B568F3">
              <w:rPr>
                <w:rFonts w:ascii="Arial" w:eastAsia="Calibri" w:hAnsi="Arial" w:cs="Arial"/>
                <w:sz w:val="24"/>
                <w:szCs w:val="24"/>
              </w:rPr>
              <w:t xml:space="preserve">support </w:t>
            </w:r>
            <w:r w:rsidR="00DB659B" w:rsidRPr="00B568F3">
              <w:rPr>
                <w:rFonts w:ascii="Arial" w:eastAsia="Calibri" w:hAnsi="Arial" w:cs="Arial"/>
                <w:sz w:val="24"/>
                <w:szCs w:val="24"/>
              </w:rPr>
              <w:t>people</w:t>
            </w:r>
            <w:r w:rsidR="00421D58" w:rsidRPr="00B568F3">
              <w:rPr>
                <w:rFonts w:ascii="Arial" w:eastAsia="Calibri" w:hAnsi="Arial" w:cs="Arial"/>
                <w:sz w:val="24"/>
                <w:szCs w:val="24"/>
              </w:rPr>
              <w:t xml:space="preserve"> who</w:t>
            </w:r>
            <w:r w:rsidR="00843CEE" w:rsidRPr="00B568F3">
              <w:rPr>
                <w:rFonts w:ascii="Arial" w:eastAsia="Calibri" w:hAnsi="Arial" w:cs="Arial"/>
                <w:sz w:val="24"/>
                <w:szCs w:val="24"/>
              </w:rPr>
              <w:t xml:space="preserve"> have </w:t>
            </w:r>
            <w:r w:rsidR="00421D58" w:rsidRPr="00B568F3">
              <w:rPr>
                <w:rFonts w:ascii="Arial" w:eastAsia="Calibri" w:hAnsi="Arial" w:cs="Arial"/>
                <w:sz w:val="24"/>
                <w:szCs w:val="24"/>
              </w:rPr>
              <w:t xml:space="preserve">a </w:t>
            </w:r>
            <w:r w:rsidR="00843CEE" w:rsidRPr="00B568F3">
              <w:rPr>
                <w:rFonts w:ascii="Arial" w:eastAsia="Calibri" w:hAnsi="Arial" w:cs="Arial"/>
                <w:sz w:val="24"/>
                <w:szCs w:val="24"/>
              </w:rPr>
              <w:t>diagnosis of both</w:t>
            </w:r>
            <w:r w:rsidRPr="00B568F3">
              <w:rPr>
                <w:rFonts w:ascii="Arial" w:eastAsia="Calibri" w:hAnsi="Arial" w:cs="Arial"/>
                <w:sz w:val="24"/>
                <w:szCs w:val="24"/>
              </w:rPr>
              <w:t xml:space="preserve"> mental health and substance use issues. This survey has been shared electronically with all partners including the </w:t>
            </w:r>
            <w:r w:rsidR="008517E8" w:rsidRPr="00B568F3">
              <w:rPr>
                <w:rFonts w:ascii="Arial" w:eastAsia="Calibri" w:hAnsi="Arial" w:cs="Arial"/>
                <w:sz w:val="24"/>
                <w:szCs w:val="24"/>
              </w:rPr>
              <w:t>h</w:t>
            </w:r>
            <w:r w:rsidRPr="00B568F3">
              <w:rPr>
                <w:rFonts w:ascii="Arial" w:eastAsia="Calibri" w:hAnsi="Arial" w:cs="Arial"/>
                <w:sz w:val="24"/>
                <w:szCs w:val="24"/>
              </w:rPr>
              <w:t xml:space="preserve">ealth </w:t>
            </w:r>
            <w:r w:rsidR="008517E8" w:rsidRPr="00B568F3">
              <w:rPr>
                <w:rFonts w:ascii="Arial" w:eastAsia="Calibri" w:hAnsi="Arial" w:cs="Arial"/>
                <w:sz w:val="24"/>
                <w:szCs w:val="24"/>
              </w:rPr>
              <w:t>b</w:t>
            </w:r>
            <w:r w:rsidRPr="00B568F3">
              <w:rPr>
                <w:rFonts w:ascii="Arial" w:eastAsia="Calibri" w:hAnsi="Arial" w:cs="Arial"/>
                <w:sz w:val="24"/>
                <w:szCs w:val="24"/>
              </w:rPr>
              <w:t xml:space="preserve">oard, </w:t>
            </w:r>
            <w:r w:rsidR="008517E8" w:rsidRPr="00B568F3">
              <w:rPr>
                <w:rFonts w:ascii="Arial" w:eastAsia="Calibri" w:hAnsi="Arial" w:cs="Arial"/>
                <w:sz w:val="24"/>
                <w:szCs w:val="24"/>
              </w:rPr>
              <w:t>l</w:t>
            </w:r>
            <w:r w:rsidRPr="00B568F3">
              <w:rPr>
                <w:rFonts w:ascii="Arial" w:eastAsia="Calibri" w:hAnsi="Arial" w:cs="Arial"/>
                <w:sz w:val="24"/>
                <w:szCs w:val="24"/>
              </w:rPr>
              <w:t xml:space="preserve">ocal </w:t>
            </w:r>
            <w:r w:rsidR="008517E8" w:rsidRPr="00B568F3">
              <w:rPr>
                <w:rFonts w:ascii="Arial" w:eastAsia="Calibri" w:hAnsi="Arial" w:cs="Arial"/>
                <w:sz w:val="24"/>
                <w:szCs w:val="24"/>
              </w:rPr>
              <w:t>c</w:t>
            </w:r>
            <w:r w:rsidRPr="00B568F3">
              <w:rPr>
                <w:rFonts w:ascii="Arial" w:eastAsia="Calibri" w:hAnsi="Arial" w:cs="Arial"/>
                <w:sz w:val="24"/>
                <w:szCs w:val="24"/>
              </w:rPr>
              <w:t xml:space="preserve">ouncils, </w:t>
            </w:r>
            <w:r w:rsidR="008517E8" w:rsidRPr="00B568F3">
              <w:rPr>
                <w:rFonts w:ascii="Arial" w:eastAsia="Calibri" w:hAnsi="Arial" w:cs="Arial"/>
                <w:sz w:val="24"/>
                <w:szCs w:val="24"/>
              </w:rPr>
              <w:t>p</w:t>
            </w:r>
            <w:r w:rsidRPr="00B568F3">
              <w:rPr>
                <w:rFonts w:ascii="Arial" w:eastAsia="Calibri" w:hAnsi="Arial" w:cs="Arial"/>
                <w:sz w:val="24"/>
                <w:szCs w:val="24"/>
              </w:rPr>
              <w:t xml:space="preserve">olice, </w:t>
            </w:r>
            <w:r w:rsidR="008517E8" w:rsidRPr="00B568F3">
              <w:rPr>
                <w:rFonts w:ascii="Arial" w:eastAsia="Calibri" w:hAnsi="Arial" w:cs="Arial"/>
                <w:sz w:val="24"/>
                <w:szCs w:val="24"/>
              </w:rPr>
              <w:t>p</w:t>
            </w:r>
            <w:r w:rsidRPr="00B568F3">
              <w:rPr>
                <w:rFonts w:ascii="Arial" w:eastAsia="Calibri" w:hAnsi="Arial" w:cs="Arial"/>
                <w:sz w:val="24"/>
                <w:szCs w:val="24"/>
              </w:rPr>
              <w:t xml:space="preserve">robation and </w:t>
            </w:r>
            <w:r w:rsidR="008517E8" w:rsidRPr="00B568F3">
              <w:rPr>
                <w:rFonts w:ascii="Arial" w:eastAsia="Calibri" w:hAnsi="Arial" w:cs="Arial"/>
                <w:sz w:val="24"/>
                <w:szCs w:val="24"/>
              </w:rPr>
              <w:t>j</w:t>
            </w:r>
            <w:r w:rsidRPr="00B568F3">
              <w:rPr>
                <w:rFonts w:ascii="Arial" w:eastAsia="Calibri" w:hAnsi="Arial" w:cs="Arial"/>
                <w:sz w:val="24"/>
                <w:szCs w:val="24"/>
              </w:rPr>
              <w:t xml:space="preserve">ustice services and </w:t>
            </w:r>
            <w:r w:rsidR="008517E8" w:rsidRPr="00B568F3">
              <w:rPr>
                <w:rFonts w:ascii="Arial" w:eastAsia="Calibri" w:hAnsi="Arial" w:cs="Arial"/>
                <w:sz w:val="24"/>
                <w:szCs w:val="24"/>
              </w:rPr>
              <w:t>third</w:t>
            </w:r>
            <w:r w:rsidRPr="00B568F3">
              <w:rPr>
                <w:rFonts w:ascii="Arial" w:eastAsia="Calibri" w:hAnsi="Arial" w:cs="Arial"/>
                <w:sz w:val="24"/>
                <w:szCs w:val="24"/>
              </w:rPr>
              <w:t xml:space="preserve"> sector organisations. </w:t>
            </w:r>
          </w:p>
          <w:p w14:paraId="5919CDCD" w14:textId="77777777" w:rsidR="002D1B1F" w:rsidRPr="00B568F3" w:rsidRDefault="002D1B1F" w:rsidP="00FC716F">
            <w:pPr>
              <w:rPr>
                <w:rFonts w:ascii="Arial" w:eastAsia="Calibri" w:hAnsi="Arial" w:cs="Arial"/>
                <w:sz w:val="24"/>
                <w:szCs w:val="24"/>
              </w:rPr>
            </w:pPr>
          </w:p>
          <w:p w14:paraId="784CF34C" w14:textId="237D5A62" w:rsidR="008334BB" w:rsidRPr="00B568F3" w:rsidRDefault="002D1B1F" w:rsidP="00FC716F">
            <w:pPr>
              <w:rPr>
                <w:rFonts w:ascii="Arial" w:eastAsia="Calibri" w:hAnsi="Arial" w:cs="Arial"/>
                <w:sz w:val="24"/>
                <w:szCs w:val="24"/>
              </w:rPr>
            </w:pPr>
            <w:r w:rsidRPr="00B568F3">
              <w:rPr>
                <w:rFonts w:ascii="Arial" w:eastAsia="Calibri" w:hAnsi="Arial" w:cs="Arial"/>
                <w:sz w:val="24"/>
                <w:szCs w:val="24"/>
              </w:rPr>
              <w:t xml:space="preserve">All partner organisations had the opportunity to </w:t>
            </w:r>
            <w:r w:rsidR="00A907C8" w:rsidRPr="00B568F3">
              <w:rPr>
                <w:rFonts w:ascii="Arial" w:eastAsia="Calibri" w:hAnsi="Arial" w:cs="Arial"/>
                <w:sz w:val="24"/>
                <w:szCs w:val="24"/>
              </w:rPr>
              <w:t xml:space="preserve">give </w:t>
            </w:r>
            <w:r w:rsidRPr="00B568F3">
              <w:rPr>
                <w:rFonts w:ascii="Arial" w:eastAsia="Calibri" w:hAnsi="Arial" w:cs="Arial"/>
                <w:sz w:val="24"/>
                <w:szCs w:val="24"/>
              </w:rPr>
              <w:t xml:space="preserve">information about </w:t>
            </w:r>
            <w:r w:rsidR="003410F6" w:rsidRPr="00B568F3">
              <w:rPr>
                <w:rFonts w:ascii="Arial" w:eastAsia="Calibri" w:hAnsi="Arial" w:cs="Arial"/>
                <w:sz w:val="24"/>
                <w:szCs w:val="24"/>
              </w:rPr>
              <w:t>training that’s available</w:t>
            </w:r>
            <w:r w:rsidR="00421D58" w:rsidRPr="00B568F3">
              <w:rPr>
                <w:rFonts w:ascii="Arial" w:eastAsia="Calibri" w:hAnsi="Arial" w:cs="Arial"/>
                <w:sz w:val="24"/>
                <w:szCs w:val="24"/>
              </w:rPr>
              <w:t xml:space="preserve">. This will be </w:t>
            </w:r>
            <w:r w:rsidR="00FD3AD6" w:rsidRPr="00B568F3">
              <w:rPr>
                <w:rFonts w:ascii="Arial" w:eastAsia="Calibri" w:hAnsi="Arial" w:cs="Arial"/>
                <w:sz w:val="24"/>
                <w:szCs w:val="24"/>
              </w:rPr>
              <w:t xml:space="preserve">vital </w:t>
            </w:r>
            <w:r w:rsidR="00DB5CB4" w:rsidRPr="00B568F3">
              <w:rPr>
                <w:rFonts w:ascii="Arial" w:eastAsia="Calibri" w:hAnsi="Arial" w:cs="Arial"/>
                <w:sz w:val="24"/>
                <w:szCs w:val="24"/>
              </w:rPr>
              <w:t>to deliver</w:t>
            </w:r>
            <w:r w:rsidRPr="00B568F3">
              <w:rPr>
                <w:rFonts w:ascii="Arial" w:eastAsia="Calibri" w:hAnsi="Arial" w:cs="Arial"/>
                <w:sz w:val="24"/>
                <w:szCs w:val="24"/>
              </w:rPr>
              <w:t xml:space="preserve"> the new Dual Diagnosis of Co-occurring Mental Health and Substance Use Strategy in the region. </w:t>
            </w:r>
          </w:p>
          <w:p w14:paraId="0B5408BA" w14:textId="77777777" w:rsidR="008334BB" w:rsidRPr="00B568F3" w:rsidRDefault="008334BB" w:rsidP="00FC716F">
            <w:pPr>
              <w:rPr>
                <w:rFonts w:ascii="Arial" w:eastAsia="Calibri" w:hAnsi="Arial" w:cs="Arial"/>
                <w:sz w:val="24"/>
                <w:szCs w:val="24"/>
              </w:rPr>
            </w:pPr>
          </w:p>
          <w:p w14:paraId="4DF90611" w14:textId="7C5A868C" w:rsidR="002D1B1F" w:rsidRPr="00B568F3" w:rsidRDefault="002D1B1F" w:rsidP="00FC716F">
            <w:pPr>
              <w:rPr>
                <w:rFonts w:ascii="Arial" w:eastAsia="Calibri" w:hAnsi="Arial" w:cs="Arial"/>
                <w:sz w:val="24"/>
                <w:szCs w:val="24"/>
              </w:rPr>
            </w:pPr>
            <w:r w:rsidRPr="00B568F3">
              <w:rPr>
                <w:rFonts w:ascii="Arial" w:eastAsia="Calibri" w:hAnsi="Arial" w:cs="Arial"/>
                <w:sz w:val="24"/>
                <w:szCs w:val="24"/>
              </w:rPr>
              <w:t xml:space="preserve">The </w:t>
            </w:r>
            <w:r w:rsidR="001801FD" w:rsidRPr="00B568F3">
              <w:rPr>
                <w:rFonts w:ascii="Arial" w:eastAsia="Calibri" w:hAnsi="Arial" w:cs="Arial"/>
                <w:sz w:val="24"/>
                <w:szCs w:val="24"/>
              </w:rPr>
              <w:t xml:space="preserve">results </w:t>
            </w:r>
            <w:r w:rsidRPr="00B568F3">
              <w:rPr>
                <w:rFonts w:ascii="Arial" w:eastAsia="Calibri" w:hAnsi="Arial" w:cs="Arial"/>
                <w:sz w:val="24"/>
                <w:szCs w:val="24"/>
              </w:rPr>
              <w:t xml:space="preserve">were </w:t>
            </w:r>
            <w:r w:rsidR="00037406" w:rsidRPr="00B568F3">
              <w:rPr>
                <w:rFonts w:ascii="Arial" w:eastAsia="Calibri" w:hAnsi="Arial" w:cs="Arial"/>
                <w:sz w:val="24"/>
                <w:szCs w:val="24"/>
              </w:rPr>
              <w:t xml:space="preserve">given </w:t>
            </w:r>
            <w:r w:rsidRPr="00B568F3">
              <w:rPr>
                <w:rFonts w:ascii="Arial" w:eastAsia="Calibri" w:hAnsi="Arial" w:cs="Arial"/>
                <w:sz w:val="24"/>
                <w:szCs w:val="24"/>
              </w:rPr>
              <w:t xml:space="preserve">to the </w:t>
            </w:r>
            <w:r w:rsidR="00037406" w:rsidRPr="00B568F3">
              <w:rPr>
                <w:rFonts w:ascii="Arial" w:eastAsia="Calibri" w:hAnsi="Arial" w:cs="Arial"/>
                <w:sz w:val="24"/>
                <w:szCs w:val="24"/>
              </w:rPr>
              <w:t>t</w:t>
            </w:r>
            <w:r w:rsidRPr="00B568F3">
              <w:rPr>
                <w:rFonts w:ascii="Arial" w:eastAsia="Calibri" w:hAnsi="Arial" w:cs="Arial"/>
                <w:sz w:val="24"/>
                <w:szCs w:val="24"/>
              </w:rPr>
              <w:t xml:space="preserve">ask and </w:t>
            </w:r>
            <w:r w:rsidR="00037406" w:rsidRPr="00B568F3">
              <w:rPr>
                <w:rFonts w:ascii="Arial" w:eastAsia="Calibri" w:hAnsi="Arial" w:cs="Arial"/>
                <w:sz w:val="24"/>
                <w:szCs w:val="24"/>
              </w:rPr>
              <w:t>f</w:t>
            </w:r>
            <w:r w:rsidRPr="00B568F3">
              <w:rPr>
                <w:rFonts w:ascii="Arial" w:eastAsia="Calibri" w:hAnsi="Arial" w:cs="Arial"/>
                <w:sz w:val="24"/>
                <w:szCs w:val="24"/>
              </w:rPr>
              <w:t xml:space="preserve">inish group in September 2023 for </w:t>
            </w:r>
            <w:r w:rsidR="00CD34BB" w:rsidRPr="00B568F3">
              <w:rPr>
                <w:rFonts w:ascii="Arial" w:eastAsia="Calibri" w:hAnsi="Arial" w:cs="Arial"/>
                <w:sz w:val="24"/>
                <w:szCs w:val="24"/>
              </w:rPr>
              <w:t>more</w:t>
            </w:r>
            <w:r w:rsidRPr="00B568F3">
              <w:rPr>
                <w:rFonts w:ascii="Arial" w:eastAsia="Calibri" w:hAnsi="Arial" w:cs="Arial"/>
                <w:sz w:val="24"/>
                <w:szCs w:val="24"/>
              </w:rPr>
              <w:t xml:space="preserve"> discussion</w:t>
            </w:r>
            <w:r w:rsidR="002C7EC7" w:rsidRPr="00B568F3">
              <w:rPr>
                <w:rFonts w:ascii="Arial" w:eastAsia="Calibri" w:hAnsi="Arial" w:cs="Arial"/>
                <w:sz w:val="24"/>
                <w:szCs w:val="24"/>
              </w:rPr>
              <w:t xml:space="preserve">. </w:t>
            </w:r>
            <w:r w:rsidR="00CD34BB" w:rsidRPr="00B568F3">
              <w:rPr>
                <w:rFonts w:ascii="Arial" w:eastAsia="Calibri" w:hAnsi="Arial" w:cs="Arial"/>
                <w:sz w:val="24"/>
                <w:szCs w:val="24"/>
              </w:rPr>
              <w:t>This</w:t>
            </w:r>
            <w:r w:rsidRPr="00B568F3">
              <w:rPr>
                <w:rFonts w:ascii="Arial" w:eastAsia="Calibri" w:hAnsi="Arial" w:cs="Arial"/>
                <w:sz w:val="24"/>
                <w:szCs w:val="24"/>
              </w:rPr>
              <w:t xml:space="preserve"> helped develop a final report including suggestions on </w:t>
            </w:r>
            <w:r w:rsidR="00D45BC6" w:rsidRPr="00B568F3">
              <w:rPr>
                <w:rFonts w:ascii="Arial" w:eastAsia="Calibri" w:hAnsi="Arial" w:cs="Arial"/>
                <w:sz w:val="24"/>
                <w:szCs w:val="24"/>
              </w:rPr>
              <w:t xml:space="preserve">how to improve </w:t>
            </w:r>
            <w:r w:rsidRPr="00B568F3">
              <w:rPr>
                <w:rFonts w:ascii="Arial" w:eastAsia="Calibri" w:hAnsi="Arial" w:cs="Arial"/>
                <w:sz w:val="24"/>
                <w:szCs w:val="24"/>
              </w:rPr>
              <w:t xml:space="preserve">training. This was presented to the </w:t>
            </w:r>
            <w:r w:rsidR="008334BB" w:rsidRPr="00B568F3">
              <w:rPr>
                <w:rFonts w:ascii="Arial" w:eastAsia="Calibri" w:hAnsi="Arial" w:cs="Arial"/>
                <w:sz w:val="24"/>
                <w:szCs w:val="24"/>
              </w:rPr>
              <w:t>D</w:t>
            </w:r>
            <w:r w:rsidRPr="00B568F3">
              <w:rPr>
                <w:rFonts w:ascii="Arial" w:eastAsia="Calibri" w:hAnsi="Arial" w:cs="Arial"/>
                <w:sz w:val="24"/>
                <w:szCs w:val="24"/>
              </w:rPr>
              <w:t xml:space="preserve">ual </w:t>
            </w:r>
            <w:r w:rsidR="008334BB" w:rsidRPr="00B568F3">
              <w:rPr>
                <w:rFonts w:ascii="Arial" w:eastAsia="Calibri" w:hAnsi="Arial" w:cs="Arial"/>
                <w:sz w:val="24"/>
                <w:szCs w:val="24"/>
              </w:rPr>
              <w:t>D</w:t>
            </w:r>
            <w:r w:rsidRPr="00B568F3">
              <w:rPr>
                <w:rFonts w:ascii="Arial" w:eastAsia="Calibri" w:hAnsi="Arial" w:cs="Arial"/>
                <w:sz w:val="24"/>
                <w:szCs w:val="24"/>
              </w:rPr>
              <w:t xml:space="preserve">iagnosis </w:t>
            </w:r>
            <w:r w:rsidR="008334BB" w:rsidRPr="00B568F3">
              <w:rPr>
                <w:rFonts w:ascii="Arial" w:eastAsia="Calibri" w:hAnsi="Arial" w:cs="Arial"/>
                <w:sz w:val="24"/>
                <w:szCs w:val="24"/>
              </w:rPr>
              <w:t>S</w:t>
            </w:r>
            <w:r w:rsidRPr="00B568F3">
              <w:rPr>
                <w:rFonts w:ascii="Arial" w:eastAsia="Calibri" w:hAnsi="Arial" w:cs="Arial"/>
                <w:sz w:val="24"/>
                <w:szCs w:val="24"/>
              </w:rPr>
              <w:t xml:space="preserve">teering Group </w:t>
            </w:r>
            <w:r w:rsidR="000C2EF5" w:rsidRPr="00B568F3">
              <w:rPr>
                <w:rFonts w:ascii="Arial" w:eastAsia="Calibri" w:hAnsi="Arial" w:cs="Arial"/>
                <w:sz w:val="24"/>
                <w:szCs w:val="24"/>
              </w:rPr>
              <w:t>to approve</w:t>
            </w:r>
            <w:r w:rsidRPr="00B568F3">
              <w:rPr>
                <w:rFonts w:ascii="Arial" w:eastAsia="Calibri" w:hAnsi="Arial" w:cs="Arial"/>
                <w:sz w:val="24"/>
                <w:szCs w:val="24"/>
              </w:rPr>
              <w:t xml:space="preserve"> in November 2023 and to the Area Planning Board for advice about further steps. </w:t>
            </w:r>
            <w:r w:rsidR="00192BCD" w:rsidRPr="00B568F3">
              <w:rPr>
                <w:rFonts w:ascii="Arial" w:eastAsia="Calibri" w:hAnsi="Arial" w:cs="Arial"/>
                <w:sz w:val="24"/>
                <w:szCs w:val="24"/>
              </w:rPr>
              <w:t>It</w:t>
            </w:r>
            <w:r w:rsidRPr="00B568F3">
              <w:rPr>
                <w:rFonts w:ascii="Arial" w:eastAsia="Calibri" w:hAnsi="Arial" w:cs="Arial"/>
                <w:sz w:val="24"/>
                <w:szCs w:val="24"/>
              </w:rPr>
              <w:t xml:space="preserve"> was also presented to the Emotional Wellbeing and Mental Health Board in January 2024 for</w:t>
            </w:r>
            <w:r w:rsidR="00192BCD" w:rsidRPr="00B568F3">
              <w:rPr>
                <w:rFonts w:ascii="Arial" w:eastAsia="Calibri" w:hAnsi="Arial" w:cs="Arial"/>
                <w:sz w:val="24"/>
                <w:szCs w:val="24"/>
              </w:rPr>
              <w:t xml:space="preserve"> their</w:t>
            </w:r>
            <w:r w:rsidRPr="00B568F3">
              <w:rPr>
                <w:rFonts w:ascii="Arial" w:eastAsia="Calibri" w:hAnsi="Arial" w:cs="Arial"/>
                <w:sz w:val="24"/>
                <w:szCs w:val="24"/>
              </w:rPr>
              <w:t xml:space="preserve"> information</w:t>
            </w:r>
            <w:r w:rsidR="6AECC6C4" w:rsidRPr="00B568F3">
              <w:rPr>
                <w:rFonts w:ascii="Arial" w:eastAsia="Calibri" w:hAnsi="Arial" w:cs="Arial"/>
                <w:sz w:val="24"/>
                <w:szCs w:val="24"/>
              </w:rPr>
              <w:t xml:space="preserve">. </w:t>
            </w:r>
          </w:p>
          <w:p w14:paraId="656A96C9" w14:textId="77777777" w:rsidR="002D1B1F" w:rsidRPr="00B568F3" w:rsidRDefault="002D1B1F" w:rsidP="00FC716F">
            <w:pPr>
              <w:rPr>
                <w:rFonts w:ascii="Arial" w:eastAsia="Calibri" w:hAnsi="Arial" w:cs="Arial"/>
                <w:sz w:val="24"/>
                <w:szCs w:val="24"/>
              </w:rPr>
            </w:pPr>
          </w:p>
          <w:p w14:paraId="45278A57" w14:textId="77777777" w:rsidR="002D1B1F" w:rsidRPr="00B568F3" w:rsidRDefault="002D1B1F" w:rsidP="00FC716F">
            <w:pPr>
              <w:rPr>
                <w:rFonts w:ascii="Arial" w:eastAsia="Calibri" w:hAnsi="Arial" w:cs="Arial"/>
                <w:sz w:val="24"/>
                <w:szCs w:val="24"/>
              </w:rPr>
            </w:pPr>
            <w:r w:rsidRPr="00B568F3">
              <w:rPr>
                <w:rFonts w:ascii="Arial" w:eastAsia="Calibri" w:hAnsi="Arial" w:cs="Arial"/>
                <w:sz w:val="24"/>
                <w:szCs w:val="24"/>
              </w:rPr>
              <w:t>Key areas of training identified included;</w:t>
            </w:r>
          </w:p>
          <w:p w14:paraId="18F305F9" w14:textId="715CEC5B" w:rsidR="002D1B1F" w:rsidRPr="00B568F3" w:rsidRDefault="00192BCD" w:rsidP="00632461">
            <w:pPr>
              <w:pStyle w:val="ListParagraph"/>
              <w:numPr>
                <w:ilvl w:val="0"/>
                <w:numId w:val="8"/>
              </w:numPr>
              <w:rPr>
                <w:rFonts w:ascii="Arial" w:eastAsia="Calibri" w:hAnsi="Arial" w:cs="Arial"/>
                <w:sz w:val="24"/>
                <w:szCs w:val="24"/>
              </w:rPr>
            </w:pPr>
            <w:r w:rsidRPr="00B568F3">
              <w:rPr>
                <w:rFonts w:ascii="Arial" w:eastAsia="Calibri" w:hAnsi="Arial" w:cs="Arial"/>
                <w:sz w:val="24"/>
                <w:szCs w:val="24"/>
              </w:rPr>
              <w:t>m</w:t>
            </w:r>
            <w:r w:rsidR="002D1B1F" w:rsidRPr="00B568F3">
              <w:rPr>
                <w:rFonts w:ascii="Arial" w:eastAsia="Calibri" w:hAnsi="Arial" w:cs="Arial"/>
                <w:sz w:val="24"/>
                <w:szCs w:val="24"/>
              </w:rPr>
              <w:t xml:space="preserve">ental </w:t>
            </w:r>
            <w:r w:rsidRPr="00B568F3">
              <w:rPr>
                <w:rFonts w:ascii="Arial" w:eastAsia="Calibri" w:hAnsi="Arial" w:cs="Arial"/>
                <w:sz w:val="24"/>
                <w:szCs w:val="24"/>
              </w:rPr>
              <w:t>h</w:t>
            </w:r>
            <w:r w:rsidR="002D1B1F" w:rsidRPr="00B568F3">
              <w:rPr>
                <w:rFonts w:ascii="Arial" w:eastAsia="Calibri" w:hAnsi="Arial" w:cs="Arial"/>
                <w:sz w:val="24"/>
                <w:szCs w:val="24"/>
              </w:rPr>
              <w:t xml:space="preserve">ealth </w:t>
            </w:r>
            <w:r w:rsidRPr="00B568F3">
              <w:rPr>
                <w:rFonts w:ascii="Arial" w:eastAsia="Calibri" w:hAnsi="Arial" w:cs="Arial"/>
                <w:sz w:val="24"/>
                <w:szCs w:val="24"/>
              </w:rPr>
              <w:t>a</w:t>
            </w:r>
            <w:r w:rsidR="002D1B1F" w:rsidRPr="00B568F3">
              <w:rPr>
                <w:rFonts w:ascii="Arial" w:eastAsia="Calibri" w:hAnsi="Arial" w:cs="Arial"/>
                <w:sz w:val="24"/>
                <w:szCs w:val="24"/>
              </w:rPr>
              <w:t>wareness</w:t>
            </w:r>
          </w:p>
          <w:p w14:paraId="3E38D72E" w14:textId="189A59EB" w:rsidR="002D1B1F" w:rsidRPr="00B568F3" w:rsidRDefault="00192BCD" w:rsidP="00632461">
            <w:pPr>
              <w:pStyle w:val="ListParagraph"/>
              <w:numPr>
                <w:ilvl w:val="0"/>
                <w:numId w:val="8"/>
              </w:numPr>
              <w:rPr>
                <w:rFonts w:ascii="Arial" w:eastAsia="Calibri" w:hAnsi="Arial" w:cs="Arial"/>
                <w:sz w:val="24"/>
                <w:szCs w:val="24"/>
              </w:rPr>
            </w:pPr>
            <w:r w:rsidRPr="00B568F3">
              <w:rPr>
                <w:rFonts w:ascii="Arial" w:eastAsia="Calibri" w:hAnsi="Arial" w:cs="Arial"/>
                <w:sz w:val="24"/>
                <w:szCs w:val="24"/>
              </w:rPr>
              <w:t>s</w:t>
            </w:r>
            <w:r w:rsidR="002D1B1F" w:rsidRPr="00B568F3">
              <w:rPr>
                <w:rFonts w:ascii="Arial" w:eastAsia="Calibri" w:hAnsi="Arial" w:cs="Arial"/>
                <w:sz w:val="24"/>
                <w:szCs w:val="24"/>
              </w:rPr>
              <w:t xml:space="preserve">ubstance </w:t>
            </w:r>
            <w:r w:rsidRPr="00B568F3">
              <w:rPr>
                <w:rFonts w:ascii="Arial" w:eastAsia="Calibri" w:hAnsi="Arial" w:cs="Arial"/>
                <w:sz w:val="24"/>
                <w:szCs w:val="24"/>
              </w:rPr>
              <w:t>m</w:t>
            </w:r>
            <w:r w:rsidR="002D1B1F" w:rsidRPr="00B568F3">
              <w:rPr>
                <w:rFonts w:ascii="Arial" w:eastAsia="Calibri" w:hAnsi="Arial" w:cs="Arial"/>
                <w:sz w:val="24"/>
                <w:szCs w:val="24"/>
              </w:rPr>
              <w:t>isuse</w:t>
            </w:r>
          </w:p>
          <w:p w14:paraId="25A3E29E" w14:textId="437B61E9" w:rsidR="002D1B1F" w:rsidRPr="00B568F3" w:rsidRDefault="00192BCD" w:rsidP="00632461">
            <w:pPr>
              <w:pStyle w:val="ListParagraph"/>
              <w:numPr>
                <w:ilvl w:val="0"/>
                <w:numId w:val="8"/>
              </w:numPr>
              <w:rPr>
                <w:rFonts w:ascii="Arial" w:eastAsia="Calibri" w:hAnsi="Arial" w:cs="Arial"/>
                <w:sz w:val="24"/>
                <w:szCs w:val="24"/>
              </w:rPr>
            </w:pPr>
            <w:r w:rsidRPr="00B568F3">
              <w:rPr>
                <w:rFonts w:ascii="Arial" w:eastAsia="Calibri" w:hAnsi="Arial" w:cs="Arial"/>
                <w:sz w:val="24"/>
                <w:szCs w:val="24"/>
              </w:rPr>
              <w:t>c</w:t>
            </w:r>
            <w:r w:rsidR="002D1B1F" w:rsidRPr="00B568F3">
              <w:rPr>
                <w:rFonts w:ascii="Arial" w:eastAsia="Calibri" w:hAnsi="Arial" w:cs="Arial"/>
                <w:sz w:val="24"/>
                <w:szCs w:val="24"/>
              </w:rPr>
              <w:t xml:space="preserve">o-occurring </w:t>
            </w:r>
            <w:r w:rsidRPr="00B568F3">
              <w:rPr>
                <w:rFonts w:ascii="Arial" w:eastAsia="Calibri" w:hAnsi="Arial" w:cs="Arial"/>
                <w:sz w:val="24"/>
                <w:szCs w:val="24"/>
              </w:rPr>
              <w:t>n</w:t>
            </w:r>
            <w:r w:rsidR="002D1B1F" w:rsidRPr="00B568F3">
              <w:rPr>
                <w:rFonts w:ascii="Arial" w:eastAsia="Calibri" w:hAnsi="Arial" w:cs="Arial"/>
                <w:sz w:val="24"/>
                <w:szCs w:val="24"/>
              </w:rPr>
              <w:t>eeds</w:t>
            </w:r>
          </w:p>
          <w:p w14:paraId="1B399840" w14:textId="03E58589" w:rsidR="002D1B1F" w:rsidRPr="00B568F3" w:rsidRDefault="00192BCD" w:rsidP="00632461">
            <w:pPr>
              <w:pStyle w:val="ListParagraph"/>
              <w:numPr>
                <w:ilvl w:val="0"/>
                <w:numId w:val="8"/>
              </w:numPr>
              <w:rPr>
                <w:rFonts w:ascii="Arial" w:eastAsia="Calibri" w:hAnsi="Arial" w:cs="Arial"/>
                <w:sz w:val="24"/>
                <w:szCs w:val="24"/>
              </w:rPr>
            </w:pPr>
            <w:r w:rsidRPr="00B568F3">
              <w:rPr>
                <w:rFonts w:ascii="Arial" w:eastAsia="Calibri" w:hAnsi="Arial" w:cs="Arial"/>
                <w:sz w:val="24"/>
                <w:szCs w:val="24"/>
              </w:rPr>
              <w:t>local t</w:t>
            </w:r>
            <w:r w:rsidR="002D1B1F" w:rsidRPr="00B568F3">
              <w:rPr>
                <w:rFonts w:ascii="Arial" w:eastAsia="Calibri" w:hAnsi="Arial" w:cs="Arial"/>
                <w:sz w:val="24"/>
                <w:szCs w:val="24"/>
              </w:rPr>
              <w:t xml:space="preserve">raining </w:t>
            </w:r>
            <w:r w:rsidRPr="00B568F3">
              <w:rPr>
                <w:rFonts w:ascii="Arial" w:eastAsia="Calibri" w:hAnsi="Arial" w:cs="Arial"/>
                <w:sz w:val="24"/>
                <w:szCs w:val="24"/>
              </w:rPr>
              <w:t>that’s joined up with</w:t>
            </w:r>
            <w:r w:rsidR="002D1B1F" w:rsidRPr="00B568F3">
              <w:rPr>
                <w:rFonts w:ascii="Arial" w:eastAsia="Calibri" w:hAnsi="Arial" w:cs="Arial"/>
                <w:sz w:val="24"/>
                <w:szCs w:val="24"/>
              </w:rPr>
              <w:t xml:space="preserve"> relevant partner agencies</w:t>
            </w:r>
          </w:p>
          <w:p w14:paraId="0B92825B" w14:textId="174078C4" w:rsidR="002D1B1F" w:rsidRPr="00B568F3" w:rsidRDefault="00A256DF" w:rsidP="00632461">
            <w:pPr>
              <w:pStyle w:val="ListParagraph"/>
              <w:numPr>
                <w:ilvl w:val="0"/>
                <w:numId w:val="8"/>
              </w:numPr>
              <w:rPr>
                <w:rFonts w:ascii="Arial" w:eastAsia="Calibri" w:hAnsi="Arial" w:cs="Arial"/>
                <w:sz w:val="24"/>
                <w:szCs w:val="24"/>
              </w:rPr>
            </w:pPr>
            <w:r w:rsidRPr="00B568F3">
              <w:rPr>
                <w:rFonts w:ascii="Arial" w:eastAsia="Calibri" w:hAnsi="Arial" w:cs="Arial"/>
                <w:sz w:val="24"/>
                <w:szCs w:val="24"/>
              </w:rPr>
              <w:t>t</w:t>
            </w:r>
            <w:r w:rsidR="002D1B1F" w:rsidRPr="00B568F3">
              <w:rPr>
                <w:rFonts w:ascii="Arial" w:eastAsia="Calibri" w:hAnsi="Arial" w:cs="Arial"/>
                <w:sz w:val="24"/>
                <w:szCs w:val="24"/>
              </w:rPr>
              <w:t>rauma informed care</w:t>
            </w:r>
          </w:p>
          <w:p w14:paraId="0E9F8BE4" w14:textId="1D8AA1C5" w:rsidR="002D1B1F" w:rsidRPr="00B568F3" w:rsidRDefault="00A256DF" w:rsidP="00632461">
            <w:pPr>
              <w:pStyle w:val="ListParagraph"/>
              <w:numPr>
                <w:ilvl w:val="0"/>
                <w:numId w:val="8"/>
              </w:numPr>
              <w:rPr>
                <w:rFonts w:ascii="Arial" w:eastAsia="Calibri" w:hAnsi="Arial" w:cs="Arial"/>
                <w:sz w:val="24"/>
                <w:szCs w:val="24"/>
              </w:rPr>
            </w:pPr>
            <w:r w:rsidRPr="00B568F3">
              <w:rPr>
                <w:rFonts w:ascii="Arial" w:eastAsia="Calibri" w:hAnsi="Arial" w:cs="Arial"/>
                <w:sz w:val="24"/>
                <w:szCs w:val="24"/>
              </w:rPr>
              <w:t>s</w:t>
            </w:r>
            <w:r w:rsidR="002D1B1F" w:rsidRPr="00B568F3">
              <w:rPr>
                <w:rFonts w:ascii="Arial" w:eastAsia="Calibri" w:hAnsi="Arial" w:cs="Arial"/>
                <w:sz w:val="24"/>
                <w:szCs w:val="24"/>
              </w:rPr>
              <w:t>elf-</w:t>
            </w:r>
            <w:r w:rsidRPr="00B568F3">
              <w:rPr>
                <w:rFonts w:ascii="Arial" w:eastAsia="Calibri" w:hAnsi="Arial" w:cs="Arial"/>
                <w:sz w:val="24"/>
                <w:szCs w:val="24"/>
              </w:rPr>
              <w:t>h</w:t>
            </w:r>
            <w:r w:rsidR="002D1B1F" w:rsidRPr="00B568F3">
              <w:rPr>
                <w:rFonts w:ascii="Arial" w:eastAsia="Calibri" w:hAnsi="Arial" w:cs="Arial"/>
                <w:sz w:val="24"/>
                <w:szCs w:val="24"/>
              </w:rPr>
              <w:t>arm and motivational interviewing</w:t>
            </w:r>
            <w:r w:rsidR="1DACAFB2" w:rsidRPr="00B568F3">
              <w:rPr>
                <w:rFonts w:ascii="Arial" w:eastAsia="Calibri" w:hAnsi="Arial" w:cs="Arial"/>
                <w:sz w:val="24"/>
                <w:szCs w:val="24"/>
              </w:rPr>
              <w:t>.</w:t>
            </w:r>
          </w:p>
          <w:p w14:paraId="19C67176" w14:textId="77777777" w:rsidR="002D1B1F" w:rsidRPr="00B568F3" w:rsidRDefault="002D1B1F" w:rsidP="00FC716F">
            <w:pPr>
              <w:rPr>
                <w:rFonts w:ascii="Arial" w:eastAsia="Calibri" w:hAnsi="Arial" w:cs="Arial"/>
                <w:sz w:val="24"/>
                <w:szCs w:val="24"/>
              </w:rPr>
            </w:pPr>
          </w:p>
          <w:p w14:paraId="7FBE05EC" w14:textId="68796B31" w:rsidR="002D1B1F" w:rsidRPr="00B568F3" w:rsidRDefault="002D1B1F" w:rsidP="00FC716F">
            <w:pPr>
              <w:rPr>
                <w:rFonts w:ascii="Arial" w:eastAsia="Calibri" w:hAnsi="Arial" w:cs="Arial"/>
                <w:sz w:val="24"/>
                <w:szCs w:val="24"/>
              </w:rPr>
            </w:pPr>
            <w:r w:rsidRPr="00B568F3">
              <w:rPr>
                <w:rFonts w:ascii="Arial" w:eastAsia="Calibri" w:hAnsi="Arial" w:cs="Arial"/>
                <w:sz w:val="24"/>
                <w:szCs w:val="24"/>
              </w:rPr>
              <w:t xml:space="preserve">This </w:t>
            </w:r>
            <w:r w:rsidR="00A256DF" w:rsidRPr="00B568F3">
              <w:rPr>
                <w:rFonts w:ascii="Arial" w:eastAsia="Calibri" w:hAnsi="Arial" w:cs="Arial"/>
                <w:sz w:val="24"/>
                <w:szCs w:val="24"/>
              </w:rPr>
              <w:t xml:space="preserve">large </w:t>
            </w:r>
            <w:r w:rsidRPr="00B568F3">
              <w:rPr>
                <w:rFonts w:ascii="Arial" w:eastAsia="Calibri" w:hAnsi="Arial" w:cs="Arial"/>
                <w:sz w:val="24"/>
                <w:szCs w:val="24"/>
              </w:rPr>
              <w:t xml:space="preserve">piece of work is expected to take place through </w:t>
            </w:r>
            <w:r w:rsidR="4CC94C8B" w:rsidRPr="00B568F3">
              <w:rPr>
                <w:rFonts w:ascii="Arial" w:eastAsia="Calibri" w:hAnsi="Arial" w:cs="Arial"/>
                <w:sz w:val="24"/>
                <w:szCs w:val="24"/>
              </w:rPr>
              <w:t>20</w:t>
            </w:r>
            <w:r w:rsidRPr="00B568F3">
              <w:rPr>
                <w:rFonts w:ascii="Arial" w:eastAsia="Calibri" w:hAnsi="Arial" w:cs="Arial"/>
                <w:sz w:val="24"/>
                <w:szCs w:val="24"/>
              </w:rPr>
              <w:t>24</w:t>
            </w:r>
            <w:r w:rsidR="00A256DF" w:rsidRPr="00B568F3">
              <w:rPr>
                <w:rFonts w:ascii="Arial" w:eastAsia="Calibri" w:hAnsi="Arial" w:cs="Arial"/>
                <w:sz w:val="24"/>
                <w:szCs w:val="24"/>
              </w:rPr>
              <w:t xml:space="preserve"> to 20</w:t>
            </w:r>
            <w:r w:rsidRPr="00B568F3">
              <w:rPr>
                <w:rFonts w:ascii="Arial" w:eastAsia="Calibri" w:hAnsi="Arial" w:cs="Arial"/>
                <w:sz w:val="24"/>
                <w:szCs w:val="24"/>
              </w:rPr>
              <w:t>25.</w:t>
            </w:r>
          </w:p>
          <w:p w14:paraId="6CFB8837" w14:textId="04F24E21" w:rsidR="00771459" w:rsidRPr="00B568F3" w:rsidRDefault="00771459" w:rsidP="00FC716F">
            <w:pPr>
              <w:rPr>
                <w:rFonts w:ascii="Arial" w:eastAsia="Calibri" w:hAnsi="Arial" w:cs="Arial"/>
                <w:color w:val="FF0000"/>
                <w:sz w:val="24"/>
                <w:szCs w:val="24"/>
              </w:rPr>
            </w:pPr>
          </w:p>
        </w:tc>
      </w:tr>
    </w:tbl>
    <w:p w14:paraId="566C44D1" w14:textId="77777777" w:rsidR="002D1B1F" w:rsidRPr="00B568F3" w:rsidRDefault="002D1B1F" w:rsidP="002D1B1F">
      <w:pPr>
        <w:spacing w:after="0" w:line="240" w:lineRule="auto"/>
        <w:rPr>
          <w:rFonts w:ascii="Arial" w:eastAsia="Calibri" w:hAnsi="Arial" w:cs="Arial"/>
          <w:color w:val="FF0000"/>
          <w:sz w:val="24"/>
          <w:szCs w:val="24"/>
        </w:rPr>
      </w:pPr>
    </w:p>
    <w:tbl>
      <w:tblPr>
        <w:tblStyle w:val="TableGrid"/>
        <w:tblW w:w="0" w:type="auto"/>
        <w:tblLook w:val="04A0" w:firstRow="1" w:lastRow="0" w:firstColumn="1" w:lastColumn="0" w:noHBand="0" w:noVBand="1"/>
      </w:tblPr>
      <w:tblGrid>
        <w:gridCol w:w="9016"/>
      </w:tblGrid>
      <w:tr w:rsidR="002D1B1F" w:rsidRPr="00B568F3" w14:paraId="360884C5" w14:textId="77777777" w:rsidTr="4BA15C28">
        <w:tc>
          <w:tcPr>
            <w:tcW w:w="9016" w:type="dxa"/>
          </w:tcPr>
          <w:p w14:paraId="1298EB62" w14:textId="77777777" w:rsidR="002D1B1F" w:rsidRPr="00B568F3" w:rsidRDefault="002D1B1F" w:rsidP="00FC716F">
            <w:pPr>
              <w:rPr>
                <w:rFonts w:ascii="Arial" w:eastAsia="Calibri" w:hAnsi="Arial" w:cs="Arial"/>
                <w:b/>
                <w:bCs/>
                <w:sz w:val="24"/>
                <w:szCs w:val="24"/>
              </w:rPr>
            </w:pPr>
            <w:r w:rsidRPr="00B568F3">
              <w:rPr>
                <w:rFonts w:ascii="Arial" w:eastAsia="Calibri" w:hAnsi="Arial" w:cs="Arial"/>
                <w:b/>
                <w:bCs/>
                <w:sz w:val="24"/>
                <w:szCs w:val="24"/>
              </w:rPr>
              <w:t>Highlight</w:t>
            </w:r>
          </w:p>
          <w:p w14:paraId="0F8ABFD5" w14:textId="77777777" w:rsidR="002D1B1F" w:rsidRPr="00B568F3" w:rsidRDefault="002D1B1F" w:rsidP="00FC716F">
            <w:pPr>
              <w:rPr>
                <w:rFonts w:ascii="Arial" w:eastAsia="Calibri" w:hAnsi="Arial" w:cs="Arial"/>
                <w:sz w:val="24"/>
                <w:szCs w:val="24"/>
              </w:rPr>
            </w:pPr>
          </w:p>
          <w:p w14:paraId="58EE0ED1" w14:textId="19098457" w:rsidR="002D1B1F" w:rsidRPr="00B568F3" w:rsidRDefault="00D92BD2" w:rsidP="00FC716F">
            <w:pPr>
              <w:rPr>
                <w:rFonts w:ascii="Arial" w:eastAsia="Calibri" w:hAnsi="Arial" w:cs="Arial"/>
                <w:sz w:val="24"/>
                <w:szCs w:val="24"/>
              </w:rPr>
            </w:pPr>
            <w:r w:rsidRPr="00B568F3">
              <w:rPr>
                <w:rFonts w:ascii="Arial" w:eastAsia="Calibri" w:hAnsi="Arial" w:cs="Arial"/>
                <w:sz w:val="24"/>
                <w:szCs w:val="24"/>
              </w:rPr>
              <w:t>As well as</w:t>
            </w:r>
            <w:r w:rsidR="002D1B1F" w:rsidRPr="00B568F3">
              <w:rPr>
                <w:rFonts w:ascii="Arial" w:eastAsia="Calibri" w:hAnsi="Arial" w:cs="Arial"/>
                <w:sz w:val="24"/>
                <w:szCs w:val="24"/>
              </w:rPr>
              <w:t xml:space="preserve"> the regional programme and AMHP County Forum, a significant programme of training has been offered to the mental health workforce including</w:t>
            </w:r>
            <w:r w:rsidR="00FE09C9" w:rsidRPr="00B568F3">
              <w:rPr>
                <w:rFonts w:ascii="Arial" w:eastAsia="Calibri" w:hAnsi="Arial" w:cs="Arial"/>
                <w:sz w:val="24"/>
                <w:szCs w:val="24"/>
              </w:rPr>
              <w:t xml:space="preserve"> in the region</w:t>
            </w:r>
            <w:r w:rsidR="002D1B1F" w:rsidRPr="00B568F3">
              <w:rPr>
                <w:rFonts w:ascii="Arial" w:eastAsia="Calibri" w:hAnsi="Arial" w:cs="Arial"/>
                <w:sz w:val="24"/>
                <w:szCs w:val="24"/>
              </w:rPr>
              <w:t xml:space="preserve">: </w:t>
            </w:r>
          </w:p>
          <w:p w14:paraId="3FBB49DB" w14:textId="1096C860" w:rsidR="002D1B1F" w:rsidRPr="00B568F3" w:rsidRDefault="002D1B1F" w:rsidP="00632461">
            <w:pPr>
              <w:pStyle w:val="ListParagraph"/>
              <w:numPr>
                <w:ilvl w:val="0"/>
                <w:numId w:val="10"/>
              </w:numPr>
              <w:rPr>
                <w:rFonts w:ascii="Arial" w:eastAsia="Calibri" w:hAnsi="Arial" w:cs="Arial"/>
                <w:sz w:val="24"/>
                <w:szCs w:val="24"/>
              </w:rPr>
            </w:pPr>
            <w:r w:rsidRPr="00B568F3">
              <w:rPr>
                <w:rFonts w:ascii="Arial" w:eastAsia="Calibri" w:hAnsi="Arial" w:cs="Arial"/>
                <w:sz w:val="24"/>
                <w:szCs w:val="24"/>
              </w:rPr>
              <w:t>Advanced Mental Capacity Ac</w:t>
            </w:r>
            <w:r w:rsidR="347FA467" w:rsidRPr="00B568F3">
              <w:rPr>
                <w:rFonts w:ascii="Arial" w:eastAsia="Calibri" w:hAnsi="Arial" w:cs="Arial"/>
                <w:sz w:val="24"/>
                <w:szCs w:val="24"/>
              </w:rPr>
              <w:t>t</w:t>
            </w:r>
          </w:p>
          <w:p w14:paraId="0F0D3FE9" w14:textId="0391C0AD" w:rsidR="002D1B1F" w:rsidRPr="00B568F3" w:rsidRDefault="002D1B1F" w:rsidP="00632461">
            <w:pPr>
              <w:pStyle w:val="ListParagraph"/>
              <w:numPr>
                <w:ilvl w:val="0"/>
                <w:numId w:val="10"/>
              </w:numPr>
              <w:rPr>
                <w:rFonts w:ascii="Arial" w:eastAsia="Calibri" w:hAnsi="Arial" w:cs="Arial"/>
                <w:sz w:val="24"/>
                <w:szCs w:val="24"/>
              </w:rPr>
            </w:pPr>
            <w:r w:rsidRPr="00B568F3">
              <w:rPr>
                <w:rFonts w:ascii="Arial" w:eastAsia="Calibri" w:hAnsi="Arial" w:cs="Arial"/>
                <w:sz w:val="24"/>
                <w:szCs w:val="24"/>
              </w:rPr>
              <w:t xml:space="preserve">Best Interest Assessor annual update </w:t>
            </w:r>
          </w:p>
          <w:p w14:paraId="0A598FF6" w14:textId="2E70D3F1" w:rsidR="002D1B1F" w:rsidRPr="00B568F3" w:rsidRDefault="008334BB" w:rsidP="00632461">
            <w:pPr>
              <w:pStyle w:val="ListParagraph"/>
              <w:numPr>
                <w:ilvl w:val="0"/>
                <w:numId w:val="10"/>
              </w:numPr>
              <w:rPr>
                <w:rFonts w:ascii="Arial" w:eastAsia="Calibri" w:hAnsi="Arial" w:cs="Arial"/>
                <w:sz w:val="24"/>
                <w:szCs w:val="24"/>
              </w:rPr>
            </w:pPr>
            <w:r w:rsidRPr="00B568F3">
              <w:rPr>
                <w:rFonts w:ascii="Arial" w:eastAsia="Calibri" w:hAnsi="Arial" w:cs="Arial"/>
                <w:sz w:val="24"/>
                <w:szCs w:val="24"/>
              </w:rPr>
              <w:t>D</w:t>
            </w:r>
            <w:r w:rsidR="002D1B1F" w:rsidRPr="00B568F3">
              <w:rPr>
                <w:rFonts w:ascii="Arial" w:eastAsia="Calibri" w:hAnsi="Arial" w:cs="Arial"/>
                <w:sz w:val="24"/>
                <w:szCs w:val="24"/>
              </w:rPr>
              <w:t xml:space="preserve">eprivation of </w:t>
            </w:r>
            <w:r w:rsidRPr="00B568F3">
              <w:rPr>
                <w:rFonts w:ascii="Arial" w:eastAsia="Calibri" w:hAnsi="Arial" w:cs="Arial"/>
                <w:sz w:val="24"/>
                <w:szCs w:val="24"/>
              </w:rPr>
              <w:t>L</w:t>
            </w:r>
            <w:r w:rsidR="002D1B1F" w:rsidRPr="00B568F3">
              <w:rPr>
                <w:rFonts w:ascii="Arial" w:eastAsia="Calibri" w:hAnsi="Arial" w:cs="Arial"/>
                <w:sz w:val="24"/>
                <w:szCs w:val="24"/>
              </w:rPr>
              <w:t xml:space="preserve">iberty Authorised Signatories </w:t>
            </w:r>
          </w:p>
          <w:p w14:paraId="28F47A54" w14:textId="397F7E19" w:rsidR="002D1B1F" w:rsidRPr="00B568F3" w:rsidRDefault="008B7214" w:rsidP="00632461">
            <w:pPr>
              <w:pStyle w:val="ListParagraph"/>
              <w:numPr>
                <w:ilvl w:val="0"/>
                <w:numId w:val="10"/>
              </w:numPr>
              <w:rPr>
                <w:rFonts w:ascii="Arial" w:eastAsia="Calibri" w:hAnsi="Arial" w:cs="Arial"/>
                <w:sz w:val="24"/>
                <w:szCs w:val="24"/>
              </w:rPr>
            </w:pPr>
            <w:r w:rsidRPr="00B568F3">
              <w:rPr>
                <w:rFonts w:ascii="Arial" w:eastAsia="Calibri" w:hAnsi="Arial" w:cs="Arial"/>
                <w:sz w:val="24"/>
                <w:szCs w:val="24"/>
              </w:rPr>
              <w:t>c</w:t>
            </w:r>
            <w:r w:rsidR="002D1B1F" w:rsidRPr="00B568F3">
              <w:rPr>
                <w:rFonts w:ascii="Arial" w:eastAsia="Calibri" w:hAnsi="Arial" w:cs="Arial"/>
                <w:sz w:val="24"/>
                <w:szCs w:val="24"/>
              </w:rPr>
              <w:t xml:space="preserve">hemical restraint </w:t>
            </w:r>
          </w:p>
          <w:p w14:paraId="4605B791" w14:textId="552D36B0" w:rsidR="002D1B1F" w:rsidRPr="00B568F3" w:rsidRDefault="002264DD" w:rsidP="00632461">
            <w:pPr>
              <w:pStyle w:val="ListParagraph"/>
              <w:numPr>
                <w:ilvl w:val="0"/>
                <w:numId w:val="9"/>
              </w:numPr>
              <w:rPr>
                <w:rFonts w:ascii="Arial" w:eastAsia="Calibri" w:hAnsi="Arial" w:cs="Arial"/>
                <w:sz w:val="24"/>
                <w:szCs w:val="24"/>
              </w:rPr>
            </w:pPr>
            <w:r w:rsidRPr="00B568F3">
              <w:rPr>
                <w:rFonts w:ascii="Arial" w:eastAsia="Calibri" w:hAnsi="Arial" w:cs="Arial"/>
                <w:sz w:val="24"/>
                <w:szCs w:val="24"/>
              </w:rPr>
              <w:t>a</w:t>
            </w:r>
            <w:r w:rsidR="002D1B1F" w:rsidRPr="00B568F3">
              <w:rPr>
                <w:rFonts w:ascii="Arial" w:eastAsia="Calibri" w:hAnsi="Arial" w:cs="Arial"/>
                <w:sz w:val="24"/>
                <w:szCs w:val="24"/>
              </w:rPr>
              <w:t xml:space="preserve">ssessing </w:t>
            </w:r>
            <w:r w:rsidRPr="00B568F3">
              <w:rPr>
                <w:rFonts w:ascii="Arial" w:eastAsia="Calibri" w:hAnsi="Arial" w:cs="Arial"/>
                <w:sz w:val="24"/>
                <w:szCs w:val="24"/>
              </w:rPr>
              <w:t>r</w:t>
            </w:r>
            <w:r w:rsidR="002D1B1F" w:rsidRPr="00B568F3">
              <w:rPr>
                <w:rFonts w:ascii="Arial" w:eastAsia="Calibri" w:hAnsi="Arial" w:cs="Arial"/>
                <w:sz w:val="24"/>
                <w:szCs w:val="24"/>
              </w:rPr>
              <w:t xml:space="preserve">isk </w:t>
            </w:r>
            <w:r w:rsidR="001F4B9D" w:rsidRPr="00B568F3">
              <w:rPr>
                <w:rFonts w:ascii="Arial" w:eastAsia="Calibri" w:hAnsi="Arial" w:cs="Arial"/>
                <w:sz w:val="24"/>
                <w:szCs w:val="24"/>
              </w:rPr>
              <w:t>and</w:t>
            </w:r>
            <w:r w:rsidR="002D1B1F" w:rsidRPr="00B568F3">
              <w:rPr>
                <w:rFonts w:ascii="Arial" w:eastAsia="Calibri" w:hAnsi="Arial" w:cs="Arial"/>
                <w:sz w:val="24"/>
                <w:szCs w:val="24"/>
              </w:rPr>
              <w:t xml:space="preserve"> </w:t>
            </w:r>
            <w:r w:rsidRPr="00B568F3">
              <w:rPr>
                <w:rFonts w:ascii="Arial" w:eastAsia="Calibri" w:hAnsi="Arial" w:cs="Arial"/>
                <w:sz w:val="24"/>
                <w:szCs w:val="24"/>
              </w:rPr>
              <w:t>p</w:t>
            </w:r>
            <w:r w:rsidR="002D1B1F" w:rsidRPr="00B568F3">
              <w:rPr>
                <w:rFonts w:ascii="Arial" w:eastAsia="Calibri" w:hAnsi="Arial" w:cs="Arial"/>
                <w:sz w:val="24"/>
                <w:szCs w:val="24"/>
              </w:rPr>
              <w:t xml:space="preserve">ersonal </w:t>
            </w:r>
            <w:r w:rsidRPr="00B568F3">
              <w:rPr>
                <w:rFonts w:ascii="Arial" w:eastAsia="Calibri" w:hAnsi="Arial" w:cs="Arial"/>
                <w:sz w:val="24"/>
                <w:szCs w:val="24"/>
              </w:rPr>
              <w:t>s</w:t>
            </w:r>
            <w:r w:rsidR="002D1B1F" w:rsidRPr="00B568F3">
              <w:rPr>
                <w:rFonts w:ascii="Arial" w:eastAsia="Calibri" w:hAnsi="Arial" w:cs="Arial"/>
                <w:sz w:val="24"/>
                <w:szCs w:val="24"/>
              </w:rPr>
              <w:t xml:space="preserve">afety </w:t>
            </w:r>
          </w:p>
          <w:p w14:paraId="6460015A" w14:textId="4297DDD9" w:rsidR="002D1B1F" w:rsidRPr="00B568F3" w:rsidRDefault="002264DD" w:rsidP="00632461">
            <w:pPr>
              <w:pStyle w:val="ListParagraph"/>
              <w:numPr>
                <w:ilvl w:val="0"/>
                <w:numId w:val="9"/>
              </w:numPr>
              <w:rPr>
                <w:rFonts w:ascii="Arial" w:eastAsia="Calibri" w:hAnsi="Arial" w:cs="Arial"/>
                <w:sz w:val="24"/>
                <w:szCs w:val="24"/>
              </w:rPr>
            </w:pPr>
            <w:r w:rsidRPr="00B568F3">
              <w:rPr>
                <w:rFonts w:ascii="Arial" w:eastAsia="Calibri" w:hAnsi="Arial" w:cs="Arial"/>
                <w:sz w:val="24"/>
                <w:szCs w:val="24"/>
              </w:rPr>
              <w:t>p</w:t>
            </w:r>
            <w:r w:rsidR="002D1B1F" w:rsidRPr="00B568F3">
              <w:rPr>
                <w:rFonts w:ascii="Arial" w:eastAsia="Calibri" w:hAnsi="Arial" w:cs="Arial"/>
                <w:sz w:val="24"/>
                <w:szCs w:val="24"/>
              </w:rPr>
              <w:t xml:space="preserve">sychosis </w:t>
            </w:r>
          </w:p>
          <w:p w14:paraId="5220C511" w14:textId="7BE24AE8" w:rsidR="002D1B1F" w:rsidRPr="00B568F3" w:rsidRDefault="002264DD" w:rsidP="00632461">
            <w:pPr>
              <w:pStyle w:val="ListParagraph"/>
              <w:numPr>
                <w:ilvl w:val="0"/>
                <w:numId w:val="9"/>
              </w:numPr>
              <w:rPr>
                <w:rFonts w:ascii="Arial" w:eastAsia="Calibri" w:hAnsi="Arial" w:cs="Arial"/>
                <w:sz w:val="24"/>
                <w:szCs w:val="24"/>
              </w:rPr>
            </w:pPr>
            <w:r w:rsidRPr="00B568F3">
              <w:rPr>
                <w:rFonts w:ascii="Arial" w:eastAsia="Calibri" w:hAnsi="Arial" w:cs="Arial"/>
                <w:sz w:val="24"/>
                <w:szCs w:val="24"/>
              </w:rPr>
              <w:t>m</w:t>
            </w:r>
            <w:r w:rsidR="002D1B1F" w:rsidRPr="00B568F3">
              <w:rPr>
                <w:rFonts w:ascii="Arial" w:eastAsia="Calibri" w:hAnsi="Arial" w:cs="Arial"/>
                <w:sz w:val="24"/>
                <w:szCs w:val="24"/>
              </w:rPr>
              <w:t xml:space="preserve">ental </w:t>
            </w:r>
            <w:r w:rsidRPr="00B568F3">
              <w:rPr>
                <w:rFonts w:ascii="Arial" w:eastAsia="Calibri" w:hAnsi="Arial" w:cs="Arial"/>
                <w:sz w:val="24"/>
                <w:szCs w:val="24"/>
              </w:rPr>
              <w:t>h</w:t>
            </w:r>
            <w:r w:rsidR="002D1B1F" w:rsidRPr="00B568F3">
              <w:rPr>
                <w:rFonts w:ascii="Arial" w:eastAsia="Calibri" w:hAnsi="Arial" w:cs="Arial"/>
                <w:sz w:val="24"/>
                <w:szCs w:val="24"/>
              </w:rPr>
              <w:t xml:space="preserve">ealth medication </w:t>
            </w:r>
            <w:r w:rsidRPr="00B568F3">
              <w:rPr>
                <w:rFonts w:ascii="Arial" w:eastAsia="Calibri" w:hAnsi="Arial" w:cs="Arial"/>
                <w:sz w:val="24"/>
                <w:szCs w:val="24"/>
              </w:rPr>
              <w:t>and</w:t>
            </w:r>
            <w:r w:rsidR="002D1B1F" w:rsidRPr="00B568F3">
              <w:rPr>
                <w:rFonts w:ascii="Arial" w:eastAsia="Calibri" w:hAnsi="Arial" w:cs="Arial"/>
                <w:sz w:val="24"/>
                <w:szCs w:val="24"/>
              </w:rPr>
              <w:t xml:space="preserve"> supporting young people’s mental healt</w:t>
            </w:r>
            <w:r w:rsidR="23B4E0C8" w:rsidRPr="00B568F3">
              <w:rPr>
                <w:rFonts w:ascii="Arial" w:eastAsia="Calibri" w:hAnsi="Arial" w:cs="Arial"/>
                <w:sz w:val="24"/>
                <w:szCs w:val="24"/>
              </w:rPr>
              <w:t>h</w:t>
            </w:r>
            <w:r w:rsidR="002D1B1F" w:rsidRPr="00B568F3">
              <w:rPr>
                <w:rFonts w:ascii="Arial" w:eastAsia="Calibri" w:hAnsi="Arial" w:cs="Arial"/>
                <w:sz w:val="24"/>
                <w:szCs w:val="24"/>
              </w:rPr>
              <w:t xml:space="preserve"> </w:t>
            </w:r>
          </w:p>
          <w:p w14:paraId="4E35022E" w14:textId="6191BFE3" w:rsidR="002D1B1F" w:rsidRPr="00B568F3" w:rsidRDefault="002264DD" w:rsidP="00632461">
            <w:pPr>
              <w:pStyle w:val="ListParagraph"/>
              <w:numPr>
                <w:ilvl w:val="0"/>
                <w:numId w:val="9"/>
              </w:numPr>
              <w:rPr>
                <w:rFonts w:ascii="Arial" w:eastAsia="Calibri" w:hAnsi="Arial" w:cs="Arial"/>
                <w:sz w:val="24"/>
                <w:szCs w:val="24"/>
              </w:rPr>
            </w:pPr>
            <w:r w:rsidRPr="00B568F3">
              <w:rPr>
                <w:rFonts w:ascii="Arial" w:eastAsia="Calibri" w:hAnsi="Arial" w:cs="Arial"/>
                <w:sz w:val="24"/>
                <w:szCs w:val="24"/>
              </w:rPr>
              <w:t>a</w:t>
            </w:r>
            <w:r w:rsidR="002D1B1F" w:rsidRPr="00B568F3">
              <w:rPr>
                <w:rFonts w:ascii="Arial" w:eastAsia="Calibri" w:hAnsi="Arial" w:cs="Arial"/>
                <w:sz w:val="24"/>
                <w:szCs w:val="24"/>
              </w:rPr>
              <w:t xml:space="preserve">ssessing people with </w:t>
            </w:r>
            <w:r w:rsidR="00534544" w:rsidRPr="00B568F3">
              <w:rPr>
                <w:rFonts w:ascii="Arial" w:eastAsia="Calibri" w:hAnsi="Arial" w:cs="Arial"/>
                <w:sz w:val="24"/>
                <w:szCs w:val="24"/>
              </w:rPr>
              <w:t xml:space="preserve">autism </w:t>
            </w:r>
            <w:r w:rsidRPr="00B568F3">
              <w:rPr>
                <w:rFonts w:ascii="Arial" w:eastAsia="Calibri" w:hAnsi="Arial" w:cs="Arial"/>
                <w:sz w:val="24"/>
                <w:szCs w:val="24"/>
              </w:rPr>
              <w:t>and</w:t>
            </w:r>
            <w:r w:rsidR="002D1B1F" w:rsidRPr="00B568F3">
              <w:rPr>
                <w:rFonts w:ascii="Arial" w:eastAsia="Calibri" w:hAnsi="Arial" w:cs="Arial"/>
                <w:sz w:val="24"/>
                <w:szCs w:val="24"/>
              </w:rPr>
              <w:t xml:space="preserve"> </w:t>
            </w:r>
            <w:r w:rsidR="00534544" w:rsidRPr="00B568F3">
              <w:rPr>
                <w:rFonts w:ascii="Arial" w:eastAsia="Calibri" w:hAnsi="Arial" w:cs="Arial"/>
                <w:sz w:val="24"/>
                <w:szCs w:val="24"/>
              </w:rPr>
              <w:t>attention deficit hyperactivity disorder</w:t>
            </w:r>
            <w:r w:rsidR="007B793F" w:rsidRPr="00B568F3">
              <w:rPr>
                <w:rFonts w:ascii="Arial" w:eastAsia="Calibri" w:hAnsi="Arial" w:cs="Arial"/>
                <w:sz w:val="24"/>
                <w:szCs w:val="24"/>
              </w:rPr>
              <w:t xml:space="preserve"> (</w:t>
            </w:r>
            <w:r w:rsidR="002D1B1F" w:rsidRPr="00B568F3">
              <w:rPr>
                <w:rFonts w:ascii="Arial" w:eastAsia="Calibri" w:hAnsi="Arial" w:cs="Arial"/>
                <w:sz w:val="24"/>
                <w:szCs w:val="24"/>
              </w:rPr>
              <w:t>ADHD</w:t>
            </w:r>
            <w:r w:rsidR="007B793F" w:rsidRPr="00B568F3">
              <w:rPr>
                <w:rFonts w:ascii="Arial" w:eastAsia="Calibri" w:hAnsi="Arial" w:cs="Arial"/>
                <w:sz w:val="24"/>
                <w:szCs w:val="24"/>
              </w:rPr>
              <w:t>)</w:t>
            </w:r>
            <w:r w:rsidR="002D1B1F" w:rsidRPr="00B568F3">
              <w:rPr>
                <w:rFonts w:ascii="Arial" w:eastAsia="Calibri" w:hAnsi="Arial" w:cs="Arial"/>
                <w:sz w:val="24"/>
                <w:szCs w:val="24"/>
              </w:rPr>
              <w:t xml:space="preserve"> under the </w:t>
            </w:r>
            <w:r w:rsidR="00534544" w:rsidRPr="00B568F3">
              <w:rPr>
                <w:rFonts w:ascii="Arial" w:eastAsia="Calibri" w:hAnsi="Arial" w:cs="Arial"/>
                <w:sz w:val="24"/>
                <w:szCs w:val="24"/>
              </w:rPr>
              <w:t>M</w:t>
            </w:r>
            <w:r w:rsidR="002D1B1F" w:rsidRPr="00B568F3">
              <w:rPr>
                <w:rFonts w:ascii="Arial" w:eastAsia="Calibri" w:hAnsi="Arial" w:cs="Arial"/>
                <w:sz w:val="24"/>
                <w:szCs w:val="24"/>
              </w:rPr>
              <w:t xml:space="preserve">ental </w:t>
            </w:r>
            <w:r w:rsidR="00534544" w:rsidRPr="00B568F3">
              <w:rPr>
                <w:rFonts w:ascii="Arial" w:eastAsia="Calibri" w:hAnsi="Arial" w:cs="Arial"/>
                <w:sz w:val="24"/>
                <w:szCs w:val="24"/>
              </w:rPr>
              <w:t>H</w:t>
            </w:r>
            <w:r w:rsidR="002D1B1F" w:rsidRPr="00B568F3">
              <w:rPr>
                <w:rFonts w:ascii="Arial" w:eastAsia="Calibri" w:hAnsi="Arial" w:cs="Arial"/>
                <w:sz w:val="24"/>
                <w:szCs w:val="24"/>
              </w:rPr>
              <w:t xml:space="preserve">ealth </w:t>
            </w:r>
            <w:r w:rsidR="00534544" w:rsidRPr="00B568F3">
              <w:rPr>
                <w:rFonts w:ascii="Arial" w:eastAsia="Calibri" w:hAnsi="Arial" w:cs="Arial"/>
                <w:sz w:val="24"/>
                <w:szCs w:val="24"/>
              </w:rPr>
              <w:t>A</w:t>
            </w:r>
            <w:r w:rsidR="002D1B1F" w:rsidRPr="00B568F3">
              <w:rPr>
                <w:rFonts w:ascii="Arial" w:eastAsia="Calibri" w:hAnsi="Arial" w:cs="Arial"/>
                <w:sz w:val="24"/>
                <w:szCs w:val="24"/>
              </w:rPr>
              <w:t xml:space="preserve">ct </w:t>
            </w:r>
          </w:p>
          <w:p w14:paraId="62A172DB" w14:textId="50B4E606" w:rsidR="002D1B1F" w:rsidRPr="00B568F3" w:rsidRDefault="00F950A2" w:rsidP="00632461">
            <w:pPr>
              <w:pStyle w:val="ListParagraph"/>
              <w:numPr>
                <w:ilvl w:val="0"/>
                <w:numId w:val="9"/>
              </w:numPr>
              <w:rPr>
                <w:rFonts w:ascii="Arial" w:eastAsia="Calibri" w:hAnsi="Arial" w:cs="Arial"/>
                <w:sz w:val="24"/>
                <w:szCs w:val="24"/>
              </w:rPr>
            </w:pPr>
            <w:r w:rsidRPr="00B568F3">
              <w:rPr>
                <w:rFonts w:ascii="Arial" w:eastAsia="Calibri" w:hAnsi="Arial" w:cs="Arial"/>
                <w:sz w:val="24"/>
                <w:szCs w:val="24"/>
              </w:rPr>
              <w:t>a</w:t>
            </w:r>
            <w:r w:rsidR="002D1B1F" w:rsidRPr="00B568F3">
              <w:rPr>
                <w:rFonts w:ascii="Arial" w:eastAsia="Calibri" w:hAnsi="Arial" w:cs="Arial"/>
                <w:sz w:val="24"/>
                <w:szCs w:val="24"/>
              </w:rPr>
              <w:t xml:space="preserve">ssessing </w:t>
            </w:r>
            <w:r w:rsidRPr="00B568F3">
              <w:rPr>
                <w:rFonts w:ascii="Arial" w:eastAsia="Calibri" w:hAnsi="Arial" w:cs="Arial"/>
                <w:sz w:val="24"/>
                <w:szCs w:val="24"/>
              </w:rPr>
              <w:t>p</w:t>
            </w:r>
            <w:r w:rsidR="002D1B1F" w:rsidRPr="00B568F3">
              <w:rPr>
                <w:rFonts w:ascii="Arial" w:eastAsia="Calibri" w:hAnsi="Arial" w:cs="Arial"/>
                <w:sz w:val="24"/>
                <w:szCs w:val="24"/>
              </w:rPr>
              <w:t xml:space="preserve">eople with </w:t>
            </w:r>
            <w:r w:rsidRPr="00B568F3">
              <w:rPr>
                <w:rFonts w:ascii="Arial" w:eastAsia="Calibri" w:hAnsi="Arial" w:cs="Arial"/>
                <w:sz w:val="24"/>
                <w:szCs w:val="24"/>
              </w:rPr>
              <w:t>o</w:t>
            </w:r>
            <w:r w:rsidR="002D1B1F" w:rsidRPr="00B568F3">
              <w:rPr>
                <w:rFonts w:ascii="Arial" w:eastAsia="Calibri" w:hAnsi="Arial" w:cs="Arial"/>
                <w:sz w:val="24"/>
                <w:szCs w:val="24"/>
              </w:rPr>
              <w:t xml:space="preserve">rganic </w:t>
            </w:r>
            <w:r w:rsidR="00482674" w:rsidRPr="00B568F3">
              <w:rPr>
                <w:rFonts w:ascii="Arial" w:eastAsia="Calibri" w:hAnsi="Arial" w:cs="Arial"/>
                <w:sz w:val="24"/>
                <w:szCs w:val="24"/>
              </w:rPr>
              <w:t>b</w:t>
            </w:r>
            <w:r w:rsidR="002D1B1F" w:rsidRPr="00B568F3">
              <w:rPr>
                <w:rFonts w:ascii="Arial" w:eastAsia="Calibri" w:hAnsi="Arial" w:cs="Arial"/>
                <w:sz w:val="24"/>
                <w:szCs w:val="24"/>
              </w:rPr>
              <w:t xml:space="preserve">rain </w:t>
            </w:r>
            <w:r w:rsidR="00482674" w:rsidRPr="00B568F3">
              <w:rPr>
                <w:rFonts w:ascii="Arial" w:eastAsia="Calibri" w:hAnsi="Arial" w:cs="Arial"/>
                <w:sz w:val="24"/>
                <w:szCs w:val="24"/>
              </w:rPr>
              <w:t>d</w:t>
            </w:r>
            <w:r w:rsidR="002D1B1F" w:rsidRPr="00B568F3">
              <w:rPr>
                <w:rFonts w:ascii="Arial" w:eastAsia="Calibri" w:hAnsi="Arial" w:cs="Arial"/>
                <w:sz w:val="24"/>
                <w:szCs w:val="24"/>
              </w:rPr>
              <w:t>iseases under the Mental Health Act</w:t>
            </w:r>
          </w:p>
          <w:p w14:paraId="66C014B9" w14:textId="7DB69AC1" w:rsidR="002D1B1F" w:rsidRPr="00B568F3" w:rsidRDefault="00482674" w:rsidP="00632461">
            <w:pPr>
              <w:pStyle w:val="ListParagraph"/>
              <w:numPr>
                <w:ilvl w:val="0"/>
                <w:numId w:val="9"/>
              </w:numPr>
              <w:rPr>
                <w:rFonts w:ascii="Arial" w:eastAsia="Calibri" w:hAnsi="Arial" w:cs="Arial"/>
                <w:sz w:val="24"/>
                <w:szCs w:val="24"/>
              </w:rPr>
            </w:pPr>
            <w:r w:rsidRPr="00B568F3">
              <w:rPr>
                <w:rFonts w:ascii="Arial" w:eastAsia="Calibri" w:hAnsi="Arial" w:cs="Arial"/>
                <w:sz w:val="24"/>
                <w:szCs w:val="24"/>
              </w:rPr>
              <w:t>m</w:t>
            </w:r>
            <w:r w:rsidR="002D1B1F" w:rsidRPr="00B568F3">
              <w:rPr>
                <w:rFonts w:ascii="Arial" w:eastAsia="Calibri" w:hAnsi="Arial" w:cs="Arial"/>
                <w:sz w:val="24"/>
                <w:szCs w:val="24"/>
              </w:rPr>
              <w:t>ental health legal update for AMHPs.</w:t>
            </w:r>
          </w:p>
          <w:p w14:paraId="71E7DCE3" w14:textId="77777777" w:rsidR="002D1B1F" w:rsidRPr="00B568F3" w:rsidRDefault="002D1B1F" w:rsidP="00FC716F">
            <w:pPr>
              <w:pStyle w:val="ListParagraph"/>
              <w:rPr>
                <w:rFonts w:ascii="Arial" w:eastAsia="Calibri" w:hAnsi="Arial" w:cs="Arial"/>
                <w:sz w:val="24"/>
                <w:szCs w:val="24"/>
              </w:rPr>
            </w:pPr>
          </w:p>
          <w:p w14:paraId="6711EEF1" w14:textId="0984DFB9" w:rsidR="00771459" w:rsidRPr="00B568F3" w:rsidRDefault="002D1B1F" w:rsidP="000A776E">
            <w:pPr>
              <w:rPr>
                <w:rFonts w:ascii="Arial" w:eastAsia="Calibri" w:hAnsi="Arial" w:cs="Arial"/>
                <w:sz w:val="24"/>
                <w:szCs w:val="24"/>
              </w:rPr>
            </w:pPr>
            <w:r w:rsidRPr="00B568F3">
              <w:rPr>
                <w:rFonts w:ascii="Arial" w:eastAsia="Calibri" w:hAnsi="Arial" w:cs="Arial"/>
                <w:sz w:val="24"/>
                <w:szCs w:val="24"/>
              </w:rPr>
              <w:t>A</w:t>
            </w:r>
            <w:r w:rsidR="00367220" w:rsidRPr="00B568F3">
              <w:rPr>
                <w:rFonts w:ascii="Arial" w:eastAsia="Calibri" w:hAnsi="Arial" w:cs="Arial"/>
                <w:sz w:val="24"/>
                <w:szCs w:val="24"/>
              </w:rPr>
              <w:t xml:space="preserve"> mapping and gapping event with partners was held to work together</w:t>
            </w:r>
            <w:r w:rsidRPr="00B568F3">
              <w:rPr>
                <w:rFonts w:ascii="Arial" w:eastAsia="Calibri" w:hAnsi="Arial" w:cs="Arial"/>
                <w:sz w:val="24"/>
                <w:szCs w:val="24"/>
              </w:rPr>
              <w:t xml:space="preserve"> to prevent suicide </w:t>
            </w:r>
            <w:r w:rsidR="00367220" w:rsidRPr="00B568F3">
              <w:rPr>
                <w:rFonts w:ascii="Arial" w:eastAsia="Calibri" w:hAnsi="Arial" w:cs="Arial"/>
                <w:sz w:val="24"/>
                <w:szCs w:val="24"/>
              </w:rPr>
              <w:t>and</w:t>
            </w:r>
            <w:r w:rsidRPr="00B568F3">
              <w:rPr>
                <w:rFonts w:ascii="Arial" w:eastAsia="Calibri" w:hAnsi="Arial" w:cs="Arial"/>
                <w:sz w:val="24"/>
                <w:szCs w:val="24"/>
              </w:rPr>
              <w:t xml:space="preserve"> self- harm.</w:t>
            </w:r>
          </w:p>
        </w:tc>
      </w:tr>
    </w:tbl>
    <w:p w14:paraId="5F7760DA" w14:textId="77777777" w:rsidR="00563D20" w:rsidRPr="000C06A7" w:rsidRDefault="00563D20" w:rsidP="00A3409E">
      <w:pPr>
        <w:spacing w:after="200" w:line="276" w:lineRule="auto"/>
        <w:ind w:left="567"/>
        <w:contextualSpacing/>
        <w:rPr>
          <w:rFonts w:ascii="Arial" w:eastAsia="Calibri" w:hAnsi="Arial" w:cs="Arial"/>
          <w:sz w:val="24"/>
          <w:szCs w:val="24"/>
        </w:rPr>
      </w:pPr>
    </w:p>
    <w:p w14:paraId="72A25246" w14:textId="15B056C5" w:rsidR="002D1B1F" w:rsidRPr="000C06A7" w:rsidRDefault="3C9E34C1" w:rsidP="00632461">
      <w:pPr>
        <w:numPr>
          <w:ilvl w:val="0"/>
          <w:numId w:val="6"/>
        </w:numPr>
        <w:spacing w:after="200" w:line="276" w:lineRule="auto"/>
        <w:ind w:left="567" w:hanging="425"/>
        <w:contextualSpacing/>
        <w:rPr>
          <w:rFonts w:ascii="Arial" w:eastAsia="Calibri" w:hAnsi="Arial" w:cs="Arial"/>
          <w:sz w:val="24"/>
          <w:szCs w:val="24"/>
        </w:rPr>
      </w:pPr>
      <w:r w:rsidRPr="000C06A7">
        <w:rPr>
          <w:rFonts w:ascii="Arial" w:eastAsia="Calibri" w:hAnsi="Arial" w:cs="Arial"/>
          <w:sz w:val="24"/>
          <w:szCs w:val="24"/>
        </w:rPr>
        <w:t>Most</w:t>
      </w:r>
      <w:r w:rsidR="002D1B1F" w:rsidRPr="000C06A7">
        <w:rPr>
          <w:rFonts w:ascii="Arial" w:eastAsia="Calibri" w:hAnsi="Arial" w:cs="Arial"/>
          <w:sz w:val="24"/>
          <w:szCs w:val="24"/>
        </w:rPr>
        <w:t xml:space="preserve"> examples of work </w:t>
      </w:r>
      <w:r w:rsidR="00503807" w:rsidRPr="000C06A7">
        <w:rPr>
          <w:rFonts w:ascii="Arial" w:eastAsia="Calibri" w:hAnsi="Arial" w:cs="Arial"/>
          <w:sz w:val="24"/>
          <w:szCs w:val="24"/>
        </w:rPr>
        <w:t>taken on</w:t>
      </w:r>
      <w:r w:rsidR="002D1B1F" w:rsidRPr="000C06A7">
        <w:rPr>
          <w:rFonts w:ascii="Arial" w:eastAsia="Calibri" w:hAnsi="Arial" w:cs="Arial"/>
          <w:sz w:val="24"/>
          <w:szCs w:val="24"/>
        </w:rPr>
        <w:t xml:space="preserve"> are connected to attraction, </w:t>
      </w:r>
      <w:bookmarkStart w:id="32" w:name="_Int_LgmDOWOP"/>
      <w:r w:rsidR="002D1B1F" w:rsidRPr="000C06A7">
        <w:rPr>
          <w:rFonts w:ascii="Arial" w:eastAsia="Calibri" w:hAnsi="Arial" w:cs="Arial"/>
          <w:sz w:val="24"/>
          <w:szCs w:val="24"/>
        </w:rPr>
        <w:t>recruitment</w:t>
      </w:r>
      <w:bookmarkEnd w:id="32"/>
      <w:r w:rsidR="002D1B1F" w:rsidRPr="000C06A7">
        <w:rPr>
          <w:rFonts w:ascii="Arial" w:eastAsia="Calibri" w:hAnsi="Arial" w:cs="Arial"/>
          <w:sz w:val="24"/>
          <w:szCs w:val="24"/>
        </w:rPr>
        <w:t xml:space="preserve"> and retention to support workforce planning and </w:t>
      </w:r>
      <w:r w:rsidR="0024229B" w:rsidRPr="000C06A7">
        <w:rPr>
          <w:rFonts w:ascii="Arial" w:eastAsia="Calibri" w:hAnsi="Arial" w:cs="Arial"/>
          <w:sz w:val="24"/>
          <w:szCs w:val="24"/>
        </w:rPr>
        <w:t xml:space="preserve">to </w:t>
      </w:r>
      <w:r w:rsidR="00191052" w:rsidRPr="000C06A7">
        <w:rPr>
          <w:rFonts w:ascii="Arial" w:eastAsia="Calibri" w:hAnsi="Arial" w:cs="Arial"/>
          <w:sz w:val="24"/>
          <w:szCs w:val="24"/>
        </w:rPr>
        <w:t xml:space="preserve">make sure </w:t>
      </w:r>
      <w:r w:rsidR="00AB33C3" w:rsidRPr="000C06A7">
        <w:rPr>
          <w:rFonts w:ascii="Arial" w:eastAsia="Calibri" w:hAnsi="Arial" w:cs="Arial"/>
          <w:sz w:val="24"/>
          <w:szCs w:val="24"/>
        </w:rPr>
        <w:t>there</w:t>
      </w:r>
      <w:r w:rsidR="00001917" w:rsidRPr="000C06A7">
        <w:rPr>
          <w:rFonts w:ascii="Arial" w:eastAsia="Calibri" w:hAnsi="Arial" w:cs="Arial"/>
          <w:sz w:val="24"/>
          <w:szCs w:val="24"/>
        </w:rPr>
        <w:t>’s</w:t>
      </w:r>
      <w:r w:rsidR="007B0EE0" w:rsidRPr="000C06A7">
        <w:rPr>
          <w:rFonts w:ascii="Arial" w:eastAsia="Calibri" w:hAnsi="Arial" w:cs="Arial"/>
          <w:sz w:val="24"/>
          <w:szCs w:val="24"/>
        </w:rPr>
        <w:t xml:space="preserve"> sufficient</w:t>
      </w:r>
      <w:r w:rsidR="002D1B1F" w:rsidRPr="000C06A7">
        <w:rPr>
          <w:rFonts w:ascii="Arial" w:eastAsia="Calibri" w:hAnsi="Arial" w:cs="Arial"/>
          <w:sz w:val="24"/>
          <w:szCs w:val="24"/>
        </w:rPr>
        <w:t xml:space="preserve"> workforce across the sector.</w:t>
      </w:r>
    </w:p>
    <w:p w14:paraId="293DD9C4" w14:textId="77777777" w:rsidR="00C26980" w:rsidRPr="000C06A7" w:rsidRDefault="00C26980" w:rsidP="00C26980">
      <w:pPr>
        <w:spacing w:after="200" w:line="276" w:lineRule="auto"/>
        <w:ind w:left="567"/>
        <w:contextualSpacing/>
        <w:rPr>
          <w:rFonts w:ascii="Arial" w:eastAsia="Calibri" w:hAnsi="Arial" w:cs="Arial"/>
          <w:bCs/>
          <w:sz w:val="24"/>
          <w:szCs w:val="24"/>
        </w:rPr>
      </w:pPr>
    </w:p>
    <w:p w14:paraId="5E2F4529" w14:textId="21D7AF9F" w:rsidR="00C26980" w:rsidRPr="000C06A7" w:rsidRDefault="002D1B1F" w:rsidP="00632461">
      <w:pPr>
        <w:numPr>
          <w:ilvl w:val="0"/>
          <w:numId w:val="6"/>
        </w:numPr>
        <w:spacing w:after="200" w:line="276" w:lineRule="auto"/>
        <w:ind w:left="567" w:hanging="425"/>
        <w:contextualSpacing/>
        <w:rPr>
          <w:rFonts w:ascii="Arial" w:eastAsia="Calibri" w:hAnsi="Arial" w:cs="Arial"/>
          <w:sz w:val="24"/>
          <w:szCs w:val="24"/>
        </w:rPr>
      </w:pPr>
      <w:r w:rsidRPr="000C06A7">
        <w:rPr>
          <w:rFonts w:ascii="Arial" w:eastAsia="Calibri" w:hAnsi="Arial" w:cs="Arial"/>
          <w:sz w:val="24"/>
          <w:szCs w:val="24"/>
        </w:rPr>
        <w:t>There</w:t>
      </w:r>
      <w:r w:rsidR="00440F52" w:rsidRPr="000C06A7">
        <w:rPr>
          <w:rFonts w:ascii="Arial" w:eastAsia="Calibri" w:hAnsi="Arial" w:cs="Arial"/>
          <w:sz w:val="24"/>
          <w:szCs w:val="24"/>
        </w:rPr>
        <w:t>’</w:t>
      </w:r>
      <w:r w:rsidRPr="000C06A7">
        <w:rPr>
          <w:rFonts w:ascii="Arial" w:eastAsia="Calibri" w:hAnsi="Arial" w:cs="Arial"/>
          <w:sz w:val="24"/>
          <w:szCs w:val="24"/>
        </w:rPr>
        <w:t xml:space="preserve">s evidence across some regions of </w:t>
      </w:r>
      <w:r w:rsidR="00301BC9" w:rsidRPr="000C06A7">
        <w:rPr>
          <w:rFonts w:ascii="Arial" w:eastAsia="Calibri" w:hAnsi="Arial" w:cs="Arial"/>
          <w:sz w:val="24"/>
          <w:szCs w:val="24"/>
        </w:rPr>
        <w:t xml:space="preserve">more </w:t>
      </w:r>
      <w:r w:rsidRPr="000C06A7">
        <w:rPr>
          <w:rFonts w:ascii="Arial" w:eastAsia="Calibri" w:hAnsi="Arial" w:cs="Arial"/>
          <w:sz w:val="24"/>
          <w:szCs w:val="24"/>
        </w:rPr>
        <w:t xml:space="preserve">investment in </w:t>
      </w:r>
      <w:r w:rsidR="5DEA289F" w:rsidRPr="000C06A7">
        <w:rPr>
          <w:rFonts w:ascii="Arial" w:eastAsia="Calibri" w:hAnsi="Arial" w:cs="Arial"/>
          <w:sz w:val="24"/>
          <w:szCs w:val="24"/>
        </w:rPr>
        <w:t>supporting i</w:t>
      </w:r>
      <w:r w:rsidRPr="000C06A7">
        <w:rPr>
          <w:rFonts w:ascii="Arial" w:eastAsia="Calibri" w:hAnsi="Arial" w:cs="Arial"/>
          <w:sz w:val="24"/>
          <w:szCs w:val="24"/>
        </w:rPr>
        <w:t xml:space="preserve">nternational </w:t>
      </w:r>
      <w:r w:rsidR="00C06A09" w:rsidRPr="000C06A7">
        <w:rPr>
          <w:rFonts w:ascii="Arial" w:eastAsia="Calibri" w:hAnsi="Arial" w:cs="Arial"/>
          <w:sz w:val="24"/>
          <w:szCs w:val="24"/>
        </w:rPr>
        <w:t>workers</w:t>
      </w:r>
      <w:r w:rsidRPr="000C06A7">
        <w:rPr>
          <w:rFonts w:ascii="Arial" w:eastAsia="Calibri" w:hAnsi="Arial" w:cs="Arial"/>
          <w:sz w:val="24"/>
          <w:szCs w:val="24"/>
        </w:rPr>
        <w:t>.</w:t>
      </w:r>
    </w:p>
    <w:p w14:paraId="69C45FBE" w14:textId="77777777" w:rsidR="00C26980" w:rsidRPr="000C06A7" w:rsidRDefault="00C26980" w:rsidP="00C26980">
      <w:pPr>
        <w:spacing w:after="200" w:line="276" w:lineRule="auto"/>
        <w:contextualSpacing/>
        <w:rPr>
          <w:rFonts w:ascii="Arial" w:eastAsia="Calibri" w:hAnsi="Arial" w:cs="Arial"/>
          <w:bCs/>
          <w:sz w:val="24"/>
          <w:szCs w:val="24"/>
        </w:rPr>
      </w:pPr>
    </w:p>
    <w:p w14:paraId="73C23468" w14:textId="6A793BE1" w:rsidR="002D1B1F" w:rsidRPr="000C06A7" w:rsidRDefault="002D1B1F" w:rsidP="00632461">
      <w:pPr>
        <w:numPr>
          <w:ilvl w:val="0"/>
          <w:numId w:val="6"/>
        </w:numPr>
        <w:spacing w:after="200" w:line="276" w:lineRule="auto"/>
        <w:ind w:left="567" w:hanging="425"/>
        <w:contextualSpacing/>
        <w:rPr>
          <w:rFonts w:ascii="Arial" w:eastAsia="Calibri" w:hAnsi="Arial" w:cs="Arial"/>
          <w:sz w:val="24"/>
          <w:szCs w:val="24"/>
        </w:rPr>
      </w:pPr>
      <w:r w:rsidRPr="000C06A7">
        <w:rPr>
          <w:rFonts w:ascii="Arial" w:eastAsia="Calibri" w:hAnsi="Arial" w:cs="Arial"/>
          <w:sz w:val="24"/>
          <w:szCs w:val="24"/>
        </w:rPr>
        <w:t xml:space="preserve">Many regions </w:t>
      </w:r>
      <w:r w:rsidR="00301BC9" w:rsidRPr="000C06A7">
        <w:rPr>
          <w:rFonts w:ascii="Arial" w:eastAsia="Calibri" w:hAnsi="Arial" w:cs="Arial"/>
          <w:sz w:val="24"/>
          <w:szCs w:val="24"/>
        </w:rPr>
        <w:t xml:space="preserve">use </w:t>
      </w:r>
      <w:r w:rsidRPr="000C06A7">
        <w:rPr>
          <w:rFonts w:ascii="Arial" w:eastAsia="Calibri" w:hAnsi="Arial" w:cs="Arial"/>
          <w:sz w:val="24"/>
          <w:szCs w:val="24"/>
        </w:rPr>
        <w:t>their own unique ‘Introduction to Social Care’ programmes</w:t>
      </w:r>
      <w:r w:rsidR="4F6EC837" w:rsidRPr="000C06A7">
        <w:rPr>
          <w:rFonts w:ascii="Arial" w:eastAsia="Calibri" w:hAnsi="Arial" w:cs="Arial"/>
          <w:sz w:val="24"/>
          <w:szCs w:val="24"/>
        </w:rPr>
        <w:t>.</w:t>
      </w:r>
    </w:p>
    <w:p w14:paraId="536F6880" w14:textId="77777777" w:rsidR="00C26980" w:rsidRPr="000C06A7" w:rsidRDefault="00C26980" w:rsidP="00C26980">
      <w:pPr>
        <w:spacing w:after="200" w:line="276" w:lineRule="auto"/>
        <w:contextualSpacing/>
        <w:rPr>
          <w:rFonts w:ascii="Arial" w:eastAsia="Calibri" w:hAnsi="Arial" w:cs="Arial"/>
          <w:bCs/>
          <w:sz w:val="24"/>
          <w:szCs w:val="24"/>
        </w:rPr>
      </w:pPr>
    </w:p>
    <w:p w14:paraId="7C617F26" w14:textId="62ACF96A" w:rsidR="002D1B1F" w:rsidRPr="000C06A7" w:rsidRDefault="002D1B1F" w:rsidP="00632461">
      <w:pPr>
        <w:numPr>
          <w:ilvl w:val="0"/>
          <w:numId w:val="6"/>
        </w:numPr>
        <w:spacing w:after="200" w:line="276" w:lineRule="auto"/>
        <w:ind w:left="567" w:hanging="425"/>
        <w:contextualSpacing/>
        <w:rPr>
          <w:rFonts w:ascii="Arial" w:eastAsia="Calibri" w:hAnsi="Arial" w:cs="Arial"/>
          <w:sz w:val="24"/>
          <w:szCs w:val="24"/>
        </w:rPr>
      </w:pPr>
      <w:r w:rsidRPr="000C06A7">
        <w:rPr>
          <w:rFonts w:ascii="Arial" w:eastAsia="Calibri" w:hAnsi="Arial" w:cs="Arial"/>
          <w:sz w:val="24"/>
          <w:szCs w:val="24"/>
        </w:rPr>
        <w:t>There</w:t>
      </w:r>
      <w:r w:rsidR="00F85106" w:rsidRPr="000C06A7">
        <w:rPr>
          <w:rFonts w:ascii="Arial" w:eastAsia="Calibri" w:hAnsi="Arial" w:cs="Arial"/>
          <w:sz w:val="24"/>
          <w:szCs w:val="24"/>
        </w:rPr>
        <w:t>’s a</w:t>
      </w:r>
      <w:r w:rsidRPr="000C06A7">
        <w:rPr>
          <w:rFonts w:ascii="Arial" w:eastAsia="Calibri" w:hAnsi="Arial" w:cs="Arial"/>
          <w:sz w:val="24"/>
          <w:szCs w:val="24"/>
        </w:rPr>
        <w:t xml:space="preserve"> high focus on induction programmes and supporting the workforce to complete the All Wales </w:t>
      </w:r>
      <w:r w:rsidR="00377230" w:rsidRPr="000C06A7">
        <w:rPr>
          <w:rFonts w:ascii="Arial" w:eastAsia="Calibri" w:hAnsi="Arial" w:cs="Arial"/>
          <w:sz w:val="24"/>
          <w:szCs w:val="24"/>
        </w:rPr>
        <w:t>i</w:t>
      </w:r>
      <w:r w:rsidRPr="000C06A7">
        <w:rPr>
          <w:rFonts w:ascii="Arial" w:eastAsia="Calibri" w:hAnsi="Arial" w:cs="Arial"/>
          <w:sz w:val="24"/>
          <w:szCs w:val="24"/>
        </w:rPr>
        <w:t xml:space="preserve">nduction </w:t>
      </w:r>
      <w:r w:rsidR="00377230" w:rsidRPr="000C06A7">
        <w:rPr>
          <w:rFonts w:ascii="Arial" w:eastAsia="Calibri" w:hAnsi="Arial" w:cs="Arial"/>
          <w:sz w:val="24"/>
          <w:szCs w:val="24"/>
        </w:rPr>
        <w:t>f</w:t>
      </w:r>
      <w:r w:rsidRPr="000C06A7">
        <w:rPr>
          <w:rFonts w:ascii="Arial" w:eastAsia="Calibri" w:hAnsi="Arial" w:cs="Arial"/>
          <w:sz w:val="24"/>
          <w:szCs w:val="24"/>
        </w:rPr>
        <w:t xml:space="preserve">ramework to </w:t>
      </w:r>
      <w:r w:rsidR="00377230" w:rsidRPr="000C06A7">
        <w:rPr>
          <w:rFonts w:ascii="Arial" w:eastAsia="Calibri" w:hAnsi="Arial" w:cs="Arial"/>
          <w:sz w:val="24"/>
          <w:szCs w:val="24"/>
        </w:rPr>
        <w:t xml:space="preserve">make </w:t>
      </w:r>
      <w:r w:rsidR="00E56BBF" w:rsidRPr="000C06A7">
        <w:rPr>
          <w:rFonts w:ascii="Arial" w:eastAsia="Calibri" w:hAnsi="Arial" w:cs="Arial"/>
          <w:sz w:val="24"/>
          <w:szCs w:val="24"/>
        </w:rPr>
        <w:t>sure they</w:t>
      </w:r>
      <w:r w:rsidRPr="000C06A7">
        <w:rPr>
          <w:rFonts w:ascii="Arial" w:eastAsia="Calibri" w:hAnsi="Arial" w:cs="Arial"/>
          <w:sz w:val="24"/>
          <w:szCs w:val="24"/>
        </w:rPr>
        <w:t xml:space="preserve"> meet registration requirements. </w:t>
      </w:r>
      <w:r w:rsidR="002D3F73">
        <w:rPr>
          <w:rFonts w:ascii="Arial" w:eastAsia="Calibri" w:hAnsi="Arial" w:cs="Arial"/>
          <w:sz w:val="24"/>
          <w:szCs w:val="24"/>
        </w:rPr>
        <w:br/>
      </w:r>
    </w:p>
    <w:p w14:paraId="4357E14C" w14:textId="3DBEB472" w:rsidR="002D1B1F" w:rsidRPr="000C06A7"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0C06A7">
        <w:rPr>
          <w:rFonts w:ascii="Arial" w:eastAsia="Calibri" w:hAnsi="Arial" w:cs="Arial"/>
          <w:bCs/>
          <w:sz w:val="24"/>
          <w:szCs w:val="24"/>
        </w:rPr>
        <w:t>Apprenticeships are u</w:t>
      </w:r>
      <w:r w:rsidR="00316726" w:rsidRPr="000C06A7">
        <w:rPr>
          <w:rFonts w:ascii="Arial" w:eastAsia="Calibri" w:hAnsi="Arial" w:cs="Arial"/>
          <w:bCs/>
          <w:sz w:val="24"/>
          <w:szCs w:val="24"/>
        </w:rPr>
        <w:t>sed</w:t>
      </w:r>
      <w:r w:rsidRPr="000C06A7">
        <w:rPr>
          <w:rFonts w:ascii="Arial" w:eastAsia="Calibri" w:hAnsi="Arial" w:cs="Arial"/>
          <w:bCs/>
          <w:sz w:val="24"/>
          <w:szCs w:val="24"/>
        </w:rPr>
        <w:t xml:space="preserve"> </w:t>
      </w:r>
      <w:r w:rsidR="008B3888" w:rsidRPr="000C06A7">
        <w:rPr>
          <w:rFonts w:ascii="Arial" w:eastAsia="Calibri" w:hAnsi="Arial" w:cs="Arial"/>
          <w:bCs/>
          <w:sz w:val="24"/>
          <w:szCs w:val="24"/>
        </w:rPr>
        <w:t>to make sure</w:t>
      </w:r>
      <w:r w:rsidR="00EC36DC" w:rsidRPr="000C06A7">
        <w:rPr>
          <w:rFonts w:ascii="Arial" w:eastAsia="Calibri" w:hAnsi="Arial" w:cs="Arial"/>
          <w:bCs/>
          <w:sz w:val="24"/>
          <w:szCs w:val="24"/>
        </w:rPr>
        <w:t xml:space="preserve"> there’s</w:t>
      </w:r>
      <w:r w:rsidRPr="000C06A7">
        <w:rPr>
          <w:rFonts w:ascii="Arial" w:eastAsia="Calibri" w:hAnsi="Arial" w:cs="Arial"/>
          <w:bCs/>
          <w:sz w:val="24"/>
          <w:szCs w:val="24"/>
        </w:rPr>
        <w:t xml:space="preserve"> a supply of newly qualified workers.</w:t>
      </w:r>
    </w:p>
    <w:p w14:paraId="16CCC353" w14:textId="77777777" w:rsidR="00C26980" w:rsidRPr="000C06A7" w:rsidRDefault="00C26980" w:rsidP="00C26980">
      <w:pPr>
        <w:spacing w:after="200" w:line="276" w:lineRule="auto"/>
        <w:contextualSpacing/>
        <w:rPr>
          <w:rFonts w:ascii="Arial" w:eastAsia="Calibri" w:hAnsi="Arial" w:cs="Arial"/>
          <w:bCs/>
          <w:sz w:val="24"/>
          <w:szCs w:val="24"/>
        </w:rPr>
      </w:pPr>
    </w:p>
    <w:p w14:paraId="1D6AEA44" w14:textId="7E263F1E" w:rsidR="002D1B1F" w:rsidRPr="000C06A7"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0C06A7">
        <w:rPr>
          <w:rFonts w:ascii="Arial" w:eastAsia="Calibri" w:hAnsi="Arial" w:cs="Arial"/>
          <w:bCs/>
          <w:sz w:val="24"/>
          <w:szCs w:val="24"/>
        </w:rPr>
        <w:t xml:space="preserve">The Social Services Practitioner (SSP) award is also being </w:t>
      </w:r>
      <w:r w:rsidR="008D7CF5" w:rsidRPr="000C06A7">
        <w:rPr>
          <w:rFonts w:ascii="Arial" w:eastAsia="Calibri" w:hAnsi="Arial" w:cs="Arial"/>
          <w:bCs/>
          <w:sz w:val="24"/>
          <w:szCs w:val="24"/>
        </w:rPr>
        <w:t xml:space="preserve">used </w:t>
      </w:r>
      <w:r w:rsidRPr="000C06A7">
        <w:rPr>
          <w:rFonts w:ascii="Arial" w:eastAsia="Calibri" w:hAnsi="Arial" w:cs="Arial"/>
          <w:bCs/>
          <w:sz w:val="24"/>
          <w:szCs w:val="24"/>
        </w:rPr>
        <w:t xml:space="preserve">to meet the requirements for </w:t>
      </w:r>
      <w:r w:rsidR="007B0EE0" w:rsidRPr="000C06A7">
        <w:rPr>
          <w:rFonts w:ascii="Arial" w:eastAsia="Calibri" w:hAnsi="Arial" w:cs="Arial"/>
          <w:bCs/>
          <w:sz w:val="24"/>
          <w:szCs w:val="24"/>
        </w:rPr>
        <w:t xml:space="preserve">carrying </w:t>
      </w:r>
      <w:r w:rsidR="00E56BBF" w:rsidRPr="000C06A7">
        <w:rPr>
          <w:rFonts w:ascii="Arial" w:eastAsia="Calibri" w:hAnsi="Arial" w:cs="Arial"/>
          <w:bCs/>
          <w:sz w:val="24"/>
          <w:szCs w:val="24"/>
        </w:rPr>
        <w:t>out assessments</w:t>
      </w:r>
      <w:r w:rsidRPr="000C06A7">
        <w:rPr>
          <w:rFonts w:ascii="Arial" w:eastAsia="Calibri" w:hAnsi="Arial" w:cs="Arial"/>
          <w:bCs/>
          <w:sz w:val="24"/>
          <w:szCs w:val="24"/>
        </w:rPr>
        <w:t xml:space="preserve"> and as a pathway to qualifying as a social worker.</w:t>
      </w:r>
    </w:p>
    <w:p w14:paraId="739B6E17" w14:textId="77777777" w:rsidR="00C26980" w:rsidRPr="000C06A7" w:rsidRDefault="00C26980" w:rsidP="00C26980">
      <w:pPr>
        <w:spacing w:after="200" w:line="276" w:lineRule="auto"/>
        <w:contextualSpacing/>
        <w:rPr>
          <w:rFonts w:ascii="Arial" w:eastAsia="Calibri" w:hAnsi="Arial" w:cs="Arial"/>
          <w:bCs/>
          <w:sz w:val="24"/>
          <w:szCs w:val="24"/>
        </w:rPr>
      </w:pPr>
    </w:p>
    <w:p w14:paraId="29A9FB63" w14:textId="2B7F8E62" w:rsidR="002D1B1F" w:rsidRPr="000C06A7" w:rsidRDefault="007B0EE0" w:rsidP="00632461">
      <w:pPr>
        <w:numPr>
          <w:ilvl w:val="0"/>
          <w:numId w:val="6"/>
        </w:numPr>
        <w:spacing w:after="200" w:line="276" w:lineRule="auto"/>
        <w:ind w:left="567" w:hanging="425"/>
        <w:contextualSpacing/>
        <w:rPr>
          <w:rFonts w:ascii="Arial" w:eastAsia="Calibri" w:hAnsi="Arial" w:cs="Arial"/>
          <w:sz w:val="24"/>
          <w:szCs w:val="24"/>
        </w:rPr>
      </w:pPr>
      <w:r w:rsidRPr="000C06A7">
        <w:rPr>
          <w:rFonts w:ascii="Arial" w:eastAsia="Calibri" w:hAnsi="Arial" w:cs="Arial"/>
          <w:sz w:val="24"/>
          <w:szCs w:val="24"/>
        </w:rPr>
        <w:t>There’s c</w:t>
      </w:r>
      <w:r w:rsidR="002D1B1F" w:rsidRPr="000C06A7">
        <w:rPr>
          <w:rFonts w:ascii="Arial" w:eastAsia="Calibri" w:hAnsi="Arial" w:cs="Arial"/>
          <w:sz w:val="24"/>
          <w:szCs w:val="24"/>
        </w:rPr>
        <w:t>ontinued support to improve the quality of the workforce data collection</w:t>
      </w:r>
      <w:r w:rsidR="00027221" w:rsidRPr="000C06A7">
        <w:rPr>
          <w:rFonts w:ascii="Arial" w:eastAsia="Calibri" w:hAnsi="Arial" w:cs="Arial"/>
          <w:sz w:val="24"/>
          <w:szCs w:val="24"/>
        </w:rPr>
        <w:t xml:space="preserve"> and</w:t>
      </w:r>
      <w:r w:rsidR="002D1B1F" w:rsidRPr="000C06A7">
        <w:rPr>
          <w:rFonts w:ascii="Arial" w:eastAsia="Calibri" w:hAnsi="Arial" w:cs="Arial"/>
          <w:sz w:val="24"/>
          <w:szCs w:val="24"/>
        </w:rPr>
        <w:t xml:space="preserve"> information and intelligence gathered from the sector. The latest national report published </w:t>
      </w:r>
      <w:r w:rsidRPr="000C06A7">
        <w:rPr>
          <w:rFonts w:ascii="Arial" w:eastAsia="Calibri" w:hAnsi="Arial" w:cs="Arial"/>
          <w:sz w:val="24"/>
          <w:szCs w:val="24"/>
        </w:rPr>
        <w:t>as a result</w:t>
      </w:r>
      <w:r w:rsidR="002D1B1F" w:rsidRPr="000C06A7">
        <w:rPr>
          <w:rFonts w:ascii="Arial" w:eastAsia="Calibri" w:hAnsi="Arial" w:cs="Arial"/>
          <w:sz w:val="24"/>
          <w:szCs w:val="24"/>
        </w:rPr>
        <w:t xml:space="preserve"> of this support can be seen here: </w:t>
      </w:r>
      <w:hyperlink r:id="rId30" w:history="1">
        <w:r w:rsidR="00C5788D" w:rsidRPr="000C06A7">
          <w:rPr>
            <w:rStyle w:val="Hyperlink"/>
            <w:rFonts w:ascii="Arial" w:eastAsia="Calibri" w:hAnsi="Arial" w:cs="Arial"/>
            <w:sz w:val="24"/>
            <w:szCs w:val="24"/>
          </w:rPr>
          <w:t>Social care workforce report 2023</w:t>
        </w:r>
      </w:hyperlink>
      <w:r w:rsidR="002D1B1F" w:rsidRPr="000C06A7">
        <w:rPr>
          <w:rFonts w:ascii="Arial" w:eastAsia="Calibri" w:hAnsi="Arial" w:cs="Arial"/>
          <w:sz w:val="24"/>
          <w:szCs w:val="24"/>
          <w:u w:val="single"/>
        </w:rPr>
        <w:t xml:space="preserve">. </w:t>
      </w:r>
    </w:p>
    <w:p w14:paraId="14C9113E" w14:textId="77777777" w:rsidR="00C26980" w:rsidRPr="000C06A7" w:rsidRDefault="00C26980" w:rsidP="00C26980">
      <w:pPr>
        <w:spacing w:after="200" w:line="276" w:lineRule="auto"/>
        <w:contextualSpacing/>
        <w:rPr>
          <w:rFonts w:ascii="Arial" w:eastAsia="Calibri" w:hAnsi="Arial" w:cs="Arial"/>
          <w:bCs/>
          <w:sz w:val="24"/>
          <w:szCs w:val="24"/>
        </w:rPr>
      </w:pPr>
    </w:p>
    <w:p w14:paraId="791DBFC8" w14:textId="4644F30D" w:rsidR="002D1B1F" w:rsidRPr="000C06A7" w:rsidRDefault="002D1B1F" w:rsidP="00632461">
      <w:pPr>
        <w:numPr>
          <w:ilvl w:val="0"/>
          <w:numId w:val="6"/>
        </w:numPr>
        <w:spacing w:after="200" w:line="276" w:lineRule="auto"/>
        <w:ind w:left="567" w:hanging="425"/>
        <w:contextualSpacing/>
        <w:rPr>
          <w:rFonts w:ascii="Arial" w:eastAsia="Calibri" w:hAnsi="Arial" w:cs="Arial"/>
          <w:bCs/>
          <w:sz w:val="24"/>
          <w:szCs w:val="24"/>
        </w:rPr>
      </w:pPr>
      <w:r w:rsidRPr="000C06A7">
        <w:rPr>
          <w:rFonts w:ascii="Arial" w:eastAsia="Calibri" w:hAnsi="Arial" w:cs="Arial"/>
          <w:bCs/>
          <w:sz w:val="24"/>
          <w:szCs w:val="24"/>
        </w:rPr>
        <w:t xml:space="preserve">Some </w:t>
      </w:r>
      <w:r w:rsidR="00B86B30" w:rsidRPr="000C06A7">
        <w:rPr>
          <w:rFonts w:ascii="Arial" w:eastAsia="Calibri" w:hAnsi="Arial" w:cs="Arial"/>
          <w:bCs/>
          <w:sz w:val="24"/>
          <w:szCs w:val="24"/>
        </w:rPr>
        <w:t>local authorities</w:t>
      </w:r>
      <w:r w:rsidRPr="000C06A7">
        <w:rPr>
          <w:rFonts w:ascii="Arial" w:eastAsia="Calibri" w:hAnsi="Arial" w:cs="Arial"/>
          <w:bCs/>
          <w:sz w:val="24"/>
          <w:szCs w:val="24"/>
        </w:rPr>
        <w:t xml:space="preserve"> reported that they</w:t>
      </w:r>
      <w:r w:rsidR="00444CC1" w:rsidRPr="000C06A7">
        <w:rPr>
          <w:rFonts w:ascii="Arial" w:eastAsia="Calibri" w:hAnsi="Arial" w:cs="Arial"/>
          <w:bCs/>
          <w:sz w:val="24"/>
          <w:szCs w:val="24"/>
        </w:rPr>
        <w:t>’</w:t>
      </w:r>
      <w:r w:rsidRPr="000C06A7">
        <w:rPr>
          <w:rFonts w:ascii="Arial" w:eastAsia="Calibri" w:hAnsi="Arial" w:cs="Arial"/>
          <w:bCs/>
          <w:sz w:val="24"/>
          <w:szCs w:val="24"/>
        </w:rPr>
        <w:t xml:space="preserve">d </w:t>
      </w:r>
      <w:r w:rsidR="00B86B30" w:rsidRPr="000C06A7">
        <w:rPr>
          <w:rFonts w:ascii="Arial" w:eastAsia="Calibri" w:hAnsi="Arial" w:cs="Arial"/>
          <w:bCs/>
          <w:sz w:val="24"/>
          <w:szCs w:val="24"/>
        </w:rPr>
        <w:t xml:space="preserve">taken part </w:t>
      </w:r>
      <w:r w:rsidRPr="000C06A7">
        <w:rPr>
          <w:rFonts w:ascii="Arial" w:eastAsia="Calibri" w:hAnsi="Arial" w:cs="Arial"/>
          <w:bCs/>
          <w:sz w:val="24"/>
          <w:szCs w:val="24"/>
        </w:rPr>
        <w:t>in</w:t>
      </w:r>
      <w:r w:rsidR="00394EE6" w:rsidRPr="000C06A7">
        <w:rPr>
          <w:rFonts w:ascii="Arial" w:eastAsia="Calibri" w:hAnsi="Arial" w:cs="Arial"/>
          <w:bCs/>
          <w:sz w:val="24"/>
          <w:szCs w:val="24"/>
        </w:rPr>
        <w:t xml:space="preserve"> our</w:t>
      </w:r>
      <w:r w:rsidRPr="000C06A7">
        <w:rPr>
          <w:rFonts w:ascii="Arial" w:eastAsia="Calibri" w:hAnsi="Arial" w:cs="Arial"/>
          <w:bCs/>
          <w:sz w:val="24"/>
          <w:szCs w:val="24"/>
        </w:rPr>
        <w:t xml:space="preserve"> workforce planning training needs analysis in early 2024. This was a recommendation from the </w:t>
      </w:r>
      <w:r w:rsidRPr="000C06A7">
        <w:rPr>
          <w:rFonts w:ascii="Arial" w:eastAsia="Times New Roman" w:hAnsi="Arial" w:cs="Arial"/>
          <w:sz w:val="24"/>
          <w:szCs w:val="24"/>
          <w:lang w:eastAsia="en-GB"/>
        </w:rPr>
        <w:t xml:space="preserve">workforce planning </w:t>
      </w:r>
      <w:hyperlink r:id="rId31" w:history="1">
        <w:r w:rsidRPr="000C06A7">
          <w:rPr>
            <w:rStyle w:val="Hyperlink"/>
            <w:rFonts w:ascii="Arial" w:eastAsia="Times New Roman" w:hAnsi="Arial" w:cs="Arial"/>
            <w:sz w:val="24"/>
            <w:szCs w:val="24"/>
            <w:lang w:eastAsia="en-GB"/>
          </w:rPr>
          <w:t>scoping exercise</w:t>
        </w:r>
      </w:hyperlink>
      <w:r w:rsidRPr="000C06A7">
        <w:rPr>
          <w:rFonts w:ascii="Arial" w:eastAsia="Times New Roman" w:hAnsi="Arial" w:cs="Arial"/>
          <w:sz w:val="24"/>
          <w:szCs w:val="24"/>
          <w:lang w:eastAsia="en-GB"/>
        </w:rPr>
        <w:t xml:space="preserve"> </w:t>
      </w:r>
      <w:r w:rsidR="00B001B2" w:rsidRPr="000C06A7">
        <w:rPr>
          <w:rFonts w:ascii="Arial" w:eastAsia="Times New Roman" w:hAnsi="Arial" w:cs="Arial"/>
          <w:sz w:val="24"/>
          <w:szCs w:val="24"/>
          <w:lang w:eastAsia="en-GB"/>
        </w:rPr>
        <w:t>done</w:t>
      </w:r>
      <w:r w:rsidRPr="000C06A7">
        <w:rPr>
          <w:rFonts w:ascii="Arial" w:eastAsia="Times New Roman" w:hAnsi="Arial" w:cs="Arial"/>
          <w:sz w:val="24"/>
          <w:szCs w:val="24"/>
          <w:lang w:eastAsia="en-GB"/>
        </w:rPr>
        <w:t xml:space="preserve"> in 2023</w:t>
      </w:r>
      <w:r w:rsidR="00B86B30" w:rsidRPr="000C06A7">
        <w:rPr>
          <w:rFonts w:ascii="Arial" w:eastAsia="Times New Roman" w:hAnsi="Arial" w:cs="Arial"/>
          <w:sz w:val="24"/>
          <w:szCs w:val="24"/>
          <w:lang w:eastAsia="en-GB"/>
        </w:rPr>
        <w:t xml:space="preserve"> to </w:t>
      </w:r>
      <w:r w:rsidRPr="000C06A7">
        <w:rPr>
          <w:rFonts w:ascii="Arial" w:eastAsia="Times New Roman" w:hAnsi="Arial" w:cs="Arial"/>
          <w:sz w:val="24"/>
          <w:szCs w:val="24"/>
          <w:lang w:eastAsia="en-GB"/>
        </w:rPr>
        <w:t>2</w:t>
      </w:r>
      <w:r w:rsidR="000F4D7C" w:rsidRPr="000C06A7">
        <w:rPr>
          <w:rFonts w:ascii="Arial" w:eastAsia="Times New Roman" w:hAnsi="Arial" w:cs="Arial"/>
          <w:sz w:val="24"/>
          <w:szCs w:val="24"/>
          <w:lang w:eastAsia="en-GB"/>
        </w:rPr>
        <w:t>02</w:t>
      </w:r>
      <w:r w:rsidRPr="000C06A7">
        <w:rPr>
          <w:rFonts w:ascii="Arial" w:eastAsia="Times New Roman" w:hAnsi="Arial" w:cs="Arial"/>
          <w:sz w:val="24"/>
          <w:szCs w:val="24"/>
          <w:lang w:eastAsia="en-GB"/>
        </w:rPr>
        <w:t>4</w:t>
      </w:r>
      <w:r w:rsidR="00B01114" w:rsidRPr="000C06A7">
        <w:rPr>
          <w:rFonts w:ascii="Arial" w:eastAsia="Times New Roman" w:hAnsi="Arial" w:cs="Arial"/>
          <w:sz w:val="24"/>
          <w:szCs w:val="24"/>
          <w:lang w:eastAsia="en-GB"/>
        </w:rPr>
        <w:t>,</w:t>
      </w:r>
      <w:r w:rsidRPr="000C06A7">
        <w:rPr>
          <w:rFonts w:ascii="Arial" w:eastAsia="Times New Roman" w:hAnsi="Arial" w:cs="Arial"/>
          <w:sz w:val="24"/>
          <w:szCs w:val="24"/>
          <w:lang w:eastAsia="en-GB"/>
        </w:rPr>
        <w:t xml:space="preserve"> with further support planned in 2024</w:t>
      </w:r>
      <w:r w:rsidR="00B001B2" w:rsidRPr="000C06A7">
        <w:rPr>
          <w:rFonts w:ascii="Arial" w:eastAsia="Times New Roman" w:hAnsi="Arial" w:cs="Arial"/>
          <w:sz w:val="24"/>
          <w:szCs w:val="24"/>
          <w:lang w:eastAsia="en-GB"/>
        </w:rPr>
        <w:t xml:space="preserve"> to </w:t>
      </w:r>
      <w:r w:rsidRPr="000C06A7">
        <w:rPr>
          <w:rFonts w:ascii="Arial" w:eastAsia="Times New Roman" w:hAnsi="Arial" w:cs="Arial"/>
          <w:sz w:val="24"/>
          <w:szCs w:val="24"/>
          <w:lang w:eastAsia="en-GB"/>
        </w:rPr>
        <w:t>2</w:t>
      </w:r>
      <w:r w:rsidR="00101E8D" w:rsidRPr="000C06A7">
        <w:rPr>
          <w:rFonts w:ascii="Arial" w:eastAsia="Times New Roman" w:hAnsi="Arial" w:cs="Arial"/>
          <w:sz w:val="24"/>
          <w:szCs w:val="24"/>
          <w:lang w:eastAsia="en-GB"/>
        </w:rPr>
        <w:t>02</w:t>
      </w:r>
      <w:r w:rsidRPr="000C06A7">
        <w:rPr>
          <w:rFonts w:ascii="Arial" w:eastAsia="Times New Roman" w:hAnsi="Arial" w:cs="Arial"/>
          <w:sz w:val="24"/>
          <w:szCs w:val="24"/>
          <w:lang w:eastAsia="en-GB"/>
        </w:rPr>
        <w:t xml:space="preserve">5. </w:t>
      </w:r>
    </w:p>
    <w:p w14:paraId="0FFEA658" w14:textId="77777777" w:rsidR="00C26980" w:rsidRPr="000C06A7" w:rsidRDefault="00C26980" w:rsidP="00C26980">
      <w:pPr>
        <w:spacing w:after="200" w:line="276" w:lineRule="auto"/>
        <w:contextualSpacing/>
        <w:rPr>
          <w:rFonts w:ascii="Arial" w:eastAsia="Calibri" w:hAnsi="Arial" w:cs="Arial"/>
          <w:bCs/>
          <w:sz w:val="24"/>
          <w:szCs w:val="24"/>
        </w:rPr>
      </w:pPr>
    </w:p>
    <w:p w14:paraId="05534C0D" w14:textId="188763FD" w:rsidR="002D1B1F" w:rsidRPr="000C06A7" w:rsidRDefault="00B01114" w:rsidP="00632461">
      <w:pPr>
        <w:numPr>
          <w:ilvl w:val="0"/>
          <w:numId w:val="6"/>
        </w:numPr>
        <w:spacing w:after="200" w:line="276" w:lineRule="auto"/>
        <w:ind w:left="567" w:hanging="425"/>
        <w:contextualSpacing/>
        <w:rPr>
          <w:rFonts w:ascii="Arial" w:eastAsia="Calibri" w:hAnsi="Arial" w:cs="Arial"/>
          <w:bCs/>
          <w:sz w:val="24"/>
          <w:szCs w:val="24"/>
        </w:rPr>
      </w:pPr>
      <w:r w:rsidRPr="000C06A7">
        <w:rPr>
          <w:rFonts w:ascii="Arial" w:eastAsia="Times New Roman" w:hAnsi="Arial" w:cs="Arial"/>
          <w:sz w:val="24"/>
          <w:szCs w:val="24"/>
          <w:lang w:eastAsia="en-GB"/>
        </w:rPr>
        <w:t>There was s</w:t>
      </w:r>
      <w:r w:rsidR="002D1B1F" w:rsidRPr="000C06A7">
        <w:rPr>
          <w:rFonts w:ascii="Arial" w:eastAsia="Times New Roman" w:hAnsi="Arial" w:cs="Arial"/>
          <w:sz w:val="24"/>
          <w:szCs w:val="24"/>
          <w:lang w:eastAsia="en-GB"/>
        </w:rPr>
        <w:t xml:space="preserve">trong engagement with </w:t>
      </w:r>
      <w:r w:rsidR="00B001B2" w:rsidRPr="000C06A7">
        <w:rPr>
          <w:rFonts w:ascii="Arial" w:eastAsia="Times New Roman" w:hAnsi="Arial" w:cs="Arial"/>
          <w:sz w:val="24"/>
          <w:szCs w:val="24"/>
          <w:lang w:eastAsia="en-GB"/>
        </w:rPr>
        <w:t xml:space="preserve">those supplying </w:t>
      </w:r>
      <w:r w:rsidR="002D1B1F" w:rsidRPr="000C06A7">
        <w:rPr>
          <w:rFonts w:ascii="Arial" w:eastAsia="Times New Roman" w:hAnsi="Arial" w:cs="Arial"/>
          <w:sz w:val="24"/>
          <w:szCs w:val="24"/>
          <w:lang w:eastAsia="en-GB"/>
        </w:rPr>
        <w:t xml:space="preserve">the learning at all levels to </w:t>
      </w:r>
      <w:r w:rsidR="00B001B2" w:rsidRPr="000C06A7">
        <w:rPr>
          <w:rFonts w:ascii="Arial" w:eastAsia="Times New Roman" w:hAnsi="Arial" w:cs="Arial"/>
          <w:sz w:val="24"/>
          <w:szCs w:val="24"/>
          <w:lang w:eastAsia="en-GB"/>
        </w:rPr>
        <w:t>make sure</w:t>
      </w:r>
      <w:r w:rsidR="002D1B1F" w:rsidRPr="000C06A7">
        <w:rPr>
          <w:rFonts w:ascii="Arial" w:eastAsia="Times New Roman" w:hAnsi="Arial" w:cs="Arial"/>
          <w:sz w:val="24"/>
          <w:szCs w:val="24"/>
          <w:lang w:eastAsia="en-GB"/>
        </w:rPr>
        <w:t xml:space="preserve"> links are made between education and employment.</w:t>
      </w:r>
    </w:p>
    <w:p w14:paraId="0489643C" w14:textId="77777777" w:rsidR="00C26980" w:rsidRPr="000C06A7" w:rsidRDefault="00C26980" w:rsidP="00C26980">
      <w:pPr>
        <w:spacing w:after="200" w:line="276" w:lineRule="auto"/>
        <w:contextualSpacing/>
        <w:rPr>
          <w:rFonts w:ascii="Arial" w:eastAsia="Calibri" w:hAnsi="Arial" w:cs="Arial"/>
          <w:bCs/>
          <w:sz w:val="24"/>
          <w:szCs w:val="24"/>
        </w:rPr>
      </w:pPr>
    </w:p>
    <w:p w14:paraId="679953E1" w14:textId="107ED37D" w:rsidR="002D1B1F" w:rsidRPr="000C06A7" w:rsidRDefault="00B01114" w:rsidP="00632461">
      <w:pPr>
        <w:numPr>
          <w:ilvl w:val="0"/>
          <w:numId w:val="6"/>
        </w:numPr>
        <w:spacing w:after="200" w:line="276" w:lineRule="auto"/>
        <w:ind w:left="567" w:hanging="425"/>
        <w:contextualSpacing/>
        <w:rPr>
          <w:rFonts w:ascii="Arial" w:eastAsia="Calibri" w:hAnsi="Arial" w:cs="Arial"/>
          <w:sz w:val="24"/>
          <w:szCs w:val="24"/>
        </w:rPr>
      </w:pPr>
      <w:r w:rsidRPr="000C06A7">
        <w:rPr>
          <w:rFonts w:ascii="Arial" w:eastAsia="Times New Roman" w:hAnsi="Arial" w:cs="Arial"/>
          <w:sz w:val="24"/>
          <w:szCs w:val="24"/>
          <w:lang w:eastAsia="en-GB"/>
        </w:rPr>
        <w:t>There are s</w:t>
      </w:r>
      <w:r w:rsidR="002D1B1F" w:rsidRPr="000C06A7">
        <w:rPr>
          <w:rFonts w:ascii="Arial" w:eastAsia="Times New Roman" w:hAnsi="Arial" w:cs="Arial"/>
          <w:sz w:val="24"/>
          <w:szCs w:val="24"/>
          <w:lang w:eastAsia="en-GB"/>
        </w:rPr>
        <w:t xml:space="preserve">trong support </w:t>
      </w:r>
      <w:r w:rsidR="00B001B2" w:rsidRPr="000C06A7">
        <w:rPr>
          <w:rFonts w:ascii="Arial" w:eastAsia="Times New Roman" w:hAnsi="Arial" w:cs="Arial"/>
          <w:sz w:val="24"/>
          <w:szCs w:val="24"/>
          <w:lang w:eastAsia="en-GB"/>
        </w:rPr>
        <w:t xml:space="preserve">systems </w:t>
      </w:r>
      <w:r w:rsidR="002D1B1F" w:rsidRPr="000C06A7">
        <w:rPr>
          <w:rFonts w:ascii="Arial" w:eastAsia="Times New Roman" w:hAnsi="Arial" w:cs="Arial"/>
          <w:sz w:val="24"/>
          <w:szCs w:val="24"/>
          <w:lang w:eastAsia="en-GB"/>
        </w:rPr>
        <w:t xml:space="preserve">for </w:t>
      </w:r>
      <w:r w:rsidR="00B001B2" w:rsidRPr="000C06A7">
        <w:rPr>
          <w:rFonts w:ascii="Arial" w:eastAsia="Times New Roman" w:hAnsi="Arial" w:cs="Arial"/>
          <w:sz w:val="24"/>
          <w:szCs w:val="24"/>
          <w:lang w:eastAsia="en-GB"/>
        </w:rPr>
        <w:t>f</w:t>
      </w:r>
      <w:r w:rsidR="002D1B1F" w:rsidRPr="000C06A7">
        <w:rPr>
          <w:rFonts w:ascii="Arial" w:eastAsia="Times New Roman" w:hAnsi="Arial" w:cs="Arial"/>
          <w:sz w:val="24"/>
          <w:szCs w:val="24"/>
          <w:lang w:eastAsia="en-GB"/>
        </w:rPr>
        <w:t xml:space="preserve">oster </w:t>
      </w:r>
      <w:r w:rsidR="00B001B2" w:rsidRPr="000C06A7">
        <w:rPr>
          <w:rFonts w:ascii="Arial" w:eastAsia="Times New Roman" w:hAnsi="Arial" w:cs="Arial"/>
          <w:sz w:val="24"/>
          <w:szCs w:val="24"/>
          <w:lang w:eastAsia="en-GB"/>
        </w:rPr>
        <w:t>c</w:t>
      </w:r>
      <w:r w:rsidR="002D1B1F" w:rsidRPr="000C06A7">
        <w:rPr>
          <w:rFonts w:ascii="Arial" w:eastAsia="Times New Roman" w:hAnsi="Arial" w:cs="Arial"/>
          <w:sz w:val="24"/>
          <w:szCs w:val="24"/>
          <w:lang w:eastAsia="en-GB"/>
        </w:rPr>
        <w:t>arers</w:t>
      </w:r>
      <w:r w:rsidRPr="000C06A7">
        <w:rPr>
          <w:rFonts w:ascii="Arial" w:eastAsia="Times New Roman" w:hAnsi="Arial" w:cs="Arial"/>
          <w:sz w:val="24"/>
          <w:szCs w:val="24"/>
          <w:lang w:eastAsia="en-GB"/>
        </w:rPr>
        <w:t>,</w:t>
      </w:r>
      <w:r w:rsidR="002D1B1F" w:rsidRPr="000C06A7">
        <w:rPr>
          <w:rFonts w:ascii="Arial" w:eastAsia="Times New Roman" w:hAnsi="Arial" w:cs="Arial"/>
          <w:sz w:val="24"/>
          <w:szCs w:val="24"/>
          <w:lang w:eastAsia="en-GB"/>
        </w:rPr>
        <w:t xml:space="preserve"> but support for </w:t>
      </w:r>
      <w:r w:rsidR="00B001B2" w:rsidRPr="000C06A7">
        <w:rPr>
          <w:rFonts w:ascii="Arial" w:eastAsia="Times New Roman" w:hAnsi="Arial" w:cs="Arial"/>
          <w:sz w:val="24"/>
          <w:szCs w:val="24"/>
          <w:lang w:eastAsia="en-GB"/>
        </w:rPr>
        <w:t>p</w:t>
      </w:r>
      <w:r w:rsidR="008429CE" w:rsidRPr="000C06A7">
        <w:rPr>
          <w:rFonts w:ascii="Arial" w:eastAsia="Times New Roman" w:hAnsi="Arial" w:cs="Arial"/>
          <w:sz w:val="24"/>
          <w:szCs w:val="24"/>
          <w:lang w:eastAsia="en-GB"/>
        </w:rPr>
        <w:t xml:space="preserve">ersonal </w:t>
      </w:r>
      <w:r w:rsidR="00B001B2" w:rsidRPr="000C06A7">
        <w:rPr>
          <w:rFonts w:ascii="Arial" w:eastAsia="Times New Roman" w:hAnsi="Arial" w:cs="Arial"/>
          <w:sz w:val="24"/>
          <w:szCs w:val="24"/>
          <w:lang w:eastAsia="en-GB"/>
        </w:rPr>
        <w:t>a</w:t>
      </w:r>
      <w:r w:rsidR="008429CE" w:rsidRPr="000C06A7">
        <w:rPr>
          <w:rFonts w:ascii="Arial" w:eastAsia="Times New Roman" w:hAnsi="Arial" w:cs="Arial"/>
          <w:sz w:val="24"/>
          <w:szCs w:val="24"/>
          <w:lang w:eastAsia="en-GB"/>
        </w:rPr>
        <w:t>ssistants</w:t>
      </w:r>
      <w:r w:rsidR="002D1B1F" w:rsidRPr="000C06A7">
        <w:rPr>
          <w:rFonts w:ascii="Arial" w:eastAsia="Times New Roman" w:hAnsi="Arial" w:cs="Arial"/>
          <w:sz w:val="24"/>
          <w:szCs w:val="24"/>
          <w:lang w:eastAsia="en-GB"/>
        </w:rPr>
        <w:t xml:space="preserve"> is inconsistent</w:t>
      </w:r>
      <w:r w:rsidR="26867F9C" w:rsidRPr="000C06A7">
        <w:rPr>
          <w:rFonts w:ascii="Arial" w:eastAsia="Times New Roman" w:hAnsi="Arial" w:cs="Arial"/>
          <w:sz w:val="24"/>
          <w:szCs w:val="24"/>
          <w:lang w:eastAsia="en-GB"/>
        </w:rPr>
        <w:t>.</w:t>
      </w:r>
    </w:p>
    <w:p w14:paraId="0033D1AF" w14:textId="77777777" w:rsidR="002D1B1F" w:rsidRPr="000C06A7" w:rsidRDefault="002D1B1F" w:rsidP="002D1B1F">
      <w:pPr>
        <w:spacing w:after="200" w:line="276" w:lineRule="auto"/>
        <w:contextualSpacing/>
        <w:rPr>
          <w:rFonts w:ascii="Arial" w:eastAsia="Times New Roman" w:hAnsi="Arial" w:cs="Arial"/>
          <w:sz w:val="24"/>
          <w:szCs w:val="24"/>
          <w:lang w:eastAsia="en-GB"/>
        </w:rPr>
      </w:pPr>
    </w:p>
    <w:p w14:paraId="5EFFCC1D" w14:textId="77777777" w:rsidR="002D1B1F" w:rsidRPr="000C06A7" w:rsidRDefault="002D1B1F" w:rsidP="000C06A7">
      <w:pPr>
        <w:pStyle w:val="Heading3"/>
        <w:rPr>
          <w:lang w:eastAsia="en-GB"/>
        </w:rPr>
      </w:pPr>
      <w:r w:rsidRPr="000C06A7">
        <w:rPr>
          <w:lang w:eastAsia="en-GB"/>
        </w:rPr>
        <w:t>Challenges</w:t>
      </w:r>
    </w:p>
    <w:p w14:paraId="16464E74" w14:textId="77777777" w:rsidR="002D1B1F" w:rsidRPr="000C06A7" w:rsidRDefault="002D1B1F" w:rsidP="002D1B1F">
      <w:pPr>
        <w:spacing w:after="200" w:line="276" w:lineRule="auto"/>
        <w:contextualSpacing/>
        <w:rPr>
          <w:rFonts w:ascii="Arial" w:eastAsia="Times New Roman" w:hAnsi="Arial" w:cs="Arial"/>
          <w:sz w:val="24"/>
          <w:szCs w:val="24"/>
          <w:lang w:eastAsia="en-GB"/>
        </w:rPr>
      </w:pPr>
    </w:p>
    <w:p w14:paraId="223C78CE" w14:textId="75600CD2" w:rsidR="002D1B1F" w:rsidRPr="000C06A7" w:rsidRDefault="002D1B1F" w:rsidP="00632461">
      <w:pPr>
        <w:numPr>
          <w:ilvl w:val="0"/>
          <w:numId w:val="6"/>
        </w:numPr>
        <w:spacing w:after="200" w:line="276" w:lineRule="auto"/>
        <w:ind w:left="567" w:hanging="425"/>
        <w:contextualSpacing/>
        <w:rPr>
          <w:rFonts w:ascii="Arial" w:eastAsia="Times New Roman" w:hAnsi="Arial" w:cs="Arial"/>
          <w:sz w:val="24"/>
          <w:szCs w:val="24"/>
          <w:lang w:eastAsia="en-GB"/>
        </w:rPr>
      </w:pPr>
      <w:r w:rsidRPr="000C06A7">
        <w:rPr>
          <w:rFonts w:ascii="Arial" w:eastAsia="Times New Roman" w:hAnsi="Arial" w:cs="Arial"/>
          <w:sz w:val="24"/>
          <w:szCs w:val="24"/>
          <w:lang w:eastAsia="en-GB"/>
        </w:rPr>
        <w:t xml:space="preserve">Some </w:t>
      </w:r>
      <w:r w:rsidR="00B001B2" w:rsidRPr="000C06A7">
        <w:rPr>
          <w:rFonts w:ascii="Arial" w:eastAsia="Times New Roman" w:hAnsi="Arial" w:cs="Arial"/>
          <w:sz w:val="24"/>
          <w:szCs w:val="24"/>
          <w:lang w:eastAsia="en-GB"/>
        </w:rPr>
        <w:t>local authorities</w:t>
      </w:r>
      <w:r w:rsidRPr="000C06A7">
        <w:rPr>
          <w:rFonts w:ascii="Arial" w:eastAsia="Times New Roman" w:hAnsi="Arial" w:cs="Arial"/>
          <w:sz w:val="24"/>
          <w:szCs w:val="24"/>
          <w:lang w:eastAsia="en-GB"/>
        </w:rPr>
        <w:t xml:space="preserve"> reported issues with getting the workforce data they </w:t>
      </w:r>
      <w:r w:rsidR="00B001B2" w:rsidRPr="000C06A7">
        <w:rPr>
          <w:rFonts w:ascii="Arial" w:eastAsia="Times New Roman" w:hAnsi="Arial" w:cs="Arial"/>
          <w:sz w:val="24"/>
          <w:szCs w:val="24"/>
          <w:lang w:eastAsia="en-GB"/>
        </w:rPr>
        <w:t xml:space="preserve">needed </w:t>
      </w:r>
      <w:r w:rsidRPr="000C06A7">
        <w:rPr>
          <w:rFonts w:ascii="Arial" w:eastAsia="Times New Roman" w:hAnsi="Arial" w:cs="Arial"/>
          <w:sz w:val="24"/>
          <w:szCs w:val="24"/>
          <w:lang w:eastAsia="en-GB"/>
        </w:rPr>
        <w:t xml:space="preserve">for effective planning. </w:t>
      </w:r>
      <w:r w:rsidR="00B001B2" w:rsidRPr="000C06A7">
        <w:rPr>
          <w:rFonts w:ascii="Arial" w:eastAsia="Times New Roman" w:hAnsi="Arial" w:cs="Arial"/>
          <w:sz w:val="24"/>
          <w:szCs w:val="24"/>
          <w:lang w:eastAsia="en-GB"/>
        </w:rPr>
        <w:t>We’re</w:t>
      </w:r>
      <w:r w:rsidRPr="000C06A7">
        <w:rPr>
          <w:rFonts w:ascii="Arial" w:eastAsia="Times New Roman" w:hAnsi="Arial" w:cs="Arial"/>
          <w:sz w:val="24"/>
          <w:szCs w:val="24"/>
          <w:lang w:eastAsia="en-GB"/>
        </w:rPr>
        <w:t xml:space="preserve"> in continuous discussion with</w:t>
      </w:r>
      <w:r w:rsidR="00B001B2" w:rsidRPr="000C06A7">
        <w:rPr>
          <w:rFonts w:ascii="Arial" w:eastAsia="Times New Roman" w:hAnsi="Arial" w:cs="Arial"/>
          <w:sz w:val="24"/>
          <w:szCs w:val="24"/>
          <w:lang w:eastAsia="en-GB"/>
        </w:rPr>
        <w:t xml:space="preserve"> local authorities</w:t>
      </w:r>
      <w:r w:rsidRPr="000C06A7">
        <w:rPr>
          <w:rFonts w:ascii="Arial" w:eastAsia="Times New Roman" w:hAnsi="Arial" w:cs="Arial"/>
          <w:sz w:val="24"/>
          <w:szCs w:val="24"/>
          <w:lang w:eastAsia="en-GB"/>
        </w:rPr>
        <w:t xml:space="preserve"> when </w:t>
      </w:r>
      <w:r w:rsidR="00B001B2" w:rsidRPr="000C06A7">
        <w:rPr>
          <w:rFonts w:ascii="Arial" w:eastAsia="Times New Roman" w:hAnsi="Arial" w:cs="Arial"/>
          <w:sz w:val="24"/>
          <w:szCs w:val="24"/>
          <w:lang w:eastAsia="en-GB"/>
        </w:rPr>
        <w:t xml:space="preserve">these </w:t>
      </w:r>
      <w:r w:rsidRPr="000C06A7">
        <w:rPr>
          <w:rFonts w:ascii="Arial" w:eastAsia="Times New Roman" w:hAnsi="Arial" w:cs="Arial"/>
          <w:sz w:val="24"/>
          <w:szCs w:val="24"/>
          <w:lang w:eastAsia="en-GB"/>
        </w:rPr>
        <w:t xml:space="preserve">issues </w:t>
      </w:r>
      <w:r w:rsidR="005D52D8" w:rsidRPr="000C06A7">
        <w:rPr>
          <w:rFonts w:ascii="Arial" w:eastAsia="Times New Roman" w:hAnsi="Arial" w:cs="Arial"/>
          <w:sz w:val="24"/>
          <w:szCs w:val="24"/>
          <w:lang w:eastAsia="en-GB"/>
        </w:rPr>
        <w:t>arise</w:t>
      </w:r>
      <w:r w:rsidR="00B01114" w:rsidRPr="000C06A7">
        <w:rPr>
          <w:rFonts w:ascii="Arial" w:eastAsia="Times New Roman" w:hAnsi="Arial" w:cs="Arial"/>
          <w:sz w:val="24"/>
          <w:szCs w:val="24"/>
          <w:lang w:eastAsia="en-GB"/>
        </w:rPr>
        <w:t>,</w:t>
      </w:r>
      <w:r w:rsidR="005D52D8" w:rsidRPr="000C06A7">
        <w:rPr>
          <w:rFonts w:ascii="Arial" w:eastAsia="Times New Roman" w:hAnsi="Arial" w:cs="Arial"/>
          <w:sz w:val="24"/>
          <w:szCs w:val="24"/>
          <w:lang w:eastAsia="en-GB"/>
        </w:rPr>
        <w:t xml:space="preserve"> </w:t>
      </w:r>
      <w:r w:rsidRPr="000C06A7">
        <w:rPr>
          <w:rFonts w:ascii="Arial" w:eastAsia="Times New Roman" w:hAnsi="Arial" w:cs="Arial"/>
          <w:sz w:val="24"/>
          <w:szCs w:val="24"/>
          <w:lang w:eastAsia="en-GB"/>
        </w:rPr>
        <w:t>and changes have been made as part of the 2024 data collection.</w:t>
      </w:r>
    </w:p>
    <w:p w14:paraId="75745581" w14:textId="77777777" w:rsidR="00C06A09" w:rsidRPr="000C06A7" w:rsidRDefault="00C06A09" w:rsidP="00A3409E">
      <w:pPr>
        <w:spacing w:after="200" w:line="276" w:lineRule="auto"/>
        <w:ind w:left="567"/>
        <w:contextualSpacing/>
        <w:rPr>
          <w:rFonts w:ascii="Arial" w:eastAsia="Times New Roman" w:hAnsi="Arial" w:cs="Arial"/>
          <w:sz w:val="24"/>
          <w:szCs w:val="24"/>
          <w:lang w:eastAsia="en-GB"/>
        </w:rPr>
      </w:pPr>
    </w:p>
    <w:p w14:paraId="04F34750" w14:textId="2EF1E7C9" w:rsidR="002D1B1F" w:rsidRPr="000C06A7" w:rsidRDefault="002D1B1F" w:rsidP="00632461">
      <w:pPr>
        <w:numPr>
          <w:ilvl w:val="0"/>
          <w:numId w:val="6"/>
        </w:numPr>
        <w:spacing w:after="200" w:line="276" w:lineRule="auto"/>
        <w:ind w:left="567" w:hanging="425"/>
        <w:contextualSpacing/>
        <w:rPr>
          <w:rFonts w:ascii="Arial" w:eastAsia="Times New Roman" w:hAnsi="Arial" w:cs="Arial"/>
          <w:sz w:val="24"/>
          <w:szCs w:val="24"/>
          <w:lang w:eastAsia="en-GB"/>
        </w:rPr>
      </w:pPr>
      <w:r w:rsidRPr="000C06A7">
        <w:rPr>
          <w:rFonts w:ascii="Arial" w:eastAsia="Calibri" w:hAnsi="Arial" w:cs="Arial"/>
          <w:bCs/>
          <w:sz w:val="24"/>
          <w:szCs w:val="24"/>
        </w:rPr>
        <w:t xml:space="preserve">Two of the changes are part of our work with </w:t>
      </w:r>
      <w:hyperlink r:id="rId32" w:history="1">
        <w:r w:rsidRPr="000C06A7">
          <w:rPr>
            <w:rStyle w:val="Hyperlink"/>
            <w:rFonts w:ascii="Arial" w:eastAsia="Calibri" w:hAnsi="Arial" w:cs="Arial"/>
            <w:bCs/>
            <w:sz w:val="24"/>
            <w:szCs w:val="24"/>
          </w:rPr>
          <w:t>Care Inspectorate Wales’s</w:t>
        </w:r>
      </w:hyperlink>
      <w:r w:rsidRPr="000C06A7">
        <w:rPr>
          <w:rFonts w:ascii="Arial" w:eastAsia="Calibri" w:hAnsi="Arial" w:cs="Arial"/>
          <w:bCs/>
          <w:sz w:val="24"/>
          <w:szCs w:val="24"/>
        </w:rPr>
        <w:t xml:space="preserve"> (CIW) annual returns</w:t>
      </w:r>
      <w:r w:rsidR="00371F19" w:rsidRPr="000C06A7">
        <w:rPr>
          <w:rFonts w:ascii="Arial" w:eastAsia="Calibri" w:hAnsi="Arial" w:cs="Arial"/>
          <w:bCs/>
          <w:sz w:val="24"/>
          <w:szCs w:val="24"/>
        </w:rPr>
        <w:t>, and</w:t>
      </w:r>
      <w:r w:rsidRPr="000C06A7">
        <w:rPr>
          <w:rFonts w:ascii="Arial" w:hAnsi="Arial" w:cs="Arial"/>
          <w:sz w:val="24"/>
          <w:szCs w:val="24"/>
        </w:rPr>
        <w:t xml:space="preserve"> we</w:t>
      </w:r>
      <w:r w:rsidRPr="000C06A7">
        <w:rPr>
          <w:rFonts w:ascii="Arial" w:eastAsia="Calibri" w:hAnsi="Arial" w:cs="Arial"/>
          <w:bCs/>
          <w:sz w:val="24"/>
          <w:szCs w:val="24"/>
        </w:rPr>
        <w:t xml:space="preserve"> recognise that having to </w:t>
      </w:r>
      <w:r w:rsidR="00371F19" w:rsidRPr="000C06A7">
        <w:rPr>
          <w:rFonts w:ascii="Arial" w:eastAsia="Calibri" w:hAnsi="Arial" w:cs="Arial"/>
          <w:bCs/>
          <w:sz w:val="24"/>
          <w:szCs w:val="24"/>
        </w:rPr>
        <w:t xml:space="preserve">give </w:t>
      </w:r>
      <w:r w:rsidRPr="000C06A7">
        <w:rPr>
          <w:rFonts w:ascii="Arial" w:eastAsia="Calibri" w:hAnsi="Arial" w:cs="Arial"/>
          <w:bCs/>
          <w:sz w:val="24"/>
          <w:szCs w:val="24"/>
        </w:rPr>
        <w:t xml:space="preserve">similar data to both us and CIW is not the most efficient process for the sector. </w:t>
      </w:r>
    </w:p>
    <w:p w14:paraId="04037EB0" w14:textId="673E6F48" w:rsidR="002D1B1F" w:rsidRPr="000C06A7" w:rsidRDefault="002D1B1F" w:rsidP="00632461">
      <w:pPr>
        <w:numPr>
          <w:ilvl w:val="1"/>
          <w:numId w:val="6"/>
        </w:numPr>
        <w:spacing w:after="200" w:line="276" w:lineRule="auto"/>
        <w:ind w:left="1418" w:hanging="284"/>
        <w:contextualSpacing/>
        <w:rPr>
          <w:rFonts w:ascii="Arial" w:eastAsia="Times New Roman" w:hAnsi="Arial" w:cs="Arial"/>
          <w:sz w:val="24"/>
          <w:szCs w:val="24"/>
          <w:lang w:eastAsia="en-GB"/>
        </w:rPr>
      </w:pPr>
      <w:r w:rsidRPr="000C06A7">
        <w:rPr>
          <w:rFonts w:ascii="Arial" w:eastAsia="Calibri" w:hAnsi="Arial" w:cs="Arial"/>
          <w:sz w:val="24"/>
          <w:szCs w:val="24"/>
        </w:rPr>
        <w:t xml:space="preserve">The collection will now ask for the number of staff in post </w:t>
      </w:r>
      <w:r w:rsidR="00745363" w:rsidRPr="000C06A7">
        <w:rPr>
          <w:rFonts w:ascii="Arial" w:eastAsia="Calibri" w:hAnsi="Arial" w:cs="Arial"/>
          <w:sz w:val="24"/>
          <w:szCs w:val="24"/>
        </w:rPr>
        <w:t>from</w:t>
      </w:r>
      <w:r w:rsidRPr="000C06A7">
        <w:rPr>
          <w:rFonts w:ascii="Arial" w:eastAsia="Calibri" w:hAnsi="Arial" w:cs="Arial"/>
          <w:sz w:val="24"/>
          <w:szCs w:val="24"/>
        </w:rPr>
        <w:t xml:space="preserve"> 31 March 2024, bringing our date </w:t>
      </w:r>
      <w:r w:rsidR="00745363" w:rsidRPr="000C06A7">
        <w:rPr>
          <w:rFonts w:ascii="Arial" w:eastAsia="Calibri" w:hAnsi="Arial" w:cs="Arial"/>
          <w:sz w:val="24"/>
          <w:szCs w:val="24"/>
        </w:rPr>
        <w:t>to be the same as</w:t>
      </w:r>
      <w:r w:rsidRPr="000C06A7">
        <w:rPr>
          <w:rFonts w:ascii="Arial" w:eastAsia="Calibri" w:hAnsi="Arial" w:cs="Arial"/>
          <w:sz w:val="24"/>
          <w:szCs w:val="24"/>
        </w:rPr>
        <w:t xml:space="preserve"> CIW</w:t>
      </w:r>
      <w:r w:rsidR="00745363" w:rsidRPr="000C06A7">
        <w:rPr>
          <w:rFonts w:ascii="Arial" w:eastAsia="Calibri" w:hAnsi="Arial" w:cs="Arial"/>
          <w:sz w:val="24"/>
          <w:szCs w:val="24"/>
        </w:rPr>
        <w:t>’s dates.</w:t>
      </w:r>
    </w:p>
    <w:p w14:paraId="151FE960" w14:textId="3D5D634A" w:rsidR="002D1B1F" w:rsidRPr="000C06A7" w:rsidRDefault="00D92A5F" w:rsidP="00632461">
      <w:pPr>
        <w:numPr>
          <w:ilvl w:val="1"/>
          <w:numId w:val="6"/>
        </w:numPr>
        <w:spacing w:after="200" w:line="276" w:lineRule="auto"/>
        <w:ind w:left="1418" w:hanging="284"/>
        <w:contextualSpacing/>
        <w:rPr>
          <w:rFonts w:ascii="Arial" w:eastAsia="Times New Roman" w:hAnsi="Arial" w:cs="Arial"/>
          <w:sz w:val="24"/>
          <w:szCs w:val="24"/>
          <w:lang w:eastAsia="en-GB"/>
        </w:rPr>
      </w:pPr>
      <w:r w:rsidRPr="000C06A7">
        <w:rPr>
          <w:rFonts w:ascii="Arial" w:eastAsia="Calibri" w:hAnsi="Arial" w:cs="Arial"/>
          <w:sz w:val="24"/>
          <w:szCs w:val="24"/>
        </w:rPr>
        <w:t>Setting</w:t>
      </w:r>
      <w:r w:rsidR="006E1AB7" w:rsidRPr="000C06A7">
        <w:rPr>
          <w:rFonts w:ascii="Arial" w:eastAsia="Calibri" w:hAnsi="Arial" w:cs="Arial"/>
          <w:sz w:val="24"/>
          <w:szCs w:val="24"/>
        </w:rPr>
        <w:t xml:space="preserve">s will be </w:t>
      </w:r>
      <w:r w:rsidR="00D638B7" w:rsidRPr="000C06A7">
        <w:rPr>
          <w:rFonts w:ascii="Arial" w:eastAsia="Calibri" w:hAnsi="Arial" w:cs="Arial"/>
          <w:sz w:val="24"/>
          <w:szCs w:val="24"/>
        </w:rPr>
        <w:t>in line with CIW</w:t>
      </w:r>
      <w:r w:rsidR="005B25C1" w:rsidRPr="000C06A7">
        <w:rPr>
          <w:rFonts w:ascii="Arial" w:eastAsia="Calibri" w:hAnsi="Arial" w:cs="Arial"/>
          <w:sz w:val="24"/>
          <w:szCs w:val="24"/>
        </w:rPr>
        <w:t>, so we can</w:t>
      </w:r>
      <w:r w:rsidR="006B23A6" w:rsidRPr="000C06A7">
        <w:rPr>
          <w:rFonts w:ascii="Arial" w:eastAsia="Calibri" w:hAnsi="Arial" w:cs="Arial"/>
          <w:sz w:val="24"/>
          <w:szCs w:val="24"/>
        </w:rPr>
        <w:t xml:space="preserve"> </w:t>
      </w:r>
      <w:r w:rsidR="002D1B1F" w:rsidRPr="000C06A7">
        <w:rPr>
          <w:rFonts w:ascii="Arial" w:eastAsia="Calibri" w:hAnsi="Arial" w:cs="Arial"/>
          <w:sz w:val="24"/>
          <w:szCs w:val="24"/>
        </w:rPr>
        <w:t>make sure the data we collect can be compared as easily as possible</w:t>
      </w:r>
      <w:r w:rsidR="00B43645" w:rsidRPr="000C06A7">
        <w:rPr>
          <w:rFonts w:ascii="Arial" w:eastAsia="Calibri" w:hAnsi="Arial" w:cs="Arial"/>
          <w:sz w:val="24"/>
          <w:szCs w:val="24"/>
        </w:rPr>
        <w:t>.</w:t>
      </w:r>
      <w:r w:rsidR="002D1B1F" w:rsidRPr="000C06A7">
        <w:rPr>
          <w:rFonts w:ascii="Arial" w:eastAsia="Calibri" w:hAnsi="Arial" w:cs="Arial"/>
          <w:sz w:val="24"/>
          <w:szCs w:val="24"/>
        </w:rPr>
        <w:t xml:space="preserve"> </w:t>
      </w:r>
      <w:r w:rsidR="00B43645" w:rsidRPr="000C06A7">
        <w:rPr>
          <w:rFonts w:ascii="Arial" w:eastAsia="Calibri" w:hAnsi="Arial" w:cs="Arial"/>
          <w:sz w:val="24"/>
          <w:szCs w:val="24"/>
        </w:rPr>
        <w:t>We</w:t>
      </w:r>
      <w:r w:rsidR="002D1B1F" w:rsidRPr="000C06A7">
        <w:rPr>
          <w:rFonts w:ascii="Arial" w:eastAsia="Calibri" w:hAnsi="Arial" w:cs="Arial"/>
          <w:sz w:val="24"/>
          <w:szCs w:val="24"/>
        </w:rPr>
        <w:t xml:space="preserve"> can</w:t>
      </w:r>
      <w:r w:rsidR="003C72F9" w:rsidRPr="000C06A7">
        <w:rPr>
          <w:rFonts w:ascii="Arial" w:eastAsia="Calibri" w:hAnsi="Arial" w:cs="Arial"/>
          <w:sz w:val="24"/>
          <w:szCs w:val="24"/>
        </w:rPr>
        <w:t xml:space="preserve"> then</w:t>
      </w:r>
      <w:r w:rsidR="002D1B1F" w:rsidRPr="000C06A7">
        <w:rPr>
          <w:rFonts w:ascii="Arial" w:eastAsia="Calibri" w:hAnsi="Arial" w:cs="Arial"/>
          <w:sz w:val="24"/>
          <w:szCs w:val="24"/>
        </w:rPr>
        <w:t xml:space="preserve"> assign data collectors for each organisation and setting</w:t>
      </w:r>
      <w:r w:rsidR="003C72F9" w:rsidRPr="000C06A7">
        <w:rPr>
          <w:rFonts w:ascii="Arial" w:eastAsia="Calibri" w:hAnsi="Arial" w:cs="Arial"/>
          <w:sz w:val="24"/>
          <w:szCs w:val="24"/>
        </w:rPr>
        <w:t xml:space="preserve"> more effectively.</w:t>
      </w:r>
    </w:p>
    <w:p w14:paraId="0448CDA3" w14:textId="77777777" w:rsidR="002D1B1F" w:rsidRPr="000C06A7" w:rsidRDefault="002D1B1F" w:rsidP="00632461">
      <w:pPr>
        <w:numPr>
          <w:ilvl w:val="1"/>
          <w:numId w:val="6"/>
        </w:numPr>
        <w:spacing w:after="200" w:line="276" w:lineRule="auto"/>
        <w:ind w:left="1418" w:hanging="284"/>
        <w:contextualSpacing/>
        <w:rPr>
          <w:rFonts w:ascii="Arial" w:eastAsia="Times New Roman" w:hAnsi="Arial" w:cs="Arial"/>
          <w:sz w:val="24"/>
          <w:szCs w:val="24"/>
          <w:lang w:eastAsia="en-GB"/>
        </w:rPr>
      </w:pPr>
      <w:r w:rsidRPr="000C06A7">
        <w:rPr>
          <w:rFonts w:ascii="Arial" w:eastAsia="Calibri" w:hAnsi="Arial" w:cs="Arial"/>
          <w:bCs/>
          <w:sz w:val="24"/>
          <w:szCs w:val="24"/>
        </w:rPr>
        <w:t>The third change is that the 2024 data collection will also ask how many staff currently employed need a visa to work in the UK.</w:t>
      </w:r>
    </w:p>
    <w:p w14:paraId="35D90B48" w14:textId="77777777" w:rsidR="00C26980" w:rsidRPr="000C06A7" w:rsidRDefault="00C26980" w:rsidP="00C26980">
      <w:pPr>
        <w:spacing w:after="200" w:line="276" w:lineRule="auto"/>
        <w:ind w:left="1418"/>
        <w:contextualSpacing/>
        <w:rPr>
          <w:rFonts w:ascii="Arial" w:eastAsia="Times New Roman" w:hAnsi="Arial" w:cs="Arial"/>
          <w:sz w:val="24"/>
          <w:szCs w:val="24"/>
          <w:lang w:eastAsia="en-GB"/>
        </w:rPr>
      </w:pPr>
    </w:p>
    <w:p w14:paraId="0A8405DD" w14:textId="681A3720" w:rsidR="002D1B1F" w:rsidRPr="00B568F3" w:rsidRDefault="002D1B1F" w:rsidP="00E11A60">
      <w:pPr>
        <w:numPr>
          <w:ilvl w:val="0"/>
          <w:numId w:val="6"/>
        </w:numPr>
        <w:spacing w:after="200" w:line="276" w:lineRule="auto"/>
        <w:ind w:left="567" w:hanging="425"/>
        <w:contextualSpacing/>
        <w:rPr>
          <w:rFonts w:ascii="Arial" w:eastAsia="Times New Roman" w:hAnsi="Arial" w:cs="Arial"/>
          <w:b/>
          <w:color w:val="FF0000"/>
          <w:sz w:val="24"/>
          <w:szCs w:val="24"/>
          <w:lang w:eastAsia="en-GB"/>
        </w:rPr>
      </w:pPr>
      <w:r w:rsidRPr="000C06A7">
        <w:rPr>
          <w:rFonts w:ascii="Arial" w:eastAsia="Times New Roman" w:hAnsi="Arial" w:cs="Arial"/>
          <w:sz w:val="24"/>
          <w:szCs w:val="24"/>
          <w:lang w:eastAsia="en-GB"/>
        </w:rPr>
        <w:t xml:space="preserve">We’ve been working with CIW to develop a solution that allows both organisations to collect data in a way that not only meets the needs of each organisation, but also </w:t>
      </w:r>
      <w:r w:rsidR="005B665C" w:rsidRPr="000C06A7">
        <w:rPr>
          <w:rFonts w:ascii="Arial" w:eastAsia="Times New Roman" w:hAnsi="Arial" w:cs="Arial"/>
          <w:sz w:val="24"/>
          <w:szCs w:val="24"/>
          <w:lang w:eastAsia="en-GB"/>
        </w:rPr>
        <w:t xml:space="preserve">gives a good insight to those working in the sector and </w:t>
      </w:r>
      <w:r w:rsidRPr="000C06A7">
        <w:rPr>
          <w:rFonts w:ascii="Arial" w:eastAsia="Times New Roman" w:hAnsi="Arial" w:cs="Arial"/>
          <w:sz w:val="24"/>
          <w:szCs w:val="24"/>
          <w:lang w:eastAsia="en-GB"/>
        </w:rPr>
        <w:t xml:space="preserve">a picture of the social care workforce in </w:t>
      </w:r>
      <w:r w:rsidR="00E56BBF" w:rsidRPr="000C06A7">
        <w:rPr>
          <w:rFonts w:ascii="Arial" w:eastAsia="Times New Roman" w:hAnsi="Arial" w:cs="Arial"/>
          <w:sz w:val="24"/>
          <w:szCs w:val="24"/>
          <w:lang w:eastAsia="en-GB"/>
        </w:rPr>
        <w:t>Wales.</w:t>
      </w:r>
      <w:r w:rsidRPr="000C06A7">
        <w:rPr>
          <w:rFonts w:ascii="Arial" w:eastAsia="Times New Roman" w:hAnsi="Arial" w:cs="Arial"/>
          <w:sz w:val="24"/>
          <w:szCs w:val="24"/>
          <w:lang w:eastAsia="en-GB"/>
        </w:rPr>
        <w:t xml:space="preserve"> We’ll be inviting organisations to take part in discussions about this soon, so that </w:t>
      </w:r>
      <w:r w:rsidR="005B665C" w:rsidRPr="000C06A7">
        <w:rPr>
          <w:rFonts w:ascii="Arial" w:eastAsia="Times New Roman" w:hAnsi="Arial" w:cs="Arial"/>
          <w:sz w:val="24"/>
          <w:szCs w:val="24"/>
          <w:lang w:eastAsia="en-GB"/>
        </w:rPr>
        <w:t xml:space="preserve">any </w:t>
      </w:r>
      <w:r w:rsidRPr="000C06A7">
        <w:rPr>
          <w:rFonts w:ascii="Arial" w:eastAsia="Times New Roman" w:hAnsi="Arial" w:cs="Arial"/>
          <w:sz w:val="24"/>
          <w:szCs w:val="24"/>
          <w:lang w:eastAsia="en-GB"/>
        </w:rPr>
        <w:t>new process</w:t>
      </w:r>
      <w:r w:rsidR="005B665C" w:rsidRPr="000C06A7">
        <w:rPr>
          <w:rFonts w:ascii="Arial" w:eastAsia="Times New Roman" w:hAnsi="Arial" w:cs="Arial"/>
          <w:sz w:val="24"/>
          <w:szCs w:val="24"/>
          <w:lang w:eastAsia="en-GB"/>
        </w:rPr>
        <w:t>es</w:t>
      </w:r>
      <w:r w:rsidRPr="000C06A7">
        <w:rPr>
          <w:rFonts w:ascii="Arial" w:eastAsia="Times New Roman" w:hAnsi="Arial" w:cs="Arial"/>
          <w:sz w:val="24"/>
          <w:szCs w:val="24"/>
          <w:lang w:eastAsia="en-GB"/>
        </w:rPr>
        <w:t xml:space="preserve"> </w:t>
      </w:r>
      <w:r w:rsidR="00400D0F" w:rsidRPr="000C06A7">
        <w:rPr>
          <w:rFonts w:ascii="Arial" w:eastAsia="Times New Roman" w:hAnsi="Arial" w:cs="Arial"/>
          <w:sz w:val="24"/>
          <w:szCs w:val="24"/>
          <w:lang w:eastAsia="en-GB"/>
        </w:rPr>
        <w:t>are</w:t>
      </w:r>
      <w:r w:rsidRPr="000C06A7">
        <w:rPr>
          <w:rFonts w:ascii="Arial" w:eastAsia="Times New Roman" w:hAnsi="Arial" w:cs="Arial"/>
          <w:sz w:val="24"/>
          <w:szCs w:val="24"/>
          <w:lang w:eastAsia="en-GB"/>
        </w:rPr>
        <w:t xml:space="preserve"> led by the people we work with. </w:t>
      </w:r>
    </w:p>
    <w:p w14:paraId="2F1F3D99" w14:textId="77777777" w:rsidR="002D3F73" w:rsidRDefault="002D3F73">
      <w:pPr>
        <w:rPr>
          <w:rFonts w:ascii="Arial" w:eastAsiaTheme="majorEastAsia" w:hAnsi="Arial" w:cs="Arial"/>
          <w:b/>
          <w:color w:val="11846A"/>
          <w:sz w:val="32"/>
          <w:szCs w:val="32"/>
          <w:lang w:eastAsia="en-GB"/>
        </w:rPr>
      </w:pPr>
      <w:bookmarkStart w:id="33" w:name="_Toc179481640"/>
      <w:r>
        <w:br w:type="page"/>
      </w:r>
    </w:p>
    <w:p w14:paraId="05E1A5E9" w14:textId="20E93EE9" w:rsidR="002D1B1F" w:rsidRPr="000C06A7" w:rsidRDefault="002D1B1F" w:rsidP="000C06A7">
      <w:pPr>
        <w:pStyle w:val="Heading2"/>
      </w:pPr>
      <w:r w:rsidRPr="000C06A7">
        <w:t xml:space="preserve">Regional </w:t>
      </w:r>
      <w:r w:rsidR="005B665C" w:rsidRPr="000C06A7">
        <w:t>f</w:t>
      </w:r>
      <w:r w:rsidRPr="000C06A7">
        <w:t xml:space="preserve">acilitation </w:t>
      </w:r>
      <w:r w:rsidR="005B665C" w:rsidRPr="000C06A7">
        <w:t>g</w:t>
      </w:r>
      <w:r w:rsidRPr="000C06A7">
        <w:t>rant</w:t>
      </w:r>
      <w:bookmarkEnd w:id="33"/>
    </w:p>
    <w:p w14:paraId="3CA69F15" w14:textId="77777777" w:rsidR="002D1B1F" w:rsidRPr="00B568F3" w:rsidRDefault="002D1B1F" w:rsidP="002D1B1F">
      <w:pPr>
        <w:spacing w:after="0" w:line="240" w:lineRule="auto"/>
        <w:rPr>
          <w:rFonts w:ascii="Arial" w:eastAsia="Calibri" w:hAnsi="Arial" w:cs="Arial"/>
          <w:color w:val="FF0000"/>
          <w:sz w:val="24"/>
          <w:szCs w:val="24"/>
        </w:rPr>
      </w:pPr>
    </w:p>
    <w:p w14:paraId="5F31AE63" w14:textId="28882084" w:rsidR="002D1B1F" w:rsidRPr="00B568F3" w:rsidRDefault="002D1B1F" w:rsidP="002D1B1F">
      <w:pPr>
        <w:spacing w:after="0" w:line="240" w:lineRule="auto"/>
        <w:rPr>
          <w:rFonts w:ascii="Arial" w:eastAsia="Calibri" w:hAnsi="Arial" w:cs="Arial"/>
          <w:sz w:val="24"/>
          <w:szCs w:val="24"/>
        </w:rPr>
      </w:pPr>
      <w:r w:rsidRPr="00B568F3">
        <w:rPr>
          <w:rFonts w:ascii="Arial" w:eastAsia="Calibri" w:hAnsi="Arial" w:cs="Arial"/>
          <w:sz w:val="24"/>
          <w:szCs w:val="24"/>
        </w:rPr>
        <w:t xml:space="preserve">Funding </w:t>
      </w:r>
      <w:r w:rsidR="005B665C" w:rsidRPr="00B568F3">
        <w:rPr>
          <w:rFonts w:ascii="Arial" w:eastAsia="Calibri" w:hAnsi="Arial" w:cs="Arial"/>
          <w:sz w:val="24"/>
          <w:szCs w:val="24"/>
        </w:rPr>
        <w:t>that used to be given under</w:t>
      </w:r>
      <w:r w:rsidRPr="00B568F3">
        <w:rPr>
          <w:rFonts w:ascii="Arial" w:eastAsia="Calibri" w:hAnsi="Arial" w:cs="Arial"/>
          <w:sz w:val="24"/>
          <w:szCs w:val="24"/>
        </w:rPr>
        <w:t xml:space="preserve"> the </w:t>
      </w:r>
      <w:r w:rsidR="2AE9E4BB" w:rsidRPr="00B568F3">
        <w:rPr>
          <w:rFonts w:ascii="Arial" w:eastAsia="Calibri" w:hAnsi="Arial" w:cs="Arial"/>
          <w:sz w:val="24"/>
          <w:szCs w:val="24"/>
        </w:rPr>
        <w:t>r</w:t>
      </w:r>
      <w:r w:rsidRPr="00B568F3">
        <w:rPr>
          <w:rFonts w:ascii="Arial" w:eastAsia="Calibri" w:hAnsi="Arial" w:cs="Arial"/>
          <w:sz w:val="24"/>
          <w:szCs w:val="24"/>
        </w:rPr>
        <w:t xml:space="preserve">egional </w:t>
      </w:r>
      <w:r w:rsidR="201C6F5D" w:rsidRPr="00B568F3">
        <w:rPr>
          <w:rFonts w:ascii="Arial" w:eastAsia="Calibri" w:hAnsi="Arial" w:cs="Arial"/>
          <w:sz w:val="24"/>
          <w:szCs w:val="24"/>
        </w:rPr>
        <w:t>f</w:t>
      </w:r>
      <w:r w:rsidRPr="00B568F3">
        <w:rPr>
          <w:rFonts w:ascii="Arial" w:eastAsia="Calibri" w:hAnsi="Arial" w:cs="Arial"/>
          <w:sz w:val="24"/>
          <w:szCs w:val="24"/>
        </w:rPr>
        <w:t xml:space="preserve">acilitation </w:t>
      </w:r>
      <w:r w:rsidR="3F8687C4" w:rsidRPr="00B568F3">
        <w:rPr>
          <w:rFonts w:ascii="Arial" w:eastAsia="Calibri" w:hAnsi="Arial" w:cs="Arial"/>
          <w:sz w:val="24"/>
          <w:szCs w:val="24"/>
        </w:rPr>
        <w:t>g</w:t>
      </w:r>
      <w:r w:rsidRPr="00B568F3">
        <w:rPr>
          <w:rFonts w:ascii="Arial" w:eastAsia="Calibri" w:hAnsi="Arial" w:cs="Arial"/>
          <w:sz w:val="24"/>
          <w:szCs w:val="24"/>
        </w:rPr>
        <w:t>rant is now within the SCWW</w:t>
      </w:r>
      <w:r w:rsidR="67FC1323" w:rsidRPr="00B568F3">
        <w:rPr>
          <w:rFonts w:ascii="Arial" w:eastAsia="Calibri" w:hAnsi="Arial" w:cs="Arial"/>
          <w:sz w:val="24"/>
          <w:szCs w:val="24"/>
        </w:rPr>
        <w:t>D</w:t>
      </w:r>
      <w:r w:rsidRPr="00B568F3">
        <w:rPr>
          <w:rFonts w:ascii="Arial" w:eastAsia="Calibri" w:hAnsi="Arial" w:cs="Arial"/>
          <w:sz w:val="24"/>
          <w:szCs w:val="24"/>
        </w:rPr>
        <w:t xml:space="preserve">P grant </w:t>
      </w:r>
      <w:r w:rsidR="13A4967A" w:rsidRPr="00B568F3">
        <w:rPr>
          <w:rFonts w:ascii="Arial" w:eastAsia="Calibri" w:hAnsi="Arial" w:cs="Arial"/>
          <w:sz w:val="24"/>
          <w:szCs w:val="24"/>
        </w:rPr>
        <w:t>circular but</w:t>
      </w:r>
      <w:r w:rsidRPr="00B568F3">
        <w:rPr>
          <w:rFonts w:ascii="Arial" w:eastAsia="Calibri" w:hAnsi="Arial" w:cs="Arial"/>
          <w:sz w:val="24"/>
          <w:szCs w:val="24"/>
        </w:rPr>
        <w:t xml:space="preserve"> is</w:t>
      </w:r>
      <w:r w:rsidR="005B665C" w:rsidRPr="00B568F3">
        <w:rPr>
          <w:rFonts w:ascii="Arial" w:eastAsia="Calibri" w:hAnsi="Arial" w:cs="Arial"/>
          <w:sz w:val="24"/>
          <w:szCs w:val="24"/>
        </w:rPr>
        <w:t>n’t</w:t>
      </w:r>
      <w:r w:rsidRPr="00B568F3">
        <w:rPr>
          <w:rFonts w:ascii="Arial" w:eastAsia="Calibri" w:hAnsi="Arial" w:cs="Arial"/>
          <w:sz w:val="24"/>
          <w:szCs w:val="24"/>
        </w:rPr>
        <w:t xml:space="preserve"> expected to </w:t>
      </w:r>
      <w:r w:rsidR="00E56BBF" w:rsidRPr="00B568F3">
        <w:rPr>
          <w:rFonts w:ascii="Arial" w:eastAsia="Calibri" w:hAnsi="Arial" w:cs="Arial"/>
          <w:sz w:val="24"/>
          <w:szCs w:val="24"/>
        </w:rPr>
        <w:t>attract 30</w:t>
      </w:r>
      <w:r w:rsidR="005B665C" w:rsidRPr="00B568F3">
        <w:rPr>
          <w:rFonts w:ascii="Arial" w:eastAsia="Calibri" w:hAnsi="Arial" w:cs="Arial"/>
          <w:sz w:val="24"/>
          <w:szCs w:val="24"/>
        </w:rPr>
        <w:t xml:space="preserve"> per cent</w:t>
      </w:r>
      <w:r w:rsidRPr="00B568F3">
        <w:rPr>
          <w:rFonts w:ascii="Arial" w:eastAsia="Calibri" w:hAnsi="Arial" w:cs="Arial"/>
          <w:sz w:val="24"/>
          <w:szCs w:val="24"/>
        </w:rPr>
        <w:t xml:space="preserve"> match funding</w:t>
      </w:r>
      <w:r w:rsidR="3850348F" w:rsidRPr="00B568F3">
        <w:rPr>
          <w:rFonts w:ascii="Arial" w:eastAsia="Calibri" w:hAnsi="Arial" w:cs="Arial"/>
          <w:sz w:val="24"/>
          <w:szCs w:val="24"/>
        </w:rPr>
        <w:t>. It</w:t>
      </w:r>
      <w:r w:rsidRPr="00B568F3">
        <w:rPr>
          <w:rFonts w:ascii="Arial" w:eastAsia="Calibri" w:hAnsi="Arial" w:cs="Arial"/>
          <w:sz w:val="24"/>
          <w:szCs w:val="24"/>
        </w:rPr>
        <w:t xml:space="preserve"> can only be used for the priorities below:</w:t>
      </w:r>
    </w:p>
    <w:p w14:paraId="0FFBE9EE" w14:textId="77777777" w:rsidR="002D1B1F" w:rsidRPr="00B568F3" w:rsidRDefault="002D1B1F" w:rsidP="002D1B1F">
      <w:pPr>
        <w:spacing w:after="0" w:line="240" w:lineRule="auto"/>
        <w:rPr>
          <w:rFonts w:ascii="Arial" w:eastAsia="Calibri" w:hAnsi="Arial" w:cs="Arial"/>
          <w:sz w:val="24"/>
          <w:szCs w:val="24"/>
        </w:rPr>
      </w:pPr>
    </w:p>
    <w:p w14:paraId="4E49FA65" w14:textId="4BF66DC3" w:rsidR="002D1B1F" w:rsidRPr="000C06A7" w:rsidRDefault="002D1B1F" w:rsidP="00632461">
      <w:pPr>
        <w:numPr>
          <w:ilvl w:val="0"/>
          <w:numId w:val="6"/>
        </w:numPr>
        <w:spacing w:after="200" w:line="276" w:lineRule="auto"/>
        <w:ind w:left="567" w:hanging="425"/>
        <w:contextualSpacing/>
        <w:rPr>
          <w:rFonts w:ascii="Arial" w:eastAsia="Times New Roman" w:hAnsi="Arial" w:cs="Arial"/>
          <w:sz w:val="24"/>
          <w:szCs w:val="24"/>
          <w:lang w:eastAsia="en-GB"/>
        </w:rPr>
      </w:pPr>
      <w:r w:rsidRPr="000C06A7">
        <w:rPr>
          <w:rFonts w:ascii="Arial" w:eastAsia="Times New Roman" w:hAnsi="Arial" w:cs="Arial"/>
          <w:sz w:val="24"/>
          <w:szCs w:val="24"/>
          <w:lang w:eastAsia="en-GB"/>
        </w:rPr>
        <w:t xml:space="preserve">supports sector wide engagement in the regions </w:t>
      </w:r>
    </w:p>
    <w:p w14:paraId="683ADC87" w14:textId="77777777" w:rsidR="00223669" w:rsidRPr="000C06A7" w:rsidRDefault="00223669" w:rsidP="00223669">
      <w:pPr>
        <w:spacing w:after="200" w:line="276" w:lineRule="auto"/>
        <w:ind w:left="567"/>
        <w:contextualSpacing/>
        <w:rPr>
          <w:rFonts w:ascii="Arial" w:eastAsia="Times New Roman" w:hAnsi="Arial" w:cs="Arial"/>
          <w:sz w:val="24"/>
          <w:szCs w:val="24"/>
          <w:lang w:eastAsia="en-GB"/>
        </w:rPr>
      </w:pPr>
    </w:p>
    <w:p w14:paraId="0717D19B" w14:textId="07C0C511" w:rsidR="002D1B1F" w:rsidRPr="000C06A7" w:rsidRDefault="002D1B1F" w:rsidP="00632461">
      <w:pPr>
        <w:numPr>
          <w:ilvl w:val="0"/>
          <w:numId w:val="6"/>
        </w:numPr>
        <w:spacing w:after="200" w:line="276" w:lineRule="auto"/>
        <w:ind w:left="567" w:hanging="425"/>
        <w:contextualSpacing/>
        <w:rPr>
          <w:rFonts w:ascii="Arial" w:eastAsia="Times New Roman" w:hAnsi="Arial" w:cs="Arial"/>
          <w:sz w:val="24"/>
          <w:szCs w:val="24"/>
          <w:lang w:eastAsia="en-GB"/>
        </w:rPr>
      </w:pPr>
      <w:r w:rsidRPr="000C06A7">
        <w:rPr>
          <w:rFonts w:ascii="Arial" w:eastAsia="Times New Roman" w:hAnsi="Arial" w:cs="Arial"/>
          <w:sz w:val="24"/>
          <w:szCs w:val="24"/>
          <w:lang w:eastAsia="en-GB"/>
        </w:rPr>
        <w:t>the delivery of the registered managers</w:t>
      </w:r>
      <w:r w:rsidR="00400D0F" w:rsidRPr="000C06A7">
        <w:rPr>
          <w:rFonts w:ascii="Arial" w:eastAsia="Times New Roman" w:hAnsi="Arial" w:cs="Arial"/>
          <w:sz w:val="24"/>
          <w:szCs w:val="24"/>
          <w:lang w:eastAsia="en-GB"/>
        </w:rPr>
        <w:t>’</w:t>
      </w:r>
      <w:r w:rsidRPr="000C06A7">
        <w:rPr>
          <w:rFonts w:ascii="Arial" w:eastAsia="Times New Roman" w:hAnsi="Arial" w:cs="Arial"/>
          <w:sz w:val="24"/>
          <w:szCs w:val="24"/>
          <w:lang w:eastAsia="en-GB"/>
        </w:rPr>
        <w:t xml:space="preserve"> forums (minimum of </w:t>
      </w:r>
      <w:r w:rsidR="00D50B67" w:rsidRPr="000C06A7">
        <w:rPr>
          <w:rFonts w:ascii="Arial" w:eastAsia="Times New Roman" w:hAnsi="Arial" w:cs="Arial"/>
          <w:sz w:val="24"/>
          <w:szCs w:val="24"/>
          <w:lang w:eastAsia="en-GB"/>
        </w:rPr>
        <w:t>one</w:t>
      </w:r>
      <w:r w:rsidRPr="000C06A7">
        <w:rPr>
          <w:rFonts w:ascii="Arial" w:eastAsia="Times New Roman" w:hAnsi="Arial" w:cs="Arial"/>
          <w:sz w:val="24"/>
          <w:szCs w:val="24"/>
          <w:lang w:eastAsia="en-GB"/>
        </w:rPr>
        <w:t xml:space="preserve"> per region per year) </w:t>
      </w:r>
    </w:p>
    <w:p w14:paraId="4E380AFD" w14:textId="77777777" w:rsidR="00223669" w:rsidRPr="000C06A7" w:rsidRDefault="00223669" w:rsidP="00223669">
      <w:pPr>
        <w:spacing w:after="200" w:line="276" w:lineRule="auto"/>
        <w:contextualSpacing/>
        <w:rPr>
          <w:rFonts w:ascii="Arial" w:eastAsia="Times New Roman" w:hAnsi="Arial" w:cs="Arial"/>
          <w:sz w:val="24"/>
          <w:szCs w:val="24"/>
          <w:lang w:eastAsia="en-GB"/>
        </w:rPr>
      </w:pPr>
    </w:p>
    <w:p w14:paraId="37D0E3C7" w14:textId="00478EC2" w:rsidR="002D1B1F" w:rsidRPr="000C06A7" w:rsidRDefault="002D1B1F" w:rsidP="00632461">
      <w:pPr>
        <w:numPr>
          <w:ilvl w:val="0"/>
          <w:numId w:val="6"/>
        </w:numPr>
        <w:spacing w:after="200" w:line="276" w:lineRule="auto"/>
        <w:ind w:left="567" w:hanging="425"/>
        <w:contextualSpacing/>
        <w:rPr>
          <w:rFonts w:ascii="Arial" w:eastAsia="Times New Roman" w:hAnsi="Arial" w:cs="Arial"/>
          <w:sz w:val="24"/>
          <w:szCs w:val="24"/>
          <w:lang w:eastAsia="en-GB"/>
        </w:rPr>
      </w:pPr>
      <w:r w:rsidRPr="000C06A7">
        <w:rPr>
          <w:rFonts w:ascii="Arial" w:eastAsia="Times New Roman" w:hAnsi="Arial" w:cs="Arial"/>
          <w:sz w:val="24"/>
          <w:szCs w:val="24"/>
          <w:lang w:eastAsia="en-GB"/>
        </w:rPr>
        <w:t xml:space="preserve">the development of </w:t>
      </w:r>
      <w:r w:rsidR="00400D0F" w:rsidRPr="000C06A7">
        <w:rPr>
          <w:rFonts w:ascii="Arial" w:eastAsia="Times New Roman" w:hAnsi="Arial" w:cs="Arial"/>
          <w:sz w:val="24"/>
          <w:szCs w:val="24"/>
          <w:lang w:eastAsia="en-GB"/>
        </w:rPr>
        <w:t xml:space="preserve">a </w:t>
      </w:r>
      <w:r w:rsidRPr="000C06A7">
        <w:rPr>
          <w:rFonts w:ascii="Arial" w:eastAsia="Times New Roman" w:hAnsi="Arial" w:cs="Arial"/>
          <w:sz w:val="24"/>
          <w:szCs w:val="24"/>
          <w:lang w:eastAsia="en-GB"/>
        </w:rPr>
        <w:t xml:space="preserve">regional care career connector </w:t>
      </w:r>
      <w:r w:rsidR="00F055B7" w:rsidRPr="000C06A7">
        <w:rPr>
          <w:rFonts w:ascii="Arial" w:eastAsia="Times New Roman" w:hAnsi="Arial" w:cs="Arial"/>
          <w:sz w:val="24"/>
          <w:szCs w:val="24"/>
          <w:lang w:eastAsia="en-GB"/>
        </w:rPr>
        <w:t>role</w:t>
      </w:r>
      <w:r w:rsidR="00F244F0" w:rsidRPr="000C06A7">
        <w:rPr>
          <w:rFonts w:ascii="Arial" w:eastAsia="Times New Roman" w:hAnsi="Arial" w:cs="Arial"/>
          <w:sz w:val="24"/>
          <w:szCs w:val="24"/>
          <w:lang w:eastAsia="en-GB"/>
        </w:rPr>
        <w:t xml:space="preserve"> </w:t>
      </w:r>
      <w:r w:rsidRPr="000C06A7">
        <w:rPr>
          <w:rFonts w:ascii="Arial" w:eastAsia="Times New Roman" w:hAnsi="Arial" w:cs="Arial"/>
          <w:sz w:val="24"/>
          <w:szCs w:val="24"/>
          <w:lang w:eastAsia="en-GB"/>
        </w:rPr>
        <w:t xml:space="preserve">to support the central attraction, </w:t>
      </w:r>
      <w:bookmarkStart w:id="34" w:name="_Int_O9eKd173"/>
      <w:r w:rsidRPr="000C06A7">
        <w:rPr>
          <w:rFonts w:ascii="Arial" w:eastAsia="Times New Roman" w:hAnsi="Arial" w:cs="Arial"/>
          <w:sz w:val="24"/>
          <w:szCs w:val="24"/>
          <w:lang w:eastAsia="en-GB"/>
        </w:rPr>
        <w:t>recruitment</w:t>
      </w:r>
      <w:bookmarkEnd w:id="34"/>
      <w:r w:rsidRPr="000C06A7">
        <w:rPr>
          <w:rFonts w:ascii="Arial" w:eastAsia="Times New Roman" w:hAnsi="Arial" w:cs="Arial"/>
          <w:sz w:val="24"/>
          <w:szCs w:val="24"/>
          <w:lang w:eastAsia="en-GB"/>
        </w:rPr>
        <w:t xml:space="preserve"> and retention campaign </w:t>
      </w:r>
      <w:r w:rsidR="00751343" w:rsidRPr="000C06A7">
        <w:rPr>
          <w:rFonts w:ascii="Arial" w:eastAsia="Times New Roman" w:hAnsi="Arial" w:cs="Arial"/>
          <w:sz w:val="24"/>
          <w:szCs w:val="24"/>
          <w:lang w:eastAsia="en-GB"/>
        </w:rPr>
        <w:t>throughout</w:t>
      </w:r>
      <w:r w:rsidRPr="000C06A7">
        <w:rPr>
          <w:rFonts w:ascii="Arial" w:eastAsia="Times New Roman" w:hAnsi="Arial" w:cs="Arial"/>
          <w:sz w:val="24"/>
          <w:szCs w:val="24"/>
          <w:lang w:eastAsia="en-GB"/>
        </w:rPr>
        <w:t xml:space="preserve"> this programme of work</w:t>
      </w:r>
      <w:r w:rsidR="00F6788A" w:rsidRPr="000C06A7">
        <w:rPr>
          <w:rStyle w:val="FootnoteReference"/>
          <w:rFonts w:ascii="Arial" w:eastAsia="Times New Roman" w:hAnsi="Arial" w:cs="Arial"/>
          <w:sz w:val="24"/>
          <w:szCs w:val="24"/>
          <w:lang w:eastAsia="en-GB"/>
        </w:rPr>
        <w:footnoteReference w:id="3"/>
      </w:r>
    </w:p>
    <w:p w14:paraId="25278408" w14:textId="77777777" w:rsidR="00223669" w:rsidRPr="000C06A7" w:rsidRDefault="00223669" w:rsidP="00223669">
      <w:pPr>
        <w:spacing w:after="200" w:line="276" w:lineRule="auto"/>
        <w:contextualSpacing/>
        <w:rPr>
          <w:rFonts w:ascii="Arial" w:eastAsia="Times New Roman" w:hAnsi="Arial" w:cs="Arial"/>
          <w:sz w:val="24"/>
          <w:szCs w:val="24"/>
          <w:lang w:eastAsia="en-GB"/>
        </w:rPr>
      </w:pPr>
    </w:p>
    <w:p w14:paraId="63BF132C" w14:textId="1175547E" w:rsidR="002D1B1F" w:rsidRPr="000C06A7" w:rsidRDefault="002D1B1F" w:rsidP="00632461">
      <w:pPr>
        <w:numPr>
          <w:ilvl w:val="0"/>
          <w:numId w:val="6"/>
        </w:numPr>
        <w:spacing w:after="200" w:line="276" w:lineRule="auto"/>
        <w:ind w:left="567" w:hanging="425"/>
        <w:contextualSpacing/>
        <w:rPr>
          <w:rFonts w:ascii="Arial" w:eastAsia="Times New Roman" w:hAnsi="Arial" w:cs="Arial"/>
          <w:sz w:val="24"/>
          <w:szCs w:val="24"/>
          <w:lang w:eastAsia="en-GB"/>
        </w:rPr>
      </w:pPr>
      <w:r w:rsidRPr="000C06A7">
        <w:rPr>
          <w:rFonts w:ascii="Arial" w:eastAsia="Times New Roman" w:hAnsi="Arial" w:cs="Arial"/>
          <w:sz w:val="24"/>
          <w:szCs w:val="24"/>
          <w:lang w:eastAsia="en-GB"/>
        </w:rPr>
        <w:t>increase the number of sponsored social work students by each local authority. This must increase the number of sponsored students and not be used to fund existing plans for sponsoring students</w:t>
      </w:r>
      <w:r w:rsidR="51027239" w:rsidRPr="000C06A7">
        <w:rPr>
          <w:rFonts w:ascii="Arial" w:eastAsia="Times New Roman" w:hAnsi="Arial" w:cs="Arial"/>
          <w:sz w:val="24"/>
          <w:szCs w:val="24"/>
          <w:lang w:eastAsia="en-GB"/>
        </w:rPr>
        <w:t xml:space="preserve">. </w:t>
      </w:r>
    </w:p>
    <w:p w14:paraId="6BD3EB76" w14:textId="77777777" w:rsidR="003B74E9" w:rsidRPr="00B568F3" w:rsidRDefault="003B74E9" w:rsidP="002D1B1F">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9016"/>
      </w:tblGrid>
      <w:tr w:rsidR="002D1B1F" w:rsidRPr="00B568F3" w14:paraId="6FF7805A" w14:textId="77777777" w:rsidTr="077E10B6">
        <w:tc>
          <w:tcPr>
            <w:tcW w:w="9016" w:type="dxa"/>
          </w:tcPr>
          <w:p w14:paraId="639F21DB" w14:textId="77777777" w:rsidR="002D1B1F" w:rsidRPr="000C06A7" w:rsidRDefault="002D1B1F" w:rsidP="00FC716F">
            <w:pPr>
              <w:rPr>
                <w:rFonts w:ascii="Arial" w:hAnsi="Arial" w:cs="Arial"/>
                <w:b/>
                <w:bCs/>
                <w:sz w:val="24"/>
                <w:szCs w:val="24"/>
              </w:rPr>
            </w:pPr>
            <w:r w:rsidRPr="000C06A7">
              <w:rPr>
                <w:rFonts w:ascii="Arial" w:hAnsi="Arial" w:cs="Arial"/>
                <w:b/>
                <w:bCs/>
                <w:sz w:val="24"/>
                <w:szCs w:val="24"/>
              </w:rPr>
              <w:t>Highlight</w:t>
            </w:r>
          </w:p>
          <w:p w14:paraId="6AE2C013" w14:textId="77777777" w:rsidR="002D1B1F" w:rsidRPr="000C06A7" w:rsidRDefault="002D1B1F" w:rsidP="00FC716F">
            <w:pPr>
              <w:rPr>
                <w:rFonts w:ascii="Arial" w:hAnsi="Arial" w:cs="Arial"/>
                <w:b/>
                <w:bCs/>
                <w:sz w:val="24"/>
                <w:szCs w:val="24"/>
              </w:rPr>
            </w:pPr>
          </w:p>
          <w:p w14:paraId="17EF79DD" w14:textId="48FF0845" w:rsidR="002D1B1F" w:rsidRPr="000C06A7" w:rsidRDefault="009C2AB6" w:rsidP="4BA15C28">
            <w:pPr>
              <w:rPr>
                <w:rFonts w:ascii="Arial" w:eastAsia="Calibri" w:hAnsi="Arial" w:cs="Arial"/>
                <w:sz w:val="24"/>
                <w:szCs w:val="24"/>
              </w:rPr>
            </w:pPr>
            <w:r w:rsidRPr="000C06A7">
              <w:rPr>
                <w:rFonts w:ascii="Arial" w:eastAsia="Calibri" w:hAnsi="Arial" w:cs="Arial"/>
                <w:sz w:val="24"/>
                <w:szCs w:val="24"/>
              </w:rPr>
              <w:t xml:space="preserve">In one local authority </w:t>
            </w:r>
            <w:r w:rsidR="004D08BE" w:rsidRPr="000C06A7">
              <w:rPr>
                <w:rFonts w:ascii="Arial" w:eastAsia="Calibri" w:hAnsi="Arial" w:cs="Arial"/>
                <w:sz w:val="24"/>
                <w:szCs w:val="24"/>
              </w:rPr>
              <w:t>169 people completed t</w:t>
            </w:r>
            <w:r w:rsidR="00C00261" w:rsidRPr="000C06A7">
              <w:rPr>
                <w:rFonts w:ascii="Arial" w:eastAsia="Calibri" w:hAnsi="Arial" w:cs="Arial"/>
                <w:sz w:val="24"/>
                <w:szCs w:val="24"/>
              </w:rPr>
              <w:t xml:space="preserve">he Get into </w:t>
            </w:r>
            <w:r w:rsidR="004D08BE" w:rsidRPr="000C06A7">
              <w:rPr>
                <w:rFonts w:ascii="Arial" w:eastAsia="Calibri" w:hAnsi="Arial" w:cs="Arial"/>
                <w:sz w:val="24"/>
                <w:szCs w:val="24"/>
              </w:rPr>
              <w:t>C</w:t>
            </w:r>
            <w:r w:rsidR="00C00261" w:rsidRPr="000C06A7">
              <w:rPr>
                <w:rFonts w:ascii="Arial" w:eastAsia="Calibri" w:hAnsi="Arial" w:cs="Arial"/>
                <w:sz w:val="24"/>
                <w:szCs w:val="24"/>
              </w:rPr>
              <w:t xml:space="preserve">are programme. </w:t>
            </w:r>
            <w:r w:rsidR="004D08BE" w:rsidRPr="000C06A7">
              <w:rPr>
                <w:rFonts w:ascii="Arial" w:eastAsia="Calibri" w:hAnsi="Arial" w:cs="Arial"/>
                <w:sz w:val="24"/>
                <w:szCs w:val="24"/>
              </w:rPr>
              <w:t>153 people completed t</w:t>
            </w:r>
            <w:r w:rsidR="001F69E2" w:rsidRPr="000C06A7">
              <w:rPr>
                <w:rFonts w:ascii="Arial" w:eastAsia="Calibri" w:hAnsi="Arial" w:cs="Arial"/>
                <w:sz w:val="24"/>
                <w:szCs w:val="24"/>
              </w:rPr>
              <w:t>he All Wales handing passport</w:t>
            </w:r>
            <w:r w:rsidR="009C033F" w:rsidRPr="000C06A7">
              <w:rPr>
                <w:rFonts w:ascii="Arial" w:eastAsia="Calibri" w:hAnsi="Arial" w:cs="Arial"/>
                <w:sz w:val="24"/>
                <w:szCs w:val="24"/>
              </w:rPr>
              <w:t xml:space="preserve">, </w:t>
            </w:r>
            <w:r w:rsidR="002D1B1F" w:rsidRPr="000C06A7">
              <w:rPr>
                <w:rFonts w:ascii="Arial" w:eastAsia="Calibri" w:hAnsi="Arial" w:cs="Arial"/>
                <w:sz w:val="24"/>
                <w:szCs w:val="24"/>
              </w:rPr>
              <w:t xml:space="preserve">and 45 </w:t>
            </w:r>
            <w:r w:rsidR="00625FDA" w:rsidRPr="000C06A7">
              <w:rPr>
                <w:rFonts w:ascii="Arial" w:eastAsia="Calibri" w:hAnsi="Arial" w:cs="Arial"/>
                <w:sz w:val="24"/>
                <w:szCs w:val="24"/>
              </w:rPr>
              <w:t>h</w:t>
            </w:r>
            <w:r w:rsidR="002D1B1F" w:rsidRPr="000C06A7">
              <w:rPr>
                <w:rFonts w:ascii="Arial" w:eastAsia="Calibri" w:hAnsi="Arial" w:cs="Arial"/>
                <w:sz w:val="24"/>
                <w:szCs w:val="24"/>
              </w:rPr>
              <w:t xml:space="preserve">ealth and </w:t>
            </w:r>
            <w:r w:rsidR="00625FDA" w:rsidRPr="000C06A7">
              <w:rPr>
                <w:rFonts w:ascii="Arial" w:eastAsia="Calibri" w:hAnsi="Arial" w:cs="Arial"/>
                <w:sz w:val="24"/>
                <w:szCs w:val="24"/>
              </w:rPr>
              <w:t>s</w:t>
            </w:r>
            <w:r w:rsidR="002D1B1F" w:rsidRPr="000C06A7">
              <w:rPr>
                <w:rFonts w:ascii="Arial" w:eastAsia="Calibri" w:hAnsi="Arial" w:cs="Arial"/>
                <w:sz w:val="24"/>
                <w:szCs w:val="24"/>
              </w:rPr>
              <w:t>ocial care providers were supported with their recruitment needs.</w:t>
            </w:r>
          </w:p>
          <w:p w14:paraId="5025619E" w14:textId="77777777" w:rsidR="003B74E9" w:rsidRPr="000C06A7" w:rsidRDefault="003B74E9" w:rsidP="4BA15C28">
            <w:pPr>
              <w:rPr>
                <w:rFonts w:ascii="Arial" w:eastAsia="Calibri" w:hAnsi="Arial" w:cs="Arial"/>
                <w:sz w:val="24"/>
                <w:szCs w:val="24"/>
              </w:rPr>
            </w:pPr>
          </w:p>
          <w:p w14:paraId="5922C88F" w14:textId="28941F90" w:rsidR="002D1B1F" w:rsidRPr="000C06A7" w:rsidRDefault="009C033F" w:rsidP="077E10B6">
            <w:pPr>
              <w:rPr>
                <w:rFonts w:ascii="Arial" w:eastAsia="Calibri" w:hAnsi="Arial" w:cs="Arial"/>
                <w:sz w:val="24"/>
                <w:szCs w:val="24"/>
              </w:rPr>
            </w:pPr>
            <w:r w:rsidRPr="000C06A7">
              <w:rPr>
                <w:rFonts w:ascii="Arial" w:eastAsia="Calibri" w:hAnsi="Arial" w:cs="Arial"/>
                <w:sz w:val="24"/>
                <w:szCs w:val="24"/>
              </w:rPr>
              <w:t xml:space="preserve">There </w:t>
            </w:r>
            <w:r w:rsidR="006F34F7" w:rsidRPr="000C06A7">
              <w:rPr>
                <w:rFonts w:ascii="Arial" w:eastAsia="Calibri" w:hAnsi="Arial" w:cs="Arial"/>
                <w:sz w:val="24"/>
                <w:szCs w:val="24"/>
              </w:rPr>
              <w:t xml:space="preserve">have been </w:t>
            </w:r>
            <w:r w:rsidRPr="000C06A7">
              <w:rPr>
                <w:rFonts w:ascii="Arial" w:eastAsia="Calibri" w:hAnsi="Arial" w:cs="Arial"/>
                <w:sz w:val="24"/>
                <w:szCs w:val="24"/>
              </w:rPr>
              <w:t>f</w:t>
            </w:r>
            <w:r w:rsidR="0021705F" w:rsidRPr="000C06A7">
              <w:rPr>
                <w:rFonts w:ascii="Arial" w:eastAsia="Calibri" w:hAnsi="Arial" w:cs="Arial"/>
                <w:sz w:val="24"/>
                <w:szCs w:val="24"/>
              </w:rPr>
              <w:t>our</w:t>
            </w:r>
            <w:r w:rsidR="002D1B1F" w:rsidRPr="000C06A7">
              <w:rPr>
                <w:rFonts w:ascii="Arial" w:eastAsia="Calibri" w:hAnsi="Arial" w:cs="Arial"/>
                <w:sz w:val="24"/>
                <w:szCs w:val="24"/>
              </w:rPr>
              <w:t xml:space="preserve"> cohorts</w:t>
            </w:r>
            <w:r w:rsidR="00706D19" w:rsidRPr="000C06A7">
              <w:rPr>
                <w:rFonts w:ascii="Arial" w:eastAsia="Calibri" w:hAnsi="Arial" w:cs="Arial"/>
                <w:sz w:val="24"/>
                <w:szCs w:val="24"/>
              </w:rPr>
              <w:t xml:space="preserve"> of the Fast Track 2 Care programme</w:t>
            </w:r>
            <w:r w:rsidRPr="000C06A7">
              <w:rPr>
                <w:rFonts w:ascii="Arial" w:eastAsia="Calibri" w:hAnsi="Arial" w:cs="Arial"/>
                <w:sz w:val="24"/>
                <w:szCs w:val="24"/>
              </w:rPr>
              <w:t>,</w:t>
            </w:r>
            <w:r w:rsidR="002D1B1F" w:rsidRPr="000C06A7">
              <w:rPr>
                <w:rFonts w:ascii="Arial" w:eastAsia="Calibri" w:hAnsi="Arial" w:cs="Arial"/>
                <w:sz w:val="24"/>
                <w:szCs w:val="24"/>
              </w:rPr>
              <w:t xml:space="preserve"> and 111 candidates</w:t>
            </w:r>
            <w:r w:rsidRPr="000C06A7">
              <w:rPr>
                <w:rFonts w:ascii="Arial" w:eastAsia="Calibri" w:hAnsi="Arial" w:cs="Arial"/>
                <w:sz w:val="24"/>
                <w:szCs w:val="24"/>
              </w:rPr>
              <w:t xml:space="preserve"> have</w:t>
            </w:r>
            <w:r w:rsidR="002D1B1F" w:rsidRPr="000C06A7">
              <w:rPr>
                <w:rFonts w:ascii="Arial" w:eastAsia="Calibri" w:hAnsi="Arial" w:cs="Arial"/>
                <w:sz w:val="24"/>
                <w:szCs w:val="24"/>
              </w:rPr>
              <w:t xml:space="preserve"> completed</w:t>
            </w:r>
            <w:r w:rsidRPr="000C06A7">
              <w:rPr>
                <w:rFonts w:ascii="Arial" w:eastAsia="Calibri" w:hAnsi="Arial" w:cs="Arial"/>
                <w:sz w:val="24"/>
                <w:szCs w:val="24"/>
              </w:rPr>
              <w:t xml:space="preserve"> the programme</w:t>
            </w:r>
            <w:r w:rsidR="002D1B1F" w:rsidRPr="000C06A7">
              <w:rPr>
                <w:rFonts w:ascii="Arial" w:eastAsia="Calibri" w:hAnsi="Arial" w:cs="Arial"/>
                <w:sz w:val="24"/>
                <w:szCs w:val="24"/>
              </w:rPr>
              <w:t xml:space="preserve">. </w:t>
            </w:r>
            <w:r w:rsidR="00395EAF" w:rsidRPr="000C06A7">
              <w:rPr>
                <w:rFonts w:ascii="Arial" w:eastAsia="Calibri" w:hAnsi="Arial" w:cs="Arial"/>
                <w:sz w:val="24"/>
                <w:szCs w:val="24"/>
              </w:rPr>
              <w:t xml:space="preserve">To date, </w:t>
            </w:r>
            <w:r w:rsidR="002D1B1F" w:rsidRPr="000C06A7">
              <w:rPr>
                <w:rFonts w:ascii="Arial" w:eastAsia="Calibri" w:hAnsi="Arial" w:cs="Arial"/>
                <w:sz w:val="24"/>
                <w:szCs w:val="24"/>
              </w:rPr>
              <w:t>49 have secured roles (44</w:t>
            </w:r>
            <w:r w:rsidR="008B68B1" w:rsidRPr="000C06A7">
              <w:rPr>
                <w:rFonts w:ascii="Arial" w:eastAsia="Calibri" w:hAnsi="Arial" w:cs="Arial"/>
                <w:sz w:val="24"/>
                <w:szCs w:val="24"/>
              </w:rPr>
              <w:t xml:space="preserve"> per cent</w:t>
            </w:r>
            <w:r w:rsidR="002D1B1F" w:rsidRPr="000C06A7">
              <w:rPr>
                <w:rFonts w:ascii="Arial" w:eastAsia="Calibri" w:hAnsi="Arial" w:cs="Arial"/>
                <w:sz w:val="24"/>
                <w:szCs w:val="24"/>
              </w:rPr>
              <w:t xml:space="preserve"> conversion rate).</w:t>
            </w:r>
            <w:r w:rsidRPr="000C06A7">
              <w:rPr>
                <w:rFonts w:ascii="Arial" w:eastAsia="Calibri" w:hAnsi="Arial" w:cs="Arial"/>
                <w:sz w:val="24"/>
                <w:szCs w:val="24"/>
              </w:rPr>
              <w:t xml:space="preserve"> There are e</w:t>
            </w:r>
            <w:r w:rsidR="002D1B1F" w:rsidRPr="000C06A7">
              <w:rPr>
                <w:rFonts w:ascii="Arial" w:eastAsia="Calibri" w:hAnsi="Arial" w:cs="Arial"/>
                <w:sz w:val="24"/>
                <w:szCs w:val="24"/>
              </w:rPr>
              <w:t>valuation reports available</w:t>
            </w:r>
            <w:r w:rsidRPr="000C06A7">
              <w:rPr>
                <w:rFonts w:ascii="Arial" w:eastAsia="Calibri" w:hAnsi="Arial" w:cs="Arial"/>
                <w:sz w:val="24"/>
                <w:szCs w:val="24"/>
              </w:rPr>
              <w:t>, which have</w:t>
            </w:r>
            <w:r w:rsidR="002D1B1F" w:rsidRPr="000C06A7">
              <w:rPr>
                <w:rFonts w:ascii="Arial" w:eastAsia="Calibri" w:hAnsi="Arial" w:cs="Arial"/>
                <w:sz w:val="24"/>
                <w:szCs w:val="24"/>
              </w:rPr>
              <w:t xml:space="preserve"> extremely positive feedback from candidates.</w:t>
            </w:r>
          </w:p>
          <w:p w14:paraId="2674F569" w14:textId="77777777" w:rsidR="002D1B1F" w:rsidRPr="000C06A7" w:rsidRDefault="002D1B1F" w:rsidP="00FC716F">
            <w:pPr>
              <w:rPr>
                <w:rFonts w:ascii="Arial" w:eastAsia="Calibri" w:hAnsi="Arial" w:cs="Arial"/>
                <w:sz w:val="24"/>
                <w:szCs w:val="24"/>
              </w:rPr>
            </w:pPr>
          </w:p>
        </w:tc>
      </w:tr>
    </w:tbl>
    <w:p w14:paraId="0503FA47" w14:textId="77777777" w:rsidR="002D1B1F" w:rsidRDefault="002D1B1F" w:rsidP="002D1B1F">
      <w:pPr>
        <w:spacing w:after="0" w:line="240" w:lineRule="auto"/>
        <w:rPr>
          <w:rFonts w:ascii="Arial" w:eastAsia="Calibri" w:hAnsi="Arial" w:cs="Arial"/>
          <w:sz w:val="24"/>
          <w:szCs w:val="24"/>
        </w:rPr>
      </w:pPr>
    </w:p>
    <w:p w14:paraId="10E1D9F2" w14:textId="77777777" w:rsidR="000C06A7" w:rsidRPr="000C06A7" w:rsidRDefault="000C06A7" w:rsidP="002D1B1F">
      <w:pPr>
        <w:spacing w:after="0" w:line="240" w:lineRule="auto"/>
        <w:rPr>
          <w:rFonts w:ascii="Arial" w:eastAsia="Calibri" w:hAnsi="Arial" w:cs="Arial"/>
          <w:sz w:val="24"/>
          <w:szCs w:val="24"/>
        </w:rPr>
      </w:pPr>
    </w:p>
    <w:tbl>
      <w:tblPr>
        <w:tblStyle w:val="TableGrid"/>
        <w:tblW w:w="0" w:type="auto"/>
        <w:tblLook w:val="04A0" w:firstRow="1" w:lastRow="0" w:firstColumn="1" w:lastColumn="0" w:noHBand="0" w:noVBand="1"/>
      </w:tblPr>
      <w:tblGrid>
        <w:gridCol w:w="9016"/>
      </w:tblGrid>
      <w:tr w:rsidR="002D1B1F" w:rsidRPr="00B568F3" w14:paraId="541ED835" w14:textId="77777777" w:rsidTr="4BA15C28">
        <w:tc>
          <w:tcPr>
            <w:tcW w:w="9016" w:type="dxa"/>
            <w:tcBorders>
              <w:bottom w:val="single" w:sz="4" w:space="0" w:color="auto"/>
            </w:tcBorders>
          </w:tcPr>
          <w:p w14:paraId="04A539C2" w14:textId="77777777" w:rsidR="002D1B1F" w:rsidRPr="000C06A7" w:rsidRDefault="002D1B1F" w:rsidP="00FC716F">
            <w:pPr>
              <w:rPr>
                <w:rFonts w:ascii="Arial" w:eastAsia="Times New Roman" w:hAnsi="Arial" w:cs="Arial"/>
                <w:b/>
                <w:bCs/>
                <w:sz w:val="24"/>
                <w:szCs w:val="24"/>
                <w:lang w:eastAsia="en-GB"/>
              </w:rPr>
            </w:pPr>
            <w:r w:rsidRPr="000C06A7">
              <w:rPr>
                <w:rFonts w:ascii="Arial" w:eastAsia="Times New Roman" w:hAnsi="Arial" w:cs="Arial"/>
                <w:b/>
                <w:bCs/>
                <w:sz w:val="24"/>
                <w:szCs w:val="24"/>
                <w:lang w:eastAsia="en-GB"/>
              </w:rPr>
              <w:t>Highlight</w:t>
            </w:r>
          </w:p>
          <w:p w14:paraId="51A57149" w14:textId="77777777" w:rsidR="002D1B1F" w:rsidRPr="000C06A7" w:rsidRDefault="002D1B1F" w:rsidP="00FC716F">
            <w:pPr>
              <w:rPr>
                <w:rFonts w:ascii="Arial" w:eastAsia="Times New Roman" w:hAnsi="Arial" w:cs="Arial"/>
                <w:sz w:val="24"/>
                <w:szCs w:val="24"/>
                <w:lang w:eastAsia="en-GB"/>
              </w:rPr>
            </w:pPr>
          </w:p>
          <w:p w14:paraId="0B18DE8F" w14:textId="0223B568" w:rsidR="002D1B1F" w:rsidRPr="000C06A7" w:rsidRDefault="009C2AB6" w:rsidP="007C608A">
            <w:pPr>
              <w:rPr>
                <w:rFonts w:ascii="Arial" w:eastAsia="Calibri" w:hAnsi="Arial" w:cs="Arial"/>
                <w:color w:val="FF0000"/>
                <w:sz w:val="24"/>
                <w:szCs w:val="24"/>
              </w:rPr>
            </w:pPr>
            <w:r w:rsidRPr="000C06A7">
              <w:rPr>
                <w:rFonts w:ascii="Arial" w:eastAsia="Calibri" w:hAnsi="Arial" w:cs="Arial"/>
                <w:sz w:val="24"/>
                <w:szCs w:val="24"/>
              </w:rPr>
              <w:t xml:space="preserve">Another </w:t>
            </w:r>
            <w:r w:rsidR="007511CF" w:rsidRPr="000C06A7">
              <w:rPr>
                <w:rFonts w:ascii="Arial" w:eastAsia="Calibri" w:hAnsi="Arial" w:cs="Arial"/>
                <w:sz w:val="24"/>
                <w:szCs w:val="24"/>
              </w:rPr>
              <w:t>l</w:t>
            </w:r>
            <w:r w:rsidRPr="000C06A7">
              <w:rPr>
                <w:rFonts w:ascii="Arial" w:eastAsia="Calibri" w:hAnsi="Arial" w:cs="Arial"/>
                <w:sz w:val="24"/>
                <w:szCs w:val="24"/>
              </w:rPr>
              <w:t xml:space="preserve">ocal </w:t>
            </w:r>
            <w:r w:rsidR="007511CF" w:rsidRPr="000C06A7">
              <w:rPr>
                <w:rFonts w:ascii="Arial" w:eastAsia="Calibri" w:hAnsi="Arial" w:cs="Arial"/>
                <w:sz w:val="24"/>
                <w:szCs w:val="24"/>
              </w:rPr>
              <w:t>a</w:t>
            </w:r>
            <w:r w:rsidRPr="000C06A7">
              <w:rPr>
                <w:rFonts w:ascii="Arial" w:eastAsia="Calibri" w:hAnsi="Arial" w:cs="Arial"/>
                <w:sz w:val="24"/>
                <w:szCs w:val="24"/>
              </w:rPr>
              <w:t>u</w:t>
            </w:r>
            <w:r w:rsidR="007511CF" w:rsidRPr="000C06A7">
              <w:rPr>
                <w:rFonts w:ascii="Arial" w:eastAsia="Calibri" w:hAnsi="Arial" w:cs="Arial"/>
                <w:sz w:val="24"/>
                <w:szCs w:val="24"/>
              </w:rPr>
              <w:t xml:space="preserve">thority </w:t>
            </w:r>
            <w:r w:rsidR="009C033F" w:rsidRPr="000C06A7">
              <w:rPr>
                <w:rFonts w:ascii="Arial" w:eastAsia="Calibri" w:hAnsi="Arial" w:cs="Arial"/>
                <w:sz w:val="24"/>
                <w:szCs w:val="24"/>
              </w:rPr>
              <w:t xml:space="preserve">continues to </w:t>
            </w:r>
            <w:r w:rsidR="007511CF" w:rsidRPr="000C06A7">
              <w:rPr>
                <w:rFonts w:ascii="Arial" w:eastAsia="Calibri" w:hAnsi="Arial" w:cs="Arial"/>
                <w:sz w:val="24"/>
                <w:szCs w:val="24"/>
              </w:rPr>
              <w:t>have</w:t>
            </w:r>
            <w:r w:rsidR="009C033F" w:rsidRPr="000C06A7">
              <w:rPr>
                <w:rFonts w:ascii="Arial" w:eastAsia="Calibri" w:hAnsi="Arial" w:cs="Arial"/>
                <w:sz w:val="24"/>
                <w:szCs w:val="24"/>
              </w:rPr>
              <w:t xml:space="preserve"> </w:t>
            </w:r>
            <w:r w:rsidR="00081176" w:rsidRPr="000C06A7">
              <w:rPr>
                <w:rFonts w:ascii="Arial" w:eastAsia="Calibri" w:hAnsi="Arial" w:cs="Arial"/>
                <w:sz w:val="24"/>
                <w:szCs w:val="24"/>
              </w:rPr>
              <w:t xml:space="preserve">an </w:t>
            </w:r>
            <w:r w:rsidR="009C033F" w:rsidRPr="000C06A7">
              <w:rPr>
                <w:rFonts w:ascii="Arial" w:eastAsia="Calibri" w:hAnsi="Arial" w:cs="Arial"/>
                <w:sz w:val="24"/>
                <w:szCs w:val="24"/>
              </w:rPr>
              <w:t>excellent r</w:t>
            </w:r>
            <w:r w:rsidR="002D1B1F" w:rsidRPr="000C06A7">
              <w:rPr>
                <w:rFonts w:ascii="Arial" w:eastAsia="Calibri" w:hAnsi="Arial" w:cs="Arial"/>
                <w:sz w:val="24"/>
                <w:szCs w:val="24"/>
              </w:rPr>
              <w:t>elationship with Careers Wales</w:t>
            </w:r>
            <w:r w:rsidR="00081176" w:rsidRPr="000C06A7">
              <w:rPr>
                <w:rFonts w:ascii="Arial" w:eastAsia="Calibri" w:hAnsi="Arial" w:cs="Arial"/>
                <w:sz w:val="24"/>
                <w:szCs w:val="24"/>
              </w:rPr>
              <w:t>,</w:t>
            </w:r>
            <w:r w:rsidR="002D1B1F" w:rsidRPr="000C06A7">
              <w:rPr>
                <w:rFonts w:ascii="Arial" w:eastAsia="Calibri" w:hAnsi="Arial" w:cs="Arial"/>
                <w:sz w:val="24"/>
                <w:szCs w:val="24"/>
              </w:rPr>
              <w:t xml:space="preserve"> and we were long listed for a Careers Wales award this year for engagement work </w:t>
            </w:r>
            <w:r w:rsidR="00274E32" w:rsidRPr="000C06A7">
              <w:rPr>
                <w:rFonts w:ascii="Arial" w:eastAsia="Calibri" w:hAnsi="Arial" w:cs="Arial"/>
                <w:sz w:val="24"/>
                <w:szCs w:val="24"/>
              </w:rPr>
              <w:t xml:space="preserve">carried out </w:t>
            </w:r>
            <w:r w:rsidR="002D1B1F" w:rsidRPr="000C06A7">
              <w:rPr>
                <w:rFonts w:ascii="Arial" w:eastAsia="Calibri" w:hAnsi="Arial" w:cs="Arial"/>
                <w:sz w:val="24"/>
                <w:szCs w:val="24"/>
              </w:rPr>
              <w:t>in schools.</w:t>
            </w:r>
          </w:p>
        </w:tc>
      </w:tr>
      <w:tr w:rsidR="00D7252C" w:rsidRPr="00B568F3" w14:paraId="1BDD1E03" w14:textId="77777777" w:rsidTr="4BA15C28">
        <w:tc>
          <w:tcPr>
            <w:tcW w:w="9016" w:type="dxa"/>
            <w:tcBorders>
              <w:left w:val="nil"/>
              <w:right w:val="nil"/>
            </w:tcBorders>
          </w:tcPr>
          <w:p w14:paraId="1ADFEEE9" w14:textId="77777777" w:rsidR="00D7252C" w:rsidRPr="000C06A7" w:rsidRDefault="00D7252C" w:rsidP="00FC716F">
            <w:pPr>
              <w:rPr>
                <w:rFonts w:ascii="Arial" w:eastAsia="Times New Roman" w:hAnsi="Arial" w:cs="Arial"/>
                <w:b/>
                <w:bCs/>
                <w:sz w:val="24"/>
                <w:szCs w:val="24"/>
                <w:lang w:eastAsia="en-GB"/>
              </w:rPr>
            </w:pPr>
          </w:p>
        </w:tc>
      </w:tr>
      <w:tr w:rsidR="002D1B1F" w:rsidRPr="00B568F3" w14:paraId="0EA6347E" w14:textId="77777777" w:rsidTr="4BA15C28">
        <w:tc>
          <w:tcPr>
            <w:tcW w:w="9016" w:type="dxa"/>
          </w:tcPr>
          <w:p w14:paraId="042A41F8" w14:textId="77777777" w:rsidR="002D1B1F" w:rsidRPr="000C06A7" w:rsidRDefault="002D1B1F" w:rsidP="00FC716F">
            <w:pPr>
              <w:rPr>
                <w:rFonts w:ascii="Arial" w:eastAsia="Times New Roman" w:hAnsi="Arial" w:cs="Arial"/>
                <w:b/>
                <w:bCs/>
                <w:sz w:val="24"/>
                <w:szCs w:val="24"/>
                <w:lang w:eastAsia="en-GB"/>
              </w:rPr>
            </w:pPr>
            <w:r w:rsidRPr="000C06A7">
              <w:rPr>
                <w:rFonts w:ascii="Arial" w:eastAsia="Times New Roman" w:hAnsi="Arial" w:cs="Arial"/>
                <w:b/>
                <w:bCs/>
                <w:sz w:val="24"/>
                <w:szCs w:val="24"/>
                <w:lang w:eastAsia="en-GB"/>
              </w:rPr>
              <w:t>Highlight</w:t>
            </w:r>
          </w:p>
          <w:p w14:paraId="64317626" w14:textId="77777777" w:rsidR="002D1B1F" w:rsidRPr="000C06A7" w:rsidRDefault="002D1B1F" w:rsidP="00FC716F">
            <w:pPr>
              <w:rPr>
                <w:rFonts w:ascii="Arial" w:eastAsia="Times New Roman" w:hAnsi="Arial" w:cs="Arial"/>
                <w:b/>
                <w:bCs/>
                <w:sz w:val="24"/>
                <w:szCs w:val="24"/>
                <w:lang w:eastAsia="en-GB"/>
              </w:rPr>
            </w:pPr>
          </w:p>
          <w:p w14:paraId="28EFB905" w14:textId="2EF31174" w:rsidR="00241F43" w:rsidRPr="000C06A7" w:rsidRDefault="007511CF" w:rsidP="4BA15C28">
            <w:pPr>
              <w:rPr>
                <w:rFonts w:ascii="Arial" w:eastAsia="Calibri" w:hAnsi="Arial" w:cs="Arial"/>
                <w:sz w:val="24"/>
                <w:szCs w:val="24"/>
              </w:rPr>
            </w:pPr>
            <w:r w:rsidRPr="000C06A7">
              <w:rPr>
                <w:rFonts w:ascii="Arial" w:eastAsia="Calibri" w:hAnsi="Arial" w:cs="Arial"/>
                <w:sz w:val="24"/>
                <w:szCs w:val="24"/>
              </w:rPr>
              <w:t>In another local authority t</w:t>
            </w:r>
            <w:r w:rsidR="004B6F92" w:rsidRPr="000C06A7">
              <w:rPr>
                <w:rFonts w:ascii="Arial" w:eastAsia="Calibri" w:hAnsi="Arial" w:cs="Arial"/>
                <w:sz w:val="24"/>
                <w:szCs w:val="24"/>
              </w:rPr>
              <w:t xml:space="preserve">he </w:t>
            </w:r>
            <w:r w:rsidR="002D1B1F" w:rsidRPr="000C06A7">
              <w:rPr>
                <w:rFonts w:ascii="Arial" w:eastAsia="Calibri" w:hAnsi="Arial" w:cs="Arial"/>
                <w:sz w:val="24"/>
                <w:szCs w:val="24"/>
              </w:rPr>
              <w:t>Workforce Development Lead hosted the Regional Managers and R</w:t>
            </w:r>
            <w:r w:rsidR="004B6F92" w:rsidRPr="000C06A7">
              <w:rPr>
                <w:rFonts w:ascii="Arial" w:eastAsia="Calibri" w:hAnsi="Arial" w:cs="Arial"/>
                <w:sz w:val="24"/>
                <w:szCs w:val="24"/>
              </w:rPr>
              <w:t>esponsible Individuals’ (R</w:t>
            </w:r>
            <w:r w:rsidR="002D1B1F" w:rsidRPr="000C06A7">
              <w:rPr>
                <w:rFonts w:ascii="Arial" w:eastAsia="Calibri" w:hAnsi="Arial" w:cs="Arial"/>
                <w:sz w:val="24"/>
                <w:szCs w:val="24"/>
              </w:rPr>
              <w:t>I</w:t>
            </w:r>
            <w:r w:rsidR="004B6F92" w:rsidRPr="000C06A7">
              <w:rPr>
                <w:rFonts w:ascii="Arial" w:eastAsia="Calibri" w:hAnsi="Arial" w:cs="Arial"/>
                <w:sz w:val="24"/>
                <w:szCs w:val="24"/>
              </w:rPr>
              <w:t>)</w:t>
            </w:r>
            <w:r w:rsidR="002D1B1F" w:rsidRPr="000C06A7">
              <w:rPr>
                <w:rFonts w:ascii="Arial" w:eastAsia="Calibri" w:hAnsi="Arial" w:cs="Arial"/>
                <w:sz w:val="24"/>
                <w:szCs w:val="24"/>
              </w:rPr>
              <w:t xml:space="preserve"> </w:t>
            </w:r>
            <w:r w:rsidR="004B6F92" w:rsidRPr="000C06A7">
              <w:rPr>
                <w:rFonts w:ascii="Arial" w:eastAsia="Calibri" w:hAnsi="Arial" w:cs="Arial"/>
                <w:sz w:val="24"/>
                <w:szCs w:val="24"/>
              </w:rPr>
              <w:t>F</w:t>
            </w:r>
            <w:r w:rsidR="002D1B1F" w:rsidRPr="000C06A7">
              <w:rPr>
                <w:rFonts w:ascii="Arial" w:eastAsia="Calibri" w:hAnsi="Arial" w:cs="Arial"/>
                <w:sz w:val="24"/>
                <w:szCs w:val="24"/>
              </w:rPr>
              <w:t>orum. The forum was around ‘</w:t>
            </w:r>
            <w:r w:rsidR="004B6F92" w:rsidRPr="000C06A7">
              <w:rPr>
                <w:rFonts w:ascii="Arial" w:eastAsia="Calibri" w:hAnsi="Arial" w:cs="Arial"/>
                <w:sz w:val="24"/>
                <w:szCs w:val="24"/>
              </w:rPr>
              <w:t>s</w:t>
            </w:r>
            <w:r w:rsidR="002D1B1F" w:rsidRPr="000C06A7">
              <w:rPr>
                <w:rFonts w:ascii="Arial" w:eastAsia="Calibri" w:hAnsi="Arial" w:cs="Arial"/>
                <w:sz w:val="24"/>
                <w:szCs w:val="24"/>
              </w:rPr>
              <w:t xml:space="preserve">upporting a </w:t>
            </w:r>
            <w:r w:rsidR="00241F43" w:rsidRPr="000C06A7">
              <w:rPr>
                <w:rFonts w:ascii="Arial" w:eastAsia="Calibri" w:hAnsi="Arial" w:cs="Arial"/>
                <w:sz w:val="24"/>
                <w:szCs w:val="24"/>
              </w:rPr>
              <w:t>m</w:t>
            </w:r>
            <w:r w:rsidR="002D1B1F" w:rsidRPr="000C06A7">
              <w:rPr>
                <w:rFonts w:ascii="Arial" w:eastAsia="Calibri" w:hAnsi="Arial" w:cs="Arial"/>
                <w:sz w:val="24"/>
                <w:szCs w:val="24"/>
              </w:rPr>
              <w:t xml:space="preserve">odern and </w:t>
            </w:r>
            <w:r w:rsidR="00241F43" w:rsidRPr="000C06A7">
              <w:rPr>
                <w:rFonts w:ascii="Arial" w:eastAsia="Calibri" w:hAnsi="Arial" w:cs="Arial"/>
                <w:sz w:val="24"/>
                <w:szCs w:val="24"/>
              </w:rPr>
              <w:t>r</w:t>
            </w:r>
            <w:r w:rsidR="002D1B1F" w:rsidRPr="000C06A7">
              <w:rPr>
                <w:rFonts w:ascii="Arial" w:eastAsia="Calibri" w:hAnsi="Arial" w:cs="Arial"/>
                <w:sz w:val="24"/>
                <w:szCs w:val="24"/>
              </w:rPr>
              <w:t xml:space="preserve">esilient </w:t>
            </w:r>
            <w:r w:rsidR="00241F43" w:rsidRPr="000C06A7">
              <w:rPr>
                <w:rFonts w:ascii="Arial" w:eastAsia="Calibri" w:hAnsi="Arial" w:cs="Arial"/>
                <w:sz w:val="24"/>
                <w:szCs w:val="24"/>
              </w:rPr>
              <w:t>w</w:t>
            </w:r>
            <w:r w:rsidR="002D1B1F" w:rsidRPr="000C06A7">
              <w:rPr>
                <w:rFonts w:ascii="Arial" w:eastAsia="Calibri" w:hAnsi="Arial" w:cs="Arial"/>
                <w:sz w:val="24"/>
                <w:szCs w:val="24"/>
              </w:rPr>
              <w:t xml:space="preserve">orkforce’ and </w:t>
            </w:r>
            <w:r w:rsidR="00241F43" w:rsidRPr="000C06A7">
              <w:rPr>
                <w:rFonts w:ascii="Arial" w:eastAsia="Calibri" w:hAnsi="Arial" w:cs="Arial"/>
                <w:sz w:val="24"/>
                <w:szCs w:val="24"/>
              </w:rPr>
              <w:t>was about:</w:t>
            </w:r>
          </w:p>
          <w:p w14:paraId="754AA7F7" w14:textId="3AFC265C" w:rsidR="00241F43" w:rsidRPr="000C06A7" w:rsidRDefault="00241F43" w:rsidP="00632461">
            <w:pPr>
              <w:pStyle w:val="ListParagraph"/>
              <w:numPr>
                <w:ilvl w:val="0"/>
                <w:numId w:val="21"/>
              </w:numPr>
              <w:rPr>
                <w:rFonts w:ascii="Arial" w:eastAsia="Times New Roman" w:hAnsi="Arial" w:cs="Arial"/>
                <w:b/>
                <w:bCs/>
                <w:sz w:val="24"/>
                <w:szCs w:val="24"/>
                <w:lang w:eastAsia="en-GB"/>
              </w:rPr>
            </w:pPr>
            <w:r w:rsidRPr="000C06A7">
              <w:rPr>
                <w:rFonts w:ascii="Arial" w:eastAsia="Calibri" w:hAnsi="Arial" w:cs="Arial"/>
                <w:sz w:val="24"/>
                <w:szCs w:val="24"/>
              </w:rPr>
              <w:t>s</w:t>
            </w:r>
            <w:r w:rsidR="002D1B1F" w:rsidRPr="000C06A7">
              <w:rPr>
                <w:rFonts w:ascii="Arial" w:eastAsia="Calibri" w:hAnsi="Arial" w:cs="Arial"/>
                <w:sz w:val="24"/>
                <w:szCs w:val="24"/>
              </w:rPr>
              <w:t>upporting good mental health in the workplace</w:t>
            </w:r>
          </w:p>
          <w:p w14:paraId="13D3CA4A" w14:textId="76587AB3" w:rsidR="00241F43" w:rsidRPr="000C06A7" w:rsidRDefault="2F52EDCC" w:rsidP="00632461">
            <w:pPr>
              <w:pStyle w:val="ListParagraph"/>
              <w:numPr>
                <w:ilvl w:val="0"/>
                <w:numId w:val="21"/>
              </w:numPr>
              <w:rPr>
                <w:rFonts w:ascii="Arial" w:eastAsia="Times New Roman" w:hAnsi="Arial" w:cs="Arial"/>
                <w:b/>
                <w:bCs/>
                <w:sz w:val="24"/>
                <w:szCs w:val="24"/>
                <w:lang w:eastAsia="en-GB"/>
              </w:rPr>
            </w:pPr>
            <w:r w:rsidRPr="000C06A7">
              <w:rPr>
                <w:rFonts w:ascii="Arial" w:eastAsia="Calibri" w:hAnsi="Arial" w:cs="Arial"/>
                <w:sz w:val="24"/>
                <w:szCs w:val="24"/>
              </w:rPr>
              <w:t>coaching</w:t>
            </w:r>
            <w:r w:rsidR="002D1B1F" w:rsidRPr="000C06A7">
              <w:rPr>
                <w:rFonts w:ascii="Arial" w:eastAsia="Calibri" w:hAnsi="Arial" w:cs="Arial"/>
                <w:sz w:val="24"/>
                <w:szCs w:val="24"/>
              </w:rPr>
              <w:t xml:space="preserve"> to build confidence</w:t>
            </w:r>
          </w:p>
          <w:p w14:paraId="4FCC5652" w14:textId="3B6818B8" w:rsidR="00241F43" w:rsidRPr="000C06A7" w:rsidRDefault="002D1B1F" w:rsidP="00632461">
            <w:pPr>
              <w:pStyle w:val="ListParagraph"/>
              <w:numPr>
                <w:ilvl w:val="0"/>
                <w:numId w:val="21"/>
              </w:numPr>
              <w:rPr>
                <w:rFonts w:ascii="Arial" w:eastAsia="Times New Roman" w:hAnsi="Arial" w:cs="Arial"/>
                <w:b/>
                <w:bCs/>
                <w:sz w:val="24"/>
                <w:szCs w:val="24"/>
                <w:lang w:eastAsia="en-GB"/>
              </w:rPr>
            </w:pPr>
            <w:r w:rsidRPr="000C06A7">
              <w:rPr>
                <w:rFonts w:ascii="Arial" w:eastAsia="Calibri" w:hAnsi="Arial" w:cs="Arial"/>
                <w:sz w:val="24"/>
                <w:szCs w:val="24"/>
              </w:rPr>
              <w:t>self-care</w:t>
            </w:r>
          </w:p>
          <w:p w14:paraId="195EF22F" w14:textId="5C2C4375" w:rsidR="00241F43" w:rsidRPr="000C06A7" w:rsidRDefault="00241F43" w:rsidP="00632461">
            <w:pPr>
              <w:pStyle w:val="ListParagraph"/>
              <w:numPr>
                <w:ilvl w:val="0"/>
                <w:numId w:val="21"/>
              </w:numPr>
              <w:rPr>
                <w:rFonts w:ascii="Arial" w:eastAsia="Times New Roman" w:hAnsi="Arial" w:cs="Arial"/>
                <w:b/>
                <w:bCs/>
                <w:sz w:val="24"/>
                <w:szCs w:val="24"/>
                <w:lang w:eastAsia="en-GB"/>
              </w:rPr>
            </w:pPr>
            <w:r w:rsidRPr="000C06A7">
              <w:rPr>
                <w:rFonts w:ascii="Arial" w:eastAsia="Calibri" w:hAnsi="Arial" w:cs="Arial"/>
                <w:sz w:val="24"/>
                <w:szCs w:val="24"/>
              </w:rPr>
              <w:t>i</w:t>
            </w:r>
            <w:r w:rsidR="002D1B1F" w:rsidRPr="000C06A7">
              <w:rPr>
                <w:rFonts w:ascii="Arial" w:eastAsia="Calibri" w:hAnsi="Arial" w:cs="Arial"/>
                <w:sz w:val="24"/>
                <w:szCs w:val="24"/>
              </w:rPr>
              <w:t>ndividual and team well-being</w:t>
            </w:r>
          </w:p>
          <w:p w14:paraId="588E6C57" w14:textId="2924BBE4" w:rsidR="002D1B1F" w:rsidRPr="000C06A7" w:rsidRDefault="002D1B1F" w:rsidP="00632461">
            <w:pPr>
              <w:pStyle w:val="ListParagraph"/>
              <w:numPr>
                <w:ilvl w:val="0"/>
                <w:numId w:val="21"/>
              </w:numPr>
              <w:rPr>
                <w:rFonts w:ascii="Arial" w:eastAsia="Times New Roman" w:hAnsi="Arial" w:cs="Arial"/>
                <w:b/>
                <w:sz w:val="24"/>
                <w:szCs w:val="24"/>
                <w:lang w:eastAsia="en-GB"/>
              </w:rPr>
            </w:pPr>
            <w:r w:rsidRPr="000C06A7">
              <w:rPr>
                <w:rFonts w:ascii="Arial" w:eastAsia="Calibri" w:hAnsi="Arial" w:cs="Arial"/>
                <w:sz w:val="24"/>
                <w:szCs w:val="24"/>
              </w:rPr>
              <w:t xml:space="preserve">compassionate </w:t>
            </w:r>
            <w:r w:rsidR="1B9F91AC" w:rsidRPr="000C06A7">
              <w:rPr>
                <w:rFonts w:ascii="Arial" w:eastAsia="Calibri" w:hAnsi="Arial" w:cs="Arial"/>
                <w:sz w:val="24"/>
                <w:szCs w:val="24"/>
              </w:rPr>
              <w:t>l</w:t>
            </w:r>
            <w:r w:rsidRPr="000C06A7">
              <w:rPr>
                <w:rFonts w:ascii="Arial" w:eastAsia="Calibri" w:hAnsi="Arial" w:cs="Arial"/>
                <w:sz w:val="24"/>
                <w:szCs w:val="24"/>
              </w:rPr>
              <w:t>eadership.</w:t>
            </w:r>
          </w:p>
          <w:p w14:paraId="6ADF2BF5" w14:textId="77777777" w:rsidR="002D1B1F" w:rsidRPr="000C06A7" w:rsidRDefault="002D1B1F" w:rsidP="00FC716F">
            <w:pPr>
              <w:rPr>
                <w:rFonts w:ascii="Arial" w:eastAsia="Times New Roman" w:hAnsi="Arial" w:cs="Arial"/>
                <w:color w:val="FF0000"/>
                <w:sz w:val="24"/>
                <w:szCs w:val="24"/>
                <w:lang w:eastAsia="en-GB"/>
              </w:rPr>
            </w:pPr>
          </w:p>
        </w:tc>
      </w:tr>
    </w:tbl>
    <w:p w14:paraId="180D829D" w14:textId="77777777" w:rsidR="00FD413B" w:rsidRPr="000C06A7" w:rsidRDefault="00FD413B" w:rsidP="002D1B1F">
      <w:pPr>
        <w:spacing w:after="0" w:line="240" w:lineRule="auto"/>
        <w:rPr>
          <w:rFonts w:ascii="Arial" w:eastAsia="Times New Roman" w:hAnsi="Arial" w:cs="Arial"/>
          <w:color w:val="FF0000"/>
          <w:sz w:val="24"/>
          <w:szCs w:val="24"/>
          <w:lang w:eastAsia="en-GB"/>
        </w:rPr>
      </w:pPr>
    </w:p>
    <w:tbl>
      <w:tblPr>
        <w:tblStyle w:val="TableGrid"/>
        <w:tblW w:w="0" w:type="auto"/>
        <w:tblLook w:val="04A0" w:firstRow="1" w:lastRow="0" w:firstColumn="1" w:lastColumn="0" w:noHBand="0" w:noVBand="1"/>
      </w:tblPr>
      <w:tblGrid>
        <w:gridCol w:w="9016"/>
      </w:tblGrid>
      <w:tr w:rsidR="002D1B1F" w:rsidRPr="00B568F3" w14:paraId="339200D3" w14:textId="77777777" w:rsidTr="4BA15C28">
        <w:tc>
          <w:tcPr>
            <w:tcW w:w="9016" w:type="dxa"/>
          </w:tcPr>
          <w:p w14:paraId="26DB1A90" w14:textId="77777777" w:rsidR="002D1B1F" w:rsidRPr="000C06A7" w:rsidRDefault="002D1B1F" w:rsidP="00FC716F">
            <w:pPr>
              <w:rPr>
                <w:rFonts w:ascii="Arial" w:eastAsia="Times New Roman" w:hAnsi="Arial" w:cs="Arial"/>
                <w:b/>
                <w:bCs/>
                <w:sz w:val="24"/>
                <w:szCs w:val="24"/>
                <w:lang w:eastAsia="en-GB"/>
              </w:rPr>
            </w:pPr>
            <w:r w:rsidRPr="000C06A7">
              <w:rPr>
                <w:rFonts w:ascii="Arial" w:eastAsia="Times New Roman" w:hAnsi="Arial" w:cs="Arial"/>
                <w:b/>
                <w:bCs/>
                <w:sz w:val="24"/>
                <w:szCs w:val="24"/>
                <w:lang w:eastAsia="en-GB"/>
              </w:rPr>
              <w:t>Highlight</w:t>
            </w:r>
          </w:p>
          <w:p w14:paraId="3E96C148" w14:textId="77777777" w:rsidR="002D1B1F" w:rsidRPr="000C06A7" w:rsidRDefault="002D1B1F" w:rsidP="00FC716F">
            <w:pPr>
              <w:rPr>
                <w:rFonts w:ascii="Arial" w:eastAsia="Times New Roman" w:hAnsi="Arial" w:cs="Arial"/>
                <w:b/>
                <w:bCs/>
                <w:sz w:val="24"/>
                <w:szCs w:val="24"/>
                <w:lang w:eastAsia="en-GB"/>
              </w:rPr>
            </w:pPr>
          </w:p>
          <w:p w14:paraId="6484B970" w14:textId="42A1E2F3" w:rsidR="004B6F92" w:rsidRPr="000C06A7" w:rsidRDefault="002D1B1F" w:rsidP="4BA15C28">
            <w:pPr>
              <w:rPr>
                <w:rFonts w:ascii="Arial" w:eastAsia="Calibri" w:hAnsi="Arial" w:cs="Arial"/>
                <w:sz w:val="24"/>
                <w:szCs w:val="24"/>
              </w:rPr>
            </w:pPr>
            <w:r w:rsidRPr="000C06A7">
              <w:rPr>
                <w:rFonts w:ascii="Arial" w:eastAsia="Calibri" w:hAnsi="Arial" w:cs="Arial"/>
                <w:sz w:val="24"/>
                <w:szCs w:val="24"/>
              </w:rPr>
              <w:t xml:space="preserve">The ‘Grow your </w:t>
            </w:r>
            <w:r w:rsidR="00241F43" w:rsidRPr="000C06A7">
              <w:rPr>
                <w:rFonts w:ascii="Arial" w:eastAsia="Calibri" w:hAnsi="Arial" w:cs="Arial"/>
                <w:sz w:val="24"/>
                <w:szCs w:val="24"/>
              </w:rPr>
              <w:t>o</w:t>
            </w:r>
            <w:r w:rsidRPr="000C06A7">
              <w:rPr>
                <w:rFonts w:ascii="Arial" w:eastAsia="Calibri" w:hAnsi="Arial" w:cs="Arial"/>
                <w:sz w:val="24"/>
                <w:szCs w:val="24"/>
              </w:rPr>
              <w:t xml:space="preserve">wn’ scheme </w:t>
            </w:r>
            <w:r w:rsidR="004B6F92" w:rsidRPr="000C06A7">
              <w:rPr>
                <w:rFonts w:ascii="Arial" w:eastAsia="Calibri" w:hAnsi="Arial" w:cs="Arial"/>
                <w:sz w:val="24"/>
                <w:szCs w:val="24"/>
              </w:rPr>
              <w:t xml:space="preserve">is </w:t>
            </w:r>
            <w:r w:rsidR="00241F43" w:rsidRPr="000C06A7">
              <w:rPr>
                <w:rFonts w:ascii="Arial" w:eastAsia="Calibri" w:hAnsi="Arial" w:cs="Arial"/>
                <w:sz w:val="24"/>
                <w:szCs w:val="24"/>
              </w:rPr>
              <w:t>available</w:t>
            </w:r>
            <w:r w:rsidRPr="000C06A7">
              <w:rPr>
                <w:rFonts w:ascii="Arial" w:eastAsia="Calibri" w:hAnsi="Arial" w:cs="Arial"/>
                <w:sz w:val="24"/>
                <w:szCs w:val="24"/>
              </w:rPr>
              <w:t xml:space="preserve"> to all employees across the local authority</w:t>
            </w:r>
            <w:r w:rsidR="004B6F92" w:rsidRPr="000C06A7">
              <w:rPr>
                <w:rFonts w:ascii="Arial" w:eastAsia="Calibri" w:hAnsi="Arial" w:cs="Arial"/>
                <w:sz w:val="24"/>
                <w:szCs w:val="24"/>
              </w:rPr>
              <w:t>,</w:t>
            </w:r>
            <w:r w:rsidRPr="000C06A7">
              <w:rPr>
                <w:rFonts w:ascii="Arial" w:eastAsia="Calibri" w:hAnsi="Arial" w:cs="Arial"/>
                <w:sz w:val="24"/>
                <w:szCs w:val="24"/>
              </w:rPr>
              <w:t xml:space="preserve"> including the education authority</w:t>
            </w:r>
            <w:r w:rsidR="47421434" w:rsidRPr="000C06A7">
              <w:rPr>
                <w:rFonts w:ascii="Arial" w:eastAsia="Calibri" w:hAnsi="Arial" w:cs="Arial"/>
                <w:sz w:val="24"/>
                <w:szCs w:val="24"/>
              </w:rPr>
              <w:t xml:space="preserve">. </w:t>
            </w:r>
          </w:p>
          <w:p w14:paraId="7A7885BC" w14:textId="77777777" w:rsidR="004B6F92" w:rsidRPr="000C06A7" w:rsidRDefault="004B6F92" w:rsidP="4BA15C28">
            <w:pPr>
              <w:rPr>
                <w:rFonts w:ascii="Arial" w:eastAsia="Calibri" w:hAnsi="Arial" w:cs="Arial"/>
                <w:sz w:val="24"/>
                <w:szCs w:val="24"/>
              </w:rPr>
            </w:pPr>
          </w:p>
          <w:p w14:paraId="178DE2EC" w14:textId="2932B098" w:rsidR="006622DC" w:rsidRPr="000C06A7" w:rsidRDefault="00DD2F1A" w:rsidP="4BA15C28">
            <w:pPr>
              <w:rPr>
                <w:rFonts w:ascii="Arial" w:eastAsia="Calibri" w:hAnsi="Arial" w:cs="Arial"/>
                <w:sz w:val="24"/>
                <w:szCs w:val="24"/>
              </w:rPr>
            </w:pPr>
            <w:r w:rsidRPr="000C06A7">
              <w:rPr>
                <w:rFonts w:ascii="Arial" w:eastAsia="Calibri" w:hAnsi="Arial" w:cs="Arial"/>
                <w:sz w:val="24"/>
                <w:szCs w:val="24"/>
              </w:rPr>
              <w:t>Twelve</w:t>
            </w:r>
            <w:r w:rsidR="002D1B1F" w:rsidRPr="000C06A7">
              <w:rPr>
                <w:rFonts w:ascii="Arial" w:eastAsia="Calibri" w:hAnsi="Arial" w:cs="Arial"/>
                <w:sz w:val="24"/>
                <w:szCs w:val="24"/>
              </w:rPr>
              <w:t xml:space="preserve"> new </w:t>
            </w:r>
            <w:r w:rsidR="0B5B8EBC" w:rsidRPr="000C06A7">
              <w:rPr>
                <w:rFonts w:ascii="Arial" w:eastAsia="Calibri" w:hAnsi="Arial" w:cs="Arial"/>
                <w:sz w:val="24"/>
                <w:szCs w:val="24"/>
              </w:rPr>
              <w:t>d</w:t>
            </w:r>
            <w:r w:rsidR="002D1B1F" w:rsidRPr="000C06A7">
              <w:rPr>
                <w:rFonts w:ascii="Arial" w:eastAsia="Calibri" w:hAnsi="Arial" w:cs="Arial"/>
                <w:sz w:val="24"/>
                <w:szCs w:val="24"/>
              </w:rPr>
              <w:t xml:space="preserve">egree </w:t>
            </w:r>
            <w:r w:rsidR="5FC54DA5" w:rsidRPr="000C06A7">
              <w:rPr>
                <w:rFonts w:ascii="Arial" w:eastAsia="Calibri" w:hAnsi="Arial" w:cs="Arial"/>
                <w:sz w:val="24"/>
                <w:szCs w:val="24"/>
              </w:rPr>
              <w:t>s</w:t>
            </w:r>
            <w:r w:rsidR="002D1B1F" w:rsidRPr="000C06A7">
              <w:rPr>
                <w:rFonts w:ascii="Arial" w:eastAsia="Calibri" w:hAnsi="Arial" w:cs="Arial"/>
                <w:sz w:val="24"/>
                <w:szCs w:val="24"/>
              </w:rPr>
              <w:t xml:space="preserve">tudents will </w:t>
            </w:r>
            <w:r w:rsidRPr="000C06A7">
              <w:rPr>
                <w:rFonts w:ascii="Arial" w:eastAsia="Calibri" w:hAnsi="Arial" w:cs="Arial"/>
                <w:sz w:val="24"/>
                <w:szCs w:val="24"/>
              </w:rPr>
              <w:t>start</w:t>
            </w:r>
            <w:r w:rsidR="002D1B1F" w:rsidRPr="000C06A7">
              <w:rPr>
                <w:rFonts w:ascii="Arial" w:eastAsia="Calibri" w:hAnsi="Arial" w:cs="Arial"/>
                <w:sz w:val="24"/>
                <w:szCs w:val="24"/>
              </w:rPr>
              <w:t xml:space="preserve"> their </w:t>
            </w:r>
            <w:r w:rsidR="00362780" w:rsidRPr="000C06A7">
              <w:rPr>
                <w:rFonts w:ascii="Arial" w:eastAsia="Calibri" w:hAnsi="Arial" w:cs="Arial"/>
                <w:sz w:val="24"/>
                <w:szCs w:val="24"/>
              </w:rPr>
              <w:t>studies,</w:t>
            </w:r>
            <w:r w:rsidR="002D1B1F" w:rsidRPr="000C06A7">
              <w:rPr>
                <w:rFonts w:ascii="Arial" w:eastAsia="Calibri" w:hAnsi="Arial" w:cs="Arial"/>
                <w:sz w:val="24"/>
                <w:szCs w:val="24"/>
              </w:rPr>
              <w:t xml:space="preserve"> and two new </w:t>
            </w:r>
            <w:r w:rsidR="00E56BBF" w:rsidRPr="000C06A7">
              <w:rPr>
                <w:rFonts w:ascii="Arial" w:eastAsia="Calibri" w:hAnsi="Arial" w:cs="Arial"/>
                <w:sz w:val="24"/>
                <w:szCs w:val="24"/>
              </w:rPr>
              <w:t>master’s</w:t>
            </w:r>
            <w:r w:rsidRPr="000C06A7">
              <w:rPr>
                <w:rFonts w:ascii="Arial" w:eastAsia="Calibri" w:hAnsi="Arial" w:cs="Arial"/>
                <w:sz w:val="24"/>
                <w:szCs w:val="24"/>
              </w:rPr>
              <w:t xml:space="preserve"> </w:t>
            </w:r>
            <w:r w:rsidR="002D1B1F" w:rsidRPr="000C06A7">
              <w:rPr>
                <w:rFonts w:ascii="Arial" w:eastAsia="Calibri" w:hAnsi="Arial" w:cs="Arial"/>
                <w:sz w:val="24"/>
                <w:szCs w:val="24"/>
              </w:rPr>
              <w:t xml:space="preserve">students have been interviewed and </w:t>
            </w:r>
            <w:r w:rsidRPr="000C06A7">
              <w:rPr>
                <w:rFonts w:ascii="Arial" w:eastAsia="Calibri" w:hAnsi="Arial" w:cs="Arial"/>
                <w:sz w:val="24"/>
                <w:szCs w:val="24"/>
              </w:rPr>
              <w:t>started</w:t>
            </w:r>
            <w:r w:rsidR="002D1B1F" w:rsidRPr="000C06A7">
              <w:rPr>
                <w:rFonts w:ascii="Arial" w:eastAsia="Calibri" w:hAnsi="Arial" w:cs="Arial"/>
                <w:sz w:val="24"/>
                <w:szCs w:val="24"/>
              </w:rPr>
              <w:t xml:space="preserve"> their studies on the 5 September 2023</w:t>
            </w:r>
            <w:r w:rsidR="13B79126" w:rsidRPr="000C06A7">
              <w:rPr>
                <w:rFonts w:ascii="Arial" w:eastAsia="Calibri" w:hAnsi="Arial" w:cs="Arial"/>
                <w:sz w:val="24"/>
                <w:szCs w:val="24"/>
              </w:rPr>
              <w:t>.</w:t>
            </w:r>
          </w:p>
          <w:p w14:paraId="535F2A95" w14:textId="77777777" w:rsidR="006622DC" w:rsidRPr="000C06A7" w:rsidRDefault="006622DC" w:rsidP="4BA15C28">
            <w:pPr>
              <w:rPr>
                <w:rFonts w:ascii="Arial" w:eastAsia="Calibri" w:hAnsi="Arial" w:cs="Arial"/>
                <w:sz w:val="24"/>
                <w:szCs w:val="24"/>
              </w:rPr>
            </w:pPr>
          </w:p>
          <w:p w14:paraId="3881BF1F" w14:textId="7D25802D" w:rsidR="002D1B1F" w:rsidRPr="000C06A7" w:rsidRDefault="002D1B1F" w:rsidP="4BA15C28">
            <w:pPr>
              <w:rPr>
                <w:rFonts w:ascii="Arial" w:eastAsia="Calibri" w:hAnsi="Arial" w:cs="Arial"/>
                <w:sz w:val="24"/>
                <w:szCs w:val="24"/>
                <w:lang w:eastAsia="en-GB"/>
              </w:rPr>
            </w:pPr>
            <w:r w:rsidRPr="000C06A7">
              <w:rPr>
                <w:rFonts w:ascii="Arial" w:eastAsia="Calibri" w:hAnsi="Arial" w:cs="Arial"/>
                <w:sz w:val="24"/>
                <w:szCs w:val="24"/>
              </w:rPr>
              <w:t xml:space="preserve">All </w:t>
            </w:r>
            <w:r w:rsidR="006622DC" w:rsidRPr="000C06A7">
              <w:rPr>
                <w:rFonts w:ascii="Arial" w:eastAsia="Calibri" w:hAnsi="Arial" w:cs="Arial"/>
                <w:sz w:val="24"/>
                <w:szCs w:val="24"/>
              </w:rPr>
              <w:t>s</w:t>
            </w:r>
            <w:r w:rsidR="4FB9C208" w:rsidRPr="000C06A7">
              <w:rPr>
                <w:rFonts w:ascii="Arial" w:eastAsia="Calibri" w:hAnsi="Arial" w:cs="Arial"/>
                <w:sz w:val="24"/>
                <w:szCs w:val="24"/>
              </w:rPr>
              <w:t>ocial</w:t>
            </w:r>
            <w:r w:rsidRPr="000C06A7">
              <w:rPr>
                <w:rFonts w:ascii="Arial" w:eastAsia="Calibri" w:hAnsi="Arial" w:cs="Arial"/>
                <w:sz w:val="24"/>
                <w:szCs w:val="24"/>
              </w:rPr>
              <w:t xml:space="preserve"> </w:t>
            </w:r>
            <w:r w:rsidR="006622DC" w:rsidRPr="000C06A7">
              <w:rPr>
                <w:rFonts w:ascii="Arial" w:eastAsia="Calibri" w:hAnsi="Arial" w:cs="Arial"/>
                <w:sz w:val="24"/>
                <w:szCs w:val="24"/>
              </w:rPr>
              <w:t>w</w:t>
            </w:r>
            <w:r w:rsidRPr="000C06A7">
              <w:rPr>
                <w:rFonts w:ascii="Arial" w:eastAsia="Calibri" w:hAnsi="Arial" w:cs="Arial"/>
                <w:sz w:val="24"/>
                <w:szCs w:val="24"/>
              </w:rPr>
              <w:t>orker roles have now been filled in Children and Adult Services</w:t>
            </w:r>
            <w:r w:rsidR="006622DC" w:rsidRPr="000C06A7">
              <w:rPr>
                <w:rFonts w:ascii="Arial" w:eastAsia="Calibri" w:hAnsi="Arial" w:cs="Arial"/>
                <w:sz w:val="24"/>
                <w:szCs w:val="24"/>
              </w:rPr>
              <w:t>,</w:t>
            </w:r>
            <w:r w:rsidRPr="000C06A7">
              <w:rPr>
                <w:rFonts w:ascii="Arial" w:eastAsia="Calibri" w:hAnsi="Arial" w:cs="Arial"/>
                <w:sz w:val="24"/>
                <w:szCs w:val="24"/>
              </w:rPr>
              <w:t xml:space="preserve"> not including specialist roles such as AMHPs, </w:t>
            </w:r>
            <w:r w:rsidR="006622DC" w:rsidRPr="000C06A7">
              <w:rPr>
                <w:rFonts w:ascii="Arial" w:eastAsia="Calibri" w:hAnsi="Arial" w:cs="Arial"/>
                <w:sz w:val="24"/>
                <w:szCs w:val="24"/>
              </w:rPr>
              <w:t>s</w:t>
            </w:r>
            <w:r w:rsidRPr="000C06A7">
              <w:rPr>
                <w:rFonts w:ascii="Arial" w:eastAsia="Calibri" w:hAnsi="Arial" w:cs="Arial"/>
                <w:sz w:val="24"/>
                <w:szCs w:val="24"/>
              </w:rPr>
              <w:t xml:space="preserve">enior </w:t>
            </w:r>
            <w:r w:rsidR="006622DC" w:rsidRPr="000C06A7">
              <w:rPr>
                <w:rFonts w:ascii="Arial" w:eastAsia="Calibri" w:hAnsi="Arial" w:cs="Arial"/>
                <w:sz w:val="24"/>
                <w:szCs w:val="24"/>
              </w:rPr>
              <w:t>s</w:t>
            </w:r>
            <w:r w:rsidRPr="000C06A7">
              <w:rPr>
                <w:rFonts w:ascii="Arial" w:eastAsia="Calibri" w:hAnsi="Arial" w:cs="Arial"/>
                <w:sz w:val="24"/>
                <w:szCs w:val="24"/>
              </w:rPr>
              <w:t xml:space="preserve">ocial </w:t>
            </w:r>
            <w:r w:rsidR="006622DC" w:rsidRPr="000C06A7">
              <w:rPr>
                <w:rFonts w:ascii="Arial" w:eastAsia="Calibri" w:hAnsi="Arial" w:cs="Arial"/>
                <w:sz w:val="24"/>
                <w:szCs w:val="24"/>
              </w:rPr>
              <w:t>w</w:t>
            </w:r>
            <w:r w:rsidRPr="000C06A7">
              <w:rPr>
                <w:rFonts w:ascii="Arial" w:eastAsia="Calibri" w:hAnsi="Arial" w:cs="Arial"/>
                <w:sz w:val="24"/>
                <w:szCs w:val="24"/>
              </w:rPr>
              <w:t xml:space="preserve">orker posts, </w:t>
            </w:r>
            <w:r w:rsidR="006622DC" w:rsidRPr="000C06A7">
              <w:rPr>
                <w:rFonts w:ascii="Arial" w:eastAsia="Calibri" w:hAnsi="Arial" w:cs="Arial"/>
                <w:sz w:val="24"/>
                <w:szCs w:val="24"/>
              </w:rPr>
              <w:t>p</w:t>
            </w:r>
            <w:r w:rsidRPr="000C06A7">
              <w:rPr>
                <w:rFonts w:ascii="Arial" w:eastAsia="Calibri" w:hAnsi="Arial" w:cs="Arial"/>
                <w:sz w:val="24"/>
                <w:szCs w:val="24"/>
              </w:rPr>
              <w:t xml:space="preserve">rincipal and </w:t>
            </w:r>
            <w:r w:rsidR="006622DC" w:rsidRPr="000C06A7">
              <w:rPr>
                <w:rFonts w:ascii="Arial" w:eastAsia="Calibri" w:hAnsi="Arial" w:cs="Arial"/>
                <w:sz w:val="24"/>
                <w:szCs w:val="24"/>
              </w:rPr>
              <w:t>t</w:t>
            </w:r>
            <w:r w:rsidRPr="000C06A7">
              <w:rPr>
                <w:rFonts w:ascii="Arial" w:eastAsia="Calibri" w:hAnsi="Arial" w:cs="Arial"/>
                <w:sz w:val="24"/>
                <w:szCs w:val="24"/>
              </w:rPr>
              <w:t xml:space="preserve">eam </w:t>
            </w:r>
            <w:r w:rsidR="006622DC" w:rsidRPr="000C06A7">
              <w:rPr>
                <w:rFonts w:ascii="Arial" w:eastAsia="Calibri" w:hAnsi="Arial" w:cs="Arial"/>
                <w:sz w:val="24"/>
                <w:szCs w:val="24"/>
              </w:rPr>
              <w:t>m</w:t>
            </w:r>
            <w:r w:rsidRPr="000C06A7">
              <w:rPr>
                <w:rFonts w:ascii="Arial" w:eastAsia="Calibri" w:hAnsi="Arial" w:cs="Arial"/>
                <w:sz w:val="24"/>
                <w:szCs w:val="24"/>
              </w:rPr>
              <w:t>anager posts</w:t>
            </w:r>
            <w:r w:rsidR="006021CB" w:rsidRPr="000C06A7">
              <w:rPr>
                <w:rFonts w:ascii="Arial" w:eastAsia="Calibri" w:hAnsi="Arial" w:cs="Arial"/>
                <w:sz w:val="24"/>
                <w:szCs w:val="24"/>
              </w:rPr>
              <w:t xml:space="preserve">. </w:t>
            </w:r>
          </w:p>
          <w:p w14:paraId="648DEB8A" w14:textId="77777777" w:rsidR="002D1B1F" w:rsidRPr="000C06A7" w:rsidRDefault="002D1B1F" w:rsidP="00FC716F">
            <w:pPr>
              <w:rPr>
                <w:rFonts w:ascii="Arial" w:eastAsia="Times New Roman" w:hAnsi="Arial" w:cs="Arial"/>
                <w:color w:val="FF0000"/>
                <w:sz w:val="24"/>
                <w:szCs w:val="24"/>
                <w:lang w:eastAsia="en-GB"/>
              </w:rPr>
            </w:pPr>
          </w:p>
        </w:tc>
      </w:tr>
    </w:tbl>
    <w:p w14:paraId="03366384" w14:textId="77777777" w:rsidR="002D1B1F" w:rsidRPr="000C06A7" w:rsidRDefault="002D1B1F" w:rsidP="002D1B1F">
      <w:pPr>
        <w:spacing w:after="0" w:line="240" w:lineRule="auto"/>
        <w:rPr>
          <w:rFonts w:ascii="Arial" w:eastAsia="Times New Roman" w:hAnsi="Arial" w:cs="Arial"/>
          <w:color w:val="FF0000"/>
          <w:sz w:val="24"/>
          <w:szCs w:val="24"/>
          <w:lang w:eastAsia="en-GB"/>
        </w:rPr>
      </w:pPr>
    </w:p>
    <w:tbl>
      <w:tblPr>
        <w:tblStyle w:val="TableGrid"/>
        <w:tblW w:w="0" w:type="auto"/>
        <w:tblLook w:val="04A0" w:firstRow="1" w:lastRow="0" w:firstColumn="1" w:lastColumn="0" w:noHBand="0" w:noVBand="1"/>
      </w:tblPr>
      <w:tblGrid>
        <w:gridCol w:w="9016"/>
      </w:tblGrid>
      <w:tr w:rsidR="002D1B1F" w:rsidRPr="00B568F3" w14:paraId="4981D848" w14:textId="77777777" w:rsidTr="00FC716F">
        <w:tc>
          <w:tcPr>
            <w:tcW w:w="9016" w:type="dxa"/>
          </w:tcPr>
          <w:p w14:paraId="58946FA8" w14:textId="77777777" w:rsidR="002D1B1F" w:rsidRPr="000C06A7" w:rsidRDefault="002D1B1F" w:rsidP="00FC716F">
            <w:pPr>
              <w:rPr>
                <w:rFonts w:ascii="Arial" w:eastAsia="Times New Roman" w:hAnsi="Arial" w:cs="Arial"/>
                <w:b/>
                <w:bCs/>
                <w:sz w:val="24"/>
                <w:szCs w:val="24"/>
                <w:lang w:eastAsia="en-GB"/>
              </w:rPr>
            </w:pPr>
            <w:r w:rsidRPr="000C06A7">
              <w:rPr>
                <w:rFonts w:ascii="Arial" w:eastAsia="Times New Roman" w:hAnsi="Arial" w:cs="Arial"/>
                <w:b/>
                <w:bCs/>
                <w:sz w:val="24"/>
                <w:szCs w:val="24"/>
                <w:lang w:eastAsia="en-GB"/>
              </w:rPr>
              <w:t>Highlight</w:t>
            </w:r>
          </w:p>
          <w:p w14:paraId="518C5C6B" w14:textId="77777777" w:rsidR="002D1B1F" w:rsidRPr="000C06A7" w:rsidRDefault="002D1B1F" w:rsidP="00FC716F">
            <w:pPr>
              <w:rPr>
                <w:rFonts w:ascii="Arial" w:eastAsia="Times New Roman" w:hAnsi="Arial" w:cs="Arial"/>
                <w:sz w:val="24"/>
                <w:szCs w:val="24"/>
                <w:lang w:eastAsia="en-GB"/>
              </w:rPr>
            </w:pPr>
          </w:p>
          <w:p w14:paraId="10C2644B" w14:textId="3DF14B3C" w:rsidR="002D1B1F" w:rsidRPr="000C06A7" w:rsidRDefault="000E1B67" w:rsidP="00FC716F">
            <w:pPr>
              <w:rPr>
                <w:rFonts w:ascii="Arial" w:eastAsia="Times New Roman" w:hAnsi="Arial" w:cs="Arial"/>
                <w:sz w:val="24"/>
                <w:szCs w:val="24"/>
                <w:lang w:eastAsia="en-GB"/>
              </w:rPr>
            </w:pPr>
            <w:r w:rsidRPr="000C06A7">
              <w:rPr>
                <w:rFonts w:ascii="Arial" w:eastAsia="Times New Roman" w:hAnsi="Arial" w:cs="Arial"/>
                <w:sz w:val="24"/>
                <w:szCs w:val="24"/>
                <w:lang w:eastAsia="en-GB"/>
              </w:rPr>
              <w:t>A local authority held t</w:t>
            </w:r>
            <w:r w:rsidR="002D1B1F" w:rsidRPr="000C06A7">
              <w:rPr>
                <w:rFonts w:ascii="Arial" w:eastAsia="Times New Roman" w:hAnsi="Arial" w:cs="Arial"/>
                <w:sz w:val="24"/>
                <w:szCs w:val="24"/>
                <w:lang w:eastAsia="en-GB"/>
              </w:rPr>
              <w:t xml:space="preserve">he first </w:t>
            </w:r>
            <w:r w:rsidR="006622DC" w:rsidRPr="000C06A7">
              <w:rPr>
                <w:rFonts w:ascii="Arial" w:eastAsia="Times New Roman" w:hAnsi="Arial" w:cs="Arial"/>
                <w:sz w:val="24"/>
                <w:szCs w:val="24"/>
                <w:lang w:eastAsia="en-GB"/>
              </w:rPr>
              <w:t>c</w:t>
            </w:r>
            <w:r w:rsidR="002D1B1F" w:rsidRPr="000C06A7">
              <w:rPr>
                <w:rFonts w:ascii="Arial" w:eastAsia="Times New Roman" w:hAnsi="Arial" w:cs="Arial"/>
                <w:sz w:val="24"/>
                <w:szCs w:val="24"/>
                <w:lang w:eastAsia="en-GB"/>
              </w:rPr>
              <w:t xml:space="preserve">areer </w:t>
            </w:r>
            <w:r w:rsidR="006622DC" w:rsidRPr="000C06A7">
              <w:rPr>
                <w:rFonts w:ascii="Arial" w:eastAsia="Times New Roman" w:hAnsi="Arial" w:cs="Arial"/>
                <w:sz w:val="24"/>
                <w:szCs w:val="24"/>
                <w:lang w:eastAsia="en-GB"/>
              </w:rPr>
              <w:t>fair</w:t>
            </w:r>
            <w:r w:rsidR="002D1B1F" w:rsidRPr="000C06A7">
              <w:rPr>
                <w:rFonts w:ascii="Arial" w:eastAsia="Times New Roman" w:hAnsi="Arial" w:cs="Arial"/>
                <w:sz w:val="24"/>
                <w:szCs w:val="24"/>
                <w:lang w:eastAsia="en-GB"/>
              </w:rPr>
              <w:t xml:space="preserve"> since pre-covid was organised in partnership with SCWWDP colleagues and Careers Wales and J</w:t>
            </w:r>
            <w:r w:rsidR="001F1462" w:rsidRPr="000C06A7">
              <w:rPr>
                <w:rFonts w:ascii="Arial" w:eastAsia="Times New Roman" w:hAnsi="Arial" w:cs="Arial"/>
                <w:sz w:val="24"/>
                <w:szCs w:val="24"/>
                <w:lang w:eastAsia="en-GB"/>
              </w:rPr>
              <w:t>obcentre Plus</w:t>
            </w:r>
            <w:r w:rsidR="002D1B1F" w:rsidRPr="000C06A7">
              <w:rPr>
                <w:rFonts w:ascii="Arial" w:eastAsia="Times New Roman" w:hAnsi="Arial" w:cs="Arial"/>
                <w:sz w:val="24"/>
                <w:szCs w:val="24"/>
                <w:lang w:eastAsia="en-GB"/>
              </w:rPr>
              <w:t xml:space="preserve"> in May</w:t>
            </w:r>
            <w:r w:rsidR="00317BC6" w:rsidRPr="000C06A7">
              <w:rPr>
                <w:rFonts w:ascii="Arial" w:eastAsia="Times New Roman" w:hAnsi="Arial" w:cs="Arial"/>
                <w:sz w:val="24"/>
                <w:szCs w:val="24"/>
                <w:lang w:eastAsia="en-GB"/>
              </w:rPr>
              <w:t>,</w:t>
            </w:r>
            <w:r w:rsidR="002D1B1F" w:rsidRPr="000C06A7">
              <w:rPr>
                <w:rFonts w:ascii="Arial" w:eastAsia="Times New Roman" w:hAnsi="Arial" w:cs="Arial"/>
                <w:sz w:val="24"/>
                <w:szCs w:val="24"/>
                <w:lang w:eastAsia="en-GB"/>
              </w:rPr>
              <w:t xml:space="preserve"> with </w:t>
            </w:r>
            <w:r w:rsidR="00292D7E" w:rsidRPr="000C06A7">
              <w:rPr>
                <w:rFonts w:ascii="Arial" w:eastAsia="Times New Roman" w:hAnsi="Arial" w:cs="Arial"/>
                <w:sz w:val="24"/>
                <w:szCs w:val="24"/>
                <w:lang w:eastAsia="en-GB"/>
              </w:rPr>
              <w:t>around</w:t>
            </w:r>
            <w:r w:rsidR="002D1B1F" w:rsidRPr="000C06A7">
              <w:rPr>
                <w:rFonts w:ascii="Arial" w:eastAsia="Times New Roman" w:hAnsi="Arial" w:cs="Arial"/>
                <w:sz w:val="24"/>
                <w:szCs w:val="24"/>
                <w:lang w:eastAsia="en-GB"/>
              </w:rPr>
              <w:t xml:space="preserve"> 50 attendees</w:t>
            </w:r>
            <w:r w:rsidR="00292D7E" w:rsidRPr="000C06A7">
              <w:rPr>
                <w:rFonts w:ascii="Arial" w:eastAsia="Times New Roman" w:hAnsi="Arial" w:cs="Arial"/>
                <w:sz w:val="24"/>
                <w:szCs w:val="24"/>
                <w:lang w:eastAsia="en-GB"/>
              </w:rPr>
              <w:t xml:space="preserve"> giving</w:t>
            </w:r>
            <w:r w:rsidR="00317BC6" w:rsidRPr="000C06A7">
              <w:rPr>
                <w:rFonts w:ascii="Arial" w:eastAsia="Times New Roman" w:hAnsi="Arial" w:cs="Arial"/>
                <w:sz w:val="24"/>
                <w:szCs w:val="24"/>
                <w:lang w:eastAsia="en-GB"/>
              </w:rPr>
              <w:t xml:space="preserve"> </w:t>
            </w:r>
            <w:r w:rsidR="00A66B8A" w:rsidRPr="000C06A7">
              <w:rPr>
                <w:rFonts w:ascii="Arial" w:eastAsia="Times New Roman" w:hAnsi="Arial" w:cs="Arial"/>
                <w:sz w:val="24"/>
                <w:szCs w:val="24"/>
                <w:lang w:eastAsia="en-GB"/>
              </w:rPr>
              <w:t>g</w:t>
            </w:r>
            <w:r w:rsidR="002D1B1F" w:rsidRPr="000C06A7">
              <w:rPr>
                <w:rFonts w:ascii="Arial" w:eastAsia="Times New Roman" w:hAnsi="Arial" w:cs="Arial"/>
                <w:sz w:val="24"/>
                <w:szCs w:val="24"/>
                <w:lang w:eastAsia="en-GB"/>
              </w:rPr>
              <w:t>reat feedback</w:t>
            </w:r>
            <w:r w:rsidR="00A66B8A" w:rsidRPr="000C06A7">
              <w:rPr>
                <w:rFonts w:ascii="Arial" w:eastAsia="Times New Roman" w:hAnsi="Arial" w:cs="Arial"/>
                <w:sz w:val="24"/>
                <w:szCs w:val="24"/>
                <w:lang w:eastAsia="en-GB"/>
              </w:rPr>
              <w:t>.</w:t>
            </w:r>
          </w:p>
          <w:p w14:paraId="0C8E488C" w14:textId="77777777" w:rsidR="002D1B1F" w:rsidRPr="000C06A7" w:rsidRDefault="002D1B1F" w:rsidP="00FC716F">
            <w:pPr>
              <w:rPr>
                <w:rFonts w:ascii="Arial" w:eastAsia="Times New Roman" w:hAnsi="Arial" w:cs="Arial"/>
                <w:color w:val="FF0000"/>
                <w:sz w:val="24"/>
                <w:szCs w:val="24"/>
                <w:lang w:eastAsia="en-GB"/>
              </w:rPr>
            </w:pPr>
          </w:p>
        </w:tc>
      </w:tr>
    </w:tbl>
    <w:p w14:paraId="15532F8E" w14:textId="77777777" w:rsidR="002D1B1F" w:rsidRPr="00B568F3" w:rsidRDefault="002D1B1F" w:rsidP="002D1B1F">
      <w:pPr>
        <w:spacing w:after="0" w:line="240" w:lineRule="auto"/>
        <w:rPr>
          <w:rFonts w:ascii="Arial" w:eastAsia="Times New Roman" w:hAnsi="Arial" w:cs="Arial"/>
          <w:color w:val="FF0000"/>
          <w:sz w:val="24"/>
          <w:szCs w:val="24"/>
          <w:lang w:eastAsia="en-GB"/>
        </w:rPr>
      </w:pPr>
    </w:p>
    <w:p w14:paraId="5DFFDD99" w14:textId="77777777" w:rsidR="000A776E" w:rsidRPr="00B568F3" w:rsidRDefault="000A776E" w:rsidP="002D1B1F">
      <w:pPr>
        <w:spacing w:after="0" w:line="240" w:lineRule="auto"/>
        <w:rPr>
          <w:rFonts w:ascii="Arial" w:eastAsia="Times New Roman" w:hAnsi="Arial" w:cs="Arial"/>
          <w:color w:val="FF0000"/>
          <w:sz w:val="24"/>
          <w:szCs w:val="24"/>
          <w:lang w:eastAsia="en-GB"/>
        </w:rPr>
      </w:pPr>
    </w:p>
    <w:p w14:paraId="3BCBC08D" w14:textId="3C29C7C3" w:rsidR="002D1B1F" w:rsidRPr="00B568F3" w:rsidRDefault="00E93780" w:rsidP="000C06A7">
      <w:pPr>
        <w:pStyle w:val="Heading3"/>
        <w:rPr>
          <w:lang w:eastAsia="en-GB"/>
        </w:rPr>
      </w:pPr>
      <w:r w:rsidRPr="00B568F3">
        <w:rPr>
          <w:lang w:eastAsia="en-GB"/>
        </w:rPr>
        <w:t>A</w:t>
      </w:r>
      <w:r w:rsidR="002D1B1F" w:rsidRPr="00B568F3">
        <w:rPr>
          <w:lang w:eastAsia="en-GB"/>
        </w:rPr>
        <w:t xml:space="preserve">nalysis of themes from the </w:t>
      </w:r>
      <w:r w:rsidR="0772CF54" w:rsidRPr="00B568F3">
        <w:rPr>
          <w:lang w:eastAsia="en-GB"/>
        </w:rPr>
        <w:t>r</w:t>
      </w:r>
      <w:r w:rsidR="002D1B1F" w:rsidRPr="00B568F3">
        <w:rPr>
          <w:lang w:eastAsia="en-GB"/>
        </w:rPr>
        <w:t xml:space="preserve">egional </w:t>
      </w:r>
      <w:r w:rsidR="29AB980E" w:rsidRPr="00B568F3">
        <w:rPr>
          <w:lang w:eastAsia="en-GB"/>
        </w:rPr>
        <w:t>f</w:t>
      </w:r>
      <w:r w:rsidR="002D1B1F" w:rsidRPr="00B568F3">
        <w:rPr>
          <w:lang w:eastAsia="en-GB"/>
        </w:rPr>
        <w:t xml:space="preserve">acilitation </w:t>
      </w:r>
      <w:r w:rsidR="43558AC9" w:rsidRPr="00B568F3">
        <w:rPr>
          <w:lang w:eastAsia="en-GB"/>
        </w:rPr>
        <w:t>g</w:t>
      </w:r>
      <w:r w:rsidR="002D1B1F" w:rsidRPr="00B568F3">
        <w:rPr>
          <w:lang w:eastAsia="en-GB"/>
        </w:rPr>
        <w:t>rant</w:t>
      </w:r>
    </w:p>
    <w:p w14:paraId="12A6C481" w14:textId="77777777" w:rsidR="002D1B1F" w:rsidRPr="00B568F3" w:rsidRDefault="002D1B1F" w:rsidP="002D1B1F">
      <w:pPr>
        <w:spacing w:after="0" w:line="240" w:lineRule="auto"/>
        <w:rPr>
          <w:rFonts w:ascii="Arial" w:eastAsia="Calibri" w:hAnsi="Arial" w:cs="Arial"/>
          <w:color w:val="FF0000"/>
          <w:sz w:val="24"/>
          <w:szCs w:val="24"/>
        </w:rPr>
      </w:pPr>
    </w:p>
    <w:p w14:paraId="086E203C" w14:textId="3657666E" w:rsidR="008533B5" w:rsidRPr="00B568F3" w:rsidRDefault="00156B95" w:rsidP="00632461">
      <w:pPr>
        <w:numPr>
          <w:ilvl w:val="0"/>
          <w:numId w:val="6"/>
        </w:numPr>
        <w:spacing w:after="200" w:line="276" w:lineRule="auto"/>
        <w:ind w:left="567" w:hanging="425"/>
        <w:contextualSpacing/>
        <w:rPr>
          <w:rFonts w:ascii="Arial" w:eastAsia="Times New Roman" w:hAnsi="Arial" w:cs="Arial"/>
          <w:sz w:val="24"/>
          <w:szCs w:val="24"/>
          <w:lang w:eastAsia="en-GB"/>
        </w:rPr>
      </w:pPr>
      <w:r w:rsidRPr="00B568F3">
        <w:rPr>
          <w:rFonts w:ascii="Arial" w:eastAsia="Times New Roman" w:hAnsi="Arial" w:cs="Arial"/>
          <w:sz w:val="24"/>
          <w:szCs w:val="24"/>
          <w:lang w:eastAsia="en-GB"/>
        </w:rPr>
        <w:t>We continued to hold p</w:t>
      </w:r>
      <w:r w:rsidR="002D1B1F" w:rsidRPr="00B568F3">
        <w:rPr>
          <w:rFonts w:ascii="Arial" w:eastAsia="Times New Roman" w:hAnsi="Arial" w:cs="Arial"/>
          <w:sz w:val="24"/>
          <w:szCs w:val="24"/>
          <w:lang w:eastAsia="en-GB"/>
        </w:rPr>
        <w:t>rovider forums</w:t>
      </w:r>
      <w:r w:rsidR="00B47B38" w:rsidRPr="00B568F3">
        <w:rPr>
          <w:rFonts w:ascii="Arial" w:eastAsia="Times New Roman" w:hAnsi="Arial" w:cs="Arial"/>
          <w:sz w:val="24"/>
          <w:szCs w:val="24"/>
          <w:lang w:eastAsia="en-GB"/>
        </w:rPr>
        <w:t>, to</w:t>
      </w:r>
      <w:r w:rsidR="002D1B1F" w:rsidRPr="00B568F3">
        <w:rPr>
          <w:rFonts w:ascii="Arial" w:eastAsia="Times New Roman" w:hAnsi="Arial" w:cs="Arial"/>
          <w:sz w:val="24"/>
          <w:szCs w:val="24"/>
          <w:lang w:eastAsia="en-GB"/>
        </w:rPr>
        <w:t xml:space="preserve"> help engagement and provide communication channels with providers</w:t>
      </w:r>
      <w:r w:rsidR="006C496F" w:rsidRPr="00B568F3">
        <w:rPr>
          <w:rFonts w:ascii="Arial" w:eastAsia="Times New Roman" w:hAnsi="Arial" w:cs="Arial"/>
          <w:sz w:val="24"/>
          <w:szCs w:val="24"/>
          <w:lang w:eastAsia="en-GB"/>
        </w:rPr>
        <w:t xml:space="preserve">. This </w:t>
      </w:r>
      <w:r w:rsidR="005C2572" w:rsidRPr="00B568F3">
        <w:rPr>
          <w:rFonts w:ascii="Arial" w:eastAsia="Times New Roman" w:hAnsi="Arial" w:cs="Arial"/>
          <w:sz w:val="24"/>
          <w:szCs w:val="24"/>
          <w:lang w:eastAsia="en-GB"/>
        </w:rPr>
        <w:t>make</w:t>
      </w:r>
      <w:r w:rsidR="006C496F" w:rsidRPr="00B568F3">
        <w:rPr>
          <w:rFonts w:ascii="Arial" w:eastAsia="Times New Roman" w:hAnsi="Arial" w:cs="Arial"/>
          <w:sz w:val="24"/>
          <w:szCs w:val="24"/>
          <w:lang w:eastAsia="en-GB"/>
        </w:rPr>
        <w:t>s</w:t>
      </w:r>
      <w:r w:rsidR="005C2572" w:rsidRPr="00B568F3">
        <w:rPr>
          <w:rFonts w:ascii="Arial" w:eastAsia="Times New Roman" w:hAnsi="Arial" w:cs="Arial"/>
          <w:sz w:val="24"/>
          <w:szCs w:val="24"/>
          <w:lang w:eastAsia="en-GB"/>
        </w:rPr>
        <w:t xml:space="preserve"> sure</w:t>
      </w:r>
      <w:r w:rsidR="006C496F" w:rsidRPr="00B568F3">
        <w:rPr>
          <w:rFonts w:ascii="Arial" w:eastAsia="Times New Roman" w:hAnsi="Arial" w:cs="Arial"/>
          <w:sz w:val="24"/>
          <w:szCs w:val="24"/>
          <w:lang w:eastAsia="en-GB"/>
        </w:rPr>
        <w:t xml:space="preserve"> there’s</w:t>
      </w:r>
      <w:r w:rsidR="003811FF" w:rsidRPr="00B568F3">
        <w:rPr>
          <w:rFonts w:ascii="Arial" w:eastAsia="Times New Roman" w:hAnsi="Arial" w:cs="Arial"/>
          <w:sz w:val="24"/>
          <w:szCs w:val="24"/>
          <w:lang w:eastAsia="en-GB"/>
        </w:rPr>
        <w:t xml:space="preserve"> access to SCWWDP offers through</w:t>
      </w:r>
      <w:r w:rsidR="00F17358" w:rsidRPr="00B568F3">
        <w:rPr>
          <w:rFonts w:ascii="Arial" w:eastAsia="Times New Roman" w:hAnsi="Arial" w:cs="Arial"/>
          <w:sz w:val="24"/>
          <w:szCs w:val="24"/>
          <w:lang w:eastAsia="en-GB"/>
        </w:rPr>
        <w:t xml:space="preserve"> a blended approach of face to face and virtual forums</w:t>
      </w:r>
      <w:r w:rsidR="006D62E4" w:rsidRPr="00B568F3">
        <w:rPr>
          <w:rFonts w:ascii="Arial" w:eastAsia="Times New Roman" w:hAnsi="Arial" w:cs="Arial"/>
          <w:sz w:val="24"/>
          <w:szCs w:val="24"/>
          <w:lang w:eastAsia="en-GB"/>
        </w:rPr>
        <w:t>.</w:t>
      </w:r>
      <w:r w:rsidR="005C2572" w:rsidRPr="00B568F3">
        <w:rPr>
          <w:rFonts w:ascii="Arial" w:eastAsia="Times New Roman" w:hAnsi="Arial" w:cs="Arial"/>
          <w:sz w:val="24"/>
          <w:szCs w:val="24"/>
          <w:lang w:eastAsia="en-GB"/>
        </w:rPr>
        <w:t xml:space="preserve"> </w:t>
      </w:r>
    </w:p>
    <w:p w14:paraId="514C7944" w14:textId="77777777" w:rsidR="00223669" w:rsidRPr="00B568F3" w:rsidRDefault="00223669" w:rsidP="008533B5">
      <w:pPr>
        <w:spacing w:after="200" w:line="276" w:lineRule="auto"/>
        <w:ind w:left="567"/>
        <w:contextualSpacing/>
        <w:rPr>
          <w:rFonts w:ascii="Arial" w:eastAsia="Times New Roman" w:hAnsi="Arial" w:cs="Arial"/>
          <w:sz w:val="24"/>
          <w:szCs w:val="24"/>
          <w:lang w:eastAsia="en-GB"/>
        </w:rPr>
      </w:pPr>
    </w:p>
    <w:p w14:paraId="3A705AA9" w14:textId="1F594FC9" w:rsidR="002D1B1F" w:rsidRPr="00B568F3" w:rsidRDefault="004631AE" w:rsidP="00632461">
      <w:pPr>
        <w:numPr>
          <w:ilvl w:val="0"/>
          <w:numId w:val="6"/>
        </w:numPr>
        <w:spacing w:after="200" w:line="276" w:lineRule="auto"/>
        <w:ind w:left="567" w:hanging="425"/>
        <w:contextualSpacing/>
        <w:rPr>
          <w:rFonts w:ascii="Arial" w:eastAsia="Times New Roman" w:hAnsi="Arial" w:cs="Arial"/>
          <w:sz w:val="24"/>
          <w:szCs w:val="24"/>
          <w:lang w:eastAsia="en-GB"/>
        </w:rPr>
      </w:pPr>
      <w:r w:rsidRPr="00B568F3">
        <w:rPr>
          <w:rFonts w:ascii="Arial" w:eastAsia="Times New Roman" w:hAnsi="Arial" w:cs="Arial"/>
          <w:sz w:val="24"/>
          <w:szCs w:val="24"/>
          <w:lang w:eastAsia="en-GB"/>
        </w:rPr>
        <w:t>There are c</w:t>
      </w:r>
      <w:r w:rsidR="002D1B1F" w:rsidRPr="00B568F3">
        <w:rPr>
          <w:rFonts w:ascii="Arial" w:eastAsia="Times New Roman" w:hAnsi="Arial" w:cs="Arial"/>
          <w:sz w:val="24"/>
          <w:szCs w:val="24"/>
          <w:lang w:eastAsia="en-GB"/>
        </w:rPr>
        <w:t xml:space="preserve">ontinued efforts </w:t>
      </w:r>
      <w:r w:rsidRPr="00B568F3">
        <w:rPr>
          <w:rFonts w:ascii="Arial" w:eastAsia="Times New Roman" w:hAnsi="Arial" w:cs="Arial"/>
          <w:sz w:val="24"/>
          <w:szCs w:val="24"/>
          <w:lang w:eastAsia="en-GB"/>
        </w:rPr>
        <w:t>t</w:t>
      </w:r>
      <w:r w:rsidR="002D1B1F" w:rsidRPr="00B568F3">
        <w:rPr>
          <w:rFonts w:ascii="Arial" w:eastAsia="Times New Roman" w:hAnsi="Arial" w:cs="Arial"/>
          <w:sz w:val="24"/>
          <w:szCs w:val="24"/>
          <w:lang w:eastAsia="en-GB"/>
        </w:rPr>
        <w:t xml:space="preserve">o </w:t>
      </w:r>
      <w:r w:rsidR="006D62E4" w:rsidRPr="00B568F3">
        <w:rPr>
          <w:rFonts w:ascii="Arial" w:eastAsia="Times New Roman" w:hAnsi="Arial" w:cs="Arial"/>
          <w:sz w:val="24"/>
          <w:szCs w:val="24"/>
          <w:lang w:eastAsia="en-GB"/>
        </w:rPr>
        <w:t xml:space="preserve">make sure </w:t>
      </w:r>
      <w:r w:rsidR="002D1B1F" w:rsidRPr="00B568F3">
        <w:rPr>
          <w:rFonts w:ascii="Arial" w:eastAsia="Times New Roman" w:hAnsi="Arial" w:cs="Arial"/>
          <w:sz w:val="24"/>
          <w:szCs w:val="24"/>
          <w:lang w:eastAsia="en-GB"/>
        </w:rPr>
        <w:t xml:space="preserve">that participants </w:t>
      </w:r>
      <w:r w:rsidR="00CA2903" w:rsidRPr="00B568F3">
        <w:rPr>
          <w:rFonts w:ascii="Arial" w:eastAsia="Times New Roman" w:hAnsi="Arial" w:cs="Arial"/>
          <w:sz w:val="24"/>
          <w:szCs w:val="24"/>
          <w:lang w:eastAsia="en-GB"/>
        </w:rPr>
        <w:t xml:space="preserve">have a say in </w:t>
      </w:r>
      <w:r w:rsidR="002D1B1F" w:rsidRPr="00B568F3">
        <w:rPr>
          <w:rFonts w:ascii="Arial" w:eastAsia="Times New Roman" w:hAnsi="Arial" w:cs="Arial"/>
          <w:sz w:val="24"/>
          <w:szCs w:val="24"/>
          <w:lang w:eastAsia="en-GB"/>
        </w:rPr>
        <w:t xml:space="preserve">the agendas for these </w:t>
      </w:r>
      <w:bookmarkStart w:id="35" w:name="_Int_O5hwu3wT"/>
      <w:r w:rsidR="002D1B1F" w:rsidRPr="00B568F3">
        <w:rPr>
          <w:rFonts w:ascii="Arial" w:eastAsia="Times New Roman" w:hAnsi="Arial" w:cs="Arial"/>
          <w:sz w:val="24"/>
          <w:szCs w:val="24"/>
          <w:lang w:eastAsia="en-GB"/>
        </w:rPr>
        <w:t>forums</w:t>
      </w:r>
      <w:bookmarkEnd w:id="35"/>
      <w:r w:rsidR="002D1B1F" w:rsidRPr="00B568F3">
        <w:rPr>
          <w:rFonts w:ascii="Arial" w:eastAsia="Times New Roman" w:hAnsi="Arial" w:cs="Arial"/>
          <w:sz w:val="24"/>
          <w:szCs w:val="24"/>
          <w:lang w:eastAsia="en-GB"/>
        </w:rPr>
        <w:t xml:space="preserve"> so they</w:t>
      </w:r>
      <w:r w:rsidRPr="00B568F3">
        <w:rPr>
          <w:rFonts w:ascii="Arial" w:eastAsia="Times New Roman" w:hAnsi="Arial" w:cs="Arial"/>
          <w:sz w:val="24"/>
          <w:szCs w:val="24"/>
          <w:lang w:eastAsia="en-GB"/>
        </w:rPr>
        <w:t>’re</w:t>
      </w:r>
      <w:r w:rsidR="002D1B1F" w:rsidRPr="00B568F3">
        <w:rPr>
          <w:rFonts w:ascii="Arial" w:eastAsia="Times New Roman" w:hAnsi="Arial" w:cs="Arial"/>
          <w:sz w:val="24"/>
          <w:szCs w:val="24"/>
          <w:lang w:eastAsia="en-GB"/>
        </w:rPr>
        <w:t xml:space="preserve"> relevant to the needs of registered managers and providers.</w:t>
      </w:r>
    </w:p>
    <w:p w14:paraId="6E22F743" w14:textId="77777777" w:rsidR="00223669" w:rsidRPr="00B568F3" w:rsidRDefault="00223669" w:rsidP="00223669">
      <w:pPr>
        <w:spacing w:after="200" w:line="276" w:lineRule="auto"/>
        <w:contextualSpacing/>
        <w:rPr>
          <w:rFonts w:ascii="Arial" w:eastAsia="Times New Roman" w:hAnsi="Arial" w:cs="Arial"/>
          <w:sz w:val="24"/>
          <w:szCs w:val="24"/>
          <w:lang w:eastAsia="en-GB"/>
        </w:rPr>
      </w:pPr>
    </w:p>
    <w:p w14:paraId="0352DC77" w14:textId="329C1136" w:rsidR="002D1B1F" w:rsidRPr="00B568F3" w:rsidRDefault="002D1B1F" w:rsidP="00632461">
      <w:pPr>
        <w:numPr>
          <w:ilvl w:val="0"/>
          <w:numId w:val="6"/>
        </w:numPr>
        <w:spacing w:after="200" w:line="276" w:lineRule="auto"/>
        <w:ind w:left="567" w:hanging="425"/>
        <w:contextualSpacing/>
        <w:rPr>
          <w:rFonts w:ascii="Arial" w:eastAsia="Times New Roman" w:hAnsi="Arial" w:cs="Arial"/>
          <w:sz w:val="24"/>
          <w:szCs w:val="24"/>
          <w:lang w:eastAsia="en-GB"/>
        </w:rPr>
      </w:pPr>
      <w:r w:rsidRPr="00B568F3">
        <w:rPr>
          <w:rFonts w:ascii="Arial" w:eastAsia="Times New Roman" w:hAnsi="Arial" w:cs="Arial"/>
          <w:sz w:val="24"/>
          <w:szCs w:val="24"/>
          <w:lang w:eastAsia="en-GB"/>
        </w:rPr>
        <w:t xml:space="preserve">Well-being support </w:t>
      </w:r>
      <w:r w:rsidR="004A1434" w:rsidRPr="00B568F3">
        <w:rPr>
          <w:rFonts w:ascii="Arial" w:eastAsia="Times New Roman" w:hAnsi="Arial" w:cs="Arial"/>
          <w:sz w:val="24"/>
          <w:szCs w:val="24"/>
          <w:lang w:eastAsia="en-GB"/>
        </w:rPr>
        <w:t>is</w:t>
      </w:r>
      <w:r w:rsidRPr="00B568F3">
        <w:rPr>
          <w:rFonts w:ascii="Arial" w:eastAsia="Times New Roman" w:hAnsi="Arial" w:cs="Arial"/>
          <w:sz w:val="24"/>
          <w:szCs w:val="24"/>
          <w:lang w:eastAsia="en-GB"/>
        </w:rPr>
        <w:t xml:space="preserve"> as a prominent feature </w:t>
      </w:r>
      <w:r w:rsidR="009F32A9" w:rsidRPr="00B568F3">
        <w:rPr>
          <w:rFonts w:ascii="Arial" w:eastAsia="Times New Roman" w:hAnsi="Arial" w:cs="Arial"/>
          <w:sz w:val="24"/>
          <w:szCs w:val="24"/>
          <w:lang w:eastAsia="en-GB"/>
        </w:rPr>
        <w:t>of</w:t>
      </w:r>
      <w:r w:rsidRPr="00B568F3">
        <w:rPr>
          <w:rFonts w:ascii="Arial" w:eastAsia="Times New Roman" w:hAnsi="Arial" w:cs="Arial"/>
          <w:sz w:val="24"/>
          <w:szCs w:val="24"/>
          <w:lang w:eastAsia="en-GB"/>
        </w:rPr>
        <w:t xml:space="preserve"> provider forums</w:t>
      </w:r>
      <w:r w:rsidR="004A1434" w:rsidRPr="00B568F3">
        <w:rPr>
          <w:rFonts w:ascii="Arial" w:eastAsia="Times New Roman" w:hAnsi="Arial" w:cs="Arial"/>
          <w:sz w:val="24"/>
          <w:szCs w:val="24"/>
          <w:lang w:eastAsia="en-GB"/>
        </w:rPr>
        <w:t>, to offer</w:t>
      </w:r>
      <w:r w:rsidRPr="00B568F3">
        <w:rPr>
          <w:rFonts w:ascii="Arial" w:eastAsia="Times New Roman" w:hAnsi="Arial" w:cs="Arial"/>
          <w:sz w:val="24"/>
          <w:szCs w:val="24"/>
          <w:lang w:eastAsia="en-GB"/>
        </w:rPr>
        <w:t xml:space="preserve"> ongoing support for registered managers and Responsible Individuals</w:t>
      </w:r>
      <w:r w:rsidR="5A94F27B" w:rsidRPr="00B568F3">
        <w:rPr>
          <w:rFonts w:ascii="Arial" w:eastAsia="Times New Roman" w:hAnsi="Arial" w:cs="Arial"/>
          <w:sz w:val="24"/>
          <w:szCs w:val="24"/>
          <w:lang w:eastAsia="en-GB"/>
        </w:rPr>
        <w:t>.</w:t>
      </w:r>
      <w:r w:rsidRPr="00B568F3">
        <w:rPr>
          <w:rFonts w:ascii="Arial" w:eastAsia="Times New Roman" w:hAnsi="Arial" w:cs="Arial"/>
          <w:sz w:val="24"/>
          <w:szCs w:val="24"/>
          <w:lang w:eastAsia="en-GB"/>
        </w:rPr>
        <w:t xml:space="preserve"> </w:t>
      </w:r>
    </w:p>
    <w:p w14:paraId="2E8F438F" w14:textId="77777777" w:rsidR="00223669" w:rsidRPr="00B568F3" w:rsidRDefault="00223669" w:rsidP="00223669">
      <w:pPr>
        <w:spacing w:after="200" w:line="276" w:lineRule="auto"/>
        <w:contextualSpacing/>
        <w:rPr>
          <w:rFonts w:ascii="Arial" w:eastAsia="Times New Roman" w:hAnsi="Arial" w:cs="Arial"/>
          <w:sz w:val="24"/>
          <w:szCs w:val="24"/>
          <w:lang w:eastAsia="en-GB"/>
        </w:rPr>
      </w:pPr>
    </w:p>
    <w:p w14:paraId="1CE07742" w14:textId="1FACF038" w:rsidR="002D1B1F" w:rsidRPr="00B568F3" w:rsidRDefault="009F32A9" w:rsidP="00632461">
      <w:pPr>
        <w:numPr>
          <w:ilvl w:val="0"/>
          <w:numId w:val="6"/>
        </w:numPr>
        <w:spacing w:after="200" w:line="276" w:lineRule="auto"/>
        <w:ind w:left="567" w:hanging="425"/>
        <w:contextualSpacing/>
        <w:rPr>
          <w:rFonts w:ascii="Arial" w:eastAsia="Times New Roman" w:hAnsi="Arial" w:cs="Arial"/>
          <w:sz w:val="24"/>
          <w:szCs w:val="24"/>
          <w:lang w:eastAsia="en-GB"/>
        </w:rPr>
      </w:pPr>
      <w:r w:rsidRPr="00B568F3">
        <w:rPr>
          <w:rFonts w:ascii="Arial" w:eastAsia="Times New Roman" w:hAnsi="Arial" w:cs="Arial"/>
          <w:sz w:val="24"/>
          <w:szCs w:val="24"/>
          <w:lang w:eastAsia="en-GB"/>
        </w:rPr>
        <w:t>There are s</w:t>
      </w:r>
      <w:r w:rsidR="00CA2903" w:rsidRPr="00B568F3">
        <w:rPr>
          <w:rFonts w:ascii="Arial" w:eastAsia="Times New Roman" w:hAnsi="Arial" w:cs="Arial"/>
          <w:sz w:val="24"/>
          <w:szCs w:val="24"/>
          <w:lang w:eastAsia="en-GB"/>
        </w:rPr>
        <w:t xml:space="preserve">ystems </w:t>
      </w:r>
      <w:r w:rsidR="002D1B1F" w:rsidRPr="00B568F3">
        <w:rPr>
          <w:rFonts w:ascii="Arial" w:eastAsia="Times New Roman" w:hAnsi="Arial" w:cs="Arial"/>
          <w:sz w:val="24"/>
          <w:szCs w:val="24"/>
          <w:lang w:eastAsia="en-GB"/>
        </w:rPr>
        <w:t>being developed and implemented to support local and regional work schemes.</w:t>
      </w:r>
    </w:p>
    <w:p w14:paraId="70CA3621" w14:textId="77777777" w:rsidR="00223669" w:rsidRPr="00B568F3" w:rsidRDefault="00223669" w:rsidP="00223669">
      <w:pPr>
        <w:spacing w:after="200" w:line="276" w:lineRule="auto"/>
        <w:contextualSpacing/>
        <w:rPr>
          <w:rFonts w:ascii="Arial" w:eastAsia="Times New Roman" w:hAnsi="Arial" w:cs="Arial"/>
          <w:sz w:val="24"/>
          <w:szCs w:val="24"/>
          <w:lang w:eastAsia="en-GB"/>
        </w:rPr>
      </w:pPr>
    </w:p>
    <w:p w14:paraId="6A4BD107" w14:textId="2F7D11DC" w:rsidR="002D1B1F" w:rsidRPr="00B568F3" w:rsidRDefault="002D1B1F" w:rsidP="00632461">
      <w:pPr>
        <w:numPr>
          <w:ilvl w:val="0"/>
          <w:numId w:val="6"/>
        </w:numPr>
        <w:spacing w:after="200" w:line="276" w:lineRule="auto"/>
        <w:ind w:left="567" w:hanging="425"/>
        <w:contextualSpacing/>
        <w:rPr>
          <w:rFonts w:ascii="Arial" w:eastAsia="Times New Roman" w:hAnsi="Arial" w:cs="Arial"/>
          <w:sz w:val="24"/>
          <w:szCs w:val="24"/>
          <w:lang w:eastAsia="en-GB"/>
        </w:rPr>
      </w:pPr>
      <w:r w:rsidRPr="00B568F3">
        <w:rPr>
          <w:rFonts w:ascii="Arial" w:eastAsia="Times New Roman" w:hAnsi="Arial" w:cs="Arial"/>
          <w:sz w:val="24"/>
          <w:szCs w:val="24"/>
          <w:lang w:eastAsia="en-GB"/>
        </w:rPr>
        <w:t>Local</w:t>
      </w:r>
      <w:r w:rsidR="00CA2903" w:rsidRPr="00B568F3">
        <w:rPr>
          <w:rFonts w:ascii="Arial" w:eastAsia="Times New Roman" w:hAnsi="Arial" w:cs="Arial"/>
          <w:sz w:val="24"/>
          <w:szCs w:val="24"/>
          <w:lang w:eastAsia="en-GB"/>
        </w:rPr>
        <w:t xml:space="preserve"> and </w:t>
      </w:r>
      <w:r w:rsidRPr="00B568F3">
        <w:rPr>
          <w:rFonts w:ascii="Arial" w:eastAsia="Times New Roman" w:hAnsi="Arial" w:cs="Arial"/>
          <w:sz w:val="24"/>
          <w:szCs w:val="24"/>
          <w:lang w:eastAsia="en-GB"/>
        </w:rPr>
        <w:t xml:space="preserve">regional activity over and above national </w:t>
      </w:r>
      <w:r w:rsidR="005463CB" w:rsidRPr="00B568F3">
        <w:rPr>
          <w:rFonts w:ascii="Arial" w:eastAsia="Times New Roman" w:hAnsi="Arial" w:cs="Arial"/>
          <w:sz w:val="24"/>
          <w:szCs w:val="24"/>
          <w:lang w:eastAsia="en-GB"/>
        </w:rPr>
        <w:t>programmes</w:t>
      </w:r>
      <w:r w:rsidRPr="00B568F3">
        <w:rPr>
          <w:rFonts w:ascii="Arial" w:eastAsia="Times New Roman" w:hAnsi="Arial" w:cs="Arial"/>
          <w:sz w:val="24"/>
          <w:szCs w:val="24"/>
          <w:lang w:eastAsia="en-GB"/>
        </w:rPr>
        <w:t xml:space="preserve"> include:</w:t>
      </w:r>
    </w:p>
    <w:p w14:paraId="799EF745" w14:textId="0496F02D" w:rsidR="002D1B1F" w:rsidRPr="00B568F3" w:rsidRDefault="009F32A9" w:rsidP="00632461">
      <w:pPr>
        <w:numPr>
          <w:ilvl w:val="1"/>
          <w:numId w:val="6"/>
        </w:numPr>
        <w:spacing w:after="200" w:line="276" w:lineRule="auto"/>
        <w:ind w:left="1418" w:hanging="567"/>
        <w:contextualSpacing/>
        <w:rPr>
          <w:rFonts w:ascii="Arial" w:eastAsia="Times New Roman" w:hAnsi="Arial" w:cs="Arial"/>
          <w:sz w:val="24"/>
          <w:szCs w:val="24"/>
          <w:lang w:eastAsia="en-GB"/>
        </w:rPr>
      </w:pPr>
      <w:r w:rsidRPr="00B568F3">
        <w:rPr>
          <w:rFonts w:ascii="Arial" w:eastAsia="Times New Roman" w:hAnsi="Arial" w:cs="Arial"/>
          <w:sz w:val="24"/>
          <w:szCs w:val="24"/>
          <w:lang w:eastAsia="en-GB"/>
        </w:rPr>
        <w:t xml:space="preserve">close </w:t>
      </w:r>
      <w:r w:rsidR="002D1B1F" w:rsidRPr="00B568F3">
        <w:rPr>
          <w:rFonts w:ascii="Arial" w:eastAsia="Times New Roman" w:hAnsi="Arial" w:cs="Arial"/>
          <w:sz w:val="24"/>
          <w:szCs w:val="24"/>
          <w:lang w:eastAsia="en-GB"/>
        </w:rPr>
        <w:t>working</w:t>
      </w:r>
      <w:r w:rsidR="007809BE" w:rsidRPr="00B568F3">
        <w:rPr>
          <w:rFonts w:ascii="Arial" w:eastAsia="Times New Roman" w:hAnsi="Arial" w:cs="Arial"/>
          <w:sz w:val="24"/>
          <w:szCs w:val="24"/>
          <w:lang w:eastAsia="en-GB"/>
        </w:rPr>
        <w:t xml:space="preserve">, </w:t>
      </w:r>
      <w:r w:rsidR="004B3A55" w:rsidRPr="00B568F3">
        <w:rPr>
          <w:rFonts w:ascii="Arial" w:eastAsia="Times New Roman" w:hAnsi="Arial" w:cs="Arial"/>
          <w:sz w:val="24"/>
          <w:szCs w:val="24"/>
          <w:lang w:eastAsia="en-GB"/>
        </w:rPr>
        <w:t xml:space="preserve">promotion and </w:t>
      </w:r>
      <w:r w:rsidR="0033477E" w:rsidRPr="00B568F3">
        <w:rPr>
          <w:rFonts w:ascii="Arial" w:eastAsia="Times New Roman" w:hAnsi="Arial" w:cs="Arial"/>
          <w:sz w:val="24"/>
          <w:szCs w:val="24"/>
          <w:lang w:eastAsia="en-GB"/>
        </w:rPr>
        <w:t xml:space="preserve">recruitment </w:t>
      </w:r>
      <w:r w:rsidRPr="00B568F3">
        <w:rPr>
          <w:rFonts w:ascii="Arial" w:eastAsia="Times New Roman" w:hAnsi="Arial" w:cs="Arial"/>
          <w:sz w:val="24"/>
          <w:szCs w:val="24"/>
          <w:lang w:eastAsia="en-GB"/>
        </w:rPr>
        <w:t>initiatives</w:t>
      </w:r>
      <w:r w:rsidR="002D1B1F" w:rsidRPr="00B568F3">
        <w:rPr>
          <w:rFonts w:ascii="Arial" w:eastAsia="Times New Roman" w:hAnsi="Arial" w:cs="Arial"/>
          <w:sz w:val="24"/>
          <w:szCs w:val="24"/>
          <w:lang w:eastAsia="en-GB"/>
        </w:rPr>
        <w:t xml:space="preserve"> with key partners such as Careers Wales, Job Centres, schools, colleges and </w:t>
      </w:r>
      <w:r w:rsidR="5DA4F01A" w:rsidRPr="00B568F3">
        <w:rPr>
          <w:rFonts w:ascii="Arial" w:eastAsia="Times New Roman" w:hAnsi="Arial" w:cs="Arial"/>
          <w:sz w:val="24"/>
          <w:szCs w:val="24"/>
          <w:lang w:eastAsia="en-GB"/>
        </w:rPr>
        <w:t>learning</w:t>
      </w:r>
      <w:r w:rsidR="002D1B1F" w:rsidRPr="00B568F3">
        <w:rPr>
          <w:rFonts w:ascii="Arial" w:eastAsia="Times New Roman" w:hAnsi="Arial" w:cs="Arial"/>
          <w:sz w:val="24"/>
          <w:szCs w:val="24"/>
          <w:lang w:eastAsia="en-GB"/>
        </w:rPr>
        <w:t xml:space="preserve"> and </w:t>
      </w:r>
      <w:r w:rsidR="00C66325" w:rsidRPr="00B568F3">
        <w:rPr>
          <w:rFonts w:ascii="Arial" w:eastAsia="Times New Roman" w:hAnsi="Arial" w:cs="Arial"/>
          <w:sz w:val="24"/>
          <w:szCs w:val="24"/>
          <w:lang w:eastAsia="en-GB"/>
        </w:rPr>
        <w:t>s</w:t>
      </w:r>
      <w:r w:rsidR="002D1B1F" w:rsidRPr="00B568F3">
        <w:rPr>
          <w:rFonts w:ascii="Arial" w:eastAsia="Times New Roman" w:hAnsi="Arial" w:cs="Arial"/>
          <w:sz w:val="24"/>
          <w:szCs w:val="24"/>
          <w:lang w:eastAsia="en-GB"/>
        </w:rPr>
        <w:t>kills teams</w:t>
      </w:r>
    </w:p>
    <w:p w14:paraId="62810A53" w14:textId="156F41B4" w:rsidR="002D1B1F" w:rsidRPr="00B568F3" w:rsidRDefault="009F32A9" w:rsidP="00632461">
      <w:pPr>
        <w:numPr>
          <w:ilvl w:val="1"/>
          <w:numId w:val="6"/>
        </w:numPr>
        <w:spacing w:after="200" w:line="276" w:lineRule="auto"/>
        <w:ind w:left="1418" w:hanging="567"/>
        <w:contextualSpacing/>
        <w:rPr>
          <w:rFonts w:ascii="Arial" w:eastAsia="Times New Roman" w:hAnsi="Arial" w:cs="Arial"/>
          <w:sz w:val="24"/>
          <w:szCs w:val="24"/>
          <w:lang w:eastAsia="en-GB"/>
        </w:rPr>
      </w:pPr>
      <w:r w:rsidRPr="00B568F3">
        <w:rPr>
          <w:rFonts w:ascii="Arial" w:eastAsia="Times New Roman" w:hAnsi="Arial" w:cs="Arial"/>
          <w:sz w:val="24"/>
          <w:szCs w:val="24"/>
          <w:lang w:eastAsia="en-GB"/>
        </w:rPr>
        <w:t xml:space="preserve">youth </w:t>
      </w:r>
      <w:r w:rsidR="002D1B1F" w:rsidRPr="00B568F3">
        <w:rPr>
          <w:rFonts w:ascii="Arial" w:eastAsia="Times New Roman" w:hAnsi="Arial" w:cs="Arial"/>
          <w:sz w:val="24"/>
          <w:szCs w:val="24"/>
          <w:lang w:eastAsia="en-GB"/>
        </w:rPr>
        <w:t xml:space="preserve">engagement through </w:t>
      </w:r>
      <w:r w:rsidR="002519C3" w:rsidRPr="00B568F3">
        <w:rPr>
          <w:rFonts w:ascii="Arial" w:eastAsia="Times New Roman" w:hAnsi="Arial" w:cs="Arial"/>
          <w:sz w:val="24"/>
          <w:szCs w:val="24"/>
          <w:lang w:eastAsia="en-GB"/>
        </w:rPr>
        <w:t xml:space="preserve">working </w:t>
      </w:r>
      <w:r w:rsidR="002D1B1F" w:rsidRPr="00B568F3">
        <w:rPr>
          <w:rFonts w:ascii="Arial" w:eastAsia="Times New Roman" w:hAnsi="Arial" w:cs="Arial"/>
          <w:sz w:val="24"/>
          <w:szCs w:val="24"/>
          <w:lang w:eastAsia="en-GB"/>
        </w:rPr>
        <w:t>with schools and colleges to attend career events</w:t>
      </w:r>
      <w:r w:rsidRPr="00B568F3">
        <w:rPr>
          <w:rFonts w:ascii="Arial" w:eastAsia="Times New Roman" w:hAnsi="Arial" w:cs="Arial"/>
          <w:sz w:val="24"/>
          <w:szCs w:val="24"/>
          <w:lang w:eastAsia="en-GB"/>
        </w:rPr>
        <w:t>,</w:t>
      </w:r>
      <w:r w:rsidR="002D1B1F" w:rsidRPr="00B568F3">
        <w:rPr>
          <w:rFonts w:ascii="Arial" w:eastAsia="Times New Roman" w:hAnsi="Arial" w:cs="Arial"/>
          <w:sz w:val="24"/>
          <w:szCs w:val="24"/>
          <w:lang w:eastAsia="en-GB"/>
        </w:rPr>
        <w:t xml:space="preserve"> </w:t>
      </w:r>
      <w:r w:rsidR="002519C3" w:rsidRPr="00B568F3">
        <w:rPr>
          <w:rFonts w:ascii="Arial" w:eastAsia="Times New Roman" w:hAnsi="Arial" w:cs="Arial"/>
          <w:sz w:val="24"/>
          <w:szCs w:val="24"/>
          <w:lang w:eastAsia="en-GB"/>
        </w:rPr>
        <w:t xml:space="preserve">using </w:t>
      </w:r>
      <w:r w:rsidR="002D1B1F" w:rsidRPr="00B568F3">
        <w:rPr>
          <w:rFonts w:ascii="Arial" w:eastAsia="Times New Roman" w:hAnsi="Arial" w:cs="Arial"/>
          <w:sz w:val="24"/>
          <w:szCs w:val="24"/>
          <w:lang w:eastAsia="en-GB"/>
        </w:rPr>
        <w:t>ambassadors who work in the social care sector</w:t>
      </w:r>
    </w:p>
    <w:p w14:paraId="0B760086" w14:textId="68384DFC" w:rsidR="002D1B1F" w:rsidRPr="00B568F3" w:rsidRDefault="009F32A9" w:rsidP="00632461">
      <w:pPr>
        <w:numPr>
          <w:ilvl w:val="1"/>
          <w:numId w:val="6"/>
        </w:numPr>
        <w:spacing w:after="200" w:line="276" w:lineRule="auto"/>
        <w:ind w:left="1418" w:hanging="567"/>
        <w:contextualSpacing/>
        <w:rPr>
          <w:rFonts w:ascii="Arial" w:eastAsia="Times New Roman" w:hAnsi="Arial" w:cs="Arial"/>
          <w:sz w:val="24"/>
          <w:szCs w:val="24"/>
          <w:lang w:eastAsia="en-GB"/>
        </w:rPr>
      </w:pPr>
      <w:r w:rsidRPr="00B568F3">
        <w:rPr>
          <w:rFonts w:ascii="Arial" w:eastAsia="Times New Roman" w:hAnsi="Arial" w:cs="Arial"/>
          <w:sz w:val="24"/>
          <w:szCs w:val="24"/>
          <w:lang w:eastAsia="en-GB"/>
        </w:rPr>
        <w:t xml:space="preserve">attending </w:t>
      </w:r>
      <w:r w:rsidR="002D1B1F" w:rsidRPr="00B568F3">
        <w:rPr>
          <w:rFonts w:ascii="Arial" w:eastAsia="Times New Roman" w:hAnsi="Arial" w:cs="Arial"/>
          <w:sz w:val="24"/>
          <w:szCs w:val="24"/>
          <w:lang w:eastAsia="en-GB"/>
        </w:rPr>
        <w:t>local and regional recruitment events to promote the opportunities available in the social care sector</w:t>
      </w:r>
    </w:p>
    <w:p w14:paraId="48FEDD83" w14:textId="65769118" w:rsidR="002D1B1F" w:rsidRPr="00B568F3" w:rsidRDefault="009F32A9" w:rsidP="00632461">
      <w:pPr>
        <w:numPr>
          <w:ilvl w:val="1"/>
          <w:numId w:val="6"/>
        </w:numPr>
        <w:spacing w:after="200" w:line="276" w:lineRule="auto"/>
        <w:ind w:left="1418" w:hanging="567"/>
        <w:contextualSpacing/>
        <w:rPr>
          <w:rFonts w:ascii="Arial" w:eastAsia="Times New Roman" w:hAnsi="Arial" w:cs="Arial"/>
          <w:sz w:val="24"/>
          <w:szCs w:val="24"/>
          <w:lang w:eastAsia="en-GB"/>
        </w:rPr>
      </w:pPr>
      <w:r w:rsidRPr="00B568F3">
        <w:rPr>
          <w:rFonts w:ascii="Arial" w:eastAsia="Calibri" w:hAnsi="Arial" w:cs="Arial"/>
          <w:sz w:val="24"/>
          <w:szCs w:val="24"/>
        </w:rPr>
        <w:t xml:space="preserve">several </w:t>
      </w:r>
      <w:r w:rsidR="002D1B1F" w:rsidRPr="00B568F3">
        <w:rPr>
          <w:rFonts w:ascii="Arial" w:eastAsia="Calibri" w:hAnsi="Arial" w:cs="Arial"/>
          <w:sz w:val="24"/>
          <w:szCs w:val="24"/>
        </w:rPr>
        <w:t xml:space="preserve">regions </w:t>
      </w:r>
      <w:r w:rsidR="00EA7AEB" w:rsidRPr="00B568F3">
        <w:rPr>
          <w:rFonts w:ascii="Arial" w:eastAsia="Calibri" w:hAnsi="Arial" w:cs="Arial"/>
          <w:sz w:val="24"/>
          <w:szCs w:val="24"/>
        </w:rPr>
        <w:t xml:space="preserve">creating </w:t>
      </w:r>
      <w:r w:rsidR="002D1B1F" w:rsidRPr="00B568F3">
        <w:rPr>
          <w:rFonts w:ascii="Arial" w:eastAsia="Calibri" w:hAnsi="Arial" w:cs="Arial"/>
          <w:sz w:val="24"/>
          <w:szCs w:val="24"/>
        </w:rPr>
        <w:t>bespoke or localised media assets to support the national resources being developed</w:t>
      </w:r>
      <w:r w:rsidRPr="00B568F3">
        <w:rPr>
          <w:rFonts w:ascii="Arial" w:eastAsia="Calibri" w:hAnsi="Arial" w:cs="Arial"/>
          <w:sz w:val="24"/>
          <w:szCs w:val="24"/>
        </w:rPr>
        <w:t>,</w:t>
      </w:r>
      <w:r w:rsidR="002D1B1F" w:rsidRPr="00B568F3">
        <w:rPr>
          <w:rFonts w:ascii="Arial" w:eastAsia="Calibri" w:hAnsi="Arial" w:cs="Arial"/>
          <w:sz w:val="24"/>
          <w:szCs w:val="24"/>
        </w:rPr>
        <w:t xml:space="preserve"> </w:t>
      </w:r>
      <w:r w:rsidR="00F7531B" w:rsidRPr="00B568F3">
        <w:rPr>
          <w:rFonts w:ascii="Arial" w:eastAsia="Calibri" w:hAnsi="Arial" w:cs="Arial"/>
          <w:sz w:val="24"/>
          <w:szCs w:val="24"/>
        </w:rPr>
        <w:t xml:space="preserve">giving </w:t>
      </w:r>
      <w:r w:rsidR="002D1B1F" w:rsidRPr="00B568F3">
        <w:rPr>
          <w:rFonts w:ascii="Arial" w:eastAsia="Calibri" w:hAnsi="Arial" w:cs="Arial"/>
          <w:sz w:val="24"/>
          <w:szCs w:val="24"/>
        </w:rPr>
        <w:t>a more targeted resource to use with job seekers and learners</w:t>
      </w:r>
      <w:r w:rsidR="00F7531B" w:rsidRPr="00B568F3">
        <w:rPr>
          <w:rFonts w:ascii="Arial" w:eastAsia="Calibri" w:hAnsi="Arial" w:cs="Arial"/>
          <w:sz w:val="24"/>
          <w:szCs w:val="24"/>
        </w:rPr>
        <w:t>.</w:t>
      </w:r>
    </w:p>
    <w:p w14:paraId="24660941" w14:textId="77777777" w:rsidR="00223669" w:rsidRPr="00B568F3" w:rsidRDefault="00223669" w:rsidP="00223669">
      <w:pPr>
        <w:spacing w:after="200" w:line="276" w:lineRule="auto"/>
        <w:ind w:left="1418"/>
        <w:contextualSpacing/>
        <w:rPr>
          <w:rFonts w:ascii="Arial" w:eastAsia="Times New Roman" w:hAnsi="Arial" w:cs="Arial"/>
          <w:sz w:val="24"/>
          <w:szCs w:val="24"/>
          <w:lang w:eastAsia="en-GB"/>
        </w:rPr>
      </w:pPr>
    </w:p>
    <w:p w14:paraId="7484B358" w14:textId="537EA16E" w:rsidR="002D1B1F" w:rsidRPr="00B568F3" w:rsidRDefault="00494A81" w:rsidP="00632461">
      <w:pPr>
        <w:numPr>
          <w:ilvl w:val="0"/>
          <w:numId w:val="6"/>
        </w:numPr>
        <w:spacing w:after="200" w:line="276" w:lineRule="auto"/>
        <w:ind w:left="567" w:hanging="425"/>
        <w:contextualSpacing/>
        <w:rPr>
          <w:rFonts w:ascii="Arial" w:eastAsia="Times New Roman" w:hAnsi="Arial" w:cs="Arial"/>
          <w:sz w:val="24"/>
          <w:szCs w:val="24"/>
          <w:lang w:eastAsia="en-GB"/>
        </w:rPr>
      </w:pPr>
      <w:r w:rsidRPr="00B568F3">
        <w:rPr>
          <w:rFonts w:ascii="Arial" w:eastAsia="Times New Roman" w:hAnsi="Arial" w:cs="Arial"/>
          <w:sz w:val="24"/>
          <w:szCs w:val="24"/>
          <w:lang w:eastAsia="en-GB"/>
        </w:rPr>
        <w:t>There’s e</w:t>
      </w:r>
      <w:r w:rsidR="002D1B1F" w:rsidRPr="00B568F3">
        <w:rPr>
          <w:rFonts w:ascii="Arial" w:eastAsia="Times New Roman" w:hAnsi="Arial" w:cs="Arial"/>
          <w:sz w:val="24"/>
          <w:szCs w:val="24"/>
          <w:lang w:eastAsia="en-GB"/>
        </w:rPr>
        <w:t xml:space="preserve">xtensive reporting on the work around qualifying and post qualifying programmes for social work in earlier parts of this </w:t>
      </w:r>
      <w:r w:rsidR="00F7531B" w:rsidRPr="00B568F3">
        <w:rPr>
          <w:rFonts w:ascii="Arial" w:eastAsia="Times New Roman" w:hAnsi="Arial" w:cs="Arial"/>
          <w:sz w:val="24"/>
          <w:szCs w:val="24"/>
          <w:lang w:eastAsia="en-GB"/>
        </w:rPr>
        <w:t>report</w:t>
      </w:r>
      <w:r w:rsidR="002D1B1F" w:rsidRPr="00B568F3">
        <w:rPr>
          <w:rFonts w:ascii="Arial" w:eastAsia="Times New Roman" w:hAnsi="Arial" w:cs="Arial"/>
          <w:sz w:val="24"/>
          <w:szCs w:val="24"/>
          <w:lang w:eastAsia="en-GB"/>
        </w:rPr>
        <w:t xml:space="preserve">. </w:t>
      </w:r>
      <w:r w:rsidR="00BF4FAC" w:rsidRPr="00B568F3">
        <w:rPr>
          <w:rFonts w:ascii="Arial" w:eastAsia="Times New Roman" w:hAnsi="Arial" w:cs="Arial"/>
          <w:sz w:val="24"/>
          <w:szCs w:val="24"/>
          <w:lang w:eastAsia="en-GB"/>
        </w:rPr>
        <w:t>But</w:t>
      </w:r>
      <w:r w:rsidR="002D1B1F" w:rsidRPr="00B568F3">
        <w:rPr>
          <w:rFonts w:ascii="Arial" w:eastAsia="Times New Roman" w:hAnsi="Arial" w:cs="Arial"/>
          <w:sz w:val="24"/>
          <w:szCs w:val="24"/>
          <w:lang w:eastAsia="en-GB"/>
        </w:rPr>
        <w:t xml:space="preserve"> regions report that the regional facilitation grant</w:t>
      </w:r>
      <w:r w:rsidR="00F97632" w:rsidRPr="00B568F3">
        <w:rPr>
          <w:rFonts w:ascii="Arial" w:eastAsia="Times New Roman" w:hAnsi="Arial" w:cs="Arial"/>
          <w:sz w:val="24"/>
          <w:szCs w:val="24"/>
          <w:lang w:eastAsia="en-GB"/>
        </w:rPr>
        <w:t xml:space="preserve"> funding is essential for</w:t>
      </w:r>
      <w:r w:rsidR="002D1B1F" w:rsidRPr="00B568F3">
        <w:rPr>
          <w:rFonts w:ascii="Arial" w:eastAsia="Times New Roman" w:hAnsi="Arial" w:cs="Arial"/>
          <w:sz w:val="24"/>
          <w:szCs w:val="24"/>
          <w:lang w:eastAsia="en-GB"/>
        </w:rPr>
        <w:t xml:space="preserve"> increas</w:t>
      </w:r>
      <w:r w:rsidR="00F97632" w:rsidRPr="00B568F3">
        <w:rPr>
          <w:rFonts w:ascii="Arial" w:eastAsia="Times New Roman" w:hAnsi="Arial" w:cs="Arial"/>
          <w:sz w:val="24"/>
          <w:szCs w:val="24"/>
          <w:lang w:eastAsia="en-GB"/>
        </w:rPr>
        <w:t>ing</w:t>
      </w:r>
      <w:r w:rsidR="002D1B1F" w:rsidRPr="00B568F3">
        <w:rPr>
          <w:rFonts w:ascii="Arial" w:eastAsia="Times New Roman" w:hAnsi="Arial" w:cs="Arial"/>
          <w:sz w:val="24"/>
          <w:szCs w:val="24"/>
          <w:lang w:eastAsia="en-GB"/>
        </w:rPr>
        <w:t xml:space="preserve"> the number of sponsored social work students </w:t>
      </w:r>
      <w:r w:rsidR="00FB3353" w:rsidRPr="00B568F3">
        <w:rPr>
          <w:rFonts w:ascii="Arial" w:eastAsia="Times New Roman" w:hAnsi="Arial" w:cs="Arial"/>
          <w:sz w:val="24"/>
          <w:szCs w:val="24"/>
          <w:lang w:eastAsia="en-GB"/>
        </w:rPr>
        <w:t>and supporting</w:t>
      </w:r>
      <w:r w:rsidR="002D1B1F" w:rsidRPr="00B568F3">
        <w:rPr>
          <w:rFonts w:ascii="Arial" w:eastAsia="Times New Roman" w:hAnsi="Arial" w:cs="Arial"/>
          <w:sz w:val="24"/>
          <w:szCs w:val="24"/>
          <w:lang w:eastAsia="en-GB"/>
        </w:rPr>
        <w:t xml:space="preserve"> internal staff to qualify as social workers</w:t>
      </w:r>
      <w:r w:rsidR="00EB1E3C" w:rsidRPr="00B568F3">
        <w:rPr>
          <w:rFonts w:ascii="Arial" w:eastAsia="Times New Roman" w:hAnsi="Arial" w:cs="Arial"/>
          <w:sz w:val="24"/>
          <w:szCs w:val="24"/>
          <w:lang w:eastAsia="en-GB"/>
        </w:rPr>
        <w:t>,</w:t>
      </w:r>
      <w:r w:rsidR="002D1B1F" w:rsidRPr="00B568F3">
        <w:rPr>
          <w:rFonts w:ascii="Arial" w:eastAsia="Times New Roman" w:hAnsi="Arial" w:cs="Arial"/>
          <w:sz w:val="24"/>
          <w:szCs w:val="24"/>
          <w:lang w:eastAsia="en-GB"/>
        </w:rPr>
        <w:t xml:space="preserve"> contribut</w:t>
      </w:r>
      <w:r w:rsidR="00EB1E3C" w:rsidRPr="00B568F3">
        <w:rPr>
          <w:rFonts w:ascii="Arial" w:eastAsia="Times New Roman" w:hAnsi="Arial" w:cs="Arial"/>
          <w:sz w:val="24"/>
          <w:szCs w:val="24"/>
          <w:lang w:eastAsia="en-GB"/>
        </w:rPr>
        <w:t>ing</w:t>
      </w:r>
      <w:r w:rsidR="002D1B1F" w:rsidRPr="00B568F3">
        <w:rPr>
          <w:rFonts w:ascii="Arial" w:eastAsia="Times New Roman" w:hAnsi="Arial" w:cs="Arial"/>
          <w:sz w:val="24"/>
          <w:szCs w:val="24"/>
          <w:lang w:eastAsia="en-GB"/>
        </w:rPr>
        <w:t xml:space="preserve"> towards growth within the profession</w:t>
      </w:r>
      <w:r w:rsidR="3AF99922" w:rsidRPr="00B568F3">
        <w:rPr>
          <w:rFonts w:ascii="Arial" w:eastAsia="Times New Roman" w:hAnsi="Arial" w:cs="Arial"/>
          <w:sz w:val="24"/>
          <w:szCs w:val="24"/>
          <w:lang w:eastAsia="en-GB"/>
        </w:rPr>
        <w:t xml:space="preserve">. </w:t>
      </w:r>
      <w:r w:rsidR="002D1B1F" w:rsidRPr="00B568F3">
        <w:rPr>
          <w:rFonts w:ascii="Arial" w:eastAsia="Times New Roman" w:hAnsi="Arial" w:cs="Arial"/>
          <w:sz w:val="24"/>
          <w:szCs w:val="24"/>
          <w:lang w:eastAsia="en-GB"/>
        </w:rPr>
        <w:t xml:space="preserve">It allows those that </w:t>
      </w:r>
      <w:r w:rsidR="00F7531B" w:rsidRPr="00B568F3">
        <w:rPr>
          <w:rFonts w:ascii="Arial" w:eastAsia="Times New Roman" w:hAnsi="Arial" w:cs="Arial"/>
          <w:sz w:val="24"/>
          <w:szCs w:val="24"/>
          <w:lang w:eastAsia="en-GB"/>
        </w:rPr>
        <w:t xml:space="preserve">start </w:t>
      </w:r>
      <w:r w:rsidR="002D1B1F" w:rsidRPr="00B568F3">
        <w:rPr>
          <w:rFonts w:ascii="Arial" w:eastAsia="Times New Roman" w:hAnsi="Arial" w:cs="Arial"/>
          <w:sz w:val="24"/>
          <w:szCs w:val="24"/>
          <w:lang w:eastAsia="en-GB"/>
        </w:rPr>
        <w:t>their journey to continue through to their qualifying year and to support other cohorts</w:t>
      </w:r>
      <w:r w:rsidR="68781B99" w:rsidRPr="00B568F3">
        <w:rPr>
          <w:rFonts w:ascii="Arial" w:eastAsia="Times New Roman" w:hAnsi="Arial" w:cs="Arial"/>
          <w:sz w:val="24"/>
          <w:szCs w:val="24"/>
          <w:lang w:eastAsia="en-GB"/>
        </w:rPr>
        <w:t xml:space="preserve">. </w:t>
      </w:r>
    </w:p>
    <w:p w14:paraId="300CEBE3" w14:textId="77777777" w:rsidR="003D5EDE" w:rsidRPr="00B568F3" w:rsidRDefault="003D5EDE" w:rsidP="003D5EDE">
      <w:pPr>
        <w:spacing w:after="200" w:line="276" w:lineRule="auto"/>
        <w:contextualSpacing/>
        <w:rPr>
          <w:rFonts w:ascii="Arial" w:eastAsia="Times New Roman" w:hAnsi="Arial" w:cs="Arial"/>
          <w:sz w:val="24"/>
          <w:szCs w:val="24"/>
          <w:lang w:eastAsia="en-GB"/>
        </w:rPr>
      </w:pPr>
    </w:p>
    <w:p w14:paraId="0A4217B3" w14:textId="77777777" w:rsidR="00954621" w:rsidRDefault="00954621">
      <w:pPr>
        <w:rPr>
          <w:rFonts w:ascii="Arial" w:eastAsiaTheme="majorEastAsia" w:hAnsi="Arial" w:cs="Arial"/>
          <w:b/>
          <w:color w:val="11846A"/>
          <w:sz w:val="32"/>
          <w:szCs w:val="32"/>
          <w:lang w:eastAsia="en-GB"/>
        </w:rPr>
      </w:pPr>
      <w:bookmarkStart w:id="36" w:name="_Toc179481641"/>
      <w:r>
        <w:br w:type="page"/>
      </w:r>
    </w:p>
    <w:p w14:paraId="5852DD5D" w14:textId="2C531464" w:rsidR="003D5EDE" w:rsidRPr="000C06A7" w:rsidRDefault="003C5E17" w:rsidP="000C06A7">
      <w:pPr>
        <w:pStyle w:val="Heading2"/>
      </w:pPr>
      <w:r w:rsidRPr="000C06A7">
        <w:t>Fundamental principles</w:t>
      </w:r>
      <w:r w:rsidR="00063665" w:rsidRPr="000C06A7">
        <w:t>: Well</w:t>
      </w:r>
      <w:r w:rsidRPr="000C06A7">
        <w:t>-</w:t>
      </w:r>
      <w:r w:rsidR="00063665" w:rsidRPr="000C06A7">
        <w:t xml:space="preserve">being, </w:t>
      </w:r>
      <w:r w:rsidR="007E7DFE" w:rsidRPr="000C06A7">
        <w:t xml:space="preserve">Welsh language and </w:t>
      </w:r>
      <w:r w:rsidR="00F010FB" w:rsidRPr="000C06A7">
        <w:t>i</w:t>
      </w:r>
      <w:r w:rsidR="007E7DFE" w:rsidRPr="000C06A7">
        <w:t>nclusion</w:t>
      </w:r>
      <w:bookmarkEnd w:id="36"/>
    </w:p>
    <w:p w14:paraId="176D436C" w14:textId="77777777" w:rsidR="00CB229A" w:rsidRPr="00B568F3" w:rsidRDefault="00CB229A" w:rsidP="00B84623">
      <w:pPr>
        <w:rPr>
          <w:rFonts w:ascii="Arial" w:eastAsia="Calibri" w:hAnsi="Arial" w:cs="Arial"/>
          <w:sz w:val="24"/>
          <w:szCs w:val="24"/>
          <w:u w:val="single"/>
        </w:rPr>
      </w:pPr>
    </w:p>
    <w:p w14:paraId="46308DCC" w14:textId="0DD2F329" w:rsidR="00F010FB" w:rsidRPr="00B568F3" w:rsidRDefault="00EE748E" w:rsidP="00F010FB">
      <w:pPr>
        <w:rPr>
          <w:rFonts w:ascii="Arial" w:eastAsia="Calibri" w:hAnsi="Arial" w:cs="Arial"/>
          <w:sz w:val="24"/>
          <w:szCs w:val="24"/>
        </w:rPr>
      </w:pPr>
      <w:r w:rsidRPr="00B568F3">
        <w:rPr>
          <w:rFonts w:ascii="Arial" w:eastAsia="Calibri" w:hAnsi="Arial" w:cs="Arial"/>
          <w:sz w:val="24"/>
          <w:szCs w:val="24"/>
        </w:rPr>
        <w:t xml:space="preserve">In terms of SCWWDP </w:t>
      </w:r>
      <w:r w:rsidR="007206B6" w:rsidRPr="00B568F3">
        <w:rPr>
          <w:rFonts w:ascii="Arial" w:eastAsia="Calibri" w:hAnsi="Arial" w:cs="Arial"/>
          <w:sz w:val="24"/>
          <w:szCs w:val="24"/>
        </w:rPr>
        <w:t>funding</w:t>
      </w:r>
      <w:r w:rsidR="00F010FB" w:rsidRPr="00B568F3">
        <w:rPr>
          <w:rFonts w:ascii="Arial" w:eastAsia="Calibri" w:hAnsi="Arial" w:cs="Arial"/>
          <w:sz w:val="24"/>
          <w:szCs w:val="24"/>
        </w:rPr>
        <w:t>,</w:t>
      </w:r>
      <w:r w:rsidR="007206B6" w:rsidRPr="00B568F3">
        <w:rPr>
          <w:rFonts w:ascii="Arial" w:eastAsia="Calibri" w:hAnsi="Arial" w:cs="Arial"/>
          <w:sz w:val="24"/>
          <w:szCs w:val="24"/>
        </w:rPr>
        <w:t xml:space="preserve"> </w:t>
      </w:r>
      <w:r w:rsidRPr="00B568F3">
        <w:rPr>
          <w:rFonts w:ascii="Arial" w:eastAsia="Calibri" w:hAnsi="Arial" w:cs="Arial"/>
          <w:sz w:val="24"/>
          <w:szCs w:val="24"/>
        </w:rPr>
        <w:t>we</w:t>
      </w:r>
      <w:r w:rsidR="008E1452" w:rsidRPr="00B568F3">
        <w:rPr>
          <w:rFonts w:ascii="Arial" w:eastAsia="Calibri" w:hAnsi="Arial" w:cs="Arial"/>
          <w:sz w:val="24"/>
          <w:szCs w:val="24"/>
        </w:rPr>
        <w:t xml:space="preserve"> welcome submissions that clearly support the</w:t>
      </w:r>
      <w:r w:rsidR="00CB229A" w:rsidRPr="00B568F3">
        <w:rPr>
          <w:rFonts w:ascii="Arial" w:eastAsia="Calibri" w:hAnsi="Arial" w:cs="Arial"/>
          <w:sz w:val="24"/>
          <w:szCs w:val="24"/>
        </w:rPr>
        <w:t xml:space="preserve"> </w:t>
      </w:r>
      <w:r w:rsidR="00F010FB" w:rsidRPr="00B568F3">
        <w:rPr>
          <w:rFonts w:ascii="Arial" w:eastAsia="Calibri" w:hAnsi="Arial" w:cs="Arial"/>
          <w:sz w:val="24"/>
          <w:szCs w:val="24"/>
        </w:rPr>
        <w:t xml:space="preserve">main </w:t>
      </w:r>
      <w:r w:rsidR="00CB229A" w:rsidRPr="00B568F3">
        <w:rPr>
          <w:rFonts w:ascii="Arial" w:eastAsia="Calibri" w:hAnsi="Arial" w:cs="Arial"/>
          <w:sz w:val="24"/>
          <w:szCs w:val="24"/>
        </w:rPr>
        <w:t>principles</w:t>
      </w:r>
      <w:r w:rsidR="00B70AB0" w:rsidRPr="00B568F3">
        <w:rPr>
          <w:rFonts w:ascii="Arial" w:eastAsia="Calibri" w:hAnsi="Arial" w:cs="Arial"/>
          <w:sz w:val="24"/>
          <w:szCs w:val="24"/>
        </w:rPr>
        <w:t xml:space="preserve"> of the workforce strategy</w:t>
      </w:r>
      <w:r w:rsidR="00405591" w:rsidRPr="00B568F3">
        <w:rPr>
          <w:rFonts w:ascii="Arial" w:eastAsia="Calibri" w:hAnsi="Arial" w:cs="Arial"/>
          <w:sz w:val="24"/>
          <w:szCs w:val="24"/>
        </w:rPr>
        <w:t>.</w:t>
      </w:r>
      <w:r w:rsidR="00B70AB0" w:rsidRPr="00B568F3">
        <w:rPr>
          <w:rFonts w:ascii="Arial" w:eastAsia="Calibri" w:hAnsi="Arial" w:cs="Arial"/>
          <w:sz w:val="24"/>
          <w:szCs w:val="24"/>
        </w:rPr>
        <w:t xml:space="preserve"> </w:t>
      </w:r>
      <w:r w:rsidR="00405591" w:rsidRPr="00B568F3">
        <w:rPr>
          <w:rFonts w:ascii="Arial" w:eastAsia="Calibri" w:hAnsi="Arial" w:cs="Arial"/>
          <w:sz w:val="24"/>
          <w:szCs w:val="24"/>
        </w:rPr>
        <w:t>T</w:t>
      </w:r>
      <w:r w:rsidR="00B70AB0" w:rsidRPr="00B568F3">
        <w:rPr>
          <w:rFonts w:ascii="Arial" w:eastAsia="Calibri" w:hAnsi="Arial" w:cs="Arial"/>
          <w:sz w:val="24"/>
          <w:szCs w:val="24"/>
        </w:rPr>
        <w:t xml:space="preserve">hese </w:t>
      </w:r>
      <w:r w:rsidR="00F010FB" w:rsidRPr="00B568F3">
        <w:rPr>
          <w:rFonts w:ascii="Arial" w:eastAsia="Calibri" w:hAnsi="Arial" w:cs="Arial"/>
          <w:sz w:val="24"/>
          <w:szCs w:val="24"/>
        </w:rPr>
        <w:t>are:</w:t>
      </w:r>
    </w:p>
    <w:p w14:paraId="4ABD52DC" w14:textId="4B90480E" w:rsidR="00F010FB" w:rsidRPr="00B568F3" w:rsidRDefault="00CB229A" w:rsidP="00632461">
      <w:pPr>
        <w:pStyle w:val="ListParagraph"/>
        <w:numPr>
          <w:ilvl w:val="0"/>
          <w:numId w:val="22"/>
        </w:numPr>
        <w:rPr>
          <w:rFonts w:ascii="Arial" w:eastAsia="Calibri" w:hAnsi="Arial" w:cs="Arial"/>
          <w:sz w:val="24"/>
          <w:szCs w:val="24"/>
        </w:rPr>
      </w:pPr>
      <w:r w:rsidRPr="00B568F3">
        <w:rPr>
          <w:rFonts w:ascii="Arial" w:eastAsia="Calibri" w:hAnsi="Arial" w:cs="Arial"/>
          <w:sz w:val="24"/>
          <w:szCs w:val="24"/>
        </w:rPr>
        <w:t>well-being</w:t>
      </w:r>
    </w:p>
    <w:p w14:paraId="41E87327" w14:textId="70C715ED" w:rsidR="00F010FB" w:rsidRPr="00B568F3" w:rsidRDefault="00CB229A" w:rsidP="00632461">
      <w:pPr>
        <w:pStyle w:val="ListParagraph"/>
        <w:numPr>
          <w:ilvl w:val="0"/>
          <w:numId w:val="22"/>
        </w:numPr>
        <w:rPr>
          <w:rFonts w:ascii="Arial" w:eastAsia="Calibri" w:hAnsi="Arial" w:cs="Arial"/>
          <w:sz w:val="24"/>
          <w:szCs w:val="24"/>
        </w:rPr>
      </w:pPr>
      <w:r w:rsidRPr="00B568F3">
        <w:rPr>
          <w:rFonts w:ascii="Arial" w:eastAsia="Calibri" w:hAnsi="Arial" w:cs="Arial"/>
          <w:sz w:val="24"/>
          <w:szCs w:val="24"/>
        </w:rPr>
        <w:t>the Welsh language</w:t>
      </w:r>
    </w:p>
    <w:p w14:paraId="2B9E190C" w14:textId="20A1217B" w:rsidR="00CB229A" w:rsidRPr="00B568F3" w:rsidRDefault="00CB229A" w:rsidP="00632461">
      <w:pPr>
        <w:pStyle w:val="ListParagraph"/>
        <w:numPr>
          <w:ilvl w:val="0"/>
          <w:numId w:val="22"/>
        </w:numPr>
        <w:rPr>
          <w:rFonts w:ascii="Arial" w:eastAsia="Calibri" w:hAnsi="Arial" w:cs="Arial"/>
          <w:sz w:val="24"/>
          <w:szCs w:val="24"/>
        </w:rPr>
      </w:pPr>
      <w:r w:rsidRPr="00B568F3">
        <w:rPr>
          <w:rFonts w:ascii="Arial" w:eastAsia="Calibri" w:hAnsi="Arial" w:cs="Arial"/>
          <w:sz w:val="24"/>
          <w:szCs w:val="24"/>
        </w:rPr>
        <w:t>inclusion.</w:t>
      </w:r>
    </w:p>
    <w:p w14:paraId="5D02DC25" w14:textId="01BCF4E4" w:rsidR="005779EF" w:rsidRPr="00B568F3" w:rsidRDefault="00242820" w:rsidP="00B84623">
      <w:pPr>
        <w:rPr>
          <w:rFonts w:ascii="Arial" w:eastAsia="Calibri" w:hAnsi="Arial" w:cs="Arial"/>
          <w:sz w:val="24"/>
          <w:szCs w:val="24"/>
        </w:rPr>
      </w:pPr>
      <w:r w:rsidRPr="00B568F3">
        <w:rPr>
          <w:rFonts w:ascii="Arial" w:eastAsia="Calibri" w:hAnsi="Arial" w:cs="Arial"/>
          <w:sz w:val="24"/>
          <w:szCs w:val="24"/>
        </w:rPr>
        <w:t xml:space="preserve">We don’t </w:t>
      </w:r>
      <w:r w:rsidR="00F010FB" w:rsidRPr="00B568F3">
        <w:rPr>
          <w:rFonts w:ascii="Arial" w:eastAsia="Calibri" w:hAnsi="Arial" w:cs="Arial"/>
          <w:sz w:val="24"/>
          <w:szCs w:val="24"/>
        </w:rPr>
        <w:t xml:space="preserve">have specific sections </w:t>
      </w:r>
      <w:r w:rsidRPr="00B568F3">
        <w:rPr>
          <w:rFonts w:ascii="Arial" w:eastAsia="Calibri" w:hAnsi="Arial" w:cs="Arial"/>
          <w:sz w:val="24"/>
          <w:szCs w:val="24"/>
        </w:rPr>
        <w:t xml:space="preserve">in the monitoring templates </w:t>
      </w:r>
      <w:r w:rsidR="0058171D" w:rsidRPr="00B568F3">
        <w:rPr>
          <w:rFonts w:ascii="Arial" w:eastAsia="Calibri" w:hAnsi="Arial" w:cs="Arial"/>
          <w:sz w:val="24"/>
          <w:szCs w:val="24"/>
        </w:rPr>
        <w:t>that capture</w:t>
      </w:r>
      <w:r w:rsidR="00C978A8" w:rsidRPr="00B568F3">
        <w:rPr>
          <w:rFonts w:ascii="Arial" w:eastAsia="Calibri" w:hAnsi="Arial" w:cs="Arial"/>
          <w:sz w:val="24"/>
          <w:szCs w:val="24"/>
        </w:rPr>
        <w:t>s</w:t>
      </w:r>
      <w:r w:rsidR="0058171D" w:rsidRPr="00B568F3">
        <w:rPr>
          <w:rFonts w:ascii="Arial" w:eastAsia="Calibri" w:hAnsi="Arial" w:cs="Arial"/>
          <w:sz w:val="24"/>
          <w:szCs w:val="24"/>
        </w:rPr>
        <w:t xml:space="preserve"> </w:t>
      </w:r>
      <w:r w:rsidR="00261150" w:rsidRPr="00B568F3">
        <w:rPr>
          <w:rFonts w:ascii="Arial" w:eastAsia="Calibri" w:hAnsi="Arial" w:cs="Arial"/>
          <w:sz w:val="24"/>
          <w:szCs w:val="24"/>
        </w:rPr>
        <w:t xml:space="preserve">information on the </w:t>
      </w:r>
      <w:r w:rsidR="0058171D" w:rsidRPr="00B568F3">
        <w:rPr>
          <w:rFonts w:ascii="Arial" w:eastAsia="Calibri" w:hAnsi="Arial" w:cs="Arial"/>
          <w:sz w:val="24"/>
          <w:szCs w:val="24"/>
        </w:rPr>
        <w:t xml:space="preserve">main </w:t>
      </w:r>
      <w:r w:rsidR="00261150" w:rsidRPr="00B568F3">
        <w:rPr>
          <w:rFonts w:ascii="Arial" w:eastAsia="Calibri" w:hAnsi="Arial" w:cs="Arial"/>
          <w:sz w:val="24"/>
          <w:szCs w:val="24"/>
        </w:rPr>
        <w:t>principles</w:t>
      </w:r>
      <w:r w:rsidR="003C789F" w:rsidRPr="00B568F3">
        <w:rPr>
          <w:rFonts w:ascii="Arial" w:eastAsia="Calibri" w:hAnsi="Arial" w:cs="Arial"/>
          <w:sz w:val="24"/>
          <w:szCs w:val="24"/>
        </w:rPr>
        <w:t>,</w:t>
      </w:r>
      <w:r w:rsidR="002164AF" w:rsidRPr="00B568F3">
        <w:rPr>
          <w:rFonts w:ascii="Arial" w:eastAsia="Calibri" w:hAnsi="Arial" w:cs="Arial"/>
          <w:sz w:val="24"/>
          <w:szCs w:val="24"/>
        </w:rPr>
        <w:t xml:space="preserve"> specifically </w:t>
      </w:r>
      <w:r w:rsidR="0058171D" w:rsidRPr="00B568F3">
        <w:rPr>
          <w:rFonts w:ascii="Arial" w:eastAsia="Calibri" w:hAnsi="Arial" w:cs="Arial"/>
          <w:sz w:val="24"/>
          <w:szCs w:val="24"/>
        </w:rPr>
        <w:t xml:space="preserve">because </w:t>
      </w:r>
      <w:r w:rsidR="002164AF" w:rsidRPr="00B568F3">
        <w:rPr>
          <w:rFonts w:ascii="Arial" w:eastAsia="Calibri" w:hAnsi="Arial" w:cs="Arial"/>
          <w:sz w:val="24"/>
          <w:szCs w:val="24"/>
        </w:rPr>
        <w:t>we expect them to be considered as part of all activities</w:t>
      </w:r>
      <w:r w:rsidR="005779EF" w:rsidRPr="00B568F3">
        <w:rPr>
          <w:rFonts w:ascii="Arial" w:eastAsia="Calibri" w:hAnsi="Arial" w:cs="Arial"/>
          <w:sz w:val="24"/>
          <w:szCs w:val="24"/>
        </w:rPr>
        <w:t xml:space="preserve"> and outputs funded by SCWWDP. </w:t>
      </w:r>
    </w:p>
    <w:p w14:paraId="62AD2F2C" w14:textId="5B1F6A29" w:rsidR="00C058D1" w:rsidRPr="00B568F3" w:rsidRDefault="00C058D1" w:rsidP="00B84623">
      <w:pPr>
        <w:rPr>
          <w:rFonts w:ascii="Arial" w:eastAsia="Calibri" w:hAnsi="Arial" w:cs="Arial"/>
          <w:sz w:val="24"/>
          <w:szCs w:val="24"/>
        </w:rPr>
      </w:pPr>
      <w:r w:rsidRPr="00B568F3">
        <w:rPr>
          <w:rFonts w:ascii="Arial" w:eastAsia="Calibri" w:hAnsi="Arial" w:cs="Arial"/>
          <w:sz w:val="24"/>
          <w:szCs w:val="24"/>
        </w:rPr>
        <w:t xml:space="preserve">This section </w:t>
      </w:r>
      <w:r w:rsidR="001A697F" w:rsidRPr="00B568F3">
        <w:rPr>
          <w:rFonts w:ascii="Arial" w:eastAsia="Calibri" w:hAnsi="Arial" w:cs="Arial"/>
          <w:sz w:val="24"/>
          <w:szCs w:val="24"/>
        </w:rPr>
        <w:t xml:space="preserve">highlights some of the information from the regional </w:t>
      </w:r>
      <w:r w:rsidR="00584A8A" w:rsidRPr="00B568F3">
        <w:rPr>
          <w:rFonts w:ascii="Arial" w:eastAsia="Calibri" w:hAnsi="Arial" w:cs="Arial"/>
          <w:sz w:val="24"/>
          <w:szCs w:val="24"/>
        </w:rPr>
        <w:t xml:space="preserve">end-of year reports </w:t>
      </w:r>
      <w:r w:rsidR="001A697F" w:rsidRPr="00B568F3">
        <w:rPr>
          <w:rFonts w:ascii="Arial" w:eastAsia="Calibri" w:hAnsi="Arial" w:cs="Arial"/>
          <w:sz w:val="24"/>
          <w:szCs w:val="24"/>
        </w:rPr>
        <w:t>that are linke</w:t>
      </w:r>
      <w:r w:rsidR="00584A8A" w:rsidRPr="00B568F3">
        <w:rPr>
          <w:rFonts w:ascii="Arial" w:eastAsia="Calibri" w:hAnsi="Arial" w:cs="Arial"/>
          <w:sz w:val="24"/>
          <w:szCs w:val="24"/>
        </w:rPr>
        <w:t xml:space="preserve">d to the </w:t>
      </w:r>
      <w:r w:rsidR="00843380" w:rsidRPr="00B568F3">
        <w:rPr>
          <w:rFonts w:ascii="Arial" w:eastAsia="Calibri" w:hAnsi="Arial" w:cs="Arial"/>
          <w:sz w:val="24"/>
          <w:szCs w:val="24"/>
        </w:rPr>
        <w:t>main</w:t>
      </w:r>
      <w:r w:rsidR="00584A8A" w:rsidRPr="00B568F3">
        <w:rPr>
          <w:rFonts w:ascii="Arial" w:eastAsia="Calibri" w:hAnsi="Arial" w:cs="Arial"/>
          <w:sz w:val="24"/>
          <w:szCs w:val="24"/>
        </w:rPr>
        <w:t xml:space="preserve"> principles.</w:t>
      </w:r>
      <w:r w:rsidR="00F2698A" w:rsidRPr="00B568F3">
        <w:rPr>
          <w:rFonts w:ascii="Arial" w:eastAsia="Calibri" w:hAnsi="Arial" w:cs="Arial"/>
          <w:sz w:val="24"/>
          <w:szCs w:val="24"/>
        </w:rPr>
        <w:t xml:space="preserve"> </w:t>
      </w:r>
    </w:p>
    <w:p w14:paraId="6195D53D" w14:textId="77777777" w:rsidR="00CD498B" w:rsidRPr="00B568F3" w:rsidRDefault="00CD498B" w:rsidP="00B84623">
      <w:pPr>
        <w:rPr>
          <w:rFonts w:ascii="Arial" w:eastAsia="Calibri" w:hAnsi="Arial" w:cs="Arial"/>
          <w:sz w:val="24"/>
          <w:szCs w:val="24"/>
          <w:u w:val="single"/>
        </w:rPr>
      </w:pPr>
    </w:p>
    <w:p w14:paraId="3579C9A3" w14:textId="0D8CD6CE" w:rsidR="00CD498B" w:rsidRPr="00B568F3" w:rsidRDefault="00CD498B" w:rsidP="000C06A7">
      <w:pPr>
        <w:pStyle w:val="Heading3"/>
      </w:pPr>
      <w:r w:rsidRPr="00B568F3">
        <w:t>Well-being</w:t>
      </w:r>
    </w:p>
    <w:p w14:paraId="7AA624A7" w14:textId="77777777" w:rsidR="007A71F8" w:rsidRPr="00B568F3" w:rsidRDefault="007A71F8" w:rsidP="00330666">
      <w:pPr>
        <w:spacing w:after="0"/>
        <w:rPr>
          <w:rFonts w:ascii="Arial" w:eastAsia="Calibri" w:hAnsi="Arial" w:cs="Arial"/>
          <w:b/>
          <w:bCs/>
          <w:sz w:val="24"/>
          <w:szCs w:val="24"/>
        </w:rPr>
      </w:pPr>
    </w:p>
    <w:tbl>
      <w:tblPr>
        <w:tblStyle w:val="TableGrid"/>
        <w:tblW w:w="9067" w:type="dxa"/>
        <w:tblLook w:val="04A0" w:firstRow="1" w:lastRow="0" w:firstColumn="1" w:lastColumn="0" w:noHBand="0" w:noVBand="1"/>
      </w:tblPr>
      <w:tblGrid>
        <w:gridCol w:w="9067"/>
      </w:tblGrid>
      <w:tr w:rsidR="00771F37" w:rsidRPr="00B568F3" w14:paraId="172EA8C7" w14:textId="77777777" w:rsidTr="00B175BF">
        <w:tc>
          <w:tcPr>
            <w:tcW w:w="9067" w:type="dxa"/>
          </w:tcPr>
          <w:p w14:paraId="44287CEF" w14:textId="77777777" w:rsidR="00771F37" w:rsidRPr="000C06A7" w:rsidRDefault="00771F37" w:rsidP="00771F37">
            <w:pPr>
              <w:spacing w:after="200" w:line="276" w:lineRule="auto"/>
              <w:contextualSpacing/>
              <w:rPr>
                <w:rFonts w:ascii="Arial" w:eastAsia="Calibri" w:hAnsi="Arial" w:cs="Arial"/>
                <w:b/>
                <w:sz w:val="24"/>
                <w:szCs w:val="24"/>
              </w:rPr>
            </w:pPr>
            <w:r w:rsidRPr="000C06A7">
              <w:rPr>
                <w:rFonts w:ascii="Arial" w:eastAsia="Calibri" w:hAnsi="Arial" w:cs="Arial"/>
                <w:b/>
                <w:sz w:val="24"/>
                <w:szCs w:val="24"/>
              </w:rPr>
              <w:t>Highlight</w:t>
            </w:r>
          </w:p>
          <w:p w14:paraId="579F0D44" w14:textId="77777777" w:rsidR="00771F37" w:rsidRPr="000C06A7" w:rsidRDefault="00771F37" w:rsidP="00771F37">
            <w:pPr>
              <w:spacing w:after="200" w:line="276" w:lineRule="auto"/>
              <w:contextualSpacing/>
              <w:rPr>
                <w:rFonts w:ascii="Arial" w:eastAsia="Calibri" w:hAnsi="Arial" w:cs="Arial"/>
                <w:b/>
                <w:sz w:val="24"/>
                <w:szCs w:val="24"/>
              </w:rPr>
            </w:pPr>
          </w:p>
          <w:p w14:paraId="044E3554" w14:textId="6630341B" w:rsidR="00276A55" w:rsidRPr="000C06A7" w:rsidRDefault="00BF4FAC" w:rsidP="00136069">
            <w:pPr>
              <w:spacing w:line="276" w:lineRule="auto"/>
              <w:rPr>
                <w:rFonts w:ascii="Arial" w:eastAsia="Calibri" w:hAnsi="Arial" w:cs="Arial"/>
                <w:bCs/>
                <w:sz w:val="24"/>
                <w:szCs w:val="24"/>
              </w:rPr>
            </w:pPr>
            <w:r w:rsidRPr="000C06A7">
              <w:rPr>
                <w:rFonts w:ascii="Arial" w:eastAsia="Calibri" w:hAnsi="Arial" w:cs="Arial"/>
                <w:bCs/>
                <w:sz w:val="24"/>
                <w:szCs w:val="24"/>
              </w:rPr>
              <w:t>A local</w:t>
            </w:r>
            <w:r w:rsidR="00E44A95" w:rsidRPr="000C06A7">
              <w:rPr>
                <w:rFonts w:ascii="Arial" w:eastAsia="Calibri" w:hAnsi="Arial" w:cs="Arial"/>
                <w:bCs/>
                <w:sz w:val="24"/>
                <w:szCs w:val="24"/>
              </w:rPr>
              <w:t xml:space="preserve"> authority has </w:t>
            </w:r>
            <w:r w:rsidR="00D16102" w:rsidRPr="000C06A7">
              <w:rPr>
                <w:rFonts w:ascii="Arial" w:eastAsia="Calibri" w:hAnsi="Arial" w:cs="Arial"/>
                <w:bCs/>
                <w:sz w:val="24"/>
                <w:szCs w:val="24"/>
              </w:rPr>
              <w:t>designed c</w:t>
            </w:r>
            <w:r w:rsidR="00276A55" w:rsidRPr="000C06A7">
              <w:rPr>
                <w:rFonts w:ascii="Arial" w:eastAsia="Calibri" w:hAnsi="Arial" w:cs="Arial"/>
                <w:bCs/>
                <w:sz w:val="24"/>
                <w:szCs w:val="24"/>
              </w:rPr>
              <w:t>ourses take account of the impact that personal and professional resilience, moral injury and working with trauma can have on practice</w:t>
            </w:r>
            <w:r w:rsidR="00136069" w:rsidRPr="000C06A7">
              <w:rPr>
                <w:rFonts w:ascii="Arial" w:eastAsia="Calibri" w:hAnsi="Arial" w:cs="Arial"/>
                <w:bCs/>
                <w:sz w:val="24"/>
                <w:szCs w:val="24"/>
              </w:rPr>
              <w:t xml:space="preserve">. </w:t>
            </w:r>
            <w:r w:rsidR="00207B2D" w:rsidRPr="000C06A7">
              <w:rPr>
                <w:rFonts w:ascii="Arial" w:eastAsia="Calibri" w:hAnsi="Arial" w:cs="Arial"/>
                <w:bCs/>
                <w:sz w:val="24"/>
                <w:szCs w:val="24"/>
              </w:rPr>
              <w:t>As c</w:t>
            </w:r>
            <w:r w:rsidR="00FB4991" w:rsidRPr="000C06A7">
              <w:rPr>
                <w:rFonts w:ascii="Arial" w:eastAsia="Calibri" w:hAnsi="Arial" w:cs="Arial"/>
                <w:bCs/>
                <w:sz w:val="24"/>
                <w:szCs w:val="24"/>
              </w:rPr>
              <w:t>ourses</w:t>
            </w:r>
            <w:r w:rsidR="00276A55" w:rsidRPr="000C06A7">
              <w:rPr>
                <w:rFonts w:ascii="Arial" w:eastAsia="Calibri" w:hAnsi="Arial" w:cs="Arial"/>
                <w:bCs/>
                <w:sz w:val="24"/>
                <w:szCs w:val="24"/>
              </w:rPr>
              <w:t xml:space="preserve"> have been developed and delivered in the last year</w:t>
            </w:r>
            <w:r w:rsidR="00207B2D" w:rsidRPr="000C06A7">
              <w:rPr>
                <w:rFonts w:ascii="Arial" w:eastAsia="Calibri" w:hAnsi="Arial" w:cs="Arial"/>
                <w:bCs/>
                <w:sz w:val="24"/>
                <w:szCs w:val="24"/>
              </w:rPr>
              <w:t>,</w:t>
            </w:r>
            <w:r w:rsidR="00FB4991" w:rsidRPr="000C06A7">
              <w:rPr>
                <w:rFonts w:ascii="Arial" w:eastAsia="Calibri" w:hAnsi="Arial" w:cs="Arial"/>
                <w:bCs/>
                <w:sz w:val="24"/>
                <w:szCs w:val="24"/>
              </w:rPr>
              <w:t xml:space="preserve"> </w:t>
            </w:r>
            <w:r w:rsidR="00276A55" w:rsidRPr="000C06A7">
              <w:rPr>
                <w:rFonts w:ascii="Arial" w:eastAsia="Calibri" w:hAnsi="Arial" w:cs="Arial"/>
                <w:bCs/>
                <w:sz w:val="24"/>
                <w:szCs w:val="24"/>
              </w:rPr>
              <w:t>the department has recognised what works and broadened out its well</w:t>
            </w:r>
            <w:r w:rsidR="00207B2D" w:rsidRPr="000C06A7">
              <w:rPr>
                <w:rFonts w:ascii="Arial" w:eastAsia="Calibri" w:hAnsi="Arial" w:cs="Arial"/>
                <w:bCs/>
                <w:sz w:val="24"/>
                <w:szCs w:val="24"/>
              </w:rPr>
              <w:t>-</w:t>
            </w:r>
            <w:r w:rsidR="00276A55" w:rsidRPr="000C06A7">
              <w:rPr>
                <w:rFonts w:ascii="Arial" w:eastAsia="Calibri" w:hAnsi="Arial" w:cs="Arial"/>
                <w:bCs/>
                <w:sz w:val="24"/>
                <w:szCs w:val="24"/>
              </w:rPr>
              <w:t>being offer for staff so that</w:t>
            </w:r>
            <w:r w:rsidR="00207B2D" w:rsidRPr="000C06A7">
              <w:rPr>
                <w:rFonts w:ascii="Arial" w:eastAsia="Calibri" w:hAnsi="Arial" w:cs="Arial"/>
                <w:bCs/>
                <w:sz w:val="24"/>
                <w:szCs w:val="24"/>
              </w:rPr>
              <w:t xml:space="preserve"> it’s</w:t>
            </w:r>
            <w:r w:rsidR="00276A55" w:rsidRPr="000C06A7">
              <w:rPr>
                <w:rFonts w:ascii="Arial" w:eastAsia="Calibri" w:hAnsi="Arial" w:cs="Arial"/>
                <w:bCs/>
                <w:sz w:val="24"/>
                <w:szCs w:val="24"/>
              </w:rPr>
              <w:t xml:space="preserve"> more </w:t>
            </w:r>
            <w:r w:rsidRPr="000C06A7">
              <w:rPr>
                <w:rFonts w:ascii="Arial" w:eastAsia="Calibri" w:hAnsi="Arial" w:cs="Arial"/>
                <w:bCs/>
                <w:sz w:val="24"/>
                <w:szCs w:val="24"/>
              </w:rPr>
              <w:t>bespoke such</w:t>
            </w:r>
            <w:r w:rsidR="002C5219" w:rsidRPr="000C06A7">
              <w:rPr>
                <w:rFonts w:ascii="Arial" w:eastAsia="Calibri" w:hAnsi="Arial" w:cs="Arial"/>
                <w:bCs/>
                <w:sz w:val="24"/>
                <w:szCs w:val="24"/>
              </w:rPr>
              <w:t xml:space="preserve"> as</w:t>
            </w:r>
            <w:r w:rsidR="00FB4991" w:rsidRPr="000C06A7">
              <w:rPr>
                <w:rFonts w:ascii="Arial" w:eastAsia="Calibri" w:hAnsi="Arial" w:cs="Arial"/>
                <w:bCs/>
                <w:sz w:val="24"/>
                <w:szCs w:val="24"/>
              </w:rPr>
              <w:t>,</w:t>
            </w:r>
            <w:r w:rsidR="00276A55" w:rsidRPr="000C06A7">
              <w:rPr>
                <w:rFonts w:ascii="Arial" w:eastAsia="Calibri" w:hAnsi="Arial" w:cs="Arial"/>
                <w:bCs/>
                <w:sz w:val="24"/>
                <w:szCs w:val="24"/>
              </w:rPr>
              <w:t xml:space="preserve"> </w:t>
            </w:r>
          </w:p>
          <w:p w14:paraId="47608D8A" w14:textId="77777777" w:rsidR="00276A55" w:rsidRPr="000C06A7" w:rsidRDefault="00276A55" w:rsidP="00276A55">
            <w:pPr>
              <w:spacing w:line="276" w:lineRule="auto"/>
              <w:rPr>
                <w:rFonts w:ascii="Arial" w:eastAsia="Calibri" w:hAnsi="Arial" w:cs="Arial"/>
                <w:bCs/>
                <w:sz w:val="24"/>
                <w:szCs w:val="24"/>
              </w:rPr>
            </w:pPr>
          </w:p>
          <w:p w14:paraId="5E22BF8C" w14:textId="3F122CFB" w:rsidR="00276A55" w:rsidRPr="000C06A7" w:rsidRDefault="00207B2D" w:rsidP="00632461">
            <w:pPr>
              <w:pStyle w:val="ListParagraph"/>
              <w:numPr>
                <w:ilvl w:val="0"/>
                <w:numId w:val="14"/>
              </w:numPr>
              <w:spacing w:line="276" w:lineRule="auto"/>
              <w:rPr>
                <w:rFonts w:ascii="Arial" w:eastAsia="Calibri" w:hAnsi="Arial" w:cs="Arial"/>
                <w:bCs/>
                <w:sz w:val="24"/>
                <w:szCs w:val="24"/>
              </w:rPr>
            </w:pPr>
            <w:r w:rsidRPr="000C06A7">
              <w:rPr>
                <w:rFonts w:ascii="Arial" w:eastAsia="Calibri" w:hAnsi="Arial" w:cs="Arial"/>
                <w:bCs/>
                <w:sz w:val="24"/>
                <w:szCs w:val="24"/>
              </w:rPr>
              <w:t xml:space="preserve">team </w:t>
            </w:r>
            <w:r w:rsidR="00FB4991" w:rsidRPr="000C06A7">
              <w:rPr>
                <w:rFonts w:ascii="Arial" w:eastAsia="Calibri" w:hAnsi="Arial" w:cs="Arial"/>
                <w:bCs/>
                <w:sz w:val="24"/>
                <w:szCs w:val="24"/>
              </w:rPr>
              <w:t>w</w:t>
            </w:r>
            <w:r w:rsidR="00276A55" w:rsidRPr="000C06A7">
              <w:rPr>
                <w:rFonts w:ascii="Arial" w:eastAsia="Calibri" w:hAnsi="Arial" w:cs="Arial"/>
                <w:bCs/>
                <w:sz w:val="24"/>
                <w:szCs w:val="24"/>
              </w:rPr>
              <w:t>ell</w:t>
            </w:r>
            <w:r w:rsidR="00FB4991" w:rsidRPr="000C06A7">
              <w:rPr>
                <w:rFonts w:ascii="Arial" w:eastAsia="Calibri" w:hAnsi="Arial" w:cs="Arial"/>
                <w:bCs/>
                <w:sz w:val="24"/>
                <w:szCs w:val="24"/>
              </w:rPr>
              <w:t>-</w:t>
            </w:r>
            <w:r w:rsidR="00276A55" w:rsidRPr="000C06A7">
              <w:rPr>
                <w:rFonts w:ascii="Arial" w:eastAsia="Calibri" w:hAnsi="Arial" w:cs="Arial"/>
                <w:bCs/>
                <w:sz w:val="24"/>
                <w:szCs w:val="24"/>
              </w:rPr>
              <w:t xml:space="preserve">being days </w:t>
            </w:r>
          </w:p>
          <w:p w14:paraId="761B4495" w14:textId="6CFBEAA9" w:rsidR="00276A55" w:rsidRPr="000C06A7" w:rsidRDefault="00207B2D" w:rsidP="00632461">
            <w:pPr>
              <w:pStyle w:val="ListParagraph"/>
              <w:numPr>
                <w:ilvl w:val="0"/>
                <w:numId w:val="14"/>
              </w:numPr>
              <w:spacing w:line="276" w:lineRule="auto"/>
              <w:rPr>
                <w:rFonts w:ascii="Arial" w:eastAsia="Calibri" w:hAnsi="Arial" w:cs="Arial"/>
                <w:bCs/>
                <w:sz w:val="24"/>
                <w:szCs w:val="24"/>
              </w:rPr>
            </w:pPr>
            <w:r w:rsidRPr="000C06A7">
              <w:rPr>
                <w:rFonts w:ascii="Arial" w:eastAsia="Calibri" w:hAnsi="Arial" w:cs="Arial"/>
                <w:bCs/>
                <w:sz w:val="24"/>
                <w:szCs w:val="24"/>
              </w:rPr>
              <w:t xml:space="preserve">individual well-being </w:t>
            </w:r>
            <w:r w:rsidR="00276A55" w:rsidRPr="000C06A7">
              <w:rPr>
                <w:rFonts w:ascii="Arial" w:eastAsia="Calibri" w:hAnsi="Arial" w:cs="Arial"/>
                <w:bCs/>
                <w:sz w:val="24"/>
                <w:szCs w:val="24"/>
              </w:rPr>
              <w:t xml:space="preserve">coaching </w:t>
            </w:r>
            <w:r w:rsidRPr="000C06A7">
              <w:rPr>
                <w:rFonts w:ascii="Arial" w:eastAsia="Calibri" w:hAnsi="Arial" w:cs="Arial"/>
                <w:bCs/>
                <w:sz w:val="24"/>
                <w:szCs w:val="24"/>
              </w:rPr>
              <w:t>when staff ask for it</w:t>
            </w:r>
            <w:r w:rsidR="00276A55" w:rsidRPr="000C06A7">
              <w:rPr>
                <w:rFonts w:ascii="Arial" w:eastAsia="Calibri" w:hAnsi="Arial" w:cs="Arial"/>
                <w:bCs/>
                <w:sz w:val="24"/>
                <w:szCs w:val="24"/>
              </w:rPr>
              <w:t xml:space="preserve"> </w:t>
            </w:r>
          </w:p>
          <w:p w14:paraId="4FAA93F3" w14:textId="3B722937" w:rsidR="005749FD" w:rsidRPr="000C06A7" w:rsidRDefault="00207B2D" w:rsidP="00632461">
            <w:pPr>
              <w:pStyle w:val="ListParagraph"/>
              <w:numPr>
                <w:ilvl w:val="0"/>
                <w:numId w:val="14"/>
              </w:numPr>
              <w:spacing w:line="276" w:lineRule="auto"/>
              <w:rPr>
                <w:rFonts w:ascii="Arial" w:eastAsia="Calibri" w:hAnsi="Arial" w:cs="Arial"/>
                <w:bCs/>
                <w:sz w:val="24"/>
                <w:szCs w:val="24"/>
              </w:rPr>
            </w:pPr>
            <w:r w:rsidRPr="000C06A7">
              <w:rPr>
                <w:rFonts w:ascii="Arial" w:eastAsia="Calibri" w:hAnsi="Arial" w:cs="Arial"/>
                <w:bCs/>
                <w:sz w:val="24"/>
                <w:szCs w:val="24"/>
              </w:rPr>
              <w:t>r</w:t>
            </w:r>
            <w:r w:rsidR="00276A55" w:rsidRPr="000C06A7">
              <w:rPr>
                <w:rFonts w:ascii="Arial" w:eastAsia="Calibri" w:hAnsi="Arial" w:cs="Arial"/>
                <w:bCs/>
                <w:sz w:val="24"/>
                <w:szCs w:val="24"/>
              </w:rPr>
              <w:t xml:space="preserve">egular briefings </w:t>
            </w:r>
            <w:r w:rsidRPr="000C06A7">
              <w:rPr>
                <w:rFonts w:ascii="Arial" w:eastAsia="Calibri" w:hAnsi="Arial" w:cs="Arial"/>
                <w:bCs/>
                <w:sz w:val="24"/>
                <w:szCs w:val="24"/>
              </w:rPr>
              <w:t>about</w:t>
            </w:r>
            <w:r w:rsidR="00276A55" w:rsidRPr="000C06A7">
              <w:rPr>
                <w:rFonts w:ascii="Arial" w:eastAsia="Calibri" w:hAnsi="Arial" w:cs="Arial"/>
                <w:bCs/>
                <w:sz w:val="24"/>
                <w:szCs w:val="24"/>
              </w:rPr>
              <w:t xml:space="preserve"> well</w:t>
            </w:r>
            <w:r w:rsidR="00FB4991" w:rsidRPr="000C06A7">
              <w:rPr>
                <w:rFonts w:ascii="Arial" w:eastAsia="Calibri" w:hAnsi="Arial" w:cs="Arial"/>
                <w:bCs/>
                <w:sz w:val="24"/>
                <w:szCs w:val="24"/>
              </w:rPr>
              <w:t>-</w:t>
            </w:r>
            <w:r w:rsidR="00276A55" w:rsidRPr="000C06A7">
              <w:rPr>
                <w:rFonts w:ascii="Arial" w:eastAsia="Calibri" w:hAnsi="Arial" w:cs="Arial"/>
                <w:bCs/>
                <w:sz w:val="24"/>
                <w:szCs w:val="24"/>
              </w:rPr>
              <w:t>being issues for staff who sign into the service</w:t>
            </w:r>
            <w:r w:rsidR="00BF4FAC" w:rsidRPr="000C06A7">
              <w:rPr>
                <w:rFonts w:ascii="Arial" w:eastAsia="Calibri" w:hAnsi="Arial" w:cs="Arial"/>
                <w:bCs/>
                <w:sz w:val="24"/>
                <w:szCs w:val="24"/>
              </w:rPr>
              <w:t>.</w:t>
            </w:r>
            <w:r w:rsidR="00276A55" w:rsidRPr="000C06A7">
              <w:rPr>
                <w:rFonts w:ascii="Arial" w:eastAsia="Calibri" w:hAnsi="Arial" w:cs="Arial"/>
                <w:bCs/>
                <w:sz w:val="24"/>
                <w:szCs w:val="24"/>
              </w:rPr>
              <w:t xml:space="preserve"> </w:t>
            </w:r>
          </w:p>
          <w:p w14:paraId="0BB8399D" w14:textId="49825C99" w:rsidR="00965AA0" w:rsidRPr="000C06A7" w:rsidRDefault="00965AA0" w:rsidP="00B175BF">
            <w:pPr>
              <w:pStyle w:val="ListParagraph"/>
              <w:spacing w:line="276" w:lineRule="auto"/>
              <w:rPr>
                <w:rFonts w:ascii="Arial" w:eastAsia="Calibri" w:hAnsi="Arial" w:cs="Arial"/>
                <w:bCs/>
                <w:sz w:val="20"/>
                <w:szCs w:val="20"/>
              </w:rPr>
            </w:pPr>
          </w:p>
        </w:tc>
      </w:tr>
    </w:tbl>
    <w:p w14:paraId="4D96D436" w14:textId="77777777" w:rsidR="00771F37" w:rsidRPr="00B568F3" w:rsidRDefault="00771F37" w:rsidP="00E206CC">
      <w:pPr>
        <w:spacing w:after="0"/>
        <w:rPr>
          <w:rFonts w:ascii="Arial" w:eastAsia="Calibri" w:hAnsi="Arial" w:cs="Arial"/>
          <w:sz w:val="24"/>
          <w:szCs w:val="24"/>
          <w:u w:val="single"/>
        </w:rPr>
      </w:pPr>
    </w:p>
    <w:tbl>
      <w:tblPr>
        <w:tblStyle w:val="TableGrid"/>
        <w:tblW w:w="0" w:type="auto"/>
        <w:tblLook w:val="04A0" w:firstRow="1" w:lastRow="0" w:firstColumn="1" w:lastColumn="0" w:noHBand="0" w:noVBand="1"/>
      </w:tblPr>
      <w:tblGrid>
        <w:gridCol w:w="9016"/>
      </w:tblGrid>
      <w:tr w:rsidR="00486022" w:rsidRPr="00B568F3" w14:paraId="02DE0190" w14:textId="77777777" w:rsidTr="00486022">
        <w:tc>
          <w:tcPr>
            <w:tcW w:w="9016" w:type="dxa"/>
          </w:tcPr>
          <w:p w14:paraId="4930F13E" w14:textId="77777777" w:rsidR="00486022" w:rsidRPr="000C06A7" w:rsidRDefault="00486022" w:rsidP="00486022">
            <w:pPr>
              <w:spacing w:after="200" w:line="276" w:lineRule="auto"/>
              <w:contextualSpacing/>
              <w:rPr>
                <w:rFonts w:ascii="Arial" w:eastAsia="Calibri" w:hAnsi="Arial" w:cs="Arial"/>
                <w:b/>
                <w:sz w:val="24"/>
                <w:szCs w:val="24"/>
              </w:rPr>
            </w:pPr>
            <w:r w:rsidRPr="000C06A7">
              <w:rPr>
                <w:rFonts w:ascii="Arial" w:eastAsia="Calibri" w:hAnsi="Arial" w:cs="Arial"/>
                <w:b/>
                <w:sz w:val="24"/>
                <w:szCs w:val="24"/>
              </w:rPr>
              <w:t>Highlight</w:t>
            </w:r>
          </w:p>
          <w:p w14:paraId="031A7901" w14:textId="77777777" w:rsidR="00486022" w:rsidRPr="00B568F3" w:rsidRDefault="00486022" w:rsidP="00B84623">
            <w:pPr>
              <w:rPr>
                <w:rFonts w:ascii="Arial" w:eastAsia="Calibri" w:hAnsi="Arial" w:cs="Arial"/>
                <w:sz w:val="24"/>
                <w:szCs w:val="24"/>
              </w:rPr>
            </w:pPr>
          </w:p>
          <w:p w14:paraId="6D34E8E6" w14:textId="15F6B2BD" w:rsidR="00DD4B44" w:rsidRPr="00B568F3" w:rsidRDefault="00DD4B44" w:rsidP="00BF55DA">
            <w:pPr>
              <w:rPr>
                <w:rFonts w:ascii="Arial" w:eastAsia="Calibri" w:hAnsi="Arial" w:cs="Arial"/>
                <w:sz w:val="24"/>
                <w:szCs w:val="24"/>
              </w:rPr>
            </w:pPr>
            <w:r w:rsidRPr="00B568F3">
              <w:rPr>
                <w:rFonts w:ascii="Arial" w:eastAsia="Calibri" w:hAnsi="Arial" w:cs="Arial"/>
                <w:sz w:val="24"/>
                <w:szCs w:val="24"/>
              </w:rPr>
              <w:t xml:space="preserve">A region has delivered </w:t>
            </w:r>
            <w:r w:rsidR="00207B2D" w:rsidRPr="00B568F3">
              <w:rPr>
                <w:rFonts w:ascii="Arial" w:eastAsia="Calibri" w:hAnsi="Arial" w:cs="Arial"/>
                <w:sz w:val="24"/>
                <w:szCs w:val="24"/>
              </w:rPr>
              <w:t>several</w:t>
            </w:r>
            <w:r w:rsidRPr="00B568F3">
              <w:rPr>
                <w:rFonts w:ascii="Arial" w:eastAsia="Calibri" w:hAnsi="Arial" w:cs="Arial"/>
                <w:sz w:val="24"/>
                <w:szCs w:val="24"/>
              </w:rPr>
              <w:t xml:space="preserve"> ‘</w:t>
            </w:r>
            <w:r w:rsidR="00F26D01" w:rsidRPr="00B568F3">
              <w:rPr>
                <w:rFonts w:ascii="Arial" w:eastAsia="Calibri" w:hAnsi="Arial" w:cs="Arial"/>
                <w:sz w:val="24"/>
                <w:szCs w:val="24"/>
              </w:rPr>
              <w:t>m</w:t>
            </w:r>
            <w:r w:rsidRPr="00B568F3">
              <w:rPr>
                <w:rFonts w:ascii="Arial" w:eastAsia="Calibri" w:hAnsi="Arial" w:cs="Arial"/>
                <w:sz w:val="24"/>
                <w:szCs w:val="24"/>
              </w:rPr>
              <w:t xml:space="preserve">oral </w:t>
            </w:r>
            <w:r w:rsidR="00F26D01" w:rsidRPr="00B568F3">
              <w:rPr>
                <w:rFonts w:ascii="Arial" w:eastAsia="Calibri" w:hAnsi="Arial" w:cs="Arial"/>
                <w:sz w:val="24"/>
                <w:szCs w:val="24"/>
              </w:rPr>
              <w:t>i</w:t>
            </w:r>
            <w:r w:rsidRPr="00B568F3">
              <w:rPr>
                <w:rFonts w:ascii="Arial" w:eastAsia="Calibri" w:hAnsi="Arial" w:cs="Arial"/>
                <w:sz w:val="24"/>
                <w:szCs w:val="24"/>
              </w:rPr>
              <w:t xml:space="preserve">njury </w:t>
            </w:r>
            <w:r w:rsidR="00F26D01" w:rsidRPr="00B568F3">
              <w:rPr>
                <w:rFonts w:ascii="Arial" w:eastAsia="Calibri" w:hAnsi="Arial" w:cs="Arial"/>
                <w:sz w:val="24"/>
                <w:szCs w:val="24"/>
              </w:rPr>
              <w:t>t</w:t>
            </w:r>
            <w:r w:rsidRPr="00B568F3">
              <w:rPr>
                <w:rFonts w:ascii="Arial" w:eastAsia="Calibri" w:hAnsi="Arial" w:cs="Arial"/>
                <w:sz w:val="24"/>
                <w:szCs w:val="24"/>
              </w:rPr>
              <w:t>raining’</w:t>
            </w:r>
            <w:r w:rsidR="00207B2D" w:rsidRPr="00B568F3">
              <w:rPr>
                <w:rFonts w:ascii="Arial" w:eastAsia="Calibri" w:hAnsi="Arial" w:cs="Arial"/>
                <w:sz w:val="24"/>
                <w:szCs w:val="24"/>
              </w:rPr>
              <w:t xml:space="preserve"> sessions</w:t>
            </w:r>
            <w:r w:rsidRPr="00B568F3">
              <w:rPr>
                <w:rFonts w:ascii="Arial" w:eastAsia="Calibri" w:hAnsi="Arial" w:cs="Arial"/>
                <w:sz w:val="24"/>
                <w:szCs w:val="24"/>
              </w:rPr>
              <w:t xml:space="preserve"> for staff as</w:t>
            </w:r>
            <w:r w:rsidR="00207B2D" w:rsidRPr="00B568F3">
              <w:rPr>
                <w:rFonts w:ascii="Arial" w:eastAsia="Calibri" w:hAnsi="Arial" w:cs="Arial"/>
                <w:sz w:val="24"/>
                <w:szCs w:val="24"/>
              </w:rPr>
              <w:t xml:space="preserve"> the</w:t>
            </w:r>
            <w:r w:rsidRPr="00B568F3">
              <w:rPr>
                <w:rFonts w:ascii="Arial" w:eastAsia="Calibri" w:hAnsi="Arial" w:cs="Arial"/>
                <w:sz w:val="24"/>
                <w:szCs w:val="24"/>
              </w:rPr>
              <w:t xml:space="preserve"> work environment becomes more challenging</w:t>
            </w:r>
            <w:r w:rsidR="000634EB" w:rsidRPr="00B568F3">
              <w:rPr>
                <w:rFonts w:ascii="Arial" w:eastAsia="Calibri" w:hAnsi="Arial" w:cs="Arial"/>
                <w:sz w:val="24"/>
                <w:szCs w:val="24"/>
              </w:rPr>
              <w:t xml:space="preserve">. </w:t>
            </w:r>
          </w:p>
          <w:p w14:paraId="4F54CA34" w14:textId="77777777" w:rsidR="00486022" w:rsidRPr="00B568F3" w:rsidRDefault="00486022" w:rsidP="000634EB">
            <w:pPr>
              <w:rPr>
                <w:rFonts w:ascii="Arial" w:eastAsia="Calibri" w:hAnsi="Arial" w:cs="Arial"/>
                <w:sz w:val="24"/>
                <w:szCs w:val="24"/>
              </w:rPr>
            </w:pPr>
          </w:p>
        </w:tc>
      </w:tr>
    </w:tbl>
    <w:p w14:paraId="7F54F918" w14:textId="77777777" w:rsidR="00486022" w:rsidRPr="00B568F3" w:rsidRDefault="00486022" w:rsidP="00E206CC">
      <w:pPr>
        <w:spacing w:after="0"/>
        <w:rPr>
          <w:rFonts w:ascii="Arial" w:eastAsia="Calibri" w:hAnsi="Arial" w:cs="Arial"/>
          <w:sz w:val="24"/>
          <w:szCs w:val="24"/>
        </w:rPr>
      </w:pPr>
    </w:p>
    <w:tbl>
      <w:tblPr>
        <w:tblStyle w:val="TableGrid"/>
        <w:tblW w:w="0" w:type="auto"/>
        <w:tblLook w:val="04A0" w:firstRow="1" w:lastRow="0" w:firstColumn="1" w:lastColumn="0" w:noHBand="0" w:noVBand="1"/>
      </w:tblPr>
      <w:tblGrid>
        <w:gridCol w:w="9016"/>
      </w:tblGrid>
      <w:tr w:rsidR="000634EB" w:rsidRPr="00B568F3" w14:paraId="1D643E16" w14:textId="77777777" w:rsidTr="000634EB">
        <w:tc>
          <w:tcPr>
            <w:tcW w:w="9016" w:type="dxa"/>
          </w:tcPr>
          <w:p w14:paraId="43344D58" w14:textId="77777777" w:rsidR="0004211F" w:rsidRPr="000C06A7" w:rsidRDefault="0004211F" w:rsidP="0004211F">
            <w:pPr>
              <w:spacing w:after="200" w:line="276" w:lineRule="auto"/>
              <w:contextualSpacing/>
              <w:rPr>
                <w:rFonts w:ascii="Arial" w:eastAsia="Calibri" w:hAnsi="Arial" w:cs="Arial"/>
                <w:b/>
                <w:sz w:val="24"/>
                <w:szCs w:val="24"/>
              </w:rPr>
            </w:pPr>
            <w:r w:rsidRPr="000C06A7">
              <w:rPr>
                <w:rFonts w:ascii="Arial" w:eastAsia="Calibri" w:hAnsi="Arial" w:cs="Arial"/>
                <w:b/>
                <w:sz w:val="24"/>
                <w:szCs w:val="24"/>
              </w:rPr>
              <w:t>Highlight</w:t>
            </w:r>
          </w:p>
          <w:p w14:paraId="23A080D9" w14:textId="77777777" w:rsidR="0004211F" w:rsidRPr="00B568F3" w:rsidRDefault="0004211F" w:rsidP="00B84623">
            <w:pPr>
              <w:rPr>
                <w:rFonts w:ascii="Arial" w:eastAsia="Calibri" w:hAnsi="Arial" w:cs="Arial"/>
                <w:sz w:val="24"/>
                <w:szCs w:val="24"/>
              </w:rPr>
            </w:pPr>
          </w:p>
          <w:p w14:paraId="57037D47" w14:textId="137D74B5" w:rsidR="00227E7D" w:rsidRPr="00B568F3" w:rsidRDefault="000F4799" w:rsidP="00AC1315">
            <w:pPr>
              <w:rPr>
                <w:rFonts w:ascii="Arial" w:eastAsia="Calibri" w:hAnsi="Arial" w:cs="Arial"/>
                <w:sz w:val="24"/>
                <w:szCs w:val="24"/>
              </w:rPr>
            </w:pPr>
            <w:r w:rsidRPr="00B568F3">
              <w:rPr>
                <w:rFonts w:ascii="Arial" w:eastAsia="Calibri" w:hAnsi="Arial" w:cs="Arial"/>
                <w:sz w:val="24"/>
                <w:szCs w:val="24"/>
              </w:rPr>
              <w:t>There are many w</w:t>
            </w:r>
            <w:r w:rsidR="0004211F" w:rsidRPr="00B568F3">
              <w:rPr>
                <w:rFonts w:ascii="Arial" w:eastAsia="Calibri" w:hAnsi="Arial" w:cs="Arial"/>
                <w:sz w:val="24"/>
                <w:szCs w:val="24"/>
              </w:rPr>
              <w:t>ell</w:t>
            </w:r>
            <w:r w:rsidR="00EB081E" w:rsidRPr="00B568F3">
              <w:rPr>
                <w:rFonts w:ascii="Arial" w:eastAsia="Calibri" w:hAnsi="Arial" w:cs="Arial"/>
                <w:sz w:val="24"/>
                <w:szCs w:val="24"/>
              </w:rPr>
              <w:t>-</w:t>
            </w:r>
            <w:r w:rsidR="0004211F" w:rsidRPr="00B568F3">
              <w:rPr>
                <w:rFonts w:ascii="Arial" w:eastAsia="Calibri" w:hAnsi="Arial" w:cs="Arial"/>
                <w:sz w:val="24"/>
                <w:szCs w:val="24"/>
              </w:rPr>
              <w:t xml:space="preserve">being resources and initiatives shared via e-mail, </w:t>
            </w:r>
            <w:r w:rsidR="006021CB" w:rsidRPr="00B568F3">
              <w:rPr>
                <w:rFonts w:ascii="Arial" w:eastAsia="Calibri" w:hAnsi="Arial" w:cs="Arial"/>
                <w:sz w:val="24"/>
                <w:szCs w:val="24"/>
              </w:rPr>
              <w:t>bulletins,</w:t>
            </w:r>
            <w:r w:rsidR="0004211F" w:rsidRPr="00B568F3">
              <w:rPr>
                <w:rFonts w:ascii="Arial" w:eastAsia="Calibri" w:hAnsi="Arial" w:cs="Arial"/>
                <w:sz w:val="24"/>
                <w:szCs w:val="24"/>
              </w:rPr>
              <w:t xml:space="preserve"> and e-learning platform</w:t>
            </w:r>
            <w:r w:rsidRPr="00B568F3">
              <w:rPr>
                <w:rFonts w:ascii="Arial" w:eastAsia="Calibri" w:hAnsi="Arial" w:cs="Arial"/>
                <w:sz w:val="24"/>
                <w:szCs w:val="24"/>
              </w:rPr>
              <w:t>s</w:t>
            </w:r>
            <w:r w:rsidR="0083757C" w:rsidRPr="00B568F3">
              <w:rPr>
                <w:rFonts w:ascii="Arial" w:eastAsia="Calibri" w:hAnsi="Arial" w:cs="Arial"/>
                <w:sz w:val="24"/>
                <w:szCs w:val="24"/>
              </w:rPr>
              <w:t xml:space="preserve"> across the regions</w:t>
            </w:r>
            <w:r w:rsidR="0004211F" w:rsidRPr="00B568F3">
              <w:rPr>
                <w:rFonts w:ascii="Arial" w:eastAsia="Calibri" w:hAnsi="Arial" w:cs="Arial"/>
                <w:sz w:val="24"/>
                <w:szCs w:val="24"/>
              </w:rPr>
              <w:t xml:space="preserve">. </w:t>
            </w:r>
            <w:r w:rsidRPr="00B568F3">
              <w:rPr>
                <w:rFonts w:ascii="Arial" w:eastAsia="Calibri" w:hAnsi="Arial" w:cs="Arial"/>
                <w:sz w:val="24"/>
                <w:szCs w:val="24"/>
              </w:rPr>
              <w:t>The foll</w:t>
            </w:r>
            <w:r w:rsidR="007670D5" w:rsidRPr="00B568F3">
              <w:rPr>
                <w:rFonts w:ascii="Arial" w:eastAsia="Calibri" w:hAnsi="Arial" w:cs="Arial"/>
                <w:sz w:val="24"/>
                <w:szCs w:val="24"/>
              </w:rPr>
              <w:t xml:space="preserve">owing </w:t>
            </w:r>
            <w:r w:rsidR="00FD6006" w:rsidRPr="00B568F3">
              <w:rPr>
                <w:rFonts w:ascii="Arial" w:eastAsia="Calibri" w:hAnsi="Arial" w:cs="Arial"/>
                <w:sz w:val="24"/>
                <w:szCs w:val="24"/>
              </w:rPr>
              <w:t xml:space="preserve">resources are some examples: </w:t>
            </w:r>
          </w:p>
          <w:p w14:paraId="010921E6" w14:textId="75AB306D" w:rsidR="00026ED4" w:rsidRPr="00B568F3" w:rsidRDefault="009059FB" w:rsidP="00632461">
            <w:pPr>
              <w:pStyle w:val="ListParagraph"/>
              <w:numPr>
                <w:ilvl w:val="0"/>
                <w:numId w:val="23"/>
              </w:numPr>
              <w:rPr>
                <w:rFonts w:ascii="Arial" w:eastAsia="Calibri" w:hAnsi="Arial" w:cs="Arial"/>
                <w:sz w:val="24"/>
                <w:szCs w:val="24"/>
              </w:rPr>
            </w:pPr>
            <w:r w:rsidRPr="00B568F3">
              <w:rPr>
                <w:rFonts w:ascii="Arial" w:eastAsia="Calibri" w:hAnsi="Arial" w:cs="Arial"/>
                <w:sz w:val="24"/>
                <w:szCs w:val="24"/>
              </w:rPr>
              <w:t>well</w:t>
            </w:r>
            <w:r w:rsidR="00EB081E" w:rsidRPr="00B568F3">
              <w:rPr>
                <w:rFonts w:ascii="Arial" w:eastAsia="Calibri" w:hAnsi="Arial" w:cs="Arial"/>
                <w:sz w:val="24"/>
                <w:szCs w:val="24"/>
              </w:rPr>
              <w:t>-</w:t>
            </w:r>
            <w:r w:rsidR="0004211F" w:rsidRPr="00B568F3">
              <w:rPr>
                <w:rFonts w:ascii="Arial" w:eastAsia="Calibri" w:hAnsi="Arial" w:cs="Arial"/>
                <w:sz w:val="24"/>
                <w:szCs w:val="24"/>
              </w:rPr>
              <w:t>being calendar created annually for staff</w:t>
            </w:r>
            <w:r w:rsidRPr="00B568F3">
              <w:rPr>
                <w:rFonts w:ascii="Arial" w:eastAsia="Calibri" w:hAnsi="Arial" w:cs="Arial"/>
                <w:sz w:val="24"/>
                <w:szCs w:val="24"/>
              </w:rPr>
              <w:t>. This</w:t>
            </w:r>
            <w:r w:rsidR="0004211F" w:rsidRPr="00B568F3">
              <w:rPr>
                <w:rFonts w:ascii="Arial" w:eastAsia="Calibri" w:hAnsi="Arial" w:cs="Arial"/>
                <w:sz w:val="24"/>
                <w:szCs w:val="24"/>
              </w:rPr>
              <w:t xml:space="preserve"> include</w:t>
            </w:r>
            <w:r w:rsidRPr="00B568F3">
              <w:rPr>
                <w:rFonts w:ascii="Arial" w:eastAsia="Calibri" w:hAnsi="Arial" w:cs="Arial"/>
                <w:sz w:val="24"/>
                <w:szCs w:val="24"/>
              </w:rPr>
              <w:t>s</w:t>
            </w:r>
            <w:r w:rsidR="0004211F" w:rsidRPr="00B568F3">
              <w:rPr>
                <w:rFonts w:ascii="Arial" w:eastAsia="Calibri" w:hAnsi="Arial" w:cs="Arial"/>
                <w:sz w:val="24"/>
                <w:szCs w:val="24"/>
              </w:rPr>
              <w:t xml:space="preserve"> information</w:t>
            </w:r>
            <w:r w:rsidR="00347FE6" w:rsidRPr="00B568F3">
              <w:rPr>
                <w:rFonts w:ascii="Arial" w:eastAsia="Calibri" w:hAnsi="Arial" w:cs="Arial"/>
                <w:sz w:val="24"/>
                <w:szCs w:val="24"/>
              </w:rPr>
              <w:t xml:space="preserve"> and </w:t>
            </w:r>
            <w:r w:rsidR="0004211F" w:rsidRPr="00B568F3">
              <w:rPr>
                <w:rFonts w:ascii="Arial" w:eastAsia="Calibri" w:hAnsi="Arial" w:cs="Arial"/>
                <w:sz w:val="24"/>
                <w:szCs w:val="24"/>
              </w:rPr>
              <w:t>training or practical sessions such as for menopause awareness, mental health awareness</w:t>
            </w:r>
            <w:r w:rsidRPr="00B568F3">
              <w:rPr>
                <w:rFonts w:ascii="Arial" w:eastAsia="Calibri" w:hAnsi="Arial" w:cs="Arial"/>
                <w:sz w:val="24"/>
                <w:szCs w:val="24"/>
              </w:rPr>
              <w:t xml:space="preserve"> and</w:t>
            </w:r>
            <w:r w:rsidR="0004211F" w:rsidRPr="00B568F3">
              <w:rPr>
                <w:rFonts w:ascii="Arial" w:eastAsia="Calibri" w:hAnsi="Arial" w:cs="Arial"/>
                <w:sz w:val="24"/>
                <w:szCs w:val="24"/>
              </w:rPr>
              <w:t xml:space="preserve"> health checks</w:t>
            </w:r>
          </w:p>
          <w:p w14:paraId="2858C433" w14:textId="267E6857" w:rsidR="00AC1315" w:rsidRPr="00B568F3" w:rsidRDefault="0004211F" w:rsidP="00632461">
            <w:pPr>
              <w:pStyle w:val="ListParagraph"/>
              <w:numPr>
                <w:ilvl w:val="0"/>
                <w:numId w:val="23"/>
              </w:numPr>
              <w:rPr>
                <w:rFonts w:ascii="Arial" w:eastAsia="Calibri" w:hAnsi="Arial" w:cs="Arial"/>
                <w:sz w:val="24"/>
                <w:szCs w:val="24"/>
              </w:rPr>
            </w:pPr>
            <w:r w:rsidRPr="00B568F3">
              <w:rPr>
                <w:rFonts w:ascii="Arial" w:eastAsia="Calibri" w:hAnsi="Arial" w:cs="Arial"/>
                <w:sz w:val="24"/>
                <w:szCs w:val="24"/>
              </w:rPr>
              <w:t>Christmas and winter financial pressures advice sessions.</w:t>
            </w:r>
            <w:r w:rsidR="00AC1315" w:rsidRPr="00B568F3">
              <w:rPr>
                <w:rFonts w:ascii="Arial" w:eastAsia="Calibri" w:hAnsi="Arial" w:cs="Arial"/>
                <w:sz w:val="24"/>
                <w:szCs w:val="24"/>
              </w:rPr>
              <w:t xml:space="preserve"> </w:t>
            </w:r>
            <w:r w:rsidR="00685F12" w:rsidRPr="00B568F3">
              <w:rPr>
                <w:rFonts w:ascii="Arial" w:eastAsia="Calibri" w:hAnsi="Arial" w:cs="Arial"/>
                <w:sz w:val="24"/>
                <w:szCs w:val="24"/>
              </w:rPr>
              <w:t>We also share resources with staff and partners.</w:t>
            </w:r>
          </w:p>
          <w:p w14:paraId="6490ADB1" w14:textId="5ADE1DEE" w:rsidR="000634EB" w:rsidRPr="00B568F3" w:rsidRDefault="000634EB" w:rsidP="00AC1315">
            <w:pPr>
              <w:rPr>
                <w:rFonts w:ascii="Arial" w:eastAsia="Calibri" w:hAnsi="Arial" w:cs="Arial"/>
                <w:sz w:val="24"/>
                <w:szCs w:val="24"/>
              </w:rPr>
            </w:pPr>
          </w:p>
        </w:tc>
      </w:tr>
    </w:tbl>
    <w:p w14:paraId="7F9A2B54" w14:textId="77777777" w:rsidR="008E1452" w:rsidRPr="00B568F3" w:rsidRDefault="008E1452" w:rsidP="00E206CC">
      <w:pPr>
        <w:spacing w:after="0"/>
        <w:rPr>
          <w:rFonts w:ascii="Arial" w:eastAsia="Calibri" w:hAnsi="Arial" w:cs="Arial"/>
          <w:sz w:val="24"/>
          <w:szCs w:val="24"/>
          <w:u w:val="single"/>
        </w:rPr>
      </w:pPr>
    </w:p>
    <w:tbl>
      <w:tblPr>
        <w:tblStyle w:val="TableGrid"/>
        <w:tblW w:w="0" w:type="auto"/>
        <w:tblLook w:val="04A0" w:firstRow="1" w:lastRow="0" w:firstColumn="1" w:lastColumn="0" w:noHBand="0" w:noVBand="1"/>
      </w:tblPr>
      <w:tblGrid>
        <w:gridCol w:w="9016"/>
      </w:tblGrid>
      <w:tr w:rsidR="0023577F" w:rsidRPr="00B568F3" w14:paraId="09811F34" w14:textId="77777777" w:rsidTr="0023577F">
        <w:tc>
          <w:tcPr>
            <w:tcW w:w="9016" w:type="dxa"/>
          </w:tcPr>
          <w:p w14:paraId="49DE3525" w14:textId="77777777" w:rsidR="0023577F" w:rsidRPr="000C06A7" w:rsidRDefault="0023577F" w:rsidP="0023577F">
            <w:pPr>
              <w:spacing w:after="200" w:line="276" w:lineRule="auto"/>
              <w:contextualSpacing/>
              <w:rPr>
                <w:rFonts w:ascii="Arial" w:eastAsia="Calibri" w:hAnsi="Arial" w:cs="Arial"/>
                <w:b/>
                <w:sz w:val="24"/>
                <w:szCs w:val="24"/>
              </w:rPr>
            </w:pPr>
            <w:r w:rsidRPr="000C06A7">
              <w:rPr>
                <w:rFonts w:ascii="Arial" w:eastAsia="Calibri" w:hAnsi="Arial" w:cs="Arial"/>
                <w:b/>
                <w:sz w:val="24"/>
                <w:szCs w:val="24"/>
              </w:rPr>
              <w:t>Highlight</w:t>
            </w:r>
          </w:p>
          <w:p w14:paraId="6CA9B065" w14:textId="77777777" w:rsidR="0023577F" w:rsidRPr="000C06A7" w:rsidRDefault="0023577F" w:rsidP="0023577F">
            <w:pPr>
              <w:spacing w:after="200" w:line="276" w:lineRule="auto"/>
              <w:contextualSpacing/>
              <w:rPr>
                <w:rFonts w:ascii="Arial" w:eastAsia="Calibri" w:hAnsi="Arial" w:cs="Arial"/>
                <w:b/>
                <w:sz w:val="24"/>
                <w:szCs w:val="24"/>
              </w:rPr>
            </w:pPr>
          </w:p>
          <w:p w14:paraId="0EEBDCC5" w14:textId="2F224790" w:rsidR="0023577F" w:rsidRPr="00B568F3" w:rsidRDefault="0023577F" w:rsidP="0023577F">
            <w:pPr>
              <w:rPr>
                <w:rFonts w:ascii="Arial" w:eastAsia="Calibri" w:hAnsi="Arial" w:cs="Arial"/>
                <w:sz w:val="24"/>
                <w:szCs w:val="24"/>
              </w:rPr>
            </w:pPr>
            <w:r w:rsidRPr="00B568F3">
              <w:rPr>
                <w:rFonts w:ascii="Arial" w:eastAsia="Calibri" w:hAnsi="Arial" w:cs="Arial"/>
                <w:sz w:val="24"/>
                <w:szCs w:val="24"/>
              </w:rPr>
              <w:t xml:space="preserve">As part of World Social Work </w:t>
            </w:r>
            <w:r w:rsidR="00AD2762" w:rsidRPr="00B568F3">
              <w:rPr>
                <w:rFonts w:ascii="Arial" w:eastAsia="Calibri" w:hAnsi="Arial" w:cs="Arial"/>
                <w:sz w:val="24"/>
                <w:szCs w:val="24"/>
              </w:rPr>
              <w:t>Week</w:t>
            </w:r>
            <w:r w:rsidRPr="00B568F3">
              <w:rPr>
                <w:rFonts w:ascii="Arial" w:eastAsia="Calibri" w:hAnsi="Arial" w:cs="Arial"/>
                <w:sz w:val="24"/>
                <w:szCs w:val="24"/>
              </w:rPr>
              <w:t xml:space="preserve">, </w:t>
            </w:r>
            <w:r w:rsidR="0083757C" w:rsidRPr="00B568F3">
              <w:rPr>
                <w:rFonts w:ascii="Arial" w:eastAsia="Calibri" w:hAnsi="Arial" w:cs="Arial"/>
                <w:sz w:val="24"/>
                <w:szCs w:val="24"/>
              </w:rPr>
              <w:t xml:space="preserve">a local authority </w:t>
            </w:r>
            <w:r w:rsidRPr="00B568F3">
              <w:rPr>
                <w:rFonts w:ascii="Arial" w:eastAsia="Calibri" w:hAnsi="Arial" w:cs="Arial"/>
                <w:sz w:val="24"/>
                <w:szCs w:val="24"/>
              </w:rPr>
              <w:t>arranged a reflexology (hands) session for social workers and their colleagues</w:t>
            </w:r>
            <w:r w:rsidR="00406C2A" w:rsidRPr="00B568F3">
              <w:rPr>
                <w:rFonts w:ascii="Arial" w:eastAsia="Calibri" w:hAnsi="Arial" w:cs="Arial"/>
                <w:sz w:val="24"/>
                <w:szCs w:val="24"/>
              </w:rPr>
              <w:t>.</w:t>
            </w:r>
            <w:r w:rsidRPr="00B568F3">
              <w:rPr>
                <w:rFonts w:ascii="Arial" w:eastAsia="Calibri" w:hAnsi="Arial" w:cs="Arial"/>
                <w:sz w:val="24"/>
                <w:szCs w:val="24"/>
              </w:rPr>
              <w:t xml:space="preserve"> </w:t>
            </w:r>
            <w:r w:rsidR="00406C2A" w:rsidRPr="00B568F3">
              <w:rPr>
                <w:rFonts w:ascii="Arial" w:eastAsia="Calibri" w:hAnsi="Arial" w:cs="Arial"/>
                <w:sz w:val="24"/>
                <w:szCs w:val="24"/>
              </w:rPr>
              <w:t>T</w:t>
            </w:r>
            <w:r w:rsidRPr="00B568F3">
              <w:rPr>
                <w:rFonts w:ascii="Arial" w:eastAsia="Calibri" w:hAnsi="Arial" w:cs="Arial"/>
                <w:sz w:val="24"/>
                <w:szCs w:val="24"/>
              </w:rPr>
              <w:t>he session</w:t>
            </w:r>
            <w:r w:rsidR="00AD2762" w:rsidRPr="00B568F3">
              <w:rPr>
                <w:rFonts w:ascii="Arial" w:eastAsia="Calibri" w:hAnsi="Arial" w:cs="Arial"/>
                <w:sz w:val="24"/>
                <w:szCs w:val="24"/>
              </w:rPr>
              <w:t xml:space="preserve"> </w:t>
            </w:r>
            <w:r w:rsidR="00406C2A" w:rsidRPr="00B568F3">
              <w:rPr>
                <w:rFonts w:ascii="Arial" w:eastAsia="Calibri" w:hAnsi="Arial" w:cs="Arial"/>
                <w:sz w:val="24"/>
                <w:szCs w:val="24"/>
              </w:rPr>
              <w:t>gave</w:t>
            </w:r>
            <w:r w:rsidR="000108D3" w:rsidRPr="00B568F3">
              <w:rPr>
                <w:rFonts w:ascii="Arial" w:eastAsia="Calibri" w:hAnsi="Arial" w:cs="Arial"/>
                <w:sz w:val="24"/>
                <w:szCs w:val="24"/>
              </w:rPr>
              <w:t xml:space="preserve"> an</w:t>
            </w:r>
            <w:r w:rsidRPr="00B568F3">
              <w:rPr>
                <w:rFonts w:ascii="Arial" w:eastAsia="Calibri" w:hAnsi="Arial" w:cs="Arial"/>
                <w:sz w:val="24"/>
                <w:szCs w:val="24"/>
              </w:rPr>
              <w:t xml:space="preserve"> opportunity to take a moment away from the busy day and learn a new skill</w:t>
            </w:r>
            <w:r w:rsidR="00AD2762" w:rsidRPr="00B568F3">
              <w:rPr>
                <w:rFonts w:ascii="Arial" w:eastAsia="Calibri" w:hAnsi="Arial" w:cs="Arial"/>
                <w:sz w:val="24"/>
                <w:szCs w:val="24"/>
              </w:rPr>
              <w:t>,</w:t>
            </w:r>
            <w:r w:rsidRPr="00B568F3">
              <w:rPr>
                <w:rFonts w:ascii="Arial" w:eastAsia="Calibri" w:hAnsi="Arial" w:cs="Arial"/>
                <w:sz w:val="24"/>
                <w:szCs w:val="24"/>
              </w:rPr>
              <w:t xml:space="preserve"> which can be used during the day to relieve stress. We aim to plan more creative well</w:t>
            </w:r>
            <w:r w:rsidR="00AD2762" w:rsidRPr="00B568F3">
              <w:rPr>
                <w:rFonts w:ascii="Arial" w:eastAsia="Calibri" w:hAnsi="Arial" w:cs="Arial"/>
                <w:sz w:val="24"/>
                <w:szCs w:val="24"/>
              </w:rPr>
              <w:t>-</w:t>
            </w:r>
            <w:r w:rsidRPr="00B568F3">
              <w:rPr>
                <w:rFonts w:ascii="Arial" w:eastAsia="Calibri" w:hAnsi="Arial" w:cs="Arial"/>
                <w:sz w:val="24"/>
                <w:szCs w:val="24"/>
              </w:rPr>
              <w:t>being sessions this year.</w:t>
            </w:r>
          </w:p>
        </w:tc>
      </w:tr>
    </w:tbl>
    <w:p w14:paraId="5347132A" w14:textId="77777777" w:rsidR="0023577F" w:rsidRPr="00B568F3" w:rsidRDefault="0023577F" w:rsidP="00E206CC">
      <w:pPr>
        <w:spacing w:after="0"/>
        <w:rPr>
          <w:rFonts w:ascii="Arial" w:eastAsia="Calibri" w:hAnsi="Arial" w:cs="Arial"/>
          <w:sz w:val="24"/>
          <w:szCs w:val="24"/>
        </w:rPr>
      </w:pPr>
    </w:p>
    <w:tbl>
      <w:tblPr>
        <w:tblStyle w:val="TableGrid"/>
        <w:tblW w:w="0" w:type="auto"/>
        <w:tblLook w:val="04A0" w:firstRow="1" w:lastRow="0" w:firstColumn="1" w:lastColumn="0" w:noHBand="0" w:noVBand="1"/>
      </w:tblPr>
      <w:tblGrid>
        <w:gridCol w:w="9016"/>
      </w:tblGrid>
      <w:tr w:rsidR="0083757C" w:rsidRPr="00B568F3" w14:paraId="114C11BB" w14:textId="77777777" w:rsidTr="0083757C">
        <w:tc>
          <w:tcPr>
            <w:tcW w:w="9016" w:type="dxa"/>
          </w:tcPr>
          <w:p w14:paraId="15F72691" w14:textId="77777777" w:rsidR="0083757C" w:rsidRPr="000C06A7" w:rsidRDefault="0083757C" w:rsidP="0083757C">
            <w:pPr>
              <w:spacing w:after="200" w:line="276" w:lineRule="auto"/>
              <w:contextualSpacing/>
              <w:rPr>
                <w:rFonts w:ascii="Arial" w:eastAsia="Calibri" w:hAnsi="Arial" w:cs="Arial"/>
                <w:b/>
                <w:sz w:val="24"/>
                <w:szCs w:val="24"/>
              </w:rPr>
            </w:pPr>
            <w:r w:rsidRPr="000C06A7">
              <w:rPr>
                <w:rFonts w:ascii="Arial" w:eastAsia="Calibri" w:hAnsi="Arial" w:cs="Arial"/>
                <w:b/>
                <w:sz w:val="24"/>
                <w:szCs w:val="24"/>
              </w:rPr>
              <w:t>Highlight</w:t>
            </w:r>
          </w:p>
          <w:p w14:paraId="458F4E95" w14:textId="77777777" w:rsidR="0083757C" w:rsidRPr="00B568F3" w:rsidRDefault="0083757C" w:rsidP="0083757C">
            <w:pPr>
              <w:rPr>
                <w:rFonts w:ascii="Arial" w:eastAsia="Calibri" w:hAnsi="Arial" w:cs="Arial"/>
                <w:sz w:val="24"/>
                <w:szCs w:val="24"/>
              </w:rPr>
            </w:pPr>
          </w:p>
          <w:p w14:paraId="25C69607" w14:textId="15719B3D" w:rsidR="0083757C" w:rsidRPr="00B568F3" w:rsidRDefault="0083757C" w:rsidP="0083757C">
            <w:pPr>
              <w:rPr>
                <w:rFonts w:ascii="Arial" w:eastAsia="Calibri" w:hAnsi="Arial" w:cs="Arial"/>
                <w:sz w:val="24"/>
                <w:szCs w:val="24"/>
              </w:rPr>
            </w:pPr>
            <w:r w:rsidRPr="00B568F3">
              <w:rPr>
                <w:rFonts w:ascii="Arial" w:eastAsia="Calibri" w:hAnsi="Arial" w:cs="Arial"/>
                <w:sz w:val="24"/>
                <w:szCs w:val="24"/>
              </w:rPr>
              <w:t>Regions continue to promote the Canopi service, providing access to mental health and well-being support for social care staff in Wales. We also promote our framework for health and well-being resources.</w:t>
            </w:r>
          </w:p>
          <w:p w14:paraId="2A978167" w14:textId="77777777" w:rsidR="0083757C" w:rsidRPr="00B568F3" w:rsidRDefault="0083757C" w:rsidP="00B84623">
            <w:pPr>
              <w:rPr>
                <w:rFonts w:ascii="Arial" w:eastAsia="Calibri" w:hAnsi="Arial" w:cs="Arial"/>
                <w:sz w:val="24"/>
                <w:szCs w:val="24"/>
                <w:u w:val="single"/>
              </w:rPr>
            </w:pPr>
          </w:p>
        </w:tc>
      </w:tr>
    </w:tbl>
    <w:p w14:paraId="460F8EDF" w14:textId="77777777" w:rsidR="0083757C" w:rsidRPr="00B568F3" w:rsidRDefault="0083757C" w:rsidP="00B84623">
      <w:pPr>
        <w:rPr>
          <w:rFonts w:ascii="Arial" w:eastAsia="Calibri" w:hAnsi="Arial" w:cs="Arial"/>
          <w:sz w:val="24"/>
          <w:szCs w:val="24"/>
          <w:u w:val="single"/>
        </w:rPr>
      </w:pPr>
    </w:p>
    <w:tbl>
      <w:tblPr>
        <w:tblStyle w:val="TableGrid"/>
        <w:tblW w:w="0" w:type="auto"/>
        <w:tblLook w:val="04A0" w:firstRow="1" w:lastRow="0" w:firstColumn="1" w:lastColumn="0" w:noHBand="0" w:noVBand="1"/>
      </w:tblPr>
      <w:tblGrid>
        <w:gridCol w:w="9016"/>
      </w:tblGrid>
      <w:tr w:rsidR="0083757C" w:rsidRPr="00B568F3" w14:paraId="15CBA6DB" w14:textId="77777777">
        <w:tc>
          <w:tcPr>
            <w:tcW w:w="9016" w:type="dxa"/>
          </w:tcPr>
          <w:p w14:paraId="6AD9E57E" w14:textId="77777777" w:rsidR="0083757C" w:rsidRPr="000C06A7" w:rsidRDefault="0083757C">
            <w:pPr>
              <w:spacing w:after="200" w:line="276" w:lineRule="auto"/>
              <w:contextualSpacing/>
              <w:rPr>
                <w:rFonts w:ascii="Arial" w:eastAsia="Calibri" w:hAnsi="Arial" w:cs="Arial"/>
                <w:b/>
                <w:sz w:val="24"/>
                <w:szCs w:val="24"/>
              </w:rPr>
            </w:pPr>
            <w:r w:rsidRPr="000C06A7">
              <w:rPr>
                <w:rFonts w:ascii="Arial" w:eastAsia="Calibri" w:hAnsi="Arial" w:cs="Arial"/>
                <w:b/>
                <w:sz w:val="24"/>
                <w:szCs w:val="24"/>
              </w:rPr>
              <w:t>Highlight</w:t>
            </w:r>
          </w:p>
          <w:p w14:paraId="4445FAB3" w14:textId="77777777" w:rsidR="0083757C" w:rsidRPr="00B568F3" w:rsidRDefault="0083757C">
            <w:pPr>
              <w:rPr>
                <w:rFonts w:ascii="Arial" w:eastAsia="Calibri" w:hAnsi="Arial" w:cs="Arial"/>
                <w:sz w:val="24"/>
                <w:szCs w:val="24"/>
              </w:rPr>
            </w:pPr>
          </w:p>
          <w:p w14:paraId="4BAF7C78" w14:textId="246E8494" w:rsidR="0083757C" w:rsidRPr="00B568F3" w:rsidRDefault="0083757C">
            <w:pPr>
              <w:rPr>
                <w:rFonts w:ascii="Arial" w:eastAsia="Calibri" w:hAnsi="Arial" w:cs="Arial"/>
                <w:sz w:val="24"/>
                <w:szCs w:val="24"/>
              </w:rPr>
            </w:pPr>
            <w:r w:rsidRPr="00B568F3">
              <w:rPr>
                <w:rFonts w:ascii="Arial" w:eastAsia="Calibri" w:hAnsi="Arial" w:cs="Arial"/>
                <w:sz w:val="24"/>
                <w:szCs w:val="24"/>
              </w:rPr>
              <w:t xml:space="preserve">To build a resilient fostering community, the training development officer </w:t>
            </w:r>
            <w:r w:rsidR="00D848A5" w:rsidRPr="00B568F3">
              <w:rPr>
                <w:rFonts w:ascii="Arial" w:eastAsia="Calibri" w:hAnsi="Arial" w:cs="Arial"/>
                <w:sz w:val="24"/>
                <w:szCs w:val="24"/>
              </w:rPr>
              <w:t xml:space="preserve">in a local authority </w:t>
            </w:r>
            <w:r w:rsidRPr="00B568F3">
              <w:rPr>
                <w:rFonts w:ascii="Arial" w:eastAsia="Calibri" w:hAnsi="Arial" w:cs="Arial"/>
                <w:sz w:val="24"/>
                <w:szCs w:val="24"/>
              </w:rPr>
              <w:t xml:space="preserve">has developed a new well-being programme. This has 30 bite size learning points on essential skills for foster carers. </w:t>
            </w:r>
          </w:p>
          <w:p w14:paraId="2646E076" w14:textId="77777777" w:rsidR="0083757C" w:rsidRPr="00B568F3" w:rsidRDefault="0083757C">
            <w:pPr>
              <w:rPr>
                <w:rFonts w:ascii="Arial" w:eastAsia="Calibri" w:hAnsi="Arial" w:cs="Arial"/>
                <w:sz w:val="24"/>
                <w:szCs w:val="24"/>
              </w:rPr>
            </w:pPr>
          </w:p>
          <w:p w14:paraId="081DD2AE" w14:textId="6FB9184D" w:rsidR="0083757C" w:rsidRPr="00B568F3" w:rsidRDefault="0083757C">
            <w:pPr>
              <w:rPr>
                <w:rFonts w:ascii="Arial" w:eastAsia="Calibri" w:hAnsi="Arial" w:cs="Arial"/>
                <w:sz w:val="24"/>
                <w:szCs w:val="24"/>
              </w:rPr>
            </w:pPr>
            <w:r w:rsidRPr="00B568F3">
              <w:rPr>
                <w:rFonts w:ascii="Arial" w:eastAsia="Calibri" w:hAnsi="Arial" w:cs="Arial"/>
                <w:sz w:val="24"/>
                <w:szCs w:val="24"/>
              </w:rPr>
              <w:t xml:space="preserve">The programme’s aim is to resolve feelings of anxiety and intense emotions. It includes a course workbook and reflective journal. The trainer </w:t>
            </w:r>
            <w:r w:rsidR="00BF4FAC" w:rsidRPr="00B568F3">
              <w:rPr>
                <w:rFonts w:ascii="Arial" w:eastAsia="Calibri" w:hAnsi="Arial" w:cs="Arial"/>
                <w:sz w:val="24"/>
                <w:szCs w:val="24"/>
              </w:rPr>
              <w:t>uses the</w:t>
            </w:r>
            <w:r w:rsidRPr="00B568F3">
              <w:rPr>
                <w:rFonts w:ascii="Arial" w:eastAsia="Calibri" w:hAnsi="Arial" w:cs="Arial"/>
                <w:sz w:val="24"/>
                <w:szCs w:val="24"/>
              </w:rPr>
              <w:t xml:space="preserve"> knowledge and skills needed when qualifying as a Trauma Informed Schools </w:t>
            </w:r>
            <w:r w:rsidR="00A840B7" w:rsidRPr="00B568F3">
              <w:rPr>
                <w:rFonts w:ascii="Arial" w:eastAsia="Calibri" w:hAnsi="Arial" w:cs="Arial"/>
                <w:sz w:val="24"/>
                <w:szCs w:val="24"/>
              </w:rPr>
              <w:t>UK Trauma</w:t>
            </w:r>
            <w:r w:rsidRPr="00B568F3">
              <w:rPr>
                <w:rFonts w:ascii="Arial" w:eastAsia="Calibri" w:hAnsi="Arial" w:cs="Arial"/>
                <w:sz w:val="24"/>
                <w:szCs w:val="24"/>
              </w:rPr>
              <w:t xml:space="preserve"> and Mental Health Practitioner in March 2023. </w:t>
            </w:r>
          </w:p>
          <w:p w14:paraId="7B281F72" w14:textId="77777777" w:rsidR="0083757C" w:rsidRPr="00B568F3" w:rsidRDefault="0083757C">
            <w:pPr>
              <w:rPr>
                <w:rFonts w:ascii="Arial" w:eastAsia="Calibri" w:hAnsi="Arial" w:cs="Arial"/>
                <w:sz w:val="24"/>
                <w:szCs w:val="24"/>
              </w:rPr>
            </w:pPr>
          </w:p>
          <w:p w14:paraId="4D4B4822" w14:textId="77777777" w:rsidR="0083757C" w:rsidRPr="00B568F3" w:rsidRDefault="0083757C">
            <w:pPr>
              <w:rPr>
                <w:rFonts w:ascii="Arial" w:eastAsia="Calibri" w:hAnsi="Arial" w:cs="Arial"/>
                <w:sz w:val="24"/>
                <w:szCs w:val="24"/>
              </w:rPr>
            </w:pPr>
            <w:r w:rsidRPr="00B568F3">
              <w:rPr>
                <w:rFonts w:ascii="Arial" w:eastAsia="Calibri" w:hAnsi="Arial" w:cs="Arial"/>
                <w:sz w:val="24"/>
                <w:szCs w:val="24"/>
              </w:rPr>
              <w:t>The training development officer has developed a new training session, again to support foster carer resilience when working with children and young people affected by trauma, social, emotional and mental health-based behaviour.</w:t>
            </w:r>
          </w:p>
          <w:p w14:paraId="5C1B1398" w14:textId="77777777" w:rsidR="0083757C" w:rsidRPr="00B568F3" w:rsidRDefault="0083757C">
            <w:pPr>
              <w:rPr>
                <w:rFonts w:ascii="Arial" w:eastAsia="Calibri" w:hAnsi="Arial" w:cs="Arial"/>
                <w:sz w:val="24"/>
                <w:szCs w:val="24"/>
              </w:rPr>
            </w:pPr>
          </w:p>
        </w:tc>
      </w:tr>
    </w:tbl>
    <w:p w14:paraId="37B3AFB6" w14:textId="77777777" w:rsidR="0083757C" w:rsidRPr="00B568F3" w:rsidRDefault="0083757C" w:rsidP="00B84623">
      <w:pPr>
        <w:rPr>
          <w:rFonts w:ascii="Arial" w:eastAsia="Calibri" w:hAnsi="Arial" w:cs="Arial"/>
          <w:sz w:val="24"/>
          <w:szCs w:val="24"/>
          <w:u w:val="single"/>
        </w:rPr>
      </w:pPr>
    </w:p>
    <w:p w14:paraId="10404910" w14:textId="28C3EE72" w:rsidR="00094872" w:rsidRPr="00B568F3" w:rsidRDefault="00094872" w:rsidP="00632461">
      <w:pPr>
        <w:numPr>
          <w:ilvl w:val="0"/>
          <w:numId w:val="6"/>
        </w:numPr>
        <w:spacing w:after="200" w:line="276" w:lineRule="auto"/>
        <w:ind w:left="567" w:hanging="425"/>
        <w:contextualSpacing/>
        <w:rPr>
          <w:rFonts w:ascii="Arial" w:eastAsia="Calibri" w:hAnsi="Arial" w:cs="Arial"/>
          <w:bCs/>
          <w:sz w:val="24"/>
          <w:szCs w:val="24"/>
        </w:rPr>
      </w:pPr>
      <w:r w:rsidRPr="00B568F3">
        <w:rPr>
          <w:rFonts w:ascii="Arial" w:eastAsia="Calibri" w:hAnsi="Arial" w:cs="Arial"/>
          <w:bCs/>
          <w:sz w:val="24"/>
          <w:szCs w:val="24"/>
        </w:rPr>
        <w:t>Workforce well</w:t>
      </w:r>
      <w:r w:rsidR="007C425D" w:rsidRPr="00B568F3">
        <w:rPr>
          <w:rFonts w:ascii="Arial" w:eastAsia="Calibri" w:hAnsi="Arial" w:cs="Arial"/>
          <w:bCs/>
          <w:sz w:val="24"/>
          <w:szCs w:val="24"/>
        </w:rPr>
        <w:t>-</w:t>
      </w:r>
      <w:r w:rsidRPr="00B568F3">
        <w:rPr>
          <w:rFonts w:ascii="Arial" w:eastAsia="Calibri" w:hAnsi="Arial" w:cs="Arial"/>
          <w:bCs/>
          <w:sz w:val="24"/>
          <w:szCs w:val="24"/>
        </w:rPr>
        <w:t xml:space="preserve">being </w:t>
      </w:r>
      <w:r w:rsidR="007C425D" w:rsidRPr="00B568F3">
        <w:rPr>
          <w:rFonts w:ascii="Arial" w:eastAsia="Calibri" w:hAnsi="Arial" w:cs="Arial"/>
          <w:bCs/>
          <w:sz w:val="24"/>
          <w:szCs w:val="24"/>
        </w:rPr>
        <w:t xml:space="preserve">is still </w:t>
      </w:r>
      <w:r w:rsidRPr="00B568F3">
        <w:rPr>
          <w:rFonts w:ascii="Arial" w:eastAsia="Calibri" w:hAnsi="Arial" w:cs="Arial"/>
          <w:bCs/>
          <w:sz w:val="24"/>
          <w:szCs w:val="24"/>
        </w:rPr>
        <w:t>a priority for all regions</w:t>
      </w:r>
      <w:r w:rsidR="00B221ED" w:rsidRPr="00B568F3">
        <w:rPr>
          <w:rFonts w:ascii="Arial" w:eastAsia="Calibri" w:hAnsi="Arial" w:cs="Arial"/>
          <w:bCs/>
          <w:sz w:val="24"/>
          <w:szCs w:val="24"/>
        </w:rPr>
        <w:t>,</w:t>
      </w:r>
      <w:r w:rsidRPr="00B568F3">
        <w:rPr>
          <w:rFonts w:ascii="Arial" w:eastAsia="Calibri" w:hAnsi="Arial" w:cs="Arial"/>
          <w:bCs/>
          <w:sz w:val="24"/>
          <w:szCs w:val="24"/>
        </w:rPr>
        <w:t xml:space="preserve"> with specific well</w:t>
      </w:r>
      <w:r w:rsidR="007C425D" w:rsidRPr="00B568F3">
        <w:rPr>
          <w:rFonts w:ascii="Arial" w:eastAsia="Calibri" w:hAnsi="Arial" w:cs="Arial"/>
          <w:bCs/>
          <w:sz w:val="24"/>
          <w:szCs w:val="24"/>
        </w:rPr>
        <w:t>-</w:t>
      </w:r>
      <w:r w:rsidRPr="00B568F3">
        <w:rPr>
          <w:rFonts w:ascii="Arial" w:eastAsia="Calibri" w:hAnsi="Arial" w:cs="Arial"/>
          <w:bCs/>
          <w:sz w:val="24"/>
          <w:szCs w:val="24"/>
        </w:rPr>
        <w:t>being training and development offered</w:t>
      </w:r>
      <w:r w:rsidR="00C50F95" w:rsidRPr="00B568F3">
        <w:rPr>
          <w:rFonts w:ascii="Arial" w:eastAsia="Calibri" w:hAnsi="Arial" w:cs="Arial"/>
          <w:bCs/>
          <w:sz w:val="24"/>
          <w:szCs w:val="24"/>
        </w:rPr>
        <w:t>,</w:t>
      </w:r>
      <w:r w:rsidRPr="00B568F3">
        <w:rPr>
          <w:rFonts w:ascii="Arial" w:eastAsia="Calibri" w:hAnsi="Arial" w:cs="Arial"/>
          <w:bCs/>
          <w:sz w:val="24"/>
          <w:szCs w:val="24"/>
        </w:rPr>
        <w:t xml:space="preserve"> and support </w:t>
      </w:r>
      <w:r w:rsidR="007C425D" w:rsidRPr="00B568F3">
        <w:rPr>
          <w:rFonts w:ascii="Arial" w:eastAsia="Calibri" w:hAnsi="Arial" w:cs="Arial"/>
          <w:bCs/>
          <w:sz w:val="24"/>
          <w:szCs w:val="24"/>
        </w:rPr>
        <w:t xml:space="preserve">given </w:t>
      </w:r>
      <w:r w:rsidRPr="00B568F3">
        <w:rPr>
          <w:rFonts w:ascii="Arial" w:eastAsia="Calibri" w:hAnsi="Arial" w:cs="Arial"/>
          <w:bCs/>
          <w:sz w:val="24"/>
          <w:szCs w:val="24"/>
        </w:rPr>
        <w:t>through signposting to well</w:t>
      </w:r>
      <w:r w:rsidR="007C425D" w:rsidRPr="00B568F3">
        <w:rPr>
          <w:rFonts w:ascii="Arial" w:eastAsia="Calibri" w:hAnsi="Arial" w:cs="Arial"/>
          <w:bCs/>
          <w:sz w:val="24"/>
          <w:szCs w:val="24"/>
        </w:rPr>
        <w:t>-</w:t>
      </w:r>
      <w:r w:rsidRPr="00B568F3">
        <w:rPr>
          <w:rFonts w:ascii="Arial" w:eastAsia="Calibri" w:hAnsi="Arial" w:cs="Arial"/>
          <w:bCs/>
          <w:sz w:val="24"/>
          <w:szCs w:val="24"/>
        </w:rPr>
        <w:t>being resources.</w:t>
      </w:r>
    </w:p>
    <w:p w14:paraId="57AA18B0" w14:textId="77777777" w:rsidR="00B70AB0" w:rsidRPr="00B568F3" w:rsidRDefault="00B70AB0" w:rsidP="00B84623">
      <w:pPr>
        <w:rPr>
          <w:rFonts w:ascii="Arial" w:eastAsia="Calibri" w:hAnsi="Arial" w:cs="Arial"/>
          <w:sz w:val="24"/>
          <w:szCs w:val="24"/>
          <w:u w:val="single"/>
        </w:rPr>
      </w:pPr>
    </w:p>
    <w:p w14:paraId="2227E6CA" w14:textId="6DC64B60" w:rsidR="00E206CC" w:rsidRPr="00B568F3" w:rsidRDefault="002764D5" w:rsidP="00632461">
      <w:pPr>
        <w:numPr>
          <w:ilvl w:val="0"/>
          <w:numId w:val="6"/>
        </w:numPr>
        <w:spacing w:after="200" w:line="276" w:lineRule="auto"/>
        <w:ind w:left="567" w:hanging="425"/>
        <w:contextualSpacing/>
        <w:rPr>
          <w:rFonts w:ascii="Arial" w:eastAsia="Calibri" w:hAnsi="Arial" w:cs="Arial"/>
          <w:sz w:val="24"/>
          <w:szCs w:val="24"/>
          <w:u w:val="single"/>
        </w:rPr>
      </w:pPr>
      <w:r w:rsidRPr="00B568F3">
        <w:rPr>
          <w:rFonts w:ascii="Arial" w:eastAsia="Calibri" w:hAnsi="Arial" w:cs="Arial"/>
          <w:sz w:val="24"/>
          <w:szCs w:val="24"/>
        </w:rPr>
        <w:t>Well-being support, especially for managers, continues to be a priority</w:t>
      </w:r>
      <w:r w:rsidR="00C50F95" w:rsidRPr="00B568F3">
        <w:rPr>
          <w:rFonts w:ascii="Arial" w:eastAsia="Calibri" w:hAnsi="Arial" w:cs="Arial"/>
          <w:sz w:val="24"/>
          <w:szCs w:val="24"/>
        </w:rPr>
        <w:t>,</w:t>
      </w:r>
      <w:r w:rsidRPr="00B568F3">
        <w:rPr>
          <w:rFonts w:ascii="Arial" w:eastAsia="Calibri" w:hAnsi="Arial" w:cs="Arial"/>
          <w:sz w:val="24"/>
          <w:szCs w:val="24"/>
        </w:rPr>
        <w:t xml:space="preserve"> with a range of provision in place </w:t>
      </w:r>
      <w:r w:rsidR="002C5219" w:rsidRPr="00B568F3">
        <w:rPr>
          <w:rFonts w:ascii="Arial" w:eastAsia="Calibri" w:hAnsi="Arial" w:cs="Arial"/>
          <w:sz w:val="24"/>
          <w:szCs w:val="24"/>
        </w:rPr>
        <w:t>such as</w:t>
      </w:r>
      <w:r w:rsidRPr="00B568F3">
        <w:rPr>
          <w:rFonts w:ascii="Arial" w:eastAsia="Calibri" w:hAnsi="Arial" w:cs="Arial"/>
          <w:sz w:val="24"/>
          <w:szCs w:val="24"/>
        </w:rPr>
        <w:t xml:space="preserve"> mindfulness</w:t>
      </w:r>
      <w:r w:rsidR="00C50F95" w:rsidRPr="00B568F3">
        <w:rPr>
          <w:rFonts w:ascii="Arial" w:eastAsia="Calibri" w:hAnsi="Arial" w:cs="Arial"/>
          <w:sz w:val="24"/>
          <w:szCs w:val="24"/>
        </w:rPr>
        <w:t xml:space="preserve"> and</w:t>
      </w:r>
      <w:r w:rsidRPr="00B568F3">
        <w:rPr>
          <w:rFonts w:ascii="Arial" w:eastAsia="Calibri" w:hAnsi="Arial" w:cs="Arial"/>
          <w:sz w:val="24"/>
          <w:szCs w:val="24"/>
        </w:rPr>
        <w:t xml:space="preserve"> resilience and bereavement</w:t>
      </w:r>
      <w:r w:rsidR="00C50F95" w:rsidRPr="00B568F3">
        <w:rPr>
          <w:rFonts w:ascii="Arial" w:eastAsia="Calibri" w:hAnsi="Arial" w:cs="Arial"/>
          <w:sz w:val="24"/>
          <w:szCs w:val="24"/>
        </w:rPr>
        <w:t>. There’s also</w:t>
      </w:r>
      <w:r w:rsidRPr="00B568F3">
        <w:rPr>
          <w:rFonts w:ascii="Arial" w:eastAsia="Calibri" w:hAnsi="Arial" w:cs="Arial"/>
          <w:sz w:val="24"/>
          <w:szCs w:val="24"/>
        </w:rPr>
        <w:t xml:space="preserve"> signposting </w:t>
      </w:r>
      <w:r w:rsidR="00C50F95" w:rsidRPr="00B568F3">
        <w:rPr>
          <w:rFonts w:ascii="Arial" w:eastAsia="Calibri" w:hAnsi="Arial" w:cs="Arial"/>
          <w:sz w:val="24"/>
          <w:szCs w:val="24"/>
        </w:rPr>
        <w:t>to</w:t>
      </w:r>
      <w:r w:rsidRPr="00B568F3">
        <w:rPr>
          <w:rFonts w:ascii="Arial" w:eastAsia="Calibri" w:hAnsi="Arial" w:cs="Arial"/>
          <w:sz w:val="24"/>
          <w:szCs w:val="24"/>
        </w:rPr>
        <w:t xml:space="preserve"> support and other resources to support positive well</w:t>
      </w:r>
      <w:r w:rsidR="00403C78" w:rsidRPr="00B568F3">
        <w:rPr>
          <w:rFonts w:ascii="Arial" w:eastAsia="Calibri" w:hAnsi="Arial" w:cs="Arial"/>
          <w:sz w:val="24"/>
          <w:szCs w:val="24"/>
        </w:rPr>
        <w:t>-</w:t>
      </w:r>
      <w:r w:rsidRPr="00B568F3">
        <w:rPr>
          <w:rFonts w:ascii="Arial" w:eastAsia="Calibri" w:hAnsi="Arial" w:cs="Arial"/>
          <w:sz w:val="24"/>
          <w:szCs w:val="24"/>
        </w:rPr>
        <w:t>being.</w:t>
      </w:r>
    </w:p>
    <w:p w14:paraId="5E805E9D" w14:textId="55C98A54" w:rsidR="005007E8" w:rsidRPr="000C06A7" w:rsidRDefault="005007E8" w:rsidP="000C06A7">
      <w:pPr>
        <w:pStyle w:val="Heading3"/>
        <w:rPr>
          <w:u w:val="single"/>
          <w:lang w:eastAsia="en-GB"/>
        </w:rPr>
      </w:pPr>
      <w:r w:rsidRPr="00B568F3">
        <w:t xml:space="preserve">Welsh </w:t>
      </w:r>
      <w:r w:rsidR="00C50F95" w:rsidRPr="00B568F3">
        <w:t>l</w:t>
      </w:r>
      <w:r w:rsidRPr="00B568F3">
        <w:t>anguage</w:t>
      </w:r>
    </w:p>
    <w:p w14:paraId="7DBA8AB1" w14:textId="77777777" w:rsidR="005007E8" w:rsidRPr="00B568F3" w:rsidRDefault="005007E8" w:rsidP="00753644">
      <w:pPr>
        <w:spacing w:after="0" w:line="276" w:lineRule="auto"/>
        <w:contextualSpacing/>
        <w:rPr>
          <w:rFonts w:ascii="Arial" w:eastAsia="Calibri" w:hAnsi="Arial" w:cs="Arial"/>
          <w:b/>
          <w:color w:val="FF0000"/>
        </w:rPr>
      </w:pPr>
    </w:p>
    <w:tbl>
      <w:tblPr>
        <w:tblStyle w:val="TableGrid"/>
        <w:tblW w:w="0" w:type="auto"/>
        <w:tblLook w:val="04A0" w:firstRow="1" w:lastRow="0" w:firstColumn="1" w:lastColumn="0" w:noHBand="0" w:noVBand="1"/>
      </w:tblPr>
      <w:tblGrid>
        <w:gridCol w:w="9016"/>
      </w:tblGrid>
      <w:tr w:rsidR="005007E8" w:rsidRPr="00B568F3" w14:paraId="284960B4" w14:textId="77777777">
        <w:tc>
          <w:tcPr>
            <w:tcW w:w="9016" w:type="dxa"/>
          </w:tcPr>
          <w:p w14:paraId="7867AA73" w14:textId="77777777" w:rsidR="005007E8" w:rsidRPr="000C06A7" w:rsidRDefault="005007E8">
            <w:pPr>
              <w:spacing w:after="200" w:line="276" w:lineRule="auto"/>
              <w:contextualSpacing/>
              <w:rPr>
                <w:rFonts w:ascii="Arial" w:eastAsia="Calibri" w:hAnsi="Arial" w:cs="Arial"/>
                <w:b/>
                <w:sz w:val="24"/>
                <w:szCs w:val="24"/>
              </w:rPr>
            </w:pPr>
            <w:r w:rsidRPr="000C06A7">
              <w:rPr>
                <w:rFonts w:ascii="Arial" w:eastAsia="Calibri" w:hAnsi="Arial" w:cs="Arial"/>
                <w:b/>
                <w:sz w:val="24"/>
                <w:szCs w:val="24"/>
              </w:rPr>
              <w:t>Highlight</w:t>
            </w:r>
          </w:p>
          <w:p w14:paraId="3C02EB40" w14:textId="77777777" w:rsidR="005007E8" w:rsidRPr="00B568F3" w:rsidRDefault="005007E8">
            <w:pPr>
              <w:spacing w:after="200" w:line="276" w:lineRule="auto"/>
              <w:contextualSpacing/>
              <w:rPr>
                <w:rFonts w:ascii="Arial" w:eastAsia="Calibri" w:hAnsi="Arial" w:cs="Arial"/>
                <w:bCs/>
                <w:sz w:val="24"/>
                <w:szCs w:val="24"/>
              </w:rPr>
            </w:pPr>
          </w:p>
          <w:p w14:paraId="5707B843" w14:textId="2C4ACDE5" w:rsidR="005007E8" w:rsidRPr="00B568F3" w:rsidRDefault="004A68BA">
            <w:pPr>
              <w:spacing w:after="200" w:line="276" w:lineRule="auto"/>
              <w:contextualSpacing/>
              <w:rPr>
                <w:rFonts w:ascii="Arial" w:eastAsia="Calibri" w:hAnsi="Arial" w:cs="Arial"/>
                <w:sz w:val="24"/>
                <w:szCs w:val="24"/>
              </w:rPr>
            </w:pPr>
            <w:r w:rsidRPr="00B568F3">
              <w:rPr>
                <w:rFonts w:ascii="Arial" w:eastAsia="Calibri" w:hAnsi="Arial" w:cs="Arial"/>
                <w:sz w:val="24"/>
                <w:szCs w:val="24"/>
              </w:rPr>
              <w:t xml:space="preserve">The </w:t>
            </w:r>
            <w:r w:rsidR="005007E8" w:rsidRPr="00B568F3">
              <w:rPr>
                <w:rFonts w:ascii="Arial" w:eastAsia="Calibri" w:hAnsi="Arial" w:cs="Arial"/>
                <w:sz w:val="24"/>
                <w:szCs w:val="24"/>
              </w:rPr>
              <w:t>region has developed and promoted a Welsh language awareness module in th</w:t>
            </w:r>
            <w:r w:rsidR="000929E8" w:rsidRPr="00B568F3">
              <w:rPr>
                <w:rFonts w:ascii="Arial" w:eastAsia="Calibri" w:hAnsi="Arial" w:cs="Arial"/>
                <w:sz w:val="24"/>
                <w:szCs w:val="24"/>
              </w:rPr>
              <w:t>eir</w:t>
            </w:r>
            <w:r w:rsidR="005007E8" w:rsidRPr="00B568F3">
              <w:rPr>
                <w:rFonts w:ascii="Arial" w:eastAsia="Calibri" w:hAnsi="Arial" w:cs="Arial"/>
                <w:sz w:val="24"/>
                <w:szCs w:val="24"/>
              </w:rPr>
              <w:t xml:space="preserve"> induction programme. </w:t>
            </w:r>
            <w:r w:rsidR="00BF4FAC" w:rsidRPr="00B568F3">
              <w:rPr>
                <w:rFonts w:ascii="Arial" w:eastAsia="Calibri" w:hAnsi="Arial" w:cs="Arial"/>
                <w:sz w:val="24"/>
                <w:szCs w:val="24"/>
              </w:rPr>
              <w:t>Informal Welsh</w:t>
            </w:r>
            <w:r w:rsidR="005007E8" w:rsidRPr="00B568F3">
              <w:rPr>
                <w:rFonts w:ascii="Arial" w:eastAsia="Calibri" w:hAnsi="Arial" w:cs="Arial"/>
                <w:sz w:val="24"/>
                <w:szCs w:val="24"/>
              </w:rPr>
              <w:t xml:space="preserve"> is used in training. </w:t>
            </w:r>
            <w:r w:rsidR="002C5219" w:rsidRPr="00B568F3">
              <w:rPr>
                <w:rFonts w:ascii="Arial" w:eastAsia="Calibri" w:hAnsi="Arial" w:cs="Arial"/>
                <w:sz w:val="24"/>
                <w:szCs w:val="24"/>
              </w:rPr>
              <w:t xml:space="preserve">Any correspondence sent to the workforce is sent </w:t>
            </w:r>
            <w:r w:rsidR="005007E8" w:rsidRPr="00B568F3">
              <w:rPr>
                <w:rFonts w:ascii="Arial" w:eastAsia="Calibri" w:hAnsi="Arial" w:cs="Arial"/>
                <w:sz w:val="24"/>
                <w:szCs w:val="24"/>
              </w:rPr>
              <w:t>bilingually. Training material</w:t>
            </w:r>
            <w:r w:rsidR="001A720A" w:rsidRPr="00B568F3">
              <w:rPr>
                <w:rFonts w:ascii="Arial" w:eastAsia="Calibri" w:hAnsi="Arial" w:cs="Arial"/>
                <w:sz w:val="24"/>
                <w:szCs w:val="24"/>
              </w:rPr>
              <w:t>s</w:t>
            </w:r>
            <w:r w:rsidR="005007E8" w:rsidRPr="00B568F3">
              <w:rPr>
                <w:rFonts w:ascii="Arial" w:eastAsia="Calibri" w:hAnsi="Arial" w:cs="Arial"/>
                <w:sz w:val="24"/>
                <w:szCs w:val="24"/>
              </w:rPr>
              <w:t xml:space="preserve"> can be provided in Welsh on request. Some training sessions can be provided through Welsh </w:t>
            </w:r>
            <w:r w:rsidR="002C5219" w:rsidRPr="00B568F3">
              <w:rPr>
                <w:rFonts w:ascii="Arial" w:eastAsia="Calibri" w:hAnsi="Arial" w:cs="Arial"/>
                <w:sz w:val="24"/>
                <w:szCs w:val="24"/>
              </w:rPr>
              <w:t>or</w:t>
            </w:r>
            <w:r w:rsidR="005007E8" w:rsidRPr="00B568F3">
              <w:rPr>
                <w:rFonts w:ascii="Arial" w:eastAsia="Calibri" w:hAnsi="Arial" w:cs="Arial"/>
                <w:sz w:val="24"/>
                <w:szCs w:val="24"/>
              </w:rPr>
              <w:t xml:space="preserve"> bilingually if there</w:t>
            </w:r>
            <w:r w:rsidR="002C5219" w:rsidRPr="00B568F3">
              <w:rPr>
                <w:rFonts w:ascii="Arial" w:eastAsia="Calibri" w:hAnsi="Arial" w:cs="Arial"/>
                <w:sz w:val="24"/>
                <w:szCs w:val="24"/>
              </w:rPr>
              <w:t>’</w:t>
            </w:r>
            <w:r w:rsidR="005007E8" w:rsidRPr="00B568F3">
              <w:rPr>
                <w:rFonts w:ascii="Arial" w:eastAsia="Calibri" w:hAnsi="Arial" w:cs="Arial"/>
                <w:sz w:val="24"/>
                <w:szCs w:val="24"/>
              </w:rPr>
              <w:t xml:space="preserve">s enough demand. </w:t>
            </w:r>
            <w:r w:rsidR="00E215AC" w:rsidRPr="00B568F3">
              <w:rPr>
                <w:rFonts w:ascii="Arial" w:eastAsia="Calibri" w:hAnsi="Arial" w:cs="Arial"/>
                <w:sz w:val="24"/>
                <w:szCs w:val="24"/>
              </w:rPr>
              <w:t xml:space="preserve">The </w:t>
            </w:r>
            <w:r w:rsidR="005007E8" w:rsidRPr="00B568F3">
              <w:rPr>
                <w:rFonts w:ascii="Arial" w:eastAsia="Calibri" w:hAnsi="Arial" w:cs="Arial"/>
                <w:sz w:val="24"/>
                <w:szCs w:val="24"/>
              </w:rPr>
              <w:t xml:space="preserve">Welsh language lead continues to attend Welsh </w:t>
            </w:r>
            <w:r w:rsidR="00E215AC" w:rsidRPr="00B568F3">
              <w:rPr>
                <w:rFonts w:ascii="Arial" w:eastAsia="Calibri" w:hAnsi="Arial" w:cs="Arial"/>
                <w:sz w:val="24"/>
                <w:szCs w:val="24"/>
              </w:rPr>
              <w:t xml:space="preserve">language coordinators’ </w:t>
            </w:r>
            <w:r w:rsidR="005007E8" w:rsidRPr="00B568F3">
              <w:rPr>
                <w:rFonts w:ascii="Arial" w:eastAsia="Calibri" w:hAnsi="Arial" w:cs="Arial"/>
                <w:sz w:val="24"/>
                <w:szCs w:val="24"/>
              </w:rPr>
              <w:t xml:space="preserve">meetings to </w:t>
            </w:r>
            <w:r w:rsidR="00E215AC" w:rsidRPr="00B568F3">
              <w:rPr>
                <w:rFonts w:ascii="Arial" w:eastAsia="Calibri" w:hAnsi="Arial" w:cs="Arial"/>
                <w:sz w:val="24"/>
                <w:szCs w:val="24"/>
              </w:rPr>
              <w:t>keep</w:t>
            </w:r>
            <w:r w:rsidR="005007E8" w:rsidRPr="00B568F3">
              <w:rPr>
                <w:rFonts w:ascii="Arial" w:eastAsia="Calibri" w:hAnsi="Arial" w:cs="Arial"/>
                <w:sz w:val="24"/>
                <w:szCs w:val="24"/>
              </w:rPr>
              <w:t xml:space="preserve"> improving our bilingual offer.</w:t>
            </w:r>
          </w:p>
          <w:p w14:paraId="5E34BD27" w14:textId="77777777" w:rsidR="005007E8" w:rsidRPr="00B568F3" w:rsidRDefault="005007E8">
            <w:pPr>
              <w:spacing w:after="200" w:line="276" w:lineRule="auto"/>
              <w:contextualSpacing/>
              <w:rPr>
                <w:rFonts w:ascii="Arial" w:eastAsia="Calibri" w:hAnsi="Arial" w:cs="Arial"/>
                <w:bCs/>
                <w:color w:val="FF0000"/>
                <w:sz w:val="24"/>
                <w:szCs w:val="24"/>
              </w:rPr>
            </w:pPr>
          </w:p>
        </w:tc>
      </w:tr>
    </w:tbl>
    <w:p w14:paraId="220FA392" w14:textId="77777777" w:rsidR="005007E8" w:rsidRPr="00B568F3" w:rsidRDefault="005007E8" w:rsidP="005007E8">
      <w:pPr>
        <w:spacing w:after="200" w:line="276" w:lineRule="auto"/>
        <w:contextualSpacing/>
        <w:rPr>
          <w:rFonts w:ascii="Arial" w:eastAsia="Calibri" w:hAnsi="Arial" w:cs="Arial"/>
          <w:b/>
          <w:color w:val="FF0000"/>
        </w:rPr>
      </w:pPr>
    </w:p>
    <w:tbl>
      <w:tblPr>
        <w:tblStyle w:val="TableGrid"/>
        <w:tblW w:w="0" w:type="auto"/>
        <w:tblLook w:val="04A0" w:firstRow="1" w:lastRow="0" w:firstColumn="1" w:lastColumn="0" w:noHBand="0" w:noVBand="1"/>
      </w:tblPr>
      <w:tblGrid>
        <w:gridCol w:w="9016"/>
      </w:tblGrid>
      <w:tr w:rsidR="005007E8" w:rsidRPr="00B568F3" w14:paraId="1F21972F" w14:textId="77777777">
        <w:tc>
          <w:tcPr>
            <w:tcW w:w="9016" w:type="dxa"/>
          </w:tcPr>
          <w:p w14:paraId="4D02EB22" w14:textId="77777777" w:rsidR="005007E8" w:rsidRPr="00B568F3" w:rsidRDefault="005007E8">
            <w:pPr>
              <w:spacing w:after="200" w:line="276" w:lineRule="auto"/>
              <w:contextualSpacing/>
              <w:rPr>
                <w:rFonts w:ascii="Arial" w:eastAsia="Calibri" w:hAnsi="Arial" w:cs="Arial"/>
                <w:b/>
                <w:sz w:val="24"/>
                <w:szCs w:val="24"/>
              </w:rPr>
            </w:pPr>
            <w:r w:rsidRPr="00B568F3">
              <w:rPr>
                <w:rFonts w:ascii="Arial" w:eastAsia="Calibri" w:hAnsi="Arial" w:cs="Arial"/>
                <w:b/>
                <w:sz w:val="24"/>
                <w:szCs w:val="24"/>
              </w:rPr>
              <w:t>Highlight</w:t>
            </w:r>
          </w:p>
          <w:p w14:paraId="0403620E" w14:textId="77777777" w:rsidR="005007E8" w:rsidRPr="00B568F3" w:rsidRDefault="005007E8">
            <w:pPr>
              <w:spacing w:after="200" w:line="276" w:lineRule="auto"/>
              <w:contextualSpacing/>
              <w:rPr>
                <w:rFonts w:ascii="Arial" w:eastAsia="Calibri" w:hAnsi="Arial" w:cs="Arial"/>
                <w:bCs/>
                <w:sz w:val="24"/>
                <w:szCs w:val="24"/>
              </w:rPr>
            </w:pPr>
          </w:p>
          <w:p w14:paraId="10D55961" w14:textId="77CFF598" w:rsidR="005007E8" w:rsidRPr="00B568F3" w:rsidRDefault="005007E8">
            <w:pPr>
              <w:spacing w:after="200" w:line="276" w:lineRule="auto"/>
              <w:contextualSpacing/>
              <w:rPr>
                <w:rFonts w:ascii="Arial" w:eastAsia="Calibri" w:hAnsi="Arial" w:cs="Arial"/>
                <w:sz w:val="24"/>
                <w:szCs w:val="24"/>
              </w:rPr>
            </w:pPr>
            <w:r w:rsidRPr="00B568F3">
              <w:rPr>
                <w:rFonts w:ascii="Arial" w:eastAsia="Calibri" w:hAnsi="Arial" w:cs="Arial"/>
                <w:sz w:val="24"/>
                <w:szCs w:val="24"/>
              </w:rPr>
              <w:t xml:space="preserve">The vocational qualification team </w:t>
            </w:r>
            <w:r w:rsidR="00D848A5" w:rsidRPr="00B568F3">
              <w:rPr>
                <w:rFonts w:ascii="Arial" w:eastAsia="Calibri" w:hAnsi="Arial" w:cs="Arial"/>
                <w:sz w:val="24"/>
                <w:szCs w:val="24"/>
              </w:rPr>
              <w:t xml:space="preserve">within the local authority </w:t>
            </w:r>
            <w:r w:rsidRPr="00B568F3">
              <w:rPr>
                <w:rFonts w:ascii="Arial" w:eastAsia="Calibri" w:hAnsi="Arial" w:cs="Arial"/>
                <w:sz w:val="24"/>
                <w:szCs w:val="24"/>
              </w:rPr>
              <w:t xml:space="preserve">has two Welsh speaking </w:t>
            </w:r>
            <w:r w:rsidR="00CC3790" w:rsidRPr="00B568F3">
              <w:rPr>
                <w:rFonts w:ascii="Arial" w:eastAsia="Calibri" w:hAnsi="Arial" w:cs="Arial"/>
                <w:sz w:val="24"/>
                <w:szCs w:val="24"/>
              </w:rPr>
              <w:t xml:space="preserve">members of </w:t>
            </w:r>
            <w:r w:rsidRPr="00B568F3">
              <w:rPr>
                <w:rFonts w:ascii="Arial" w:eastAsia="Calibri" w:hAnsi="Arial" w:cs="Arial"/>
                <w:sz w:val="24"/>
                <w:szCs w:val="24"/>
              </w:rPr>
              <w:t xml:space="preserve">staff to support bilingual delivery of training sessions and qualifications. We </w:t>
            </w:r>
            <w:r w:rsidR="002C5219" w:rsidRPr="00B568F3">
              <w:rPr>
                <w:rFonts w:ascii="Arial" w:eastAsia="Calibri" w:hAnsi="Arial" w:cs="Arial"/>
                <w:sz w:val="24"/>
                <w:szCs w:val="24"/>
              </w:rPr>
              <w:t>use</w:t>
            </w:r>
            <w:r w:rsidRPr="00B568F3">
              <w:rPr>
                <w:rFonts w:ascii="Arial" w:eastAsia="Calibri" w:hAnsi="Arial" w:cs="Arial"/>
                <w:sz w:val="24"/>
                <w:szCs w:val="24"/>
              </w:rPr>
              <w:t xml:space="preserve"> an initial assessment of all learners to </w:t>
            </w:r>
            <w:r w:rsidR="002C5219" w:rsidRPr="00B568F3">
              <w:rPr>
                <w:rFonts w:ascii="Arial" w:eastAsia="Calibri" w:hAnsi="Arial" w:cs="Arial"/>
                <w:sz w:val="24"/>
                <w:szCs w:val="24"/>
              </w:rPr>
              <w:t>check</w:t>
            </w:r>
            <w:r w:rsidRPr="00B568F3">
              <w:rPr>
                <w:rFonts w:ascii="Arial" w:eastAsia="Calibri" w:hAnsi="Arial" w:cs="Arial"/>
                <w:sz w:val="24"/>
                <w:szCs w:val="24"/>
              </w:rPr>
              <w:t xml:space="preserve"> their language preference right at the start of the qualification.</w:t>
            </w:r>
          </w:p>
          <w:p w14:paraId="63D28ABE" w14:textId="77777777" w:rsidR="005007E8" w:rsidRPr="00B568F3" w:rsidRDefault="005007E8">
            <w:pPr>
              <w:spacing w:after="200" w:line="276" w:lineRule="auto"/>
              <w:contextualSpacing/>
              <w:rPr>
                <w:rFonts w:ascii="Arial" w:eastAsia="Calibri" w:hAnsi="Arial" w:cs="Arial"/>
                <w:bCs/>
                <w:sz w:val="24"/>
                <w:szCs w:val="24"/>
              </w:rPr>
            </w:pPr>
          </w:p>
        </w:tc>
      </w:tr>
    </w:tbl>
    <w:p w14:paraId="66B198B9" w14:textId="77777777" w:rsidR="005007E8" w:rsidRPr="00B568F3" w:rsidRDefault="005007E8" w:rsidP="005007E8">
      <w:pPr>
        <w:spacing w:after="200" w:line="276" w:lineRule="auto"/>
        <w:contextualSpacing/>
        <w:rPr>
          <w:rFonts w:ascii="Arial" w:eastAsia="Calibri" w:hAnsi="Arial" w:cs="Arial"/>
          <w:b/>
          <w:color w:val="FF0000"/>
        </w:rPr>
      </w:pPr>
    </w:p>
    <w:tbl>
      <w:tblPr>
        <w:tblStyle w:val="TableGrid"/>
        <w:tblW w:w="0" w:type="auto"/>
        <w:tblInd w:w="-5" w:type="dxa"/>
        <w:tblLook w:val="04A0" w:firstRow="1" w:lastRow="0" w:firstColumn="1" w:lastColumn="0" w:noHBand="0" w:noVBand="1"/>
      </w:tblPr>
      <w:tblGrid>
        <w:gridCol w:w="9021"/>
      </w:tblGrid>
      <w:tr w:rsidR="005007E8" w:rsidRPr="00B568F3" w14:paraId="6AFBC891" w14:textId="77777777">
        <w:tc>
          <w:tcPr>
            <w:tcW w:w="9021" w:type="dxa"/>
          </w:tcPr>
          <w:p w14:paraId="463CE951" w14:textId="77777777" w:rsidR="005007E8" w:rsidRPr="00B568F3" w:rsidRDefault="005007E8">
            <w:pPr>
              <w:spacing w:after="200" w:line="276" w:lineRule="auto"/>
              <w:contextualSpacing/>
              <w:rPr>
                <w:rFonts w:ascii="Arial" w:eastAsia="Calibri" w:hAnsi="Arial" w:cs="Arial"/>
                <w:b/>
                <w:sz w:val="24"/>
                <w:szCs w:val="24"/>
              </w:rPr>
            </w:pPr>
            <w:r w:rsidRPr="00B568F3">
              <w:rPr>
                <w:rFonts w:ascii="Arial" w:eastAsia="Calibri" w:hAnsi="Arial" w:cs="Arial"/>
                <w:b/>
                <w:sz w:val="24"/>
                <w:szCs w:val="24"/>
              </w:rPr>
              <w:t>Highlight</w:t>
            </w:r>
          </w:p>
          <w:p w14:paraId="29CFA8C9" w14:textId="77777777" w:rsidR="005007E8" w:rsidRPr="00B568F3" w:rsidRDefault="005007E8">
            <w:pPr>
              <w:spacing w:after="200" w:line="276" w:lineRule="auto"/>
              <w:contextualSpacing/>
              <w:rPr>
                <w:rFonts w:ascii="Arial" w:eastAsia="Calibri" w:hAnsi="Arial" w:cs="Arial"/>
                <w:bCs/>
                <w:sz w:val="24"/>
                <w:szCs w:val="24"/>
              </w:rPr>
            </w:pPr>
          </w:p>
          <w:p w14:paraId="1E8AF120" w14:textId="699BF2A5" w:rsidR="005007E8" w:rsidRPr="00B568F3" w:rsidRDefault="005007E8">
            <w:pPr>
              <w:spacing w:after="200" w:line="276" w:lineRule="auto"/>
              <w:contextualSpacing/>
              <w:rPr>
                <w:rFonts w:ascii="Arial" w:eastAsia="Calibri" w:hAnsi="Arial" w:cs="Arial"/>
                <w:sz w:val="24"/>
                <w:szCs w:val="24"/>
              </w:rPr>
            </w:pPr>
            <w:r w:rsidRPr="00B568F3">
              <w:rPr>
                <w:rFonts w:ascii="Arial" w:eastAsia="Calibri" w:hAnsi="Arial" w:cs="Arial"/>
                <w:sz w:val="24"/>
                <w:szCs w:val="24"/>
              </w:rPr>
              <w:t>A local authority within one region commissioned four workshops for the social care sector</w:t>
            </w:r>
            <w:r w:rsidR="001D5A2F" w:rsidRPr="00B568F3">
              <w:rPr>
                <w:rFonts w:ascii="Arial" w:eastAsia="Calibri" w:hAnsi="Arial" w:cs="Arial"/>
                <w:sz w:val="24"/>
                <w:szCs w:val="24"/>
              </w:rPr>
              <w:t xml:space="preserve"> focusing on</w:t>
            </w:r>
            <w:r w:rsidRPr="00B568F3">
              <w:rPr>
                <w:rFonts w:ascii="Arial" w:eastAsia="Calibri" w:hAnsi="Arial" w:cs="Arial"/>
                <w:sz w:val="24"/>
                <w:szCs w:val="24"/>
              </w:rPr>
              <w:t xml:space="preserve"> ‘More than just words</w:t>
            </w:r>
            <w:r w:rsidR="006021CB" w:rsidRPr="00B568F3">
              <w:rPr>
                <w:rFonts w:ascii="Arial" w:eastAsia="Calibri" w:hAnsi="Arial" w:cs="Arial"/>
                <w:sz w:val="24"/>
                <w:szCs w:val="24"/>
              </w:rPr>
              <w:t>,’</w:t>
            </w:r>
            <w:r w:rsidR="001D5A2F" w:rsidRPr="00B568F3">
              <w:rPr>
                <w:rFonts w:ascii="Arial" w:eastAsia="Calibri" w:hAnsi="Arial" w:cs="Arial"/>
                <w:sz w:val="24"/>
                <w:szCs w:val="24"/>
              </w:rPr>
              <w:t xml:space="preserve"> with the aim of</w:t>
            </w:r>
            <w:r w:rsidRPr="00B568F3">
              <w:rPr>
                <w:rFonts w:ascii="Arial" w:eastAsia="Calibri" w:hAnsi="Arial" w:cs="Arial"/>
                <w:sz w:val="24"/>
                <w:szCs w:val="24"/>
              </w:rPr>
              <w:t xml:space="preserve"> having a ‘More than just words’ action plan for the area. </w:t>
            </w:r>
            <w:r w:rsidR="00E06007" w:rsidRPr="00B568F3">
              <w:rPr>
                <w:rFonts w:ascii="Arial" w:eastAsia="Calibri" w:hAnsi="Arial" w:cs="Arial"/>
                <w:sz w:val="24"/>
                <w:szCs w:val="24"/>
              </w:rPr>
              <w:t>They’ve also commissioned a</w:t>
            </w:r>
            <w:r w:rsidRPr="00B568F3">
              <w:rPr>
                <w:rFonts w:ascii="Arial" w:eastAsia="Calibri" w:hAnsi="Arial" w:cs="Arial"/>
                <w:sz w:val="24"/>
                <w:szCs w:val="24"/>
              </w:rPr>
              <w:t xml:space="preserve"> workforce skills and confidence in Welsh language use survey.</w:t>
            </w:r>
          </w:p>
          <w:p w14:paraId="535124C0" w14:textId="77777777" w:rsidR="005007E8" w:rsidRPr="00B568F3" w:rsidRDefault="005007E8">
            <w:pPr>
              <w:spacing w:after="200" w:line="276" w:lineRule="auto"/>
              <w:contextualSpacing/>
              <w:rPr>
                <w:rFonts w:ascii="Arial" w:eastAsia="Calibri" w:hAnsi="Arial" w:cs="Arial"/>
                <w:b/>
                <w:color w:val="FF0000"/>
                <w:sz w:val="24"/>
                <w:szCs w:val="24"/>
              </w:rPr>
            </w:pPr>
          </w:p>
        </w:tc>
      </w:tr>
    </w:tbl>
    <w:p w14:paraId="584A5551" w14:textId="77777777" w:rsidR="005007E8" w:rsidRPr="00B568F3" w:rsidRDefault="005007E8" w:rsidP="005007E8">
      <w:pPr>
        <w:spacing w:after="200" w:line="276" w:lineRule="auto"/>
        <w:ind w:left="720"/>
        <w:contextualSpacing/>
        <w:rPr>
          <w:rFonts w:ascii="Arial" w:eastAsia="Calibri" w:hAnsi="Arial" w:cs="Arial"/>
          <w:b/>
          <w:color w:val="FF0000"/>
        </w:rPr>
      </w:pPr>
    </w:p>
    <w:tbl>
      <w:tblPr>
        <w:tblStyle w:val="TableGrid"/>
        <w:tblW w:w="0" w:type="auto"/>
        <w:tblInd w:w="-5" w:type="dxa"/>
        <w:tblLook w:val="04A0" w:firstRow="1" w:lastRow="0" w:firstColumn="1" w:lastColumn="0" w:noHBand="0" w:noVBand="1"/>
      </w:tblPr>
      <w:tblGrid>
        <w:gridCol w:w="9021"/>
      </w:tblGrid>
      <w:tr w:rsidR="005007E8" w:rsidRPr="00B568F3" w14:paraId="6DB91BFA" w14:textId="77777777">
        <w:tc>
          <w:tcPr>
            <w:tcW w:w="9021" w:type="dxa"/>
          </w:tcPr>
          <w:p w14:paraId="36B7DAF8" w14:textId="77777777" w:rsidR="005007E8" w:rsidRPr="000C06A7" w:rsidRDefault="005007E8">
            <w:pPr>
              <w:spacing w:after="200" w:line="276" w:lineRule="auto"/>
              <w:contextualSpacing/>
              <w:rPr>
                <w:rFonts w:ascii="Arial" w:eastAsia="Calibri" w:hAnsi="Arial" w:cs="Arial"/>
                <w:b/>
                <w:sz w:val="24"/>
                <w:szCs w:val="24"/>
              </w:rPr>
            </w:pPr>
            <w:r w:rsidRPr="000C06A7">
              <w:rPr>
                <w:rFonts w:ascii="Arial" w:eastAsia="Calibri" w:hAnsi="Arial" w:cs="Arial"/>
                <w:b/>
                <w:sz w:val="24"/>
                <w:szCs w:val="24"/>
              </w:rPr>
              <w:t>Highlight</w:t>
            </w:r>
          </w:p>
          <w:p w14:paraId="46582E11" w14:textId="77777777" w:rsidR="005007E8" w:rsidRPr="000C06A7" w:rsidRDefault="005007E8">
            <w:pPr>
              <w:spacing w:after="200" w:line="276" w:lineRule="auto"/>
              <w:contextualSpacing/>
              <w:rPr>
                <w:rFonts w:ascii="Arial" w:eastAsia="Calibri" w:hAnsi="Arial" w:cs="Arial"/>
                <w:bCs/>
                <w:sz w:val="24"/>
                <w:szCs w:val="24"/>
              </w:rPr>
            </w:pPr>
          </w:p>
          <w:p w14:paraId="79103F59" w14:textId="1EB88640" w:rsidR="002C5219" w:rsidRPr="000C06A7" w:rsidRDefault="005007E8">
            <w:pPr>
              <w:spacing w:after="200" w:line="276" w:lineRule="auto"/>
              <w:contextualSpacing/>
              <w:rPr>
                <w:rFonts w:ascii="Arial" w:eastAsia="Calibri" w:hAnsi="Arial" w:cs="Arial"/>
                <w:sz w:val="24"/>
                <w:szCs w:val="24"/>
              </w:rPr>
            </w:pPr>
            <w:r w:rsidRPr="000C06A7">
              <w:rPr>
                <w:rFonts w:ascii="Arial" w:eastAsia="Calibri" w:hAnsi="Arial" w:cs="Arial"/>
                <w:sz w:val="24"/>
                <w:szCs w:val="24"/>
              </w:rPr>
              <w:t xml:space="preserve">A </w:t>
            </w:r>
            <w:r w:rsidR="002C5219" w:rsidRPr="000C06A7">
              <w:rPr>
                <w:rFonts w:ascii="Arial" w:eastAsia="Calibri" w:hAnsi="Arial" w:cs="Arial"/>
                <w:sz w:val="24"/>
                <w:szCs w:val="24"/>
              </w:rPr>
              <w:t>local authority</w:t>
            </w:r>
            <w:r w:rsidRPr="000C06A7">
              <w:rPr>
                <w:rFonts w:ascii="Arial" w:eastAsia="Calibri" w:hAnsi="Arial" w:cs="Arial"/>
                <w:sz w:val="24"/>
                <w:szCs w:val="24"/>
              </w:rPr>
              <w:t xml:space="preserve"> in one region now </w:t>
            </w:r>
            <w:r w:rsidR="006E12C9" w:rsidRPr="000C06A7">
              <w:rPr>
                <w:rFonts w:ascii="Arial" w:eastAsia="Calibri" w:hAnsi="Arial" w:cs="Arial"/>
                <w:sz w:val="24"/>
                <w:szCs w:val="24"/>
              </w:rPr>
              <w:t>has</w:t>
            </w:r>
            <w:r w:rsidRPr="000C06A7">
              <w:rPr>
                <w:rFonts w:ascii="Arial" w:eastAsia="Calibri" w:hAnsi="Arial" w:cs="Arial"/>
                <w:sz w:val="24"/>
                <w:szCs w:val="24"/>
              </w:rPr>
              <w:t xml:space="preserve"> Welsh champions who meet quarterly to discuss how best to support the Welsh language within their services and set goals</w:t>
            </w:r>
            <w:r w:rsidR="00E06007" w:rsidRPr="000C06A7">
              <w:rPr>
                <w:rFonts w:ascii="Arial" w:eastAsia="Calibri" w:hAnsi="Arial" w:cs="Arial"/>
                <w:sz w:val="24"/>
                <w:szCs w:val="24"/>
              </w:rPr>
              <w:t xml:space="preserve"> </w:t>
            </w:r>
            <w:r w:rsidR="002C5219" w:rsidRPr="000C06A7">
              <w:rPr>
                <w:rFonts w:ascii="Arial" w:eastAsia="Calibri" w:hAnsi="Arial" w:cs="Arial"/>
                <w:sz w:val="24"/>
                <w:szCs w:val="24"/>
              </w:rPr>
              <w:t>such as:</w:t>
            </w:r>
          </w:p>
          <w:p w14:paraId="77537922" w14:textId="373D687D" w:rsidR="002C5219" w:rsidRPr="000C06A7" w:rsidRDefault="005007E8" w:rsidP="00632461">
            <w:pPr>
              <w:pStyle w:val="ListParagraph"/>
              <w:numPr>
                <w:ilvl w:val="0"/>
                <w:numId w:val="24"/>
              </w:numPr>
              <w:spacing w:after="200" w:line="276" w:lineRule="auto"/>
              <w:rPr>
                <w:rFonts w:ascii="Arial" w:eastAsia="Calibri" w:hAnsi="Arial" w:cs="Arial"/>
                <w:sz w:val="24"/>
                <w:szCs w:val="24"/>
              </w:rPr>
            </w:pPr>
            <w:r w:rsidRPr="000C06A7">
              <w:rPr>
                <w:rFonts w:ascii="Arial" w:eastAsia="Calibri" w:hAnsi="Arial" w:cs="Arial"/>
                <w:sz w:val="24"/>
                <w:szCs w:val="24"/>
              </w:rPr>
              <w:t xml:space="preserve"> Welsh word of the week</w:t>
            </w:r>
          </w:p>
          <w:p w14:paraId="7F28750B" w14:textId="49DE5A8D" w:rsidR="002C5219" w:rsidRPr="000C06A7" w:rsidRDefault="005007E8" w:rsidP="00632461">
            <w:pPr>
              <w:pStyle w:val="ListParagraph"/>
              <w:numPr>
                <w:ilvl w:val="0"/>
                <w:numId w:val="24"/>
              </w:numPr>
              <w:spacing w:after="200" w:line="276" w:lineRule="auto"/>
              <w:rPr>
                <w:rFonts w:ascii="Arial" w:eastAsia="Calibri" w:hAnsi="Arial" w:cs="Arial"/>
                <w:sz w:val="24"/>
                <w:szCs w:val="24"/>
              </w:rPr>
            </w:pPr>
            <w:r w:rsidRPr="000C06A7">
              <w:rPr>
                <w:rFonts w:ascii="Arial" w:eastAsia="Calibri" w:hAnsi="Arial" w:cs="Arial"/>
                <w:sz w:val="24"/>
                <w:szCs w:val="24"/>
              </w:rPr>
              <w:t xml:space="preserve"> collecting stories from individuals</w:t>
            </w:r>
          </w:p>
          <w:p w14:paraId="3ECB115D" w14:textId="7244B693" w:rsidR="002C5219" w:rsidRPr="000C06A7" w:rsidRDefault="005007E8" w:rsidP="00632461">
            <w:pPr>
              <w:pStyle w:val="ListParagraph"/>
              <w:numPr>
                <w:ilvl w:val="0"/>
                <w:numId w:val="24"/>
              </w:numPr>
              <w:spacing w:after="200" w:line="276" w:lineRule="auto"/>
              <w:rPr>
                <w:rFonts w:ascii="Arial" w:eastAsia="Calibri" w:hAnsi="Arial" w:cs="Arial"/>
                <w:sz w:val="24"/>
                <w:szCs w:val="24"/>
              </w:rPr>
            </w:pPr>
            <w:r w:rsidRPr="000C06A7">
              <w:rPr>
                <w:rFonts w:ascii="Arial" w:eastAsia="Calibri" w:hAnsi="Arial" w:cs="Arial"/>
                <w:sz w:val="24"/>
                <w:szCs w:val="24"/>
              </w:rPr>
              <w:t xml:space="preserve"> arranging activities to celebrate the Welsh language and culture and supporting individuals to join in. </w:t>
            </w:r>
          </w:p>
          <w:p w14:paraId="3FEC1113" w14:textId="30669245" w:rsidR="005007E8" w:rsidRPr="000C06A7" w:rsidRDefault="005007E8" w:rsidP="008317AC">
            <w:pPr>
              <w:spacing w:after="200" w:line="276" w:lineRule="auto"/>
              <w:rPr>
                <w:rFonts w:ascii="Arial" w:eastAsia="Calibri" w:hAnsi="Arial" w:cs="Arial"/>
                <w:sz w:val="24"/>
                <w:szCs w:val="24"/>
              </w:rPr>
            </w:pPr>
            <w:r w:rsidRPr="000C06A7">
              <w:rPr>
                <w:rFonts w:ascii="Arial" w:eastAsia="Calibri" w:hAnsi="Arial" w:cs="Arial"/>
                <w:sz w:val="24"/>
                <w:szCs w:val="24"/>
              </w:rPr>
              <w:t>The champion group</w:t>
            </w:r>
            <w:r w:rsidR="00796A3C" w:rsidRPr="000C06A7">
              <w:rPr>
                <w:rFonts w:ascii="Arial" w:eastAsia="Calibri" w:hAnsi="Arial" w:cs="Arial"/>
                <w:sz w:val="24"/>
                <w:szCs w:val="24"/>
              </w:rPr>
              <w:t xml:space="preserve"> aims</w:t>
            </w:r>
            <w:r w:rsidRPr="000C06A7">
              <w:rPr>
                <w:rFonts w:ascii="Arial" w:eastAsia="Calibri" w:hAnsi="Arial" w:cs="Arial"/>
                <w:sz w:val="24"/>
                <w:szCs w:val="24"/>
              </w:rPr>
              <w:t xml:space="preserve"> to </w:t>
            </w:r>
            <w:r w:rsidR="002C5219" w:rsidRPr="000C06A7">
              <w:rPr>
                <w:rFonts w:ascii="Arial" w:eastAsia="Calibri" w:hAnsi="Arial" w:cs="Arial"/>
                <w:sz w:val="24"/>
                <w:szCs w:val="24"/>
              </w:rPr>
              <w:t xml:space="preserve">make sure that </w:t>
            </w:r>
            <w:r w:rsidRPr="000C06A7">
              <w:rPr>
                <w:rFonts w:ascii="Arial" w:eastAsia="Calibri" w:hAnsi="Arial" w:cs="Arial"/>
                <w:sz w:val="24"/>
                <w:szCs w:val="24"/>
              </w:rPr>
              <w:t>people using services have access to a Welsh speaker, without the need to ask for this</w:t>
            </w:r>
            <w:r w:rsidR="00796A3C" w:rsidRPr="000C06A7">
              <w:rPr>
                <w:rFonts w:ascii="Arial" w:eastAsia="Calibri" w:hAnsi="Arial" w:cs="Arial"/>
                <w:sz w:val="24"/>
                <w:szCs w:val="24"/>
              </w:rPr>
              <w:t>.</w:t>
            </w:r>
            <w:r w:rsidR="002C5219" w:rsidRPr="000C06A7">
              <w:rPr>
                <w:rFonts w:ascii="Arial" w:eastAsia="Calibri" w:hAnsi="Arial" w:cs="Arial"/>
                <w:sz w:val="24"/>
                <w:szCs w:val="24"/>
              </w:rPr>
              <w:t xml:space="preserve"> </w:t>
            </w:r>
            <w:r w:rsidR="00796A3C" w:rsidRPr="000C06A7">
              <w:rPr>
                <w:rFonts w:ascii="Arial" w:eastAsia="Calibri" w:hAnsi="Arial" w:cs="Arial"/>
                <w:sz w:val="24"/>
                <w:szCs w:val="24"/>
              </w:rPr>
              <w:t>T</w:t>
            </w:r>
            <w:r w:rsidR="002C5219" w:rsidRPr="000C06A7">
              <w:rPr>
                <w:rFonts w:ascii="Arial" w:eastAsia="Calibri" w:hAnsi="Arial" w:cs="Arial"/>
                <w:sz w:val="24"/>
                <w:szCs w:val="24"/>
              </w:rPr>
              <w:t xml:space="preserve">his is </w:t>
            </w:r>
            <w:r w:rsidR="00796A3C" w:rsidRPr="000C06A7">
              <w:rPr>
                <w:rFonts w:ascii="Arial" w:eastAsia="Calibri" w:hAnsi="Arial" w:cs="Arial"/>
                <w:sz w:val="24"/>
                <w:szCs w:val="24"/>
              </w:rPr>
              <w:t>their</w:t>
            </w:r>
            <w:r w:rsidR="002C5219" w:rsidRPr="000C06A7">
              <w:rPr>
                <w:rFonts w:ascii="Arial" w:eastAsia="Calibri" w:hAnsi="Arial" w:cs="Arial"/>
                <w:sz w:val="24"/>
                <w:szCs w:val="24"/>
              </w:rPr>
              <w:t xml:space="preserve"> </w:t>
            </w:r>
            <w:r w:rsidRPr="000C06A7">
              <w:rPr>
                <w:rFonts w:ascii="Arial" w:eastAsia="Calibri" w:hAnsi="Arial" w:cs="Arial"/>
                <w:sz w:val="24"/>
                <w:szCs w:val="24"/>
              </w:rPr>
              <w:t>Welsh active offer.</w:t>
            </w:r>
          </w:p>
          <w:p w14:paraId="5E57EA01" w14:textId="77777777" w:rsidR="005007E8" w:rsidRPr="000C06A7" w:rsidRDefault="005007E8">
            <w:pPr>
              <w:spacing w:after="200" w:line="276" w:lineRule="auto"/>
              <w:contextualSpacing/>
              <w:rPr>
                <w:rFonts w:ascii="Arial" w:eastAsia="Calibri" w:hAnsi="Arial" w:cs="Arial"/>
                <w:bCs/>
                <w:color w:val="FF0000"/>
                <w:sz w:val="24"/>
                <w:szCs w:val="24"/>
              </w:rPr>
            </w:pPr>
          </w:p>
        </w:tc>
      </w:tr>
    </w:tbl>
    <w:p w14:paraId="71732A12" w14:textId="77777777" w:rsidR="005007E8" w:rsidRPr="00B568F3" w:rsidRDefault="005007E8" w:rsidP="005007E8">
      <w:pPr>
        <w:spacing w:after="200" w:line="276" w:lineRule="auto"/>
        <w:ind w:left="567"/>
        <w:contextualSpacing/>
        <w:rPr>
          <w:rFonts w:ascii="Arial" w:eastAsia="Calibri" w:hAnsi="Arial" w:cs="Arial"/>
          <w:sz w:val="24"/>
          <w:szCs w:val="24"/>
        </w:rPr>
      </w:pPr>
    </w:p>
    <w:p w14:paraId="5C7FD522" w14:textId="52F55CA9" w:rsidR="006278C4" w:rsidRPr="00B568F3" w:rsidRDefault="005007E8"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E-learning courses which have been added to learning platforms are available bilingually.</w:t>
      </w:r>
    </w:p>
    <w:p w14:paraId="7BCCD24F" w14:textId="77777777" w:rsidR="000D3FE3" w:rsidRPr="00B568F3" w:rsidRDefault="000D3FE3" w:rsidP="002D47E4">
      <w:pPr>
        <w:spacing w:after="200" w:line="276" w:lineRule="auto"/>
        <w:ind w:left="567"/>
        <w:contextualSpacing/>
        <w:rPr>
          <w:rFonts w:ascii="Arial" w:eastAsia="Calibri" w:hAnsi="Arial" w:cs="Arial"/>
          <w:sz w:val="24"/>
          <w:szCs w:val="24"/>
        </w:rPr>
      </w:pPr>
    </w:p>
    <w:p w14:paraId="510244F7" w14:textId="765BBF17" w:rsidR="006278C4" w:rsidRPr="00B568F3" w:rsidRDefault="000D3FE3"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Some regions reported that, while simultaneous translation continues to be offered on virtual training courses, this offer hasn’t been taken up, possibly reflecting the language preference of the local population.</w:t>
      </w:r>
    </w:p>
    <w:p w14:paraId="6D421451" w14:textId="77777777" w:rsidR="000D3FE3" w:rsidRPr="00B568F3" w:rsidRDefault="000D3FE3" w:rsidP="002D47E4">
      <w:pPr>
        <w:spacing w:after="0"/>
        <w:rPr>
          <w:rFonts w:ascii="Arial" w:eastAsia="Calibri" w:hAnsi="Arial" w:cs="Arial"/>
          <w:sz w:val="24"/>
          <w:szCs w:val="24"/>
        </w:rPr>
      </w:pPr>
    </w:p>
    <w:p w14:paraId="58A6C2EF" w14:textId="280304B7" w:rsidR="000D3FE3" w:rsidRPr="00B568F3" w:rsidRDefault="00FB7933"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Vocational</w:t>
      </w:r>
      <w:r w:rsidR="000D3FE3" w:rsidRPr="00B568F3">
        <w:rPr>
          <w:rFonts w:ascii="Arial" w:eastAsia="Calibri" w:hAnsi="Arial" w:cs="Arial"/>
          <w:sz w:val="24"/>
          <w:szCs w:val="24"/>
        </w:rPr>
        <w:t xml:space="preserve"> qualifications are offered in </w:t>
      </w:r>
      <w:r w:rsidR="006E12C9" w:rsidRPr="00B568F3">
        <w:rPr>
          <w:rFonts w:ascii="Arial" w:eastAsia="Calibri" w:hAnsi="Arial" w:cs="Arial"/>
          <w:sz w:val="24"/>
          <w:szCs w:val="24"/>
        </w:rPr>
        <w:t>Welsh and</w:t>
      </w:r>
      <w:r w:rsidR="000D3FE3" w:rsidRPr="00B568F3">
        <w:rPr>
          <w:rFonts w:ascii="Arial" w:eastAsia="Calibri" w:hAnsi="Arial" w:cs="Arial"/>
          <w:sz w:val="24"/>
          <w:szCs w:val="24"/>
        </w:rPr>
        <w:t xml:space="preserve"> include knowledge sessions on Welsh culture and the use of relevant Welsh legislation and Welsh standards. In most regions the language demography leads to very high volumes of qualification assessments in English.</w:t>
      </w:r>
    </w:p>
    <w:p w14:paraId="546B24C7" w14:textId="77777777" w:rsidR="009A27C1" w:rsidRPr="00B568F3" w:rsidRDefault="009A27C1" w:rsidP="002D47E4">
      <w:pPr>
        <w:spacing w:after="200" w:line="276" w:lineRule="auto"/>
        <w:ind w:left="567"/>
        <w:contextualSpacing/>
        <w:rPr>
          <w:rFonts w:ascii="Arial" w:eastAsia="Calibri" w:hAnsi="Arial" w:cs="Arial"/>
          <w:sz w:val="24"/>
          <w:szCs w:val="24"/>
        </w:rPr>
      </w:pPr>
    </w:p>
    <w:p w14:paraId="353EFEF0" w14:textId="1293576C" w:rsidR="00584A8A" w:rsidRPr="000C06A7" w:rsidRDefault="00C60CB9" w:rsidP="00632461">
      <w:pPr>
        <w:numPr>
          <w:ilvl w:val="0"/>
          <w:numId w:val="6"/>
        </w:numPr>
        <w:spacing w:after="200" w:line="276" w:lineRule="auto"/>
        <w:ind w:left="567" w:hanging="425"/>
        <w:contextualSpacing/>
        <w:rPr>
          <w:rFonts w:ascii="Arial" w:hAnsi="Arial" w:cs="Arial"/>
        </w:rPr>
      </w:pPr>
      <w:r w:rsidRPr="00B568F3">
        <w:rPr>
          <w:rFonts w:ascii="Arial" w:eastAsia="Calibri" w:hAnsi="Arial" w:cs="Arial"/>
          <w:sz w:val="24"/>
          <w:szCs w:val="24"/>
        </w:rPr>
        <w:t xml:space="preserve">Welsh language training </w:t>
      </w:r>
      <w:r w:rsidR="004D1A7C" w:rsidRPr="00B568F3">
        <w:rPr>
          <w:rFonts w:ascii="Arial" w:eastAsia="Calibri" w:hAnsi="Arial" w:cs="Arial"/>
          <w:sz w:val="24"/>
          <w:szCs w:val="24"/>
        </w:rPr>
        <w:t>is provided</w:t>
      </w:r>
      <w:r w:rsidRPr="00B568F3">
        <w:rPr>
          <w:rFonts w:ascii="Arial" w:eastAsia="Calibri" w:hAnsi="Arial" w:cs="Arial"/>
          <w:sz w:val="24"/>
          <w:szCs w:val="24"/>
        </w:rPr>
        <w:t xml:space="preserve"> across all regions</w:t>
      </w:r>
      <w:r w:rsidR="004D1A7C" w:rsidRPr="00B568F3">
        <w:rPr>
          <w:rFonts w:ascii="Arial" w:eastAsia="Calibri" w:hAnsi="Arial" w:cs="Arial"/>
          <w:sz w:val="24"/>
          <w:szCs w:val="24"/>
        </w:rPr>
        <w:t>,</w:t>
      </w:r>
      <w:r w:rsidRPr="00B568F3">
        <w:rPr>
          <w:rFonts w:ascii="Arial" w:eastAsia="Calibri" w:hAnsi="Arial" w:cs="Arial"/>
          <w:sz w:val="24"/>
          <w:szCs w:val="24"/>
        </w:rPr>
        <w:t xml:space="preserve"> with ongoing partnership working with local training providers to </w:t>
      </w:r>
      <w:r w:rsidR="004D1A7C" w:rsidRPr="00B568F3">
        <w:rPr>
          <w:rFonts w:ascii="Arial" w:eastAsia="Calibri" w:hAnsi="Arial" w:cs="Arial"/>
          <w:sz w:val="24"/>
          <w:szCs w:val="24"/>
        </w:rPr>
        <w:t>deliver</w:t>
      </w:r>
      <w:r w:rsidRPr="00B568F3">
        <w:rPr>
          <w:rFonts w:ascii="Arial" w:eastAsia="Calibri" w:hAnsi="Arial" w:cs="Arial"/>
          <w:sz w:val="24"/>
          <w:szCs w:val="24"/>
        </w:rPr>
        <w:t xml:space="preserve"> Welsh </w:t>
      </w:r>
      <w:r w:rsidR="004D1A7C" w:rsidRPr="00B568F3">
        <w:rPr>
          <w:rFonts w:ascii="Arial" w:eastAsia="Calibri" w:hAnsi="Arial" w:cs="Arial"/>
          <w:sz w:val="24"/>
          <w:szCs w:val="24"/>
        </w:rPr>
        <w:t>l</w:t>
      </w:r>
      <w:r w:rsidRPr="00B568F3">
        <w:rPr>
          <w:rFonts w:ascii="Arial" w:eastAsia="Calibri" w:hAnsi="Arial" w:cs="Arial"/>
          <w:sz w:val="24"/>
          <w:szCs w:val="24"/>
        </w:rPr>
        <w:t xml:space="preserve">anguage courses for individuals. </w:t>
      </w:r>
      <w:r w:rsidR="00CB00D1" w:rsidRPr="00B568F3">
        <w:rPr>
          <w:rFonts w:ascii="Arial" w:eastAsia="Calibri" w:hAnsi="Arial" w:cs="Arial"/>
          <w:sz w:val="24"/>
          <w:szCs w:val="24"/>
        </w:rPr>
        <w:t>As with</w:t>
      </w:r>
      <w:r w:rsidRPr="00B568F3">
        <w:rPr>
          <w:rFonts w:ascii="Arial" w:eastAsia="Calibri" w:hAnsi="Arial" w:cs="Arial"/>
          <w:sz w:val="24"/>
          <w:szCs w:val="24"/>
        </w:rPr>
        <w:t xml:space="preserve"> digital literacy, there are different levels of Welsh language skills across the sector</w:t>
      </w:r>
      <w:r w:rsidR="007E0F1C" w:rsidRPr="00B568F3">
        <w:rPr>
          <w:rFonts w:ascii="Arial" w:eastAsia="Calibri" w:hAnsi="Arial" w:cs="Arial"/>
          <w:sz w:val="24"/>
          <w:szCs w:val="24"/>
        </w:rPr>
        <w:t>,</w:t>
      </w:r>
      <w:r w:rsidRPr="00B568F3">
        <w:rPr>
          <w:rFonts w:ascii="Arial" w:eastAsia="Calibri" w:hAnsi="Arial" w:cs="Arial"/>
          <w:sz w:val="24"/>
          <w:szCs w:val="24"/>
        </w:rPr>
        <w:t xml:space="preserve"> </w:t>
      </w:r>
      <w:r w:rsidR="00942729" w:rsidRPr="00B568F3">
        <w:rPr>
          <w:rFonts w:ascii="Arial" w:eastAsia="Calibri" w:hAnsi="Arial" w:cs="Arial"/>
          <w:sz w:val="24"/>
          <w:szCs w:val="24"/>
        </w:rPr>
        <w:t xml:space="preserve">with training offered </w:t>
      </w:r>
      <w:r w:rsidR="006E12C9" w:rsidRPr="00B568F3">
        <w:rPr>
          <w:rFonts w:ascii="Arial" w:eastAsia="Calibri" w:hAnsi="Arial" w:cs="Arial"/>
          <w:sz w:val="24"/>
          <w:szCs w:val="24"/>
        </w:rPr>
        <w:t>at a</w:t>
      </w:r>
      <w:r w:rsidRPr="00B568F3">
        <w:rPr>
          <w:rFonts w:ascii="Arial" w:eastAsia="Calibri" w:hAnsi="Arial" w:cs="Arial"/>
          <w:sz w:val="24"/>
          <w:szCs w:val="24"/>
        </w:rPr>
        <w:t xml:space="preserve"> range of levels, from entry to advanced. The take up varies depending on the region</w:t>
      </w:r>
      <w:r w:rsidR="009A63D2" w:rsidRPr="00B568F3">
        <w:rPr>
          <w:rFonts w:ascii="Arial" w:eastAsia="Calibri" w:hAnsi="Arial" w:cs="Arial"/>
          <w:sz w:val="24"/>
          <w:szCs w:val="24"/>
        </w:rPr>
        <w:t>,</w:t>
      </w:r>
      <w:r w:rsidRPr="00B568F3">
        <w:rPr>
          <w:rFonts w:ascii="Arial" w:eastAsia="Calibri" w:hAnsi="Arial" w:cs="Arial"/>
          <w:sz w:val="24"/>
          <w:szCs w:val="24"/>
        </w:rPr>
        <w:t xml:space="preserve"> and sometimes</w:t>
      </w:r>
      <w:r w:rsidR="009A63D2" w:rsidRPr="00B568F3">
        <w:rPr>
          <w:rFonts w:ascii="Arial" w:eastAsia="Calibri" w:hAnsi="Arial" w:cs="Arial"/>
          <w:sz w:val="24"/>
          <w:szCs w:val="24"/>
        </w:rPr>
        <w:t xml:space="preserve"> on</w:t>
      </w:r>
      <w:r w:rsidRPr="00B568F3">
        <w:rPr>
          <w:rFonts w:ascii="Arial" w:eastAsia="Calibri" w:hAnsi="Arial" w:cs="Arial"/>
          <w:sz w:val="24"/>
          <w:szCs w:val="24"/>
        </w:rPr>
        <w:t xml:space="preserve"> the individual local authority</w:t>
      </w:r>
      <w:r w:rsidR="00C2578B" w:rsidRPr="00B568F3">
        <w:rPr>
          <w:rFonts w:ascii="Arial" w:eastAsia="Calibri" w:hAnsi="Arial" w:cs="Arial"/>
          <w:sz w:val="24"/>
          <w:szCs w:val="24"/>
        </w:rPr>
        <w:t>.</w:t>
      </w:r>
    </w:p>
    <w:p w14:paraId="2EE74CB6" w14:textId="77777777" w:rsidR="009A27C1" w:rsidRPr="00B568F3" w:rsidRDefault="009A27C1" w:rsidP="00753644">
      <w:pPr>
        <w:rPr>
          <w:rFonts w:ascii="Arial" w:eastAsia="Calibri" w:hAnsi="Arial" w:cs="Arial"/>
          <w:b/>
          <w:bCs/>
          <w:sz w:val="24"/>
          <w:szCs w:val="24"/>
        </w:rPr>
      </w:pPr>
    </w:p>
    <w:p w14:paraId="3A921554" w14:textId="6386368B" w:rsidR="00584A8A" w:rsidRPr="00B568F3" w:rsidRDefault="00584A8A" w:rsidP="000C06A7">
      <w:pPr>
        <w:pStyle w:val="Heading3"/>
      </w:pPr>
      <w:r w:rsidRPr="00B568F3">
        <w:t>Inclusion</w:t>
      </w:r>
    </w:p>
    <w:p w14:paraId="371CE891" w14:textId="77777777" w:rsidR="00753644" w:rsidRPr="00B568F3" w:rsidRDefault="00753644" w:rsidP="00753644">
      <w:pPr>
        <w:rPr>
          <w:rFonts w:ascii="Arial" w:eastAsia="Calibri" w:hAnsi="Arial" w:cs="Arial"/>
          <w:b/>
          <w:bCs/>
          <w:sz w:val="24"/>
          <w:szCs w:val="24"/>
        </w:rPr>
      </w:pPr>
    </w:p>
    <w:tbl>
      <w:tblPr>
        <w:tblStyle w:val="TableGrid"/>
        <w:tblW w:w="0" w:type="auto"/>
        <w:tblLook w:val="04A0" w:firstRow="1" w:lastRow="0" w:firstColumn="1" w:lastColumn="0" w:noHBand="0" w:noVBand="1"/>
      </w:tblPr>
      <w:tblGrid>
        <w:gridCol w:w="9016"/>
      </w:tblGrid>
      <w:tr w:rsidR="00684AA5" w:rsidRPr="00B568F3" w14:paraId="4D6557DC" w14:textId="77777777" w:rsidTr="00684AA5">
        <w:tc>
          <w:tcPr>
            <w:tcW w:w="9016" w:type="dxa"/>
          </w:tcPr>
          <w:p w14:paraId="1DEBFF98" w14:textId="77777777" w:rsidR="00684AA5" w:rsidRPr="000C06A7" w:rsidRDefault="00684AA5" w:rsidP="0023577F">
            <w:pPr>
              <w:spacing w:line="276" w:lineRule="auto"/>
              <w:contextualSpacing/>
              <w:rPr>
                <w:rFonts w:ascii="Arial" w:eastAsia="Calibri" w:hAnsi="Arial" w:cs="Arial"/>
                <w:sz w:val="24"/>
                <w:szCs w:val="24"/>
              </w:rPr>
            </w:pPr>
            <w:r w:rsidRPr="000C06A7">
              <w:rPr>
                <w:rFonts w:ascii="Arial" w:eastAsia="Calibri" w:hAnsi="Arial" w:cs="Arial"/>
                <w:b/>
                <w:sz w:val="24"/>
                <w:szCs w:val="24"/>
              </w:rPr>
              <w:t>Highlight</w:t>
            </w:r>
            <w:r w:rsidRPr="000C06A7">
              <w:rPr>
                <w:rFonts w:ascii="Arial" w:eastAsia="Calibri" w:hAnsi="Arial" w:cs="Arial"/>
                <w:sz w:val="24"/>
                <w:szCs w:val="24"/>
              </w:rPr>
              <w:t xml:space="preserve"> </w:t>
            </w:r>
          </w:p>
          <w:p w14:paraId="537F982B" w14:textId="77777777" w:rsidR="00684AA5" w:rsidRPr="000C06A7" w:rsidRDefault="00684AA5" w:rsidP="0023577F">
            <w:pPr>
              <w:spacing w:line="276" w:lineRule="auto"/>
              <w:contextualSpacing/>
              <w:rPr>
                <w:rFonts w:ascii="Arial" w:eastAsia="Calibri" w:hAnsi="Arial" w:cs="Arial"/>
                <w:sz w:val="24"/>
                <w:szCs w:val="24"/>
              </w:rPr>
            </w:pPr>
          </w:p>
          <w:p w14:paraId="1B614E35" w14:textId="62D6DC3B" w:rsidR="00684AA5" w:rsidRPr="000C06A7" w:rsidRDefault="009A27C1" w:rsidP="0023577F">
            <w:pPr>
              <w:spacing w:line="276" w:lineRule="auto"/>
              <w:contextualSpacing/>
              <w:rPr>
                <w:rFonts w:ascii="Arial" w:eastAsia="Calibri" w:hAnsi="Arial" w:cs="Arial"/>
                <w:sz w:val="24"/>
                <w:szCs w:val="24"/>
              </w:rPr>
            </w:pPr>
            <w:r w:rsidRPr="000C06A7">
              <w:rPr>
                <w:rFonts w:ascii="Arial" w:eastAsia="Calibri" w:hAnsi="Arial" w:cs="Arial"/>
                <w:sz w:val="24"/>
                <w:szCs w:val="24"/>
              </w:rPr>
              <w:t>One local authority has created a</w:t>
            </w:r>
            <w:r w:rsidR="00684AA5" w:rsidRPr="000C06A7">
              <w:rPr>
                <w:rFonts w:ascii="Arial" w:eastAsia="Calibri" w:hAnsi="Arial" w:cs="Arial"/>
                <w:sz w:val="24"/>
                <w:szCs w:val="24"/>
              </w:rPr>
              <w:t xml:space="preserve">n Equality Action Plan for </w:t>
            </w:r>
            <w:r w:rsidR="004B0CBC" w:rsidRPr="000C06A7">
              <w:rPr>
                <w:rFonts w:ascii="Arial" w:eastAsia="Calibri" w:hAnsi="Arial" w:cs="Arial"/>
                <w:sz w:val="24"/>
                <w:szCs w:val="24"/>
              </w:rPr>
              <w:t>a</w:t>
            </w:r>
            <w:r w:rsidR="00684AA5" w:rsidRPr="000C06A7">
              <w:rPr>
                <w:rFonts w:ascii="Arial" w:eastAsia="Calibri" w:hAnsi="Arial" w:cs="Arial"/>
                <w:sz w:val="24"/>
                <w:szCs w:val="24"/>
              </w:rPr>
              <w:t xml:space="preserve">dult </w:t>
            </w:r>
            <w:r w:rsidR="004B0CBC" w:rsidRPr="000C06A7">
              <w:rPr>
                <w:rFonts w:ascii="Arial" w:eastAsia="Calibri" w:hAnsi="Arial" w:cs="Arial"/>
                <w:sz w:val="24"/>
                <w:szCs w:val="24"/>
              </w:rPr>
              <w:t>s</w:t>
            </w:r>
            <w:r w:rsidR="00684AA5" w:rsidRPr="000C06A7">
              <w:rPr>
                <w:rFonts w:ascii="Arial" w:eastAsia="Calibri" w:hAnsi="Arial" w:cs="Arial"/>
                <w:sz w:val="24"/>
                <w:szCs w:val="24"/>
              </w:rPr>
              <w:t>ervices</w:t>
            </w:r>
            <w:r w:rsidR="007A0470" w:rsidRPr="000C06A7">
              <w:rPr>
                <w:rFonts w:ascii="Arial" w:eastAsia="Calibri" w:hAnsi="Arial" w:cs="Arial"/>
                <w:sz w:val="24"/>
                <w:szCs w:val="24"/>
              </w:rPr>
              <w:t>,</w:t>
            </w:r>
            <w:r w:rsidR="00684AA5" w:rsidRPr="000C06A7">
              <w:rPr>
                <w:rFonts w:ascii="Arial" w:eastAsia="Calibri" w:hAnsi="Arial" w:cs="Arial"/>
                <w:sz w:val="24"/>
                <w:szCs w:val="24"/>
              </w:rPr>
              <w:t xml:space="preserve"> which will cover recruitment</w:t>
            </w:r>
            <w:r w:rsidR="004B0CBC" w:rsidRPr="000C06A7">
              <w:rPr>
                <w:rFonts w:ascii="Arial" w:eastAsia="Calibri" w:hAnsi="Arial" w:cs="Arial"/>
                <w:sz w:val="24"/>
                <w:szCs w:val="24"/>
              </w:rPr>
              <w:t>.</w:t>
            </w:r>
          </w:p>
          <w:p w14:paraId="2D19AF43" w14:textId="14B088DF" w:rsidR="00042AD2" w:rsidRPr="000C06A7" w:rsidRDefault="00042AD2" w:rsidP="0023577F">
            <w:pPr>
              <w:spacing w:line="276" w:lineRule="auto"/>
              <w:contextualSpacing/>
              <w:rPr>
                <w:rFonts w:ascii="Arial" w:eastAsia="Calibri" w:hAnsi="Arial" w:cs="Arial"/>
                <w:b/>
                <w:sz w:val="24"/>
                <w:szCs w:val="24"/>
              </w:rPr>
            </w:pPr>
          </w:p>
        </w:tc>
      </w:tr>
    </w:tbl>
    <w:p w14:paraId="17DDDB9E" w14:textId="77777777" w:rsidR="00584A8A" w:rsidRPr="00B568F3" w:rsidRDefault="00584A8A" w:rsidP="0023577F">
      <w:pPr>
        <w:spacing w:after="0" w:line="276" w:lineRule="auto"/>
        <w:contextualSpacing/>
        <w:rPr>
          <w:rFonts w:ascii="Arial" w:eastAsia="Calibri" w:hAnsi="Arial" w:cs="Arial"/>
          <w:sz w:val="24"/>
          <w:szCs w:val="24"/>
        </w:rPr>
      </w:pPr>
    </w:p>
    <w:tbl>
      <w:tblPr>
        <w:tblStyle w:val="TableGrid"/>
        <w:tblW w:w="0" w:type="auto"/>
        <w:tblLook w:val="04A0" w:firstRow="1" w:lastRow="0" w:firstColumn="1" w:lastColumn="0" w:noHBand="0" w:noVBand="1"/>
      </w:tblPr>
      <w:tblGrid>
        <w:gridCol w:w="9016"/>
      </w:tblGrid>
      <w:tr w:rsidR="00A94E59" w:rsidRPr="00B568F3" w14:paraId="5AD1ADC6" w14:textId="77777777" w:rsidTr="00A94E59">
        <w:tc>
          <w:tcPr>
            <w:tcW w:w="9016" w:type="dxa"/>
          </w:tcPr>
          <w:p w14:paraId="52AD0BA8" w14:textId="4392187E" w:rsidR="00173AAD" w:rsidRPr="00B568F3" w:rsidRDefault="00173AAD" w:rsidP="0023577F">
            <w:pPr>
              <w:spacing w:line="276" w:lineRule="auto"/>
              <w:contextualSpacing/>
              <w:rPr>
                <w:rFonts w:ascii="Arial" w:eastAsia="Calibri" w:hAnsi="Arial" w:cs="Arial"/>
                <w:sz w:val="24"/>
                <w:szCs w:val="24"/>
              </w:rPr>
            </w:pPr>
            <w:r w:rsidRPr="000C06A7">
              <w:rPr>
                <w:rFonts w:ascii="Arial" w:eastAsia="Calibri" w:hAnsi="Arial" w:cs="Arial"/>
                <w:b/>
                <w:sz w:val="24"/>
                <w:szCs w:val="24"/>
              </w:rPr>
              <w:t>Highlight</w:t>
            </w:r>
          </w:p>
          <w:p w14:paraId="4844A39F" w14:textId="77777777" w:rsidR="00173AAD" w:rsidRPr="00B568F3" w:rsidRDefault="00173AAD" w:rsidP="0023577F">
            <w:pPr>
              <w:spacing w:line="276" w:lineRule="auto"/>
              <w:contextualSpacing/>
              <w:rPr>
                <w:rFonts w:ascii="Arial" w:eastAsia="Calibri" w:hAnsi="Arial" w:cs="Arial"/>
                <w:sz w:val="24"/>
                <w:szCs w:val="24"/>
              </w:rPr>
            </w:pPr>
          </w:p>
          <w:p w14:paraId="6F95F3F3" w14:textId="76056B1C" w:rsidR="00A94E59" w:rsidRPr="00B568F3" w:rsidRDefault="00A94E59" w:rsidP="0023577F">
            <w:pPr>
              <w:spacing w:line="276" w:lineRule="auto"/>
              <w:contextualSpacing/>
              <w:rPr>
                <w:rFonts w:ascii="Arial" w:eastAsia="Calibri" w:hAnsi="Arial" w:cs="Arial"/>
                <w:sz w:val="24"/>
                <w:szCs w:val="24"/>
              </w:rPr>
            </w:pPr>
            <w:r w:rsidRPr="00B568F3">
              <w:rPr>
                <w:rFonts w:ascii="Arial" w:eastAsia="Calibri" w:hAnsi="Arial" w:cs="Arial"/>
                <w:sz w:val="24"/>
                <w:szCs w:val="24"/>
              </w:rPr>
              <w:t xml:space="preserve">Children’s Services </w:t>
            </w:r>
            <w:r w:rsidR="00E53218" w:rsidRPr="00B568F3">
              <w:rPr>
                <w:rFonts w:ascii="Arial" w:eastAsia="Calibri" w:hAnsi="Arial" w:cs="Arial"/>
                <w:sz w:val="24"/>
                <w:szCs w:val="24"/>
              </w:rPr>
              <w:t xml:space="preserve">in one local authority have </w:t>
            </w:r>
            <w:r w:rsidR="00D7763D" w:rsidRPr="00B568F3">
              <w:rPr>
                <w:rFonts w:ascii="Arial" w:eastAsia="Calibri" w:hAnsi="Arial" w:cs="Arial"/>
                <w:sz w:val="24"/>
                <w:szCs w:val="24"/>
              </w:rPr>
              <w:t xml:space="preserve">been supported </w:t>
            </w:r>
            <w:r w:rsidRPr="00B568F3">
              <w:rPr>
                <w:rFonts w:ascii="Arial" w:eastAsia="Calibri" w:hAnsi="Arial" w:cs="Arial"/>
                <w:sz w:val="24"/>
                <w:szCs w:val="24"/>
              </w:rPr>
              <w:t>with their registration, awareness raising workshops and self-assessment workbook completion, towards achievement of the Diverse Cymru Black, Asian and Minority Ethnic Cultural Competence Certification Scheme.</w:t>
            </w:r>
          </w:p>
          <w:p w14:paraId="7A88527E" w14:textId="2CEE2D17" w:rsidR="00345213" w:rsidRPr="00B568F3" w:rsidRDefault="00345213" w:rsidP="0023577F">
            <w:pPr>
              <w:spacing w:line="276" w:lineRule="auto"/>
              <w:contextualSpacing/>
              <w:rPr>
                <w:rFonts w:ascii="Arial" w:eastAsia="Calibri" w:hAnsi="Arial" w:cs="Arial"/>
                <w:sz w:val="24"/>
                <w:szCs w:val="24"/>
              </w:rPr>
            </w:pPr>
          </w:p>
        </w:tc>
      </w:tr>
    </w:tbl>
    <w:p w14:paraId="777157D5" w14:textId="77777777" w:rsidR="00A94E59" w:rsidRPr="00B568F3" w:rsidRDefault="00A94E59" w:rsidP="0023577F">
      <w:pPr>
        <w:spacing w:after="0" w:line="276" w:lineRule="auto"/>
        <w:contextualSpacing/>
        <w:rPr>
          <w:rFonts w:ascii="Arial" w:eastAsia="Calibri" w:hAnsi="Arial" w:cs="Arial"/>
          <w:sz w:val="24"/>
          <w:szCs w:val="24"/>
        </w:rPr>
      </w:pPr>
    </w:p>
    <w:tbl>
      <w:tblPr>
        <w:tblStyle w:val="TableGrid"/>
        <w:tblW w:w="0" w:type="auto"/>
        <w:tblLook w:val="04A0" w:firstRow="1" w:lastRow="0" w:firstColumn="1" w:lastColumn="0" w:noHBand="0" w:noVBand="1"/>
      </w:tblPr>
      <w:tblGrid>
        <w:gridCol w:w="9016"/>
      </w:tblGrid>
      <w:tr w:rsidR="00D87BA4" w:rsidRPr="00B568F3" w14:paraId="6F5E5386" w14:textId="77777777" w:rsidTr="00D87BA4">
        <w:tc>
          <w:tcPr>
            <w:tcW w:w="9016" w:type="dxa"/>
          </w:tcPr>
          <w:p w14:paraId="42099629" w14:textId="77777777" w:rsidR="00345213" w:rsidRPr="00B568F3" w:rsidRDefault="00345213" w:rsidP="0023577F">
            <w:pPr>
              <w:spacing w:line="276" w:lineRule="auto"/>
              <w:contextualSpacing/>
              <w:rPr>
                <w:rFonts w:ascii="Arial" w:eastAsia="Calibri" w:hAnsi="Arial" w:cs="Arial"/>
                <w:sz w:val="24"/>
                <w:szCs w:val="24"/>
              </w:rPr>
            </w:pPr>
            <w:r w:rsidRPr="000C06A7">
              <w:rPr>
                <w:rFonts w:ascii="Arial" w:eastAsia="Calibri" w:hAnsi="Arial" w:cs="Arial"/>
                <w:b/>
                <w:sz w:val="24"/>
                <w:szCs w:val="24"/>
              </w:rPr>
              <w:t>Highlight</w:t>
            </w:r>
          </w:p>
          <w:p w14:paraId="471D638A" w14:textId="77777777" w:rsidR="00345213" w:rsidRPr="00B568F3" w:rsidRDefault="00345213" w:rsidP="0023577F">
            <w:pPr>
              <w:spacing w:line="276" w:lineRule="auto"/>
              <w:contextualSpacing/>
              <w:rPr>
                <w:rFonts w:ascii="Arial" w:eastAsia="Calibri" w:hAnsi="Arial" w:cs="Arial"/>
                <w:bCs/>
                <w:color w:val="002060"/>
              </w:rPr>
            </w:pPr>
          </w:p>
          <w:p w14:paraId="76F41FEA" w14:textId="0E84A6B9" w:rsidR="00D87BA4" w:rsidRPr="00B568F3" w:rsidRDefault="00DE6DB3" w:rsidP="0023577F">
            <w:pPr>
              <w:spacing w:line="276" w:lineRule="auto"/>
              <w:contextualSpacing/>
              <w:rPr>
                <w:rFonts w:ascii="Arial" w:eastAsia="Calibri" w:hAnsi="Arial" w:cs="Arial"/>
                <w:bCs/>
                <w:sz w:val="24"/>
                <w:szCs w:val="24"/>
              </w:rPr>
            </w:pPr>
            <w:r w:rsidRPr="00B568F3">
              <w:rPr>
                <w:rFonts w:ascii="Arial" w:eastAsia="Calibri" w:hAnsi="Arial" w:cs="Arial"/>
                <w:bCs/>
                <w:sz w:val="24"/>
                <w:szCs w:val="24"/>
              </w:rPr>
              <w:t xml:space="preserve">A local authority has </w:t>
            </w:r>
            <w:r w:rsidR="00D87BA4" w:rsidRPr="00B568F3">
              <w:rPr>
                <w:rFonts w:ascii="Arial" w:eastAsia="Calibri" w:hAnsi="Arial" w:cs="Arial"/>
                <w:bCs/>
                <w:sz w:val="24"/>
                <w:szCs w:val="24"/>
              </w:rPr>
              <w:t xml:space="preserve">arranged </w:t>
            </w:r>
            <w:r w:rsidR="004B0CBC" w:rsidRPr="00B568F3">
              <w:rPr>
                <w:rFonts w:ascii="Arial" w:eastAsia="Calibri" w:hAnsi="Arial" w:cs="Arial"/>
                <w:bCs/>
                <w:sz w:val="24"/>
                <w:szCs w:val="24"/>
              </w:rPr>
              <w:t>c</w:t>
            </w:r>
            <w:r w:rsidR="00D87BA4" w:rsidRPr="00B568F3">
              <w:rPr>
                <w:rFonts w:ascii="Arial" w:eastAsia="Calibri" w:hAnsi="Arial" w:cs="Arial"/>
                <w:bCs/>
                <w:sz w:val="24"/>
                <w:szCs w:val="24"/>
              </w:rPr>
              <w:t xml:space="preserve">ultural </w:t>
            </w:r>
            <w:r w:rsidR="004B0CBC" w:rsidRPr="00B568F3">
              <w:rPr>
                <w:rFonts w:ascii="Arial" w:eastAsia="Calibri" w:hAnsi="Arial" w:cs="Arial"/>
                <w:bCs/>
                <w:sz w:val="24"/>
                <w:szCs w:val="24"/>
              </w:rPr>
              <w:t>d</w:t>
            </w:r>
            <w:r w:rsidR="00D87BA4" w:rsidRPr="00B568F3">
              <w:rPr>
                <w:rFonts w:ascii="Arial" w:eastAsia="Calibri" w:hAnsi="Arial" w:cs="Arial"/>
                <w:bCs/>
                <w:sz w:val="24"/>
                <w:szCs w:val="24"/>
              </w:rPr>
              <w:t xml:space="preserve">iversity training this year and also </w:t>
            </w:r>
            <w:r w:rsidR="00D7763D" w:rsidRPr="00B568F3">
              <w:rPr>
                <w:rFonts w:ascii="Arial" w:eastAsia="Calibri" w:hAnsi="Arial" w:cs="Arial"/>
                <w:bCs/>
                <w:sz w:val="24"/>
                <w:szCs w:val="24"/>
              </w:rPr>
              <w:t xml:space="preserve">training on </w:t>
            </w:r>
            <w:r w:rsidR="00D87BA4" w:rsidRPr="00B568F3">
              <w:rPr>
                <w:rFonts w:ascii="Arial" w:eastAsia="Calibri" w:hAnsi="Arial" w:cs="Arial"/>
                <w:bCs/>
                <w:sz w:val="24"/>
                <w:szCs w:val="24"/>
              </w:rPr>
              <w:t>domestic abuse from a B</w:t>
            </w:r>
            <w:r w:rsidR="00DC4FC1" w:rsidRPr="00B568F3">
              <w:rPr>
                <w:rFonts w:ascii="Arial" w:eastAsia="Calibri" w:hAnsi="Arial" w:cs="Arial"/>
                <w:bCs/>
                <w:sz w:val="24"/>
                <w:szCs w:val="24"/>
              </w:rPr>
              <w:t>lack</w:t>
            </w:r>
            <w:r w:rsidR="00A023B6" w:rsidRPr="00B568F3">
              <w:rPr>
                <w:rFonts w:ascii="Arial" w:eastAsia="Calibri" w:hAnsi="Arial" w:cs="Arial"/>
                <w:bCs/>
                <w:sz w:val="24"/>
                <w:szCs w:val="24"/>
              </w:rPr>
              <w:t>, Asian</w:t>
            </w:r>
            <w:r w:rsidR="0010221A" w:rsidRPr="00B568F3">
              <w:rPr>
                <w:rFonts w:ascii="Arial" w:eastAsia="Calibri" w:hAnsi="Arial" w:cs="Arial"/>
                <w:bCs/>
                <w:sz w:val="24"/>
                <w:szCs w:val="24"/>
              </w:rPr>
              <w:t xml:space="preserve"> and</w:t>
            </w:r>
            <w:r w:rsidR="001D67BD" w:rsidRPr="00B568F3">
              <w:rPr>
                <w:rFonts w:ascii="Arial" w:eastAsia="Calibri" w:hAnsi="Arial" w:cs="Arial"/>
                <w:bCs/>
                <w:sz w:val="24"/>
                <w:szCs w:val="24"/>
              </w:rPr>
              <w:t xml:space="preserve"> </w:t>
            </w:r>
            <w:r w:rsidR="00D87BA4" w:rsidRPr="00B568F3">
              <w:rPr>
                <w:rFonts w:ascii="Arial" w:eastAsia="Calibri" w:hAnsi="Arial" w:cs="Arial"/>
                <w:bCs/>
                <w:sz w:val="24"/>
                <w:szCs w:val="24"/>
              </w:rPr>
              <w:t>M</w:t>
            </w:r>
            <w:r w:rsidR="00DC4FC1" w:rsidRPr="00B568F3">
              <w:rPr>
                <w:rFonts w:ascii="Arial" w:eastAsia="Calibri" w:hAnsi="Arial" w:cs="Arial"/>
                <w:bCs/>
                <w:sz w:val="24"/>
                <w:szCs w:val="24"/>
              </w:rPr>
              <w:t xml:space="preserve">inority </w:t>
            </w:r>
            <w:r w:rsidR="00D87BA4" w:rsidRPr="00B568F3">
              <w:rPr>
                <w:rFonts w:ascii="Arial" w:eastAsia="Calibri" w:hAnsi="Arial" w:cs="Arial"/>
                <w:bCs/>
                <w:sz w:val="24"/>
                <w:szCs w:val="24"/>
              </w:rPr>
              <w:t>E</w:t>
            </w:r>
            <w:r w:rsidR="00DC4FC1" w:rsidRPr="00B568F3">
              <w:rPr>
                <w:rFonts w:ascii="Arial" w:eastAsia="Calibri" w:hAnsi="Arial" w:cs="Arial"/>
                <w:bCs/>
                <w:sz w:val="24"/>
                <w:szCs w:val="24"/>
              </w:rPr>
              <w:t>thnic</w:t>
            </w:r>
            <w:r w:rsidR="00D87BA4" w:rsidRPr="00B568F3">
              <w:rPr>
                <w:rFonts w:ascii="Arial" w:eastAsia="Calibri" w:hAnsi="Arial" w:cs="Arial"/>
                <w:bCs/>
                <w:sz w:val="24"/>
                <w:szCs w:val="24"/>
              </w:rPr>
              <w:t xml:space="preserve"> perspective. </w:t>
            </w:r>
          </w:p>
          <w:p w14:paraId="49A23880" w14:textId="4AE17A4B" w:rsidR="00345213" w:rsidRPr="00B568F3" w:rsidRDefault="00345213" w:rsidP="0023577F">
            <w:pPr>
              <w:spacing w:line="276" w:lineRule="auto"/>
              <w:contextualSpacing/>
              <w:rPr>
                <w:rFonts w:ascii="Arial" w:eastAsia="Calibri" w:hAnsi="Arial" w:cs="Arial"/>
                <w:sz w:val="24"/>
                <w:szCs w:val="24"/>
              </w:rPr>
            </w:pPr>
          </w:p>
        </w:tc>
      </w:tr>
    </w:tbl>
    <w:p w14:paraId="2C777DE5" w14:textId="77777777" w:rsidR="00753644" w:rsidRPr="00B568F3" w:rsidRDefault="00753644" w:rsidP="0023577F">
      <w:pPr>
        <w:spacing w:after="0" w:line="276" w:lineRule="auto"/>
        <w:contextualSpacing/>
        <w:rPr>
          <w:rFonts w:ascii="Arial" w:eastAsia="Calibri" w:hAnsi="Arial" w:cs="Arial"/>
          <w:sz w:val="24"/>
          <w:szCs w:val="24"/>
        </w:rPr>
      </w:pPr>
    </w:p>
    <w:tbl>
      <w:tblPr>
        <w:tblStyle w:val="TableGrid"/>
        <w:tblW w:w="0" w:type="auto"/>
        <w:tblLook w:val="04A0" w:firstRow="1" w:lastRow="0" w:firstColumn="1" w:lastColumn="0" w:noHBand="0" w:noVBand="1"/>
      </w:tblPr>
      <w:tblGrid>
        <w:gridCol w:w="9016"/>
      </w:tblGrid>
      <w:tr w:rsidR="00EA2F54" w:rsidRPr="00B568F3" w14:paraId="75E0EB99" w14:textId="77777777" w:rsidTr="00EA2F54">
        <w:tc>
          <w:tcPr>
            <w:tcW w:w="9016" w:type="dxa"/>
          </w:tcPr>
          <w:p w14:paraId="21C0EF62" w14:textId="77777777" w:rsidR="00A07711" w:rsidRPr="00B568F3" w:rsidRDefault="00A07711" w:rsidP="0023577F">
            <w:pPr>
              <w:spacing w:line="276" w:lineRule="auto"/>
              <w:contextualSpacing/>
              <w:rPr>
                <w:rFonts w:ascii="Arial" w:eastAsia="Calibri" w:hAnsi="Arial" w:cs="Arial"/>
                <w:sz w:val="24"/>
                <w:szCs w:val="24"/>
              </w:rPr>
            </w:pPr>
            <w:r w:rsidRPr="000C06A7">
              <w:rPr>
                <w:rFonts w:ascii="Arial" w:eastAsia="Calibri" w:hAnsi="Arial" w:cs="Arial"/>
                <w:b/>
                <w:sz w:val="24"/>
                <w:szCs w:val="24"/>
              </w:rPr>
              <w:t>Highlight</w:t>
            </w:r>
          </w:p>
          <w:p w14:paraId="56A5F815" w14:textId="77777777" w:rsidR="00A07711" w:rsidRPr="00B568F3" w:rsidRDefault="00A07711" w:rsidP="0023577F">
            <w:pPr>
              <w:spacing w:line="276" w:lineRule="auto"/>
              <w:contextualSpacing/>
              <w:rPr>
                <w:rFonts w:ascii="Arial" w:eastAsia="Calibri" w:hAnsi="Arial" w:cs="Arial"/>
                <w:sz w:val="24"/>
                <w:szCs w:val="24"/>
              </w:rPr>
            </w:pPr>
          </w:p>
          <w:p w14:paraId="2F1B1FEA" w14:textId="059ACF98" w:rsidR="00B34A94" w:rsidRPr="00B568F3" w:rsidRDefault="00A3302A" w:rsidP="0023577F">
            <w:pPr>
              <w:spacing w:line="276" w:lineRule="auto"/>
              <w:contextualSpacing/>
              <w:rPr>
                <w:rFonts w:ascii="Arial" w:eastAsia="Calibri" w:hAnsi="Arial" w:cs="Arial"/>
                <w:sz w:val="24"/>
                <w:szCs w:val="24"/>
              </w:rPr>
            </w:pPr>
            <w:r w:rsidRPr="00B568F3">
              <w:rPr>
                <w:rFonts w:ascii="Arial" w:eastAsia="Calibri" w:hAnsi="Arial" w:cs="Arial"/>
                <w:sz w:val="24"/>
                <w:szCs w:val="24"/>
              </w:rPr>
              <w:t xml:space="preserve">After a review of their existing provision and links to legislation and the Strategic Equalities </w:t>
            </w:r>
            <w:r w:rsidR="00202899" w:rsidRPr="00B568F3">
              <w:rPr>
                <w:rFonts w:ascii="Arial" w:eastAsia="Calibri" w:hAnsi="Arial" w:cs="Arial"/>
                <w:sz w:val="24"/>
                <w:szCs w:val="24"/>
              </w:rPr>
              <w:t>Plan, o</w:t>
            </w:r>
            <w:r w:rsidR="00A07711" w:rsidRPr="00B568F3">
              <w:rPr>
                <w:rFonts w:ascii="Arial" w:eastAsia="Calibri" w:hAnsi="Arial" w:cs="Arial"/>
                <w:sz w:val="24"/>
                <w:szCs w:val="24"/>
              </w:rPr>
              <w:t xml:space="preserve">ne </w:t>
            </w:r>
            <w:r w:rsidR="009E7172" w:rsidRPr="00B568F3">
              <w:rPr>
                <w:rFonts w:ascii="Arial" w:eastAsia="Calibri" w:hAnsi="Arial" w:cs="Arial"/>
                <w:sz w:val="24"/>
                <w:szCs w:val="24"/>
              </w:rPr>
              <w:t xml:space="preserve">local </w:t>
            </w:r>
            <w:r w:rsidR="006E12C9" w:rsidRPr="00B568F3">
              <w:rPr>
                <w:rFonts w:ascii="Arial" w:eastAsia="Calibri" w:hAnsi="Arial" w:cs="Arial"/>
                <w:sz w:val="24"/>
                <w:szCs w:val="24"/>
              </w:rPr>
              <w:t>authority has</w:t>
            </w:r>
            <w:r w:rsidR="00A07711" w:rsidRPr="00B568F3">
              <w:rPr>
                <w:rFonts w:ascii="Arial" w:eastAsia="Calibri" w:hAnsi="Arial" w:cs="Arial"/>
                <w:sz w:val="24"/>
                <w:szCs w:val="24"/>
              </w:rPr>
              <w:t xml:space="preserve"> developed </w:t>
            </w:r>
            <w:r w:rsidR="00EA2F54" w:rsidRPr="00B568F3">
              <w:rPr>
                <w:rFonts w:ascii="Arial" w:eastAsia="Calibri" w:hAnsi="Arial" w:cs="Arial"/>
                <w:sz w:val="24"/>
                <w:szCs w:val="24"/>
              </w:rPr>
              <w:t>an Equalities Training Programme.</w:t>
            </w:r>
            <w:r w:rsidR="00A07711" w:rsidRPr="00B568F3">
              <w:rPr>
                <w:rFonts w:ascii="Arial" w:eastAsia="Calibri" w:hAnsi="Arial" w:cs="Arial"/>
                <w:sz w:val="24"/>
                <w:szCs w:val="24"/>
              </w:rPr>
              <w:t xml:space="preserve"> </w:t>
            </w:r>
            <w:r w:rsidR="00EA2F54" w:rsidRPr="00B568F3">
              <w:rPr>
                <w:rFonts w:ascii="Arial" w:eastAsia="Calibri" w:hAnsi="Arial" w:cs="Arial"/>
                <w:sz w:val="24"/>
                <w:szCs w:val="24"/>
              </w:rPr>
              <w:t xml:space="preserve">The </w:t>
            </w:r>
            <w:r w:rsidR="00202899" w:rsidRPr="00B568F3">
              <w:rPr>
                <w:rFonts w:ascii="Arial" w:eastAsia="Calibri" w:hAnsi="Arial" w:cs="Arial"/>
                <w:sz w:val="24"/>
                <w:szCs w:val="24"/>
              </w:rPr>
              <w:t>d</w:t>
            </w:r>
            <w:r w:rsidR="00EA2F54" w:rsidRPr="00B568F3">
              <w:rPr>
                <w:rFonts w:ascii="Arial" w:eastAsia="Calibri" w:hAnsi="Arial" w:cs="Arial"/>
                <w:sz w:val="24"/>
                <w:szCs w:val="24"/>
              </w:rPr>
              <w:t xml:space="preserve">raft </w:t>
            </w:r>
            <w:r w:rsidR="00202899" w:rsidRPr="00B568F3">
              <w:rPr>
                <w:rFonts w:ascii="Arial" w:eastAsia="Calibri" w:hAnsi="Arial" w:cs="Arial"/>
                <w:sz w:val="24"/>
                <w:szCs w:val="24"/>
              </w:rPr>
              <w:t>t</w:t>
            </w:r>
            <w:r w:rsidR="00EA2F54" w:rsidRPr="00B568F3">
              <w:rPr>
                <w:rFonts w:ascii="Arial" w:eastAsia="Calibri" w:hAnsi="Arial" w:cs="Arial"/>
                <w:sz w:val="24"/>
                <w:szCs w:val="24"/>
              </w:rPr>
              <w:t xml:space="preserve">raining </w:t>
            </w:r>
            <w:r w:rsidR="00202899" w:rsidRPr="00B568F3">
              <w:rPr>
                <w:rFonts w:ascii="Arial" w:eastAsia="Calibri" w:hAnsi="Arial" w:cs="Arial"/>
                <w:sz w:val="24"/>
                <w:szCs w:val="24"/>
              </w:rPr>
              <w:t>p</w:t>
            </w:r>
            <w:r w:rsidR="00EA2F54" w:rsidRPr="00B568F3">
              <w:rPr>
                <w:rFonts w:ascii="Arial" w:eastAsia="Calibri" w:hAnsi="Arial" w:cs="Arial"/>
                <w:sz w:val="24"/>
                <w:szCs w:val="24"/>
              </w:rPr>
              <w:t xml:space="preserve">lan relates to the key </w:t>
            </w:r>
            <w:r w:rsidR="00307A0B" w:rsidRPr="00B568F3">
              <w:rPr>
                <w:rFonts w:ascii="Arial" w:eastAsia="Calibri" w:hAnsi="Arial" w:cs="Arial"/>
                <w:sz w:val="24"/>
                <w:szCs w:val="24"/>
              </w:rPr>
              <w:t>points</w:t>
            </w:r>
            <w:r w:rsidR="00EA2F54" w:rsidRPr="00B568F3">
              <w:rPr>
                <w:rFonts w:ascii="Arial" w:eastAsia="Calibri" w:hAnsi="Arial" w:cs="Arial"/>
                <w:sz w:val="24"/>
                <w:szCs w:val="24"/>
              </w:rPr>
              <w:t xml:space="preserve"> in the</w:t>
            </w:r>
            <w:r w:rsidR="0088287A" w:rsidRPr="00B568F3">
              <w:rPr>
                <w:rFonts w:ascii="Arial" w:eastAsia="Calibri" w:hAnsi="Arial" w:cs="Arial"/>
                <w:sz w:val="24"/>
                <w:szCs w:val="24"/>
              </w:rPr>
              <w:t xml:space="preserve"> following</w:t>
            </w:r>
            <w:r w:rsidR="00B34A94" w:rsidRPr="00B568F3">
              <w:rPr>
                <w:rFonts w:ascii="Arial" w:eastAsia="Calibri" w:hAnsi="Arial" w:cs="Arial"/>
                <w:sz w:val="24"/>
                <w:szCs w:val="24"/>
              </w:rPr>
              <w:t>:</w:t>
            </w:r>
          </w:p>
          <w:p w14:paraId="0C80259B" w14:textId="79128200" w:rsidR="00B34A94" w:rsidRPr="00B568F3" w:rsidRDefault="00EA2F54" w:rsidP="00632461">
            <w:pPr>
              <w:pStyle w:val="ListParagraph"/>
              <w:numPr>
                <w:ilvl w:val="0"/>
                <w:numId w:val="17"/>
              </w:numPr>
              <w:spacing w:line="276" w:lineRule="auto"/>
              <w:rPr>
                <w:rFonts w:ascii="Arial" w:eastAsia="Calibri" w:hAnsi="Arial" w:cs="Arial"/>
                <w:sz w:val="24"/>
                <w:szCs w:val="24"/>
              </w:rPr>
            </w:pPr>
            <w:r w:rsidRPr="00B568F3">
              <w:rPr>
                <w:rFonts w:ascii="Arial" w:eastAsia="Calibri" w:hAnsi="Arial" w:cs="Arial"/>
                <w:sz w:val="24"/>
                <w:szCs w:val="24"/>
              </w:rPr>
              <w:t>Equalities Act (2010)</w:t>
            </w:r>
          </w:p>
          <w:p w14:paraId="28F302FE" w14:textId="10C91740" w:rsidR="00B34A94" w:rsidRPr="00B568F3" w:rsidRDefault="00EA2F54" w:rsidP="00632461">
            <w:pPr>
              <w:pStyle w:val="ListParagraph"/>
              <w:numPr>
                <w:ilvl w:val="0"/>
                <w:numId w:val="17"/>
              </w:numPr>
              <w:spacing w:line="276" w:lineRule="auto"/>
              <w:rPr>
                <w:rFonts w:ascii="Arial" w:eastAsia="Calibri" w:hAnsi="Arial" w:cs="Arial"/>
                <w:sz w:val="24"/>
                <w:szCs w:val="24"/>
              </w:rPr>
            </w:pPr>
            <w:r w:rsidRPr="00B568F3">
              <w:rPr>
                <w:rFonts w:ascii="Arial" w:eastAsia="Calibri" w:hAnsi="Arial" w:cs="Arial"/>
                <w:sz w:val="24"/>
                <w:szCs w:val="24"/>
              </w:rPr>
              <w:t>Welsh Gov</w:t>
            </w:r>
            <w:r w:rsidR="00B34A94" w:rsidRPr="00B568F3">
              <w:rPr>
                <w:rFonts w:ascii="Arial" w:eastAsia="Calibri" w:hAnsi="Arial" w:cs="Arial"/>
                <w:sz w:val="24"/>
                <w:szCs w:val="24"/>
              </w:rPr>
              <w:t>ernment</w:t>
            </w:r>
            <w:r w:rsidRPr="00B568F3">
              <w:rPr>
                <w:rFonts w:ascii="Arial" w:eastAsia="Calibri" w:hAnsi="Arial" w:cs="Arial"/>
                <w:sz w:val="24"/>
                <w:szCs w:val="24"/>
              </w:rPr>
              <w:t xml:space="preserve"> Anti Racist Action Plan</w:t>
            </w:r>
          </w:p>
          <w:p w14:paraId="2DB311B8" w14:textId="0D8908D7" w:rsidR="004B0CBC" w:rsidRPr="00B568F3" w:rsidRDefault="00EA2F54" w:rsidP="00632461">
            <w:pPr>
              <w:pStyle w:val="ListParagraph"/>
              <w:numPr>
                <w:ilvl w:val="0"/>
                <w:numId w:val="17"/>
              </w:numPr>
              <w:spacing w:line="276" w:lineRule="auto"/>
              <w:rPr>
                <w:rFonts w:ascii="Arial" w:eastAsia="Calibri" w:hAnsi="Arial" w:cs="Arial"/>
                <w:sz w:val="24"/>
                <w:szCs w:val="24"/>
              </w:rPr>
            </w:pPr>
            <w:r w:rsidRPr="00B568F3">
              <w:rPr>
                <w:rFonts w:ascii="Arial" w:eastAsia="Calibri" w:hAnsi="Arial" w:cs="Arial"/>
                <w:sz w:val="24"/>
                <w:szCs w:val="24"/>
              </w:rPr>
              <w:t>Welsh Gov</w:t>
            </w:r>
            <w:r w:rsidR="00B34A94" w:rsidRPr="00B568F3">
              <w:rPr>
                <w:rFonts w:ascii="Arial" w:eastAsia="Calibri" w:hAnsi="Arial" w:cs="Arial"/>
                <w:sz w:val="24"/>
                <w:szCs w:val="24"/>
              </w:rPr>
              <w:t>er</w:t>
            </w:r>
            <w:r w:rsidR="004B0CBC" w:rsidRPr="00B568F3">
              <w:rPr>
                <w:rFonts w:ascii="Arial" w:eastAsia="Calibri" w:hAnsi="Arial" w:cs="Arial"/>
                <w:sz w:val="24"/>
                <w:szCs w:val="24"/>
              </w:rPr>
              <w:t>nment</w:t>
            </w:r>
            <w:r w:rsidRPr="00B568F3">
              <w:rPr>
                <w:rFonts w:ascii="Arial" w:eastAsia="Calibri" w:hAnsi="Arial" w:cs="Arial"/>
                <w:sz w:val="24"/>
                <w:szCs w:val="24"/>
              </w:rPr>
              <w:t xml:space="preserve"> LGBTQ+ Action Plan</w:t>
            </w:r>
          </w:p>
          <w:p w14:paraId="3A408010" w14:textId="6B84CDE4" w:rsidR="004B0CBC" w:rsidRPr="00B568F3" w:rsidRDefault="00EA2F54" w:rsidP="00632461">
            <w:pPr>
              <w:pStyle w:val="ListParagraph"/>
              <w:numPr>
                <w:ilvl w:val="0"/>
                <w:numId w:val="17"/>
              </w:numPr>
              <w:spacing w:line="276" w:lineRule="auto"/>
              <w:rPr>
                <w:rFonts w:ascii="Arial" w:eastAsia="Calibri" w:hAnsi="Arial" w:cs="Arial"/>
                <w:sz w:val="24"/>
                <w:szCs w:val="24"/>
              </w:rPr>
            </w:pPr>
            <w:r w:rsidRPr="00B568F3">
              <w:rPr>
                <w:rFonts w:ascii="Arial" w:eastAsia="Calibri" w:hAnsi="Arial" w:cs="Arial"/>
                <w:sz w:val="24"/>
                <w:szCs w:val="24"/>
              </w:rPr>
              <w:t>Public Sector Equalities Duty</w:t>
            </w:r>
          </w:p>
          <w:p w14:paraId="51FD9457" w14:textId="60DB89BB" w:rsidR="004B0CBC" w:rsidRPr="00B568F3" w:rsidRDefault="004B0CBC" w:rsidP="00632461">
            <w:pPr>
              <w:pStyle w:val="ListParagraph"/>
              <w:numPr>
                <w:ilvl w:val="0"/>
                <w:numId w:val="17"/>
              </w:numPr>
              <w:spacing w:line="276" w:lineRule="auto"/>
              <w:rPr>
                <w:rFonts w:ascii="Arial" w:eastAsia="Calibri" w:hAnsi="Arial" w:cs="Arial"/>
                <w:sz w:val="24"/>
                <w:szCs w:val="24"/>
              </w:rPr>
            </w:pPr>
            <w:r w:rsidRPr="00B568F3">
              <w:rPr>
                <w:rFonts w:ascii="Arial" w:eastAsia="Calibri" w:hAnsi="Arial" w:cs="Arial"/>
                <w:sz w:val="24"/>
                <w:szCs w:val="24"/>
              </w:rPr>
              <w:t>The</w:t>
            </w:r>
            <w:r w:rsidR="00A07711" w:rsidRPr="00B568F3">
              <w:rPr>
                <w:rFonts w:ascii="Arial" w:eastAsia="Calibri" w:hAnsi="Arial" w:cs="Arial"/>
                <w:sz w:val="24"/>
                <w:szCs w:val="24"/>
              </w:rPr>
              <w:t xml:space="preserve"> </w:t>
            </w:r>
            <w:r w:rsidR="00EA2F54" w:rsidRPr="00B568F3">
              <w:rPr>
                <w:rFonts w:ascii="Arial" w:eastAsia="Calibri" w:hAnsi="Arial" w:cs="Arial"/>
                <w:sz w:val="24"/>
                <w:szCs w:val="24"/>
              </w:rPr>
              <w:t>Welsh Language Measure (2011)</w:t>
            </w:r>
          </w:p>
          <w:p w14:paraId="4C444137" w14:textId="61CF0F88" w:rsidR="004B0CBC" w:rsidRPr="00B568F3" w:rsidRDefault="00EA2F54" w:rsidP="00632461">
            <w:pPr>
              <w:pStyle w:val="ListParagraph"/>
              <w:numPr>
                <w:ilvl w:val="0"/>
                <w:numId w:val="17"/>
              </w:numPr>
              <w:spacing w:line="276" w:lineRule="auto"/>
              <w:rPr>
                <w:rFonts w:ascii="Arial" w:eastAsia="Calibri" w:hAnsi="Arial" w:cs="Arial"/>
                <w:sz w:val="24"/>
                <w:szCs w:val="24"/>
              </w:rPr>
            </w:pPr>
            <w:r w:rsidRPr="00B568F3">
              <w:rPr>
                <w:rFonts w:ascii="Arial" w:eastAsia="Calibri" w:hAnsi="Arial" w:cs="Arial"/>
                <w:sz w:val="24"/>
                <w:szCs w:val="24"/>
              </w:rPr>
              <w:t>Welsh Language Standards</w:t>
            </w:r>
          </w:p>
          <w:p w14:paraId="265471B2" w14:textId="411D26B6" w:rsidR="00EA2F54" w:rsidRPr="00B568F3" w:rsidRDefault="00EA2F54" w:rsidP="00632461">
            <w:pPr>
              <w:pStyle w:val="ListParagraph"/>
              <w:numPr>
                <w:ilvl w:val="0"/>
                <w:numId w:val="17"/>
              </w:numPr>
              <w:spacing w:line="276" w:lineRule="auto"/>
              <w:rPr>
                <w:rFonts w:ascii="Arial" w:eastAsia="Calibri" w:hAnsi="Arial" w:cs="Arial"/>
                <w:sz w:val="24"/>
                <w:szCs w:val="24"/>
              </w:rPr>
            </w:pPr>
            <w:r w:rsidRPr="00B568F3">
              <w:rPr>
                <w:rFonts w:ascii="Arial" w:eastAsia="Calibri" w:hAnsi="Arial" w:cs="Arial"/>
                <w:sz w:val="24"/>
                <w:szCs w:val="24"/>
              </w:rPr>
              <w:t>Well</w:t>
            </w:r>
            <w:r w:rsidR="004B0CBC" w:rsidRPr="00B568F3">
              <w:rPr>
                <w:rFonts w:ascii="Arial" w:eastAsia="Calibri" w:hAnsi="Arial" w:cs="Arial"/>
                <w:sz w:val="24"/>
                <w:szCs w:val="24"/>
              </w:rPr>
              <w:t>-b</w:t>
            </w:r>
            <w:r w:rsidRPr="00B568F3">
              <w:rPr>
                <w:rFonts w:ascii="Arial" w:eastAsia="Calibri" w:hAnsi="Arial" w:cs="Arial"/>
                <w:sz w:val="24"/>
                <w:szCs w:val="24"/>
              </w:rPr>
              <w:t>eing of Future Generations (Wales) Act (2015)</w:t>
            </w:r>
          </w:p>
          <w:p w14:paraId="4A77ED8C" w14:textId="4AF7AC50" w:rsidR="00A07711" w:rsidRPr="00B568F3" w:rsidRDefault="00A07711" w:rsidP="0023577F">
            <w:pPr>
              <w:spacing w:line="276" w:lineRule="auto"/>
              <w:contextualSpacing/>
              <w:rPr>
                <w:rFonts w:ascii="Arial" w:eastAsia="Calibri" w:hAnsi="Arial" w:cs="Arial"/>
                <w:sz w:val="24"/>
                <w:szCs w:val="24"/>
              </w:rPr>
            </w:pPr>
          </w:p>
        </w:tc>
      </w:tr>
    </w:tbl>
    <w:p w14:paraId="20F735A1" w14:textId="77777777" w:rsidR="00954621" w:rsidRDefault="00954621" w:rsidP="000C06A7">
      <w:pPr>
        <w:pStyle w:val="Heading2"/>
      </w:pPr>
      <w:bookmarkStart w:id="37" w:name="_Toc179481642"/>
    </w:p>
    <w:p w14:paraId="6034C159" w14:textId="77777777" w:rsidR="00954621" w:rsidRDefault="00954621">
      <w:pPr>
        <w:rPr>
          <w:rFonts w:ascii="Arial" w:eastAsiaTheme="majorEastAsia" w:hAnsi="Arial" w:cs="Arial"/>
          <w:b/>
          <w:color w:val="11846A"/>
          <w:sz w:val="32"/>
          <w:szCs w:val="32"/>
          <w:lang w:eastAsia="en-GB"/>
        </w:rPr>
      </w:pPr>
      <w:r>
        <w:br w:type="page"/>
      </w:r>
    </w:p>
    <w:p w14:paraId="21E11F1F" w14:textId="46D122E7" w:rsidR="002D1B1F" w:rsidRPr="000C06A7" w:rsidRDefault="003D0F05" w:rsidP="000C06A7">
      <w:pPr>
        <w:pStyle w:val="Heading2"/>
        <w:rPr>
          <w:b w:val="0"/>
        </w:rPr>
      </w:pPr>
      <w:r w:rsidRPr="000C06A7">
        <w:t xml:space="preserve">Future </w:t>
      </w:r>
      <w:r w:rsidR="00170F9A" w:rsidRPr="000C06A7">
        <w:t xml:space="preserve">SCWWDP </w:t>
      </w:r>
      <w:r w:rsidRPr="000C06A7">
        <w:t>development</w:t>
      </w:r>
      <w:r w:rsidR="00C5092D" w:rsidRPr="000C06A7">
        <w:t>s</w:t>
      </w:r>
      <w:bookmarkEnd w:id="37"/>
    </w:p>
    <w:p w14:paraId="5473AE52" w14:textId="64367161" w:rsidR="002D1B1F" w:rsidRPr="00B568F3" w:rsidRDefault="002D1B1F" w:rsidP="002D1B1F">
      <w:pPr>
        <w:spacing w:after="0" w:line="240" w:lineRule="auto"/>
        <w:rPr>
          <w:rFonts w:ascii="Arial" w:hAnsi="Arial" w:cs="Arial"/>
        </w:rPr>
      </w:pPr>
    </w:p>
    <w:p w14:paraId="48B1B499" w14:textId="11FCBE0F" w:rsidR="0032296F" w:rsidRPr="00B568F3" w:rsidRDefault="000A04CA" w:rsidP="002D1B1F">
      <w:pPr>
        <w:spacing w:after="0" w:line="240" w:lineRule="auto"/>
        <w:rPr>
          <w:rFonts w:ascii="Arial" w:hAnsi="Arial" w:cs="Arial"/>
          <w:sz w:val="24"/>
          <w:szCs w:val="24"/>
        </w:rPr>
      </w:pPr>
      <w:r w:rsidRPr="00B568F3">
        <w:rPr>
          <w:rFonts w:ascii="Arial" w:hAnsi="Arial" w:cs="Arial"/>
          <w:sz w:val="24"/>
          <w:szCs w:val="24"/>
        </w:rPr>
        <w:t xml:space="preserve">By </w:t>
      </w:r>
      <w:r w:rsidR="00F33787" w:rsidRPr="00B568F3">
        <w:rPr>
          <w:rFonts w:ascii="Arial" w:hAnsi="Arial" w:cs="Arial"/>
          <w:sz w:val="24"/>
          <w:szCs w:val="24"/>
        </w:rPr>
        <w:t xml:space="preserve">analysing the </w:t>
      </w:r>
      <w:r w:rsidR="0032296F" w:rsidRPr="00B568F3">
        <w:rPr>
          <w:rFonts w:ascii="Arial" w:hAnsi="Arial" w:cs="Arial"/>
          <w:sz w:val="24"/>
          <w:szCs w:val="24"/>
        </w:rPr>
        <w:t>end of year report</w:t>
      </w:r>
      <w:r w:rsidR="00F33787" w:rsidRPr="00B568F3">
        <w:rPr>
          <w:rFonts w:ascii="Arial" w:hAnsi="Arial" w:cs="Arial"/>
          <w:sz w:val="24"/>
          <w:szCs w:val="24"/>
        </w:rPr>
        <w:t>s</w:t>
      </w:r>
      <w:r w:rsidR="0032296F" w:rsidRPr="00B568F3">
        <w:rPr>
          <w:rFonts w:ascii="Arial" w:hAnsi="Arial" w:cs="Arial"/>
          <w:sz w:val="24"/>
          <w:szCs w:val="24"/>
        </w:rPr>
        <w:t xml:space="preserve"> for 2023</w:t>
      </w:r>
      <w:r w:rsidR="00733963" w:rsidRPr="00B568F3">
        <w:rPr>
          <w:rFonts w:ascii="Arial" w:hAnsi="Arial" w:cs="Arial"/>
          <w:sz w:val="24"/>
          <w:szCs w:val="24"/>
        </w:rPr>
        <w:t xml:space="preserve"> to </w:t>
      </w:r>
      <w:r w:rsidR="00F33787" w:rsidRPr="00B568F3">
        <w:rPr>
          <w:rFonts w:ascii="Arial" w:hAnsi="Arial" w:cs="Arial"/>
          <w:sz w:val="24"/>
          <w:szCs w:val="24"/>
        </w:rPr>
        <w:t>2024</w:t>
      </w:r>
      <w:r w:rsidRPr="00B568F3">
        <w:rPr>
          <w:rFonts w:ascii="Arial" w:hAnsi="Arial" w:cs="Arial"/>
          <w:sz w:val="24"/>
          <w:szCs w:val="24"/>
        </w:rPr>
        <w:t>,</w:t>
      </w:r>
      <w:r w:rsidR="00F33787" w:rsidRPr="00B568F3">
        <w:rPr>
          <w:rFonts w:ascii="Arial" w:hAnsi="Arial" w:cs="Arial"/>
          <w:sz w:val="24"/>
          <w:szCs w:val="24"/>
        </w:rPr>
        <w:t xml:space="preserve"> ongoing engagement and </w:t>
      </w:r>
      <w:r w:rsidR="00876161" w:rsidRPr="00B568F3">
        <w:rPr>
          <w:rFonts w:ascii="Arial" w:hAnsi="Arial" w:cs="Arial"/>
          <w:sz w:val="24"/>
          <w:szCs w:val="24"/>
        </w:rPr>
        <w:t>feedback with the regional workforce leads</w:t>
      </w:r>
      <w:r w:rsidR="00733963" w:rsidRPr="00B568F3">
        <w:rPr>
          <w:rFonts w:ascii="Arial" w:hAnsi="Arial" w:cs="Arial"/>
          <w:sz w:val="24"/>
          <w:szCs w:val="24"/>
        </w:rPr>
        <w:t>,</w:t>
      </w:r>
      <w:r w:rsidR="00876161" w:rsidRPr="00B568F3">
        <w:rPr>
          <w:rFonts w:ascii="Arial" w:hAnsi="Arial" w:cs="Arial"/>
          <w:sz w:val="24"/>
          <w:szCs w:val="24"/>
        </w:rPr>
        <w:t xml:space="preserve"> we have identified </w:t>
      </w:r>
      <w:r w:rsidR="00460B7F" w:rsidRPr="00B568F3">
        <w:rPr>
          <w:rFonts w:ascii="Arial" w:hAnsi="Arial" w:cs="Arial"/>
          <w:sz w:val="24"/>
          <w:szCs w:val="24"/>
        </w:rPr>
        <w:t>five</w:t>
      </w:r>
      <w:r w:rsidR="00110724" w:rsidRPr="00B568F3">
        <w:rPr>
          <w:rFonts w:ascii="Arial" w:hAnsi="Arial" w:cs="Arial"/>
          <w:sz w:val="24"/>
          <w:szCs w:val="24"/>
        </w:rPr>
        <w:t xml:space="preserve"> areas of SCWWDP </w:t>
      </w:r>
      <w:r w:rsidR="0047032A" w:rsidRPr="00B568F3">
        <w:rPr>
          <w:rFonts w:ascii="Arial" w:hAnsi="Arial" w:cs="Arial"/>
          <w:sz w:val="24"/>
          <w:szCs w:val="24"/>
        </w:rPr>
        <w:t>development</w:t>
      </w:r>
      <w:r w:rsidR="00110724" w:rsidRPr="00B568F3">
        <w:rPr>
          <w:rFonts w:ascii="Arial" w:hAnsi="Arial" w:cs="Arial"/>
          <w:sz w:val="24"/>
          <w:szCs w:val="24"/>
        </w:rPr>
        <w:t xml:space="preserve"> that </w:t>
      </w:r>
      <w:r w:rsidRPr="00B568F3">
        <w:rPr>
          <w:rFonts w:ascii="Arial" w:hAnsi="Arial" w:cs="Arial"/>
          <w:sz w:val="24"/>
          <w:szCs w:val="24"/>
        </w:rPr>
        <w:t>we’ll</w:t>
      </w:r>
      <w:r w:rsidR="00110724" w:rsidRPr="00B568F3">
        <w:rPr>
          <w:rFonts w:ascii="Arial" w:hAnsi="Arial" w:cs="Arial"/>
          <w:sz w:val="24"/>
          <w:szCs w:val="24"/>
        </w:rPr>
        <w:t xml:space="preserve"> be working on in 2025</w:t>
      </w:r>
      <w:r w:rsidR="00733963" w:rsidRPr="00B568F3">
        <w:rPr>
          <w:rFonts w:ascii="Arial" w:hAnsi="Arial" w:cs="Arial"/>
          <w:sz w:val="24"/>
          <w:szCs w:val="24"/>
        </w:rPr>
        <w:t xml:space="preserve"> </w:t>
      </w:r>
      <w:r w:rsidR="001E54DC" w:rsidRPr="00B568F3">
        <w:rPr>
          <w:rFonts w:ascii="Arial" w:hAnsi="Arial" w:cs="Arial"/>
          <w:sz w:val="24"/>
          <w:szCs w:val="24"/>
        </w:rPr>
        <w:t>to</w:t>
      </w:r>
      <w:r w:rsidR="00733963" w:rsidRPr="00B568F3">
        <w:rPr>
          <w:rFonts w:ascii="Arial" w:hAnsi="Arial" w:cs="Arial"/>
          <w:sz w:val="24"/>
          <w:szCs w:val="24"/>
        </w:rPr>
        <w:t xml:space="preserve"> </w:t>
      </w:r>
      <w:r w:rsidR="00110724" w:rsidRPr="00B568F3">
        <w:rPr>
          <w:rFonts w:ascii="Arial" w:hAnsi="Arial" w:cs="Arial"/>
          <w:sz w:val="24"/>
          <w:szCs w:val="24"/>
        </w:rPr>
        <w:t>2026</w:t>
      </w:r>
      <w:r w:rsidR="0047032A" w:rsidRPr="00B568F3">
        <w:rPr>
          <w:rFonts w:ascii="Arial" w:hAnsi="Arial" w:cs="Arial"/>
          <w:sz w:val="24"/>
          <w:szCs w:val="24"/>
        </w:rPr>
        <w:t>.</w:t>
      </w:r>
      <w:r w:rsidR="00F33787" w:rsidRPr="00B568F3">
        <w:rPr>
          <w:rFonts w:ascii="Arial" w:hAnsi="Arial" w:cs="Arial"/>
          <w:sz w:val="24"/>
          <w:szCs w:val="24"/>
        </w:rPr>
        <w:t xml:space="preserve"> </w:t>
      </w:r>
    </w:p>
    <w:p w14:paraId="74F35342" w14:textId="77777777" w:rsidR="002D1B1F" w:rsidRPr="00B568F3" w:rsidRDefault="002D1B1F" w:rsidP="002D1B1F">
      <w:pPr>
        <w:spacing w:after="0" w:line="240" w:lineRule="auto"/>
        <w:rPr>
          <w:rFonts w:ascii="Arial" w:hAnsi="Arial" w:cs="Arial"/>
          <w:bCs/>
        </w:rPr>
      </w:pPr>
    </w:p>
    <w:p w14:paraId="49EFDDE9" w14:textId="501716A7" w:rsidR="00121968" w:rsidRPr="00B568F3" w:rsidRDefault="00A63103" w:rsidP="00724796">
      <w:pPr>
        <w:pStyle w:val="Heading3"/>
      </w:pPr>
      <w:r w:rsidRPr="00B568F3">
        <w:t>A full</w:t>
      </w:r>
      <w:r w:rsidR="00957465" w:rsidRPr="00B568F3">
        <w:t>er</w:t>
      </w:r>
      <w:r w:rsidRPr="00B568F3">
        <w:t xml:space="preserve"> picture of social care workforce development </w:t>
      </w:r>
    </w:p>
    <w:p w14:paraId="1169E0E3" w14:textId="29807183" w:rsidR="00A63103" w:rsidRPr="00B568F3" w:rsidRDefault="00A63103" w:rsidP="002D1B1F">
      <w:pPr>
        <w:spacing w:after="0" w:line="240" w:lineRule="auto"/>
        <w:rPr>
          <w:rFonts w:ascii="Arial" w:hAnsi="Arial" w:cs="Arial"/>
        </w:rPr>
      </w:pPr>
    </w:p>
    <w:p w14:paraId="4E782825" w14:textId="2FF31555" w:rsidR="009A066A" w:rsidRPr="00B568F3" w:rsidRDefault="00121968" w:rsidP="00632461">
      <w:pPr>
        <w:pStyle w:val="ListParagraph"/>
        <w:numPr>
          <w:ilvl w:val="0"/>
          <w:numId w:val="7"/>
        </w:numPr>
        <w:spacing w:after="0" w:line="240" w:lineRule="auto"/>
        <w:rPr>
          <w:rFonts w:ascii="Arial" w:eastAsia="Calibri" w:hAnsi="Arial" w:cs="Arial"/>
          <w:sz w:val="24"/>
          <w:szCs w:val="24"/>
        </w:rPr>
      </w:pPr>
      <w:r w:rsidRPr="00B568F3">
        <w:rPr>
          <w:rFonts w:ascii="Arial" w:eastAsia="Calibri" w:hAnsi="Arial" w:cs="Arial"/>
          <w:sz w:val="24"/>
          <w:szCs w:val="24"/>
        </w:rPr>
        <w:t>L</w:t>
      </w:r>
      <w:r w:rsidR="00D87BF3" w:rsidRPr="00B568F3">
        <w:rPr>
          <w:rFonts w:ascii="Arial" w:eastAsia="Calibri" w:hAnsi="Arial" w:cs="Arial"/>
          <w:sz w:val="24"/>
          <w:szCs w:val="24"/>
        </w:rPr>
        <w:t>ocal authority</w:t>
      </w:r>
      <w:r w:rsidRPr="00B568F3">
        <w:rPr>
          <w:rFonts w:ascii="Arial" w:eastAsia="Calibri" w:hAnsi="Arial" w:cs="Arial"/>
          <w:sz w:val="24"/>
          <w:szCs w:val="24"/>
        </w:rPr>
        <w:t xml:space="preserve"> additional funding </w:t>
      </w:r>
      <w:r w:rsidR="00A91076" w:rsidRPr="00B568F3">
        <w:rPr>
          <w:rFonts w:ascii="Arial" w:eastAsia="Calibri" w:hAnsi="Arial" w:cs="Arial"/>
          <w:sz w:val="24"/>
          <w:szCs w:val="24"/>
        </w:rPr>
        <w:t>isn’t</w:t>
      </w:r>
      <w:r w:rsidRPr="00B568F3">
        <w:rPr>
          <w:rFonts w:ascii="Arial" w:eastAsia="Calibri" w:hAnsi="Arial" w:cs="Arial"/>
          <w:sz w:val="24"/>
          <w:szCs w:val="24"/>
        </w:rPr>
        <w:t xml:space="preserve"> </w:t>
      </w:r>
      <w:r w:rsidR="00D87BF3" w:rsidRPr="00B568F3">
        <w:rPr>
          <w:rFonts w:ascii="Arial" w:eastAsia="Calibri" w:hAnsi="Arial" w:cs="Arial"/>
          <w:sz w:val="24"/>
          <w:szCs w:val="24"/>
        </w:rPr>
        <w:t>essential</w:t>
      </w:r>
      <w:r w:rsidRPr="00B568F3">
        <w:rPr>
          <w:rFonts w:ascii="Arial" w:eastAsia="Calibri" w:hAnsi="Arial" w:cs="Arial"/>
          <w:sz w:val="24"/>
          <w:szCs w:val="24"/>
        </w:rPr>
        <w:t xml:space="preserve"> information as part of the SCWWDP grant reporting</w:t>
      </w:r>
      <w:r w:rsidR="00DD23D9" w:rsidRPr="00B568F3">
        <w:rPr>
          <w:rFonts w:ascii="Arial" w:eastAsia="Calibri" w:hAnsi="Arial" w:cs="Arial"/>
          <w:sz w:val="24"/>
          <w:szCs w:val="24"/>
        </w:rPr>
        <w:t xml:space="preserve"> and this information </w:t>
      </w:r>
      <w:r w:rsidR="00A91076" w:rsidRPr="00B568F3">
        <w:rPr>
          <w:rFonts w:ascii="Arial" w:eastAsia="Calibri" w:hAnsi="Arial" w:cs="Arial"/>
          <w:sz w:val="24"/>
          <w:szCs w:val="24"/>
        </w:rPr>
        <w:t>isn’t</w:t>
      </w:r>
      <w:r w:rsidR="00DD23D9" w:rsidRPr="00B568F3">
        <w:rPr>
          <w:rFonts w:ascii="Arial" w:eastAsia="Calibri" w:hAnsi="Arial" w:cs="Arial"/>
          <w:sz w:val="24"/>
          <w:szCs w:val="24"/>
        </w:rPr>
        <w:t xml:space="preserve"> always </w:t>
      </w:r>
      <w:r w:rsidR="00E76937" w:rsidRPr="00B568F3">
        <w:rPr>
          <w:rFonts w:ascii="Arial" w:eastAsia="Calibri" w:hAnsi="Arial" w:cs="Arial"/>
          <w:sz w:val="24"/>
          <w:szCs w:val="24"/>
        </w:rPr>
        <w:t>given fo</w:t>
      </w:r>
      <w:r w:rsidR="00942F26" w:rsidRPr="00B568F3">
        <w:rPr>
          <w:rFonts w:ascii="Arial" w:eastAsia="Calibri" w:hAnsi="Arial" w:cs="Arial"/>
          <w:sz w:val="24"/>
          <w:szCs w:val="24"/>
        </w:rPr>
        <w:t>r</w:t>
      </w:r>
      <w:r w:rsidR="00D754CC" w:rsidRPr="00B568F3">
        <w:rPr>
          <w:rFonts w:ascii="Arial" w:eastAsia="Calibri" w:hAnsi="Arial" w:cs="Arial"/>
          <w:sz w:val="24"/>
          <w:szCs w:val="24"/>
        </w:rPr>
        <w:t xml:space="preserve"> many </w:t>
      </w:r>
      <w:r w:rsidR="00DD23D9" w:rsidRPr="00B568F3">
        <w:rPr>
          <w:rFonts w:ascii="Arial" w:eastAsia="Calibri" w:hAnsi="Arial" w:cs="Arial"/>
          <w:sz w:val="24"/>
          <w:szCs w:val="24"/>
        </w:rPr>
        <w:t>reasons</w:t>
      </w:r>
      <w:r w:rsidR="00D754CC" w:rsidRPr="00B568F3">
        <w:rPr>
          <w:rFonts w:ascii="Arial" w:eastAsia="Calibri" w:hAnsi="Arial" w:cs="Arial"/>
          <w:sz w:val="24"/>
          <w:szCs w:val="24"/>
        </w:rPr>
        <w:t>,</w:t>
      </w:r>
      <w:r w:rsidR="00DD23D9" w:rsidRPr="00B568F3">
        <w:rPr>
          <w:rFonts w:ascii="Arial" w:eastAsia="Calibri" w:hAnsi="Arial" w:cs="Arial"/>
          <w:sz w:val="24"/>
          <w:szCs w:val="24"/>
        </w:rPr>
        <w:t xml:space="preserve"> as </w:t>
      </w:r>
      <w:r w:rsidR="00E76937" w:rsidRPr="00B568F3">
        <w:rPr>
          <w:rFonts w:ascii="Arial" w:eastAsia="Calibri" w:hAnsi="Arial" w:cs="Arial"/>
          <w:sz w:val="24"/>
          <w:szCs w:val="24"/>
        </w:rPr>
        <w:t xml:space="preserve">noted </w:t>
      </w:r>
      <w:r w:rsidR="00DD23D9" w:rsidRPr="00B568F3">
        <w:rPr>
          <w:rFonts w:ascii="Arial" w:eastAsia="Calibri" w:hAnsi="Arial" w:cs="Arial"/>
          <w:sz w:val="24"/>
          <w:szCs w:val="24"/>
        </w:rPr>
        <w:t xml:space="preserve">earlier in the report. </w:t>
      </w:r>
    </w:p>
    <w:p w14:paraId="77E25903" w14:textId="68D3DDBF" w:rsidR="009A066A" w:rsidRPr="00B568F3" w:rsidRDefault="009A066A" w:rsidP="00B175BF">
      <w:pPr>
        <w:pStyle w:val="ListParagraph"/>
        <w:spacing w:after="0" w:line="240" w:lineRule="auto"/>
        <w:rPr>
          <w:rFonts w:ascii="Arial" w:eastAsia="Calibri" w:hAnsi="Arial" w:cs="Arial"/>
          <w:sz w:val="24"/>
          <w:szCs w:val="24"/>
        </w:rPr>
      </w:pPr>
    </w:p>
    <w:p w14:paraId="6602A2A5" w14:textId="0FBD1387" w:rsidR="00E467A0" w:rsidRPr="00B568F3" w:rsidRDefault="00DD23D9" w:rsidP="00632461">
      <w:pPr>
        <w:pStyle w:val="ListParagraph"/>
        <w:numPr>
          <w:ilvl w:val="0"/>
          <w:numId w:val="7"/>
        </w:numPr>
        <w:spacing w:after="0" w:line="240" w:lineRule="auto"/>
        <w:rPr>
          <w:rFonts w:ascii="Arial" w:eastAsia="Calibri" w:hAnsi="Arial" w:cs="Arial"/>
          <w:sz w:val="24"/>
          <w:szCs w:val="24"/>
        </w:rPr>
      </w:pPr>
      <w:r w:rsidRPr="00B568F3">
        <w:rPr>
          <w:rFonts w:ascii="Arial" w:eastAsia="Calibri" w:hAnsi="Arial" w:cs="Arial"/>
          <w:sz w:val="24"/>
          <w:szCs w:val="24"/>
        </w:rPr>
        <w:t xml:space="preserve">Although </w:t>
      </w:r>
      <w:r w:rsidR="00121968" w:rsidRPr="00B568F3">
        <w:rPr>
          <w:rFonts w:ascii="Arial" w:eastAsia="Calibri" w:hAnsi="Arial" w:cs="Arial"/>
          <w:sz w:val="24"/>
          <w:szCs w:val="24"/>
        </w:rPr>
        <w:t xml:space="preserve">local authorities </w:t>
      </w:r>
      <w:r w:rsidRPr="00B568F3">
        <w:rPr>
          <w:rFonts w:ascii="Arial" w:eastAsia="Calibri" w:hAnsi="Arial" w:cs="Arial"/>
          <w:sz w:val="24"/>
          <w:szCs w:val="24"/>
        </w:rPr>
        <w:t xml:space="preserve">are </w:t>
      </w:r>
      <w:r w:rsidR="00A91076" w:rsidRPr="00B568F3">
        <w:rPr>
          <w:rFonts w:ascii="Arial" w:eastAsia="Calibri" w:hAnsi="Arial" w:cs="Arial"/>
          <w:sz w:val="24"/>
          <w:szCs w:val="24"/>
        </w:rPr>
        <w:t>telling</w:t>
      </w:r>
      <w:r w:rsidR="00D754CC" w:rsidRPr="00B568F3">
        <w:rPr>
          <w:rFonts w:ascii="Arial" w:eastAsia="Calibri" w:hAnsi="Arial" w:cs="Arial"/>
          <w:sz w:val="24"/>
          <w:szCs w:val="24"/>
        </w:rPr>
        <w:t xml:space="preserve"> </w:t>
      </w:r>
      <w:r w:rsidRPr="00B568F3">
        <w:rPr>
          <w:rFonts w:ascii="Arial" w:eastAsia="Calibri" w:hAnsi="Arial" w:cs="Arial"/>
          <w:sz w:val="24"/>
          <w:szCs w:val="24"/>
        </w:rPr>
        <w:t xml:space="preserve">us that </w:t>
      </w:r>
      <w:r w:rsidR="00121968" w:rsidRPr="00B568F3">
        <w:rPr>
          <w:rFonts w:ascii="Arial" w:eastAsia="Calibri" w:hAnsi="Arial" w:cs="Arial"/>
          <w:sz w:val="24"/>
          <w:szCs w:val="24"/>
        </w:rPr>
        <w:t xml:space="preserve">that </w:t>
      </w:r>
      <w:r w:rsidR="00A91076" w:rsidRPr="00B568F3">
        <w:rPr>
          <w:rFonts w:ascii="Arial" w:eastAsia="Calibri" w:hAnsi="Arial" w:cs="Arial"/>
          <w:sz w:val="24"/>
          <w:szCs w:val="24"/>
        </w:rPr>
        <w:t>they’re</w:t>
      </w:r>
      <w:r w:rsidR="00121968" w:rsidRPr="00B568F3">
        <w:rPr>
          <w:rFonts w:ascii="Arial" w:eastAsia="Calibri" w:hAnsi="Arial" w:cs="Arial"/>
          <w:sz w:val="24"/>
          <w:szCs w:val="24"/>
        </w:rPr>
        <w:t xml:space="preserve"> contributing over and above the expected 30</w:t>
      </w:r>
      <w:r w:rsidR="00A91076" w:rsidRPr="00B568F3">
        <w:rPr>
          <w:rFonts w:ascii="Arial" w:eastAsia="Calibri" w:hAnsi="Arial" w:cs="Arial"/>
          <w:sz w:val="24"/>
          <w:szCs w:val="24"/>
        </w:rPr>
        <w:t xml:space="preserve"> per cent</w:t>
      </w:r>
      <w:r w:rsidR="00121968" w:rsidRPr="00B568F3">
        <w:rPr>
          <w:rFonts w:ascii="Arial" w:eastAsia="Calibri" w:hAnsi="Arial" w:cs="Arial"/>
          <w:sz w:val="24"/>
          <w:szCs w:val="24"/>
        </w:rPr>
        <w:t xml:space="preserve"> match funding</w:t>
      </w:r>
      <w:r w:rsidR="00221E37" w:rsidRPr="00B568F3">
        <w:rPr>
          <w:rFonts w:ascii="Arial" w:eastAsia="Calibri" w:hAnsi="Arial" w:cs="Arial"/>
          <w:sz w:val="24"/>
          <w:szCs w:val="24"/>
        </w:rPr>
        <w:t xml:space="preserve">, </w:t>
      </w:r>
      <w:r w:rsidR="00121968" w:rsidRPr="00B568F3">
        <w:rPr>
          <w:rFonts w:ascii="Arial" w:eastAsia="Calibri" w:hAnsi="Arial" w:cs="Arial"/>
          <w:sz w:val="24"/>
          <w:szCs w:val="24"/>
        </w:rPr>
        <w:t xml:space="preserve">we aren’t able to </w:t>
      </w:r>
      <w:r w:rsidR="006C5486" w:rsidRPr="00B568F3">
        <w:rPr>
          <w:rFonts w:ascii="Arial" w:eastAsia="Calibri" w:hAnsi="Arial" w:cs="Arial"/>
          <w:sz w:val="24"/>
          <w:szCs w:val="24"/>
        </w:rPr>
        <w:t>get</w:t>
      </w:r>
      <w:r w:rsidR="00D754CC" w:rsidRPr="00B568F3">
        <w:rPr>
          <w:rFonts w:ascii="Arial" w:eastAsia="Calibri" w:hAnsi="Arial" w:cs="Arial"/>
          <w:sz w:val="24"/>
          <w:szCs w:val="24"/>
        </w:rPr>
        <w:t xml:space="preserve"> </w:t>
      </w:r>
      <w:r w:rsidR="00121968" w:rsidRPr="00B568F3">
        <w:rPr>
          <w:rFonts w:ascii="Arial" w:eastAsia="Calibri" w:hAnsi="Arial" w:cs="Arial"/>
          <w:sz w:val="24"/>
          <w:szCs w:val="24"/>
        </w:rPr>
        <w:t xml:space="preserve">the full picture </w:t>
      </w:r>
      <w:r w:rsidR="007257CE" w:rsidRPr="00B568F3">
        <w:rPr>
          <w:rFonts w:ascii="Arial" w:eastAsia="Calibri" w:hAnsi="Arial" w:cs="Arial"/>
          <w:sz w:val="24"/>
          <w:szCs w:val="24"/>
        </w:rPr>
        <w:t>of</w:t>
      </w:r>
      <w:r w:rsidR="00121968" w:rsidRPr="00B568F3">
        <w:rPr>
          <w:rFonts w:ascii="Arial" w:eastAsia="Calibri" w:hAnsi="Arial" w:cs="Arial"/>
          <w:sz w:val="24"/>
          <w:szCs w:val="24"/>
        </w:rPr>
        <w:t xml:space="preserve"> the workforce development outputs</w:t>
      </w:r>
      <w:r w:rsidR="00512612" w:rsidRPr="00B568F3">
        <w:rPr>
          <w:rFonts w:ascii="Arial" w:eastAsia="Calibri" w:hAnsi="Arial" w:cs="Arial"/>
          <w:sz w:val="24"/>
          <w:szCs w:val="24"/>
        </w:rPr>
        <w:t>,</w:t>
      </w:r>
      <w:r w:rsidR="00121968" w:rsidRPr="00B568F3">
        <w:rPr>
          <w:rFonts w:ascii="Arial" w:eastAsia="Calibri" w:hAnsi="Arial" w:cs="Arial"/>
          <w:sz w:val="24"/>
          <w:szCs w:val="24"/>
        </w:rPr>
        <w:t xml:space="preserve"> outcomes</w:t>
      </w:r>
      <w:r w:rsidR="00CD312C" w:rsidRPr="00B568F3">
        <w:rPr>
          <w:rFonts w:ascii="Arial" w:eastAsia="Calibri" w:hAnsi="Arial" w:cs="Arial"/>
          <w:sz w:val="24"/>
          <w:szCs w:val="24"/>
        </w:rPr>
        <w:t xml:space="preserve"> or trends</w:t>
      </w:r>
      <w:r w:rsidR="00121968" w:rsidRPr="00B568F3">
        <w:rPr>
          <w:rFonts w:ascii="Arial" w:eastAsia="Calibri" w:hAnsi="Arial" w:cs="Arial"/>
          <w:sz w:val="24"/>
          <w:szCs w:val="24"/>
        </w:rPr>
        <w:t xml:space="preserve"> for the social care sector in Wales</w:t>
      </w:r>
      <w:r w:rsidR="00D754CC" w:rsidRPr="00B568F3">
        <w:rPr>
          <w:rFonts w:ascii="Arial" w:eastAsia="Calibri" w:hAnsi="Arial" w:cs="Arial"/>
          <w:sz w:val="24"/>
          <w:szCs w:val="24"/>
        </w:rPr>
        <w:t xml:space="preserve"> </w:t>
      </w:r>
      <w:r w:rsidR="007257CE" w:rsidRPr="00B568F3">
        <w:rPr>
          <w:rFonts w:ascii="Arial" w:eastAsia="Calibri" w:hAnsi="Arial" w:cs="Arial"/>
          <w:sz w:val="24"/>
          <w:szCs w:val="24"/>
        </w:rPr>
        <w:t>without this information</w:t>
      </w:r>
      <w:r w:rsidR="00121968" w:rsidRPr="00B568F3">
        <w:rPr>
          <w:rFonts w:ascii="Arial" w:eastAsia="Calibri" w:hAnsi="Arial" w:cs="Arial"/>
          <w:sz w:val="24"/>
          <w:szCs w:val="24"/>
        </w:rPr>
        <w:t xml:space="preserve">. </w:t>
      </w:r>
      <w:r w:rsidR="00CF0F35" w:rsidRPr="00B568F3">
        <w:rPr>
          <w:rFonts w:ascii="Arial" w:eastAsia="Calibri" w:hAnsi="Arial" w:cs="Arial"/>
          <w:sz w:val="24"/>
          <w:szCs w:val="24"/>
        </w:rPr>
        <w:t>This reporting</w:t>
      </w:r>
      <w:r w:rsidR="00345CE6" w:rsidRPr="00B568F3">
        <w:rPr>
          <w:rFonts w:ascii="Arial" w:eastAsia="Calibri" w:hAnsi="Arial" w:cs="Arial"/>
          <w:sz w:val="24"/>
          <w:szCs w:val="24"/>
        </w:rPr>
        <w:t xml:space="preserve"> also won’t</w:t>
      </w:r>
      <w:r w:rsidR="00CF0F35" w:rsidRPr="00B568F3">
        <w:rPr>
          <w:rFonts w:ascii="Arial" w:eastAsia="Calibri" w:hAnsi="Arial" w:cs="Arial"/>
          <w:sz w:val="24"/>
          <w:szCs w:val="24"/>
        </w:rPr>
        <w:t xml:space="preserve"> capture the workforce investment made by private and third sector providers.</w:t>
      </w:r>
    </w:p>
    <w:p w14:paraId="197983E4" w14:textId="2976D679" w:rsidR="00E467A0" w:rsidRPr="00B568F3" w:rsidRDefault="00E467A0" w:rsidP="00FD3944">
      <w:pPr>
        <w:pStyle w:val="ListParagraph"/>
        <w:spacing w:after="0" w:line="240" w:lineRule="auto"/>
        <w:rPr>
          <w:rFonts w:ascii="Arial" w:eastAsia="Calibri" w:hAnsi="Arial" w:cs="Arial"/>
          <w:sz w:val="24"/>
          <w:szCs w:val="24"/>
        </w:rPr>
      </w:pPr>
    </w:p>
    <w:p w14:paraId="2A29274B" w14:textId="459BE4FB" w:rsidR="00444B62" w:rsidRPr="00B568F3" w:rsidRDefault="00934C81" w:rsidP="00632461">
      <w:pPr>
        <w:pStyle w:val="ListParagraph"/>
        <w:numPr>
          <w:ilvl w:val="0"/>
          <w:numId w:val="7"/>
        </w:numPr>
        <w:spacing w:after="0" w:line="240" w:lineRule="auto"/>
        <w:rPr>
          <w:rFonts w:ascii="Arial" w:eastAsia="Calibri" w:hAnsi="Arial" w:cs="Arial"/>
          <w:sz w:val="24"/>
          <w:szCs w:val="24"/>
        </w:rPr>
      </w:pPr>
      <w:r w:rsidRPr="00B568F3">
        <w:rPr>
          <w:rFonts w:ascii="Arial" w:eastAsia="Calibri" w:hAnsi="Arial" w:cs="Arial"/>
          <w:sz w:val="24"/>
          <w:szCs w:val="24"/>
        </w:rPr>
        <w:t>In 2024 to 2025</w:t>
      </w:r>
      <w:r w:rsidR="00FE0FD0" w:rsidRPr="00B568F3">
        <w:rPr>
          <w:rFonts w:ascii="Arial" w:eastAsia="Calibri" w:hAnsi="Arial" w:cs="Arial"/>
          <w:sz w:val="24"/>
          <w:szCs w:val="24"/>
        </w:rPr>
        <w:t xml:space="preserve">, </w:t>
      </w:r>
      <w:r w:rsidR="00444B62" w:rsidRPr="00B568F3">
        <w:rPr>
          <w:rFonts w:ascii="Arial" w:eastAsia="Calibri" w:hAnsi="Arial" w:cs="Arial"/>
          <w:sz w:val="24"/>
          <w:szCs w:val="24"/>
        </w:rPr>
        <w:t xml:space="preserve">Welsh Government </w:t>
      </w:r>
      <w:r w:rsidRPr="00B568F3">
        <w:rPr>
          <w:rFonts w:ascii="Arial" w:eastAsia="Calibri" w:hAnsi="Arial" w:cs="Arial"/>
          <w:sz w:val="24"/>
          <w:szCs w:val="24"/>
        </w:rPr>
        <w:t>g</w:t>
      </w:r>
      <w:r w:rsidR="00FE0FD0" w:rsidRPr="00B568F3">
        <w:rPr>
          <w:rFonts w:ascii="Arial" w:eastAsia="Calibri" w:hAnsi="Arial" w:cs="Arial"/>
          <w:sz w:val="24"/>
          <w:szCs w:val="24"/>
        </w:rPr>
        <w:t xml:space="preserve">ave </w:t>
      </w:r>
      <w:r w:rsidR="000338E0" w:rsidRPr="00B568F3">
        <w:rPr>
          <w:rFonts w:ascii="Arial" w:eastAsia="Calibri" w:hAnsi="Arial" w:cs="Arial"/>
          <w:sz w:val="24"/>
          <w:szCs w:val="24"/>
        </w:rPr>
        <w:t xml:space="preserve">a </w:t>
      </w:r>
      <w:r w:rsidR="00FE0FD0" w:rsidRPr="00B568F3">
        <w:rPr>
          <w:rFonts w:ascii="Arial" w:eastAsia="Calibri" w:hAnsi="Arial" w:cs="Arial"/>
          <w:sz w:val="24"/>
          <w:szCs w:val="24"/>
        </w:rPr>
        <w:t>£45</w:t>
      </w:r>
      <w:r w:rsidR="00BD288B" w:rsidRPr="00B568F3">
        <w:rPr>
          <w:rFonts w:ascii="Arial" w:eastAsia="Calibri" w:hAnsi="Arial" w:cs="Arial"/>
          <w:sz w:val="24"/>
          <w:szCs w:val="24"/>
        </w:rPr>
        <w:t>m</w:t>
      </w:r>
      <w:r w:rsidR="000338E0" w:rsidRPr="00B568F3">
        <w:rPr>
          <w:rFonts w:ascii="Arial" w:eastAsia="Calibri" w:hAnsi="Arial" w:cs="Arial"/>
          <w:sz w:val="24"/>
          <w:szCs w:val="24"/>
        </w:rPr>
        <w:t xml:space="preserve"> </w:t>
      </w:r>
      <w:r w:rsidR="00BD288B" w:rsidRPr="00B568F3">
        <w:rPr>
          <w:rFonts w:ascii="Arial" w:eastAsia="Calibri" w:hAnsi="Arial" w:cs="Arial"/>
          <w:sz w:val="24"/>
          <w:szCs w:val="24"/>
        </w:rPr>
        <w:t>social care and work</w:t>
      </w:r>
      <w:r w:rsidR="006E3693" w:rsidRPr="00B568F3">
        <w:rPr>
          <w:rFonts w:ascii="Arial" w:eastAsia="Calibri" w:hAnsi="Arial" w:cs="Arial"/>
          <w:sz w:val="24"/>
          <w:szCs w:val="24"/>
        </w:rPr>
        <w:t>force grant</w:t>
      </w:r>
      <w:r w:rsidR="00444B62" w:rsidRPr="00B568F3">
        <w:rPr>
          <w:rFonts w:ascii="Arial" w:eastAsia="Calibri" w:hAnsi="Arial" w:cs="Arial"/>
          <w:sz w:val="24"/>
          <w:szCs w:val="24"/>
        </w:rPr>
        <w:t xml:space="preserve"> to local authorities</w:t>
      </w:r>
      <w:r w:rsidR="006E3693" w:rsidRPr="00B568F3">
        <w:rPr>
          <w:rFonts w:ascii="Arial" w:eastAsia="Calibri" w:hAnsi="Arial" w:cs="Arial"/>
          <w:sz w:val="24"/>
          <w:szCs w:val="24"/>
        </w:rPr>
        <w:t>.</w:t>
      </w:r>
      <w:r w:rsidR="00444B62" w:rsidRPr="00B568F3">
        <w:rPr>
          <w:rFonts w:ascii="Arial" w:eastAsia="Calibri" w:hAnsi="Arial" w:cs="Arial"/>
          <w:sz w:val="24"/>
          <w:szCs w:val="24"/>
        </w:rPr>
        <w:t xml:space="preserve"> </w:t>
      </w:r>
      <w:r w:rsidR="000338E0" w:rsidRPr="00B568F3">
        <w:rPr>
          <w:rFonts w:ascii="Arial" w:eastAsia="Calibri" w:hAnsi="Arial" w:cs="Arial"/>
          <w:sz w:val="24"/>
          <w:szCs w:val="24"/>
        </w:rPr>
        <w:t>W</w:t>
      </w:r>
      <w:r w:rsidR="00444B62" w:rsidRPr="00B568F3">
        <w:rPr>
          <w:rFonts w:ascii="Arial" w:eastAsia="Calibri" w:hAnsi="Arial" w:cs="Arial"/>
          <w:sz w:val="24"/>
          <w:szCs w:val="24"/>
        </w:rPr>
        <w:t xml:space="preserve">orkforce development activities from this grant </w:t>
      </w:r>
      <w:r w:rsidR="000338E0" w:rsidRPr="00B568F3">
        <w:rPr>
          <w:rFonts w:ascii="Arial" w:eastAsia="Calibri" w:hAnsi="Arial" w:cs="Arial"/>
          <w:sz w:val="24"/>
          <w:szCs w:val="24"/>
        </w:rPr>
        <w:t>won’t</w:t>
      </w:r>
      <w:r w:rsidR="00444B62" w:rsidRPr="00B568F3">
        <w:rPr>
          <w:rFonts w:ascii="Arial" w:eastAsia="Calibri" w:hAnsi="Arial" w:cs="Arial"/>
          <w:sz w:val="24"/>
          <w:szCs w:val="24"/>
        </w:rPr>
        <w:t xml:space="preserve"> be captured in SCWWDP reporting.     </w:t>
      </w:r>
    </w:p>
    <w:p w14:paraId="56AA5F05" w14:textId="77777777" w:rsidR="00AD5FD9" w:rsidRPr="00B568F3" w:rsidRDefault="00AD5FD9" w:rsidP="00FD3944">
      <w:pPr>
        <w:pStyle w:val="ListParagraph"/>
        <w:rPr>
          <w:rFonts w:ascii="Arial" w:eastAsia="Calibri" w:hAnsi="Arial" w:cs="Arial"/>
          <w:sz w:val="24"/>
          <w:szCs w:val="24"/>
        </w:rPr>
      </w:pPr>
    </w:p>
    <w:p w14:paraId="50E76F76" w14:textId="13494375" w:rsidR="00121968" w:rsidRPr="00B568F3" w:rsidRDefault="00BC17C3" w:rsidP="00632461">
      <w:pPr>
        <w:pStyle w:val="ListParagraph"/>
        <w:numPr>
          <w:ilvl w:val="0"/>
          <w:numId w:val="7"/>
        </w:numPr>
        <w:spacing w:after="0" w:line="240" w:lineRule="auto"/>
        <w:rPr>
          <w:rFonts w:ascii="Arial" w:eastAsia="Calibri" w:hAnsi="Arial" w:cs="Arial"/>
          <w:sz w:val="24"/>
          <w:szCs w:val="24"/>
        </w:rPr>
      </w:pPr>
      <w:r w:rsidRPr="00B568F3">
        <w:rPr>
          <w:rFonts w:ascii="Arial" w:eastAsia="Calibri" w:hAnsi="Arial" w:cs="Arial"/>
          <w:sz w:val="24"/>
          <w:szCs w:val="24"/>
        </w:rPr>
        <w:t>We</w:t>
      </w:r>
      <w:r w:rsidR="00121968" w:rsidRPr="00B568F3">
        <w:rPr>
          <w:rFonts w:ascii="Arial" w:eastAsia="Calibri" w:hAnsi="Arial" w:cs="Arial"/>
          <w:sz w:val="24"/>
          <w:szCs w:val="24"/>
        </w:rPr>
        <w:t xml:space="preserve"> </w:t>
      </w:r>
      <w:r w:rsidR="00DB55B7" w:rsidRPr="00B568F3">
        <w:rPr>
          <w:rFonts w:ascii="Arial" w:eastAsia="Calibri" w:hAnsi="Arial" w:cs="Arial"/>
          <w:sz w:val="24"/>
          <w:szCs w:val="24"/>
        </w:rPr>
        <w:t xml:space="preserve">plan to </w:t>
      </w:r>
      <w:r w:rsidR="00121968" w:rsidRPr="00B568F3">
        <w:rPr>
          <w:rFonts w:ascii="Arial" w:eastAsia="Calibri" w:hAnsi="Arial" w:cs="Arial"/>
          <w:sz w:val="24"/>
          <w:szCs w:val="24"/>
        </w:rPr>
        <w:t xml:space="preserve">explore </w:t>
      </w:r>
      <w:r w:rsidR="00E04DFC" w:rsidRPr="00B568F3">
        <w:rPr>
          <w:rFonts w:ascii="Arial" w:eastAsia="Calibri" w:hAnsi="Arial" w:cs="Arial"/>
          <w:sz w:val="24"/>
          <w:szCs w:val="24"/>
        </w:rPr>
        <w:t xml:space="preserve">how we can build a more detailed and fuller picture in future </w:t>
      </w:r>
      <w:r w:rsidR="00121968" w:rsidRPr="00B568F3">
        <w:rPr>
          <w:rFonts w:ascii="Arial" w:eastAsia="Calibri" w:hAnsi="Arial" w:cs="Arial"/>
          <w:sz w:val="24"/>
          <w:szCs w:val="24"/>
        </w:rPr>
        <w:t xml:space="preserve">with local authorities, regions and Welsh </w:t>
      </w:r>
      <w:r w:rsidR="006E12C9" w:rsidRPr="00B568F3">
        <w:rPr>
          <w:rFonts w:ascii="Arial" w:eastAsia="Calibri" w:hAnsi="Arial" w:cs="Arial"/>
          <w:sz w:val="24"/>
          <w:szCs w:val="24"/>
        </w:rPr>
        <w:t>Government.</w:t>
      </w:r>
      <w:r w:rsidR="00121968" w:rsidRPr="00B568F3">
        <w:rPr>
          <w:rFonts w:ascii="Arial" w:eastAsia="Calibri" w:hAnsi="Arial" w:cs="Arial"/>
          <w:sz w:val="24"/>
          <w:szCs w:val="24"/>
        </w:rPr>
        <w:t xml:space="preserve"> </w:t>
      </w:r>
    </w:p>
    <w:p w14:paraId="26A890D8" w14:textId="77777777" w:rsidR="00346AD7" w:rsidRPr="00B568F3" w:rsidRDefault="00346AD7" w:rsidP="005F5DAD">
      <w:pPr>
        <w:pStyle w:val="ListParagraph"/>
        <w:rPr>
          <w:rFonts w:ascii="Arial" w:eastAsia="Calibri" w:hAnsi="Arial" w:cs="Arial"/>
          <w:sz w:val="24"/>
          <w:szCs w:val="24"/>
        </w:rPr>
      </w:pPr>
    </w:p>
    <w:p w14:paraId="4E22BF39" w14:textId="1EAFD4FA" w:rsidR="005B549D" w:rsidRPr="00B568F3" w:rsidRDefault="00D902FE" w:rsidP="00724796">
      <w:pPr>
        <w:pStyle w:val="Heading3"/>
      </w:pPr>
      <w:r w:rsidRPr="00B568F3">
        <w:t xml:space="preserve">Monitoring the risk of higher investment in social work </w:t>
      </w:r>
    </w:p>
    <w:p w14:paraId="58536F45" w14:textId="77777777" w:rsidR="00B468BC" w:rsidRPr="00B568F3" w:rsidRDefault="00B468BC" w:rsidP="005B549D">
      <w:pPr>
        <w:spacing w:after="0" w:line="240" w:lineRule="auto"/>
        <w:rPr>
          <w:rFonts w:ascii="Arial" w:eastAsia="Calibri" w:hAnsi="Arial" w:cs="Arial"/>
          <w:sz w:val="24"/>
          <w:szCs w:val="24"/>
        </w:rPr>
      </w:pPr>
    </w:p>
    <w:p w14:paraId="0FDB35A6" w14:textId="5EEE393B" w:rsidR="005D2A15" w:rsidRPr="00B568F3" w:rsidRDefault="005B549D" w:rsidP="00632461">
      <w:pPr>
        <w:numPr>
          <w:ilvl w:val="0"/>
          <w:numId w:val="6"/>
        </w:numPr>
        <w:spacing w:after="200" w:line="276" w:lineRule="auto"/>
        <w:ind w:left="709" w:hanging="283"/>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Social work is </w:t>
      </w:r>
      <w:r w:rsidR="00F327C8" w:rsidRPr="00B568F3">
        <w:rPr>
          <w:rFonts w:ascii="Arial" w:eastAsia="Calibri" w:hAnsi="Arial" w:cs="Arial"/>
          <w:sz w:val="24"/>
          <w:szCs w:val="24"/>
          <w:lang w:eastAsia="en-GB"/>
        </w:rPr>
        <w:t>important,</w:t>
      </w:r>
      <w:r w:rsidRPr="00B568F3">
        <w:rPr>
          <w:rFonts w:ascii="Arial" w:eastAsia="Calibri" w:hAnsi="Arial" w:cs="Arial"/>
          <w:sz w:val="24"/>
          <w:szCs w:val="24"/>
          <w:lang w:eastAsia="en-GB"/>
        </w:rPr>
        <w:t xml:space="preserve"> and the sector </w:t>
      </w:r>
      <w:r w:rsidR="00716F87" w:rsidRPr="00B568F3">
        <w:rPr>
          <w:rFonts w:ascii="Arial" w:eastAsia="Calibri" w:hAnsi="Arial" w:cs="Arial"/>
          <w:sz w:val="24"/>
          <w:szCs w:val="24"/>
          <w:lang w:eastAsia="en-GB"/>
        </w:rPr>
        <w:t>can’t function</w:t>
      </w:r>
      <w:r w:rsidRPr="00B568F3">
        <w:rPr>
          <w:rFonts w:ascii="Arial" w:eastAsia="Calibri" w:hAnsi="Arial" w:cs="Arial"/>
          <w:sz w:val="24"/>
          <w:szCs w:val="24"/>
          <w:lang w:eastAsia="en-GB"/>
        </w:rPr>
        <w:t xml:space="preserve"> without </w:t>
      </w:r>
      <w:r w:rsidR="00CC7235" w:rsidRPr="00B568F3">
        <w:rPr>
          <w:rFonts w:ascii="Arial" w:eastAsia="Calibri" w:hAnsi="Arial" w:cs="Arial"/>
          <w:sz w:val="24"/>
          <w:szCs w:val="24"/>
          <w:lang w:eastAsia="en-GB"/>
        </w:rPr>
        <w:t xml:space="preserve">the statutory role played by </w:t>
      </w:r>
      <w:r w:rsidR="00DA7C7F" w:rsidRPr="00B568F3">
        <w:rPr>
          <w:rFonts w:ascii="Arial" w:eastAsia="Calibri" w:hAnsi="Arial" w:cs="Arial"/>
          <w:sz w:val="24"/>
          <w:szCs w:val="24"/>
          <w:lang w:eastAsia="en-GB"/>
        </w:rPr>
        <w:t>social workers to support adults, children and families</w:t>
      </w:r>
      <w:r w:rsidRPr="00B568F3">
        <w:rPr>
          <w:rFonts w:ascii="Arial" w:eastAsia="Calibri" w:hAnsi="Arial" w:cs="Arial"/>
          <w:sz w:val="24"/>
          <w:szCs w:val="24"/>
          <w:lang w:eastAsia="en-GB"/>
        </w:rPr>
        <w:t xml:space="preserve">. </w:t>
      </w:r>
    </w:p>
    <w:p w14:paraId="6D2CD21A" w14:textId="77777777" w:rsidR="005D2A15" w:rsidRPr="00B568F3" w:rsidRDefault="005D2A15" w:rsidP="00B175BF">
      <w:pPr>
        <w:spacing w:after="200" w:line="276" w:lineRule="auto"/>
        <w:ind w:left="709"/>
        <w:contextualSpacing/>
        <w:rPr>
          <w:rFonts w:ascii="Arial" w:eastAsia="Calibri" w:hAnsi="Arial" w:cs="Arial"/>
          <w:sz w:val="24"/>
          <w:szCs w:val="24"/>
          <w:lang w:eastAsia="en-GB"/>
        </w:rPr>
      </w:pPr>
    </w:p>
    <w:p w14:paraId="6E16EE9A" w14:textId="2A5C93D0" w:rsidR="00A04E61" w:rsidRPr="00B568F3" w:rsidRDefault="006E12C9" w:rsidP="00632461">
      <w:pPr>
        <w:numPr>
          <w:ilvl w:val="0"/>
          <w:numId w:val="6"/>
        </w:numPr>
        <w:spacing w:after="200" w:line="276" w:lineRule="auto"/>
        <w:ind w:left="709" w:hanging="283"/>
        <w:contextualSpacing/>
        <w:rPr>
          <w:rFonts w:ascii="Arial" w:eastAsia="Calibri" w:hAnsi="Arial" w:cs="Arial"/>
          <w:sz w:val="24"/>
          <w:szCs w:val="24"/>
          <w:lang w:eastAsia="en-GB"/>
        </w:rPr>
      </w:pPr>
      <w:r w:rsidRPr="00B568F3">
        <w:rPr>
          <w:rFonts w:ascii="Arial" w:eastAsia="Calibri" w:hAnsi="Arial" w:cs="Arial"/>
          <w:sz w:val="24"/>
          <w:szCs w:val="24"/>
          <w:lang w:eastAsia="en-GB"/>
        </w:rPr>
        <w:t>But</w:t>
      </w:r>
      <w:r w:rsidR="005B549D" w:rsidRPr="00B568F3">
        <w:rPr>
          <w:rFonts w:ascii="Arial" w:eastAsia="Calibri" w:hAnsi="Arial" w:cs="Arial"/>
          <w:sz w:val="24"/>
          <w:szCs w:val="24"/>
          <w:lang w:eastAsia="en-GB"/>
        </w:rPr>
        <w:t xml:space="preserve"> there</w:t>
      </w:r>
      <w:r w:rsidR="00716F87" w:rsidRPr="00B568F3">
        <w:rPr>
          <w:rFonts w:ascii="Arial" w:eastAsia="Calibri" w:hAnsi="Arial" w:cs="Arial"/>
          <w:sz w:val="24"/>
          <w:szCs w:val="24"/>
          <w:lang w:eastAsia="en-GB"/>
        </w:rPr>
        <w:t>’</w:t>
      </w:r>
      <w:r w:rsidR="005B549D" w:rsidRPr="00B568F3">
        <w:rPr>
          <w:rFonts w:ascii="Arial" w:eastAsia="Calibri" w:hAnsi="Arial" w:cs="Arial"/>
          <w:sz w:val="24"/>
          <w:szCs w:val="24"/>
          <w:lang w:eastAsia="en-GB"/>
        </w:rPr>
        <w:t xml:space="preserve">s a risk that if more investment is being used from the SCWWDP </w:t>
      </w:r>
      <w:r w:rsidR="00D75B5E" w:rsidRPr="00B568F3">
        <w:rPr>
          <w:rFonts w:ascii="Arial" w:eastAsia="Calibri" w:hAnsi="Arial" w:cs="Arial"/>
          <w:sz w:val="24"/>
          <w:szCs w:val="24"/>
          <w:lang w:eastAsia="en-GB"/>
        </w:rPr>
        <w:t>grant</w:t>
      </w:r>
      <w:r w:rsidR="00CB6CB0" w:rsidRPr="00B568F3">
        <w:rPr>
          <w:rFonts w:ascii="Arial" w:eastAsia="Calibri" w:hAnsi="Arial" w:cs="Arial"/>
          <w:sz w:val="24"/>
          <w:szCs w:val="24"/>
          <w:lang w:eastAsia="en-GB"/>
        </w:rPr>
        <w:t xml:space="preserve"> </w:t>
      </w:r>
      <w:r w:rsidR="005B549D" w:rsidRPr="00B568F3">
        <w:rPr>
          <w:rFonts w:ascii="Arial" w:eastAsia="Calibri" w:hAnsi="Arial" w:cs="Arial"/>
          <w:sz w:val="24"/>
          <w:szCs w:val="24"/>
          <w:lang w:eastAsia="en-GB"/>
        </w:rPr>
        <w:t xml:space="preserve">to </w:t>
      </w:r>
      <w:r w:rsidR="00E4313E" w:rsidRPr="00B568F3">
        <w:rPr>
          <w:rFonts w:ascii="Arial" w:eastAsia="Calibri" w:hAnsi="Arial" w:cs="Arial"/>
          <w:sz w:val="24"/>
          <w:szCs w:val="24"/>
          <w:lang w:eastAsia="en-GB"/>
        </w:rPr>
        <w:t xml:space="preserve">make sure </w:t>
      </w:r>
      <w:r w:rsidR="005B549D" w:rsidRPr="00B568F3">
        <w:rPr>
          <w:rFonts w:ascii="Arial" w:eastAsia="Calibri" w:hAnsi="Arial" w:cs="Arial"/>
          <w:sz w:val="24"/>
          <w:szCs w:val="24"/>
          <w:lang w:eastAsia="en-GB"/>
        </w:rPr>
        <w:t xml:space="preserve">that we have the amount of social workers we need </w:t>
      </w:r>
      <w:r w:rsidR="00074167" w:rsidRPr="00B568F3">
        <w:rPr>
          <w:rFonts w:ascii="Arial" w:eastAsia="Calibri" w:hAnsi="Arial" w:cs="Arial"/>
          <w:sz w:val="24"/>
          <w:szCs w:val="24"/>
          <w:lang w:eastAsia="en-GB"/>
        </w:rPr>
        <w:t>now</w:t>
      </w:r>
      <w:r w:rsidR="00E76F65" w:rsidRPr="00B568F3">
        <w:rPr>
          <w:rFonts w:ascii="Arial" w:eastAsia="Calibri" w:hAnsi="Arial" w:cs="Arial"/>
          <w:sz w:val="24"/>
          <w:szCs w:val="24"/>
          <w:lang w:eastAsia="en-GB"/>
        </w:rPr>
        <w:t>, there could be</w:t>
      </w:r>
      <w:r w:rsidR="005B549D" w:rsidRPr="00B568F3">
        <w:rPr>
          <w:rFonts w:ascii="Arial" w:eastAsia="Calibri" w:hAnsi="Arial" w:cs="Arial"/>
          <w:sz w:val="24"/>
          <w:szCs w:val="24"/>
          <w:lang w:eastAsia="en-GB"/>
        </w:rPr>
        <w:t xml:space="preserve"> less investment in the non-social worker workforce</w:t>
      </w:r>
      <w:r w:rsidR="00531673" w:rsidRPr="00B568F3">
        <w:rPr>
          <w:rFonts w:ascii="Arial" w:eastAsia="Calibri" w:hAnsi="Arial" w:cs="Arial"/>
          <w:sz w:val="24"/>
          <w:szCs w:val="24"/>
          <w:lang w:eastAsia="en-GB"/>
        </w:rPr>
        <w:t xml:space="preserve"> in the future</w:t>
      </w:r>
      <w:r w:rsidR="005B549D" w:rsidRPr="00B568F3">
        <w:rPr>
          <w:rFonts w:ascii="Arial" w:eastAsia="Calibri" w:hAnsi="Arial" w:cs="Arial"/>
          <w:sz w:val="24"/>
          <w:szCs w:val="24"/>
          <w:lang w:eastAsia="en-GB"/>
        </w:rPr>
        <w:t xml:space="preserve">. </w:t>
      </w:r>
    </w:p>
    <w:p w14:paraId="73AC0F4B" w14:textId="77777777" w:rsidR="00A04E61" w:rsidRPr="00B568F3" w:rsidRDefault="00A04E61" w:rsidP="00B175BF">
      <w:pPr>
        <w:spacing w:after="200" w:line="276" w:lineRule="auto"/>
        <w:ind w:left="709"/>
        <w:contextualSpacing/>
        <w:rPr>
          <w:rFonts w:ascii="Arial" w:eastAsia="Calibri" w:hAnsi="Arial" w:cs="Arial"/>
          <w:sz w:val="24"/>
          <w:szCs w:val="24"/>
          <w:lang w:eastAsia="en-GB"/>
        </w:rPr>
      </w:pPr>
    </w:p>
    <w:p w14:paraId="4C20F5D0" w14:textId="4CF4EFC8" w:rsidR="005B549D" w:rsidRPr="00B568F3" w:rsidRDefault="002F5E7A" w:rsidP="00632461">
      <w:pPr>
        <w:numPr>
          <w:ilvl w:val="0"/>
          <w:numId w:val="6"/>
        </w:numPr>
        <w:spacing w:after="200" w:line="276" w:lineRule="auto"/>
        <w:ind w:left="709" w:hanging="283"/>
        <w:contextualSpacing/>
        <w:rPr>
          <w:rFonts w:ascii="Arial" w:eastAsia="Calibri" w:hAnsi="Arial" w:cs="Arial"/>
          <w:sz w:val="24"/>
          <w:szCs w:val="24"/>
          <w:lang w:eastAsia="en-GB"/>
        </w:rPr>
      </w:pPr>
      <w:r w:rsidRPr="00B568F3">
        <w:rPr>
          <w:rFonts w:ascii="Arial" w:eastAsia="Calibri" w:hAnsi="Arial" w:cs="Arial"/>
          <w:sz w:val="24"/>
          <w:szCs w:val="24"/>
          <w:lang w:eastAsia="en-GB"/>
        </w:rPr>
        <w:t>We</w:t>
      </w:r>
      <w:r w:rsidR="008E3379" w:rsidRPr="00B568F3">
        <w:rPr>
          <w:rFonts w:ascii="Arial" w:eastAsia="Calibri" w:hAnsi="Arial" w:cs="Arial"/>
          <w:sz w:val="24"/>
          <w:szCs w:val="24"/>
          <w:lang w:eastAsia="en-GB"/>
        </w:rPr>
        <w:t>’ll</w:t>
      </w:r>
      <w:r w:rsidRPr="00B568F3">
        <w:rPr>
          <w:rFonts w:ascii="Arial" w:eastAsia="Calibri" w:hAnsi="Arial" w:cs="Arial"/>
          <w:sz w:val="24"/>
          <w:szCs w:val="24"/>
          <w:lang w:eastAsia="en-GB"/>
        </w:rPr>
        <w:t xml:space="preserve"> monitor this risk </w:t>
      </w:r>
      <w:r w:rsidR="000D4574" w:rsidRPr="00B568F3">
        <w:rPr>
          <w:rFonts w:ascii="Arial" w:eastAsia="Calibri" w:hAnsi="Arial" w:cs="Arial"/>
          <w:sz w:val="24"/>
          <w:szCs w:val="24"/>
          <w:lang w:eastAsia="en-GB"/>
        </w:rPr>
        <w:t>and</w:t>
      </w:r>
      <w:r w:rsidRPr="00B568F3">
        <w:rPr>
          <w:rFonts w:ascii="Arial" w:eastAsia="Calibri" w:hAnsi="Arial" w:cs="Arial"/>
          <w:sz w:val="24"/>
          <w:szCs w:val="24"/>
          <w:lang w:eastAsia="en-GB"/>
        </w:rPr>
        <w:t xml:space="preserve"> strengthen the grant guidance</w:t>
      </w:r>
      <w:r w:rsidR="000B5616" w:rsidRPr="00B568F3">
        <w:rPr>
          <w:rFonts w:ascii="Arial" w:eastAsia="Calibri" w:hAnsi="Arial" w:cs="Arial"/>
          <w:sz w:val="24"/>
          <w:szCs w:val="24"/>
          <w:lang w:eastAsia="en-GB"/>
        </w:rPr>
        <w:t xml:space="preserve"> that would strengthen the </w:t>
      </w:r>
      <w:r w:rsidR="009D7950" w:rsidRPr="00B568F3">
        <w:rPr>
          <w:rFonts w:ascii="Arial" w:eastAsia="Calibri" w:hAnsi="Arial" w:cs="Arial"/>
          <w:sz w:val="24"/>
          <w:szCs w:val="24"/>
          <w:lang w:eastAsia="en-GB"/>
        </w:rPr>
        <w:t>financial reporting so</w:t>
      </w:r>
      <w:r w:rsidR="0014443A" w:rsidRPr="00B568F3">
        <w:rPr>
          <w:rFonts w:ascii="Arial" w:eastAsia="Calibri" w:hAnsi="Arial" w:cs="Arial"/>
          <w:sz w:val="24"/>
          <w:szCs w:val="24"/>
          <w:lang w:eastAsia="en-GB"/>
        </w:rPr>
        <w:t xml:space="preserve"> </w:t>
      </w:r>
      <w:r w:rsidR="006C369D" w:rsidRPr="00B568F3">
        <w:rPr>
          <w:rFonts w:ascii="Arial" w:eastAsia="Calibri" w:hAnsi="Arial" w:cs="Arial"/>
          <w:sz w:val="24"/>
          <w:szCs w:val="24"/>
          <w:lang w:eastAsia="en-GB"/>
        </w:rPr>
        <w:t>it’s clearer</w:t>
      </w:r>
      <w:r w:rsidR="0014443A" w:rsidRPr="00B568F3">
        <w:rPr>
          <w:rFonts w:ascii="Arial" w:eastAsia="Calibri" w:hAnsi="Arial" w:cs="Arial"/>
          <w:sz w:val="24"/>
          <w:szCs w:val="24"/>
          <w:lang w:eastAsia="en-GB"/>
        </w:rPr>
        <w:t xml:space="preserve"> how much is </w:t>
      </w:r>
      <w:r w:rsidR="009D7950" w:rsidRPr="00B568F3">
        <w:rPr>
          <w:rFonts w:ascii="Arial" w:eastAsia="Calibri" w:hAnsi="Arial" w:cs="Arial"/>
          <w:sz w:val="24"/>
          <w:szCs w:val="24"/>
          <w:lang w:eastAsia="en-GB"/>
        </w:rPr>
        <w:t>invest</w:t>
      </w:r>
      <w:r w:rsidR="0014443A" w:rsidRPr="00B568F3">
        <w:rPr>
          <w:rFonts w:ascii="Arial" w:eastAsia="Calibri" w:hAnsi="Arial" w:cs="Arial"/>
          <w:sz w:val="24"/>
          <w:szCs w:val="24"/>
          <w:lang w:eastAsia="en-GB"/>
        </w:rPr>
        <w:t>ed</w:t>
      </w:r>
      <w:r w:rsidR="009D7950" w:rsidRPr="00B568F3">
        <w:rPr>
          <w:rFonts w:ascii="Arial" w:eastAsia="Calibri" w:hAnsi="Arial" w:cs="Arial"/>
          <w:sz w:val="24"/>
          <w:szCs w:val="24"/>
          <w:lang w:eastAsia="en-GB"/>
        </w:rPr>
        <w:t xml:space="preserve"> in social work </w:t>
      </w:r>
      <w:r w:rsidR="003858B3" w:rsidRPr="00B568F3">
        <w:rPr>
          <w:rFonts w:ascii="Arial" w:eastAsia="Calibri" w:hAnsi="Arial" w:cs="Arial"/>
          <w:sz w:val="24"/>
          <w:szCs w:val="24"/>
          <w:lang w:eastAsia="en-GB"/>
        </w:rPr>
        <w:t>from the SCWWDP grant.</w:t>
      </w:r>
    </w:p>
    <w:p w14:paraId="610AD6F8" w14:textId="77777777" w:rsidR="003858B3" w:rsidRPr="00B568F3" w:rsidRDefault="003858B3" w:rsidP="003858B3">
      <w:pPr>
        <w:spacing w:after="200" w:line="276" w:lineRule="auto"/>
        <w:contextualSpacing/>
        <w:rPr>
          <w:rFonts w:ascii="Arial" w:eastAsia="Calibri" w:hAnsi="Arial" w:cs="Arial"/>
          <w:sz w:val="24"/>
          <w:szCs w:val="24"/>
          <w:lang w:eastAsia="en-GB"/>
        </w:rPr>
      </w:pPr>
    </w:p>
    <w:p w14:paraId="174ECA63" w14:textId="225095AB" w:rsidR="003858B3" w:rsidRPr="00B568F3" w:rsidRDefault="003858B3" w:rsidP="00724796">
      <w:pPr>
        <w:pStyle w:val="Heading3"/>
        <w:rPr>
          <w:lang w:eastAsia="en-GB"/>
        </w:rPr>
      </w:pPr>
      <w:r w:rsidRPr="00B568F3">
        <w:rPr>
          <w:lang w:eastAsia="en-GB"/>
        </w:rPr>
        <w:t>Strengthening grant guidance</w:t>
      </w:r>
    </w:p>
    <w:p w14:paraId="27830FFF" w14:textId="77777777" w:rsidR="005B549D" w:rsidRPr="00B568F3" w:rsidRDefault="005B549D" w:rsidP="005B549D">
      <w:pPr>
        <w:spacing w:after="200" w:line="276" w:lineRule="auto"/>
        <w:ind w:left="709"/>
        <w:contextualSpacing/>
        <w:rPr>
          <w:rFonts w:ascii="Arial" w:eastAsia="Calibri" w:hAnsi="Arial" w:cs="Arial"/>
          <w:sz w:val="24"/>
          <w:szCs w:val="24"/>
          <w:lang w:eastAsia="en-GB"/>
        </w:rPr>
      </w:pPr>
    </w:p>
    <w:p w14:paraId="477BD248" w14:textId="6E77DCED" w:rsidR="00F01259" w:rsidRPr="00B568F3" w:rsidRDefault="009D632A" w:rsidP="00632461">
      <w:pPr>
        <w:numPr>
          <w:ilvl w:val="0"/>
          <w:numId w:val="6"/>
        </w:numPr>
        <w:spacing w:after="200" w:line="276" w:lineRule="auto"/>
        <w:ind w:left="709" w:hanging="283"/>
        <w:contextualSpacing/>
        <w:rPr>
          <w:rFonts w:ascii="Arial" w:eastAsia="Calibri" w:hAnsi="Arial" w:cs="Arial"/>
          <w:sz w:val="24"/>
          <w:szCs w:val="24"/>
          <w:lang w:eastAsia="en-GB"/>
        </w:rPr>
      </w:pPr>
      <w:r w:rsidRPr="00B568F3">
        <w:rPr>
          <w:rFonts w:ascii="Arial" w:eastAsia="Calibri" w:hAnsi="Arial" w:cs="Arial"/>
          <w:sz w:val="24"/>
          <w:szCs w:val="24"/>
          <w:lang w:eastAsia="en-GB"/>
        </w:rPr>
        <w:t xml:space="preserve">Workforce development managers recently </w:t>
      </w:r>
      <w:r w:rsidR="006936C3" w:rsidRPr="00B568F3">
        <w:rPr>
          <w:rFonts w:ascii="Arial" w:eastAsia="Calibri" w:hAnsi="Arial" w:cs="Arial"/>
          <w:sz w:val="24"/>
          <w:szCs w:val="24"/>
          <w:lang w:eastAsia="en-GB"/>
        </w:rPr>
        <w:t>told us</w:t>
      </w:r>
      <w:r w:rsidRPr="00B568F3">
        <w:rPr>
          <w:rFonts w:ascii="Arial" w:eastAsia="Calibri" w:hAnsi="Arial" w:cs="Arial"/>
          <w:sz w:val="24"/>
          <w:szCs w:val="24"/>
          <w:lang w:eastAsia="en-GB"/>
        </w:rPr>
        <w:t xml:space="preserve"> that the grant guidelines could be</w:t>
      </w:r>
      <w:r w:rsidR="00C81328" w:rsidRPr="00B568F3">
        <w:rPr>
          <w:rFonts w:ascii="Arial" w:eastAsia="Calibri" w:hAnsi="Arial" w:cs="Arial"/>
          <w:sz w:val="24"/>
          <w:szCs w:val="24"/>
          <w:lang w:eastAsia="en-GB"/>
        </w:rPr>
        <w:t xml:space="preserve"> </w:t>
      </w:r>
      <w:r w:rsidR="00341F1C" w:rsidRPr="00B568F3">
        <w:rPr>
          <w:rFonts w:ascii="Arial" w:eastAsia="Calibri" w:hAnsi="Arial" w:cs="Arial"/>
          <w:sz w:val="24"/>
          <w:szCs w:val="24"/>
          <w:lang w:eastAsia="en-GB"/>
        </w:rPr>
        <w:t xml:space="preserve">made clearer </w:t>
      </w:r>
      <w:r w:rsidR="0048320C" w:rsidRPr="00B568F3">
        <w:rPr>
          <w:rFonts w:ascii="Arial" w:eastAsia="Calibri" w:hAnsi="Arial" w:cs="Arial"/>
          <w:sz w:val="24"/>
          <w:szCs w:val="24"/>
          <w:lang w:eastAsia="en-GB"/>
        </w:rPr>
        <w:t>when reporting</w:t>
      </w:r>
      <w:r w:rsidR="00795197" w:rsidRPr="00B568F3">
        <w:rPr>
          <w:rFonts w:ascii="Arial" w:eastAsia="Calibri" w:hAnsi="Arial" w:cs="Arial"/>
          <w:sz w:val="24"/>
          <w:szCs w:val="24"/>
          <w:lang w:eastAsia="en-GB"/>
        </w:rPr>
        <w:t xml:space="preserve"> on elements under each national </w:t>
      </w:r>
      <w:r w:rsidR="00446F85" w:rsidRPr="00B568F3">
        <w:rPr>
          <w:rFonts w:ascii="Arial" w:eastAsia="Calibri" w:hAnsi="Arial" w:cs="Arial"/>
          <w:sz w:val="24"/>
          <w:szCs w:val="24"/>
          <w:lang w:eastAsia="en-GB"/>
        </w:rPr>
        <w:t>priority</w:t>
      </w:r>
      <w:r w:rsidR="00601392" w:rsidRPr="00B568F3">
        <w:rPr>
          <w:rFonts w:ascii="Arial" w:eastAsia="Calibri" w:hAnsi="Arial" w:cs="Arial"/>
          <w:sz w:val="24"/>
          <w:szCs w:val="24"/>
          <w:lang w:eastAsia="en-GB"/>
        </w:rPr>
        <w:t>, as</w:t>
      </w:r>
      <w:r w:rsidR="00446F85" w:rsidRPr="00B568F3">
        <w:rPr>
          <w:rFonts w:ascii="Arial" w:eastAsia="Calibri" w:hAnsi="Arial" w:cs="Arial"/>
          <w:sz w:val="24"/>
          <w:szCs w:val="24"/>
          <w:lang w:eastAsia="en-GB"/>
        </w:rPr>
        <w:t xml:space="preserve"> </w:t>
      </w:r>
      <w:r w:rsidR="00601392" w:rsidRPr="00B568F3">
        <w:rPr>
          <w:rFonts w:ascii="Arial" w:eastAsia="Calibri" w:hAnsi="Arial" w:cs="Arial"/>
          <w:sz w:val="24"/>
          <w:szCs w:val="24"/>
          <w:lang w:eastAsia="en-GB"/>
        </w:rPr>
        <w:t>t</w:t>
      </w:r>
      <w:r w:rsidR="00816A8F" w:rsidRPr="00B568F3">
        <w:rPr>
          <w:rFonts w:ascii="Arial" w:eastAsia="Calibri" w:hAnsi="Arial" w:cs="Arial"/>
          <w:sz w:val="24"/>
          <w:szCs w:val="24"/>
          <w:lang w:eastAsia="en-GB"/>
        </w:rPr>
        <w:t>here are</w:t>
      </w:r>
      <w:r w:rsidR="004B0EE0" w:rsidRPr="00B568F3">
        <w:rPr>
          <w:rFonts w:ascii="Arial" w:eastAsia="Calibri" w:hAnsi="Arial" w:cs="Arial"/>
          <w:sz w:val="24"/>
          <w:szCs w:val="24"/>
          <w:lang w:eastAsia="en-GB"/>
        </w:rPr>
        <w:t xml:space="preserve"> currently different interpretations of reporting by local authorities</w:t>
      </w:r>
      <w:r w:rsidR="00B360BA" w:rsidRPr="00B568F3">
        <w:rPr>
          <w:rFonts w:ascii="Arial" w:eastAsia="Calibri" w:hAnsi="Arial" w:cs="Arial"/>
          <w:sz w:val="24"/>
          <w:szCs w:val="24"/>
          <w:lang w:eastAsia="en-GB"/>
        </w:rPr>
        <w:t xml:space="preserve">. </w:t>
      </w:r>
    </w:p>
    <w:p w14:paraId="3427EBA0" w14:textId="77777777" w:rsidR="0059388B" w:rsidRPr="00B568F3" w:rsidRDefault="0059388B" w:rsidP="007E7FA3">
      <w:pPr>
        <w:spacing w:after="200" w:line="276" w:lineRule="auto"/>
        <w:ind w:left="709"/>
        <w:contextualSpacing/>
        <w:rPr>
          <w:rFonts w:ascii="Arial" w:eastAsia="Calibri" w:hAnsi="Arial" w:cs="Arial"/>
          <w:sz w:val="24"/>
          <w:szCs w:val="24"/>
          <w:lang w:eastAsia="en-GB"/>
        </w:rPr>
      </w:pPr>
    </w:p>
    <w:p w14:paraId="6A095E89" w14:textId="0037EDDC" w:rsidR="005B549D" w:rsidRPr="00B568F3" w:rsidRDefault="00B4731B" w:rsidP="00632461">
      <w:pPr>
        <w:numPr>
          <w:ilvl w:val="0"/>
          <w:numId w:val="6"/>
        </w:numPr>
        <w:spacing w:after="0" w:line="276" w:lineRule="auto"/>
        <w:ind w:left="709" w:hanging="283"/>
        <w:contextualSpacing/>
        <w:rPr>
          <w:rFonts w:ascii="Arial" w:eastAsia="Calibri" w:hAnsi="Arial" w:cs="Arial"/>
          <w:sz w:val="24"/>
          <w:szCs w:val="24"/>
          <w:lang w:eastAsia="en-GB"/>
        </w:rPr>
      </w:pPr>
      <w:r w:rsidRPr="00B568F3">
        <w:rPr>
          <w:rFonts w:ascii="Arial" w:eastAsia="Calibri" w:hAnsi="Arial" w:cs="Arial"/>
          <w:sz w:val="24"/>
          <w:szCs w:val="24"/>
          <w:lang w:eastAsia="en-GB"/>
        </w:rPr>
        <w:t>We</w:t>
      </w:r>
      <w:r w:rsidR="0014443A" w:rsidRPr="00B568F3">
        <w:rPr>
          <w:rFonts w:ascii="Arial" w:eastAsia="Calibri" w:hAnsi="Arial" w:cs="Arial"/>
          <w:sz w:val="24"/>
          <w:szCs w:val="24"/>
          <w:lang w:eastAsia="en-GB"/>
        </w:rPr>
        <w:t>’ll</w:t>
      </w:r>
      <w:r w:rsidR="00434F8C" w:rsidRPr="00B568F3">
        <w:rPr>
          <w:rFonts w:ascii="Arial" w:eastAsia="Calibri" w:hAnsi="Arial" w:cs="Arial"/>
          <w:sz w:val="24"/>
          <w:szCs w:val="24"/>
          <w:lang w:eastAsia="en-GB"/>
        </w:rPr>
        <w:t xml:space="preserve"> </w:t>
      </w:r>
      <w:r w:rsidR="005B549D" w:rsidRPr="00B568F3">
        <w:rPr>
          <w:rFonts w:ascii="Arial" w:eastAsia="Calibri" w:hAnsi="Arial" w:cs="Arial"/>
          <w:sz w:val="24"/>
          <w:szCs w:val="24"/>
          <w:lang w:eastAsia="en-GB"/>
        </w:rPr>
        <w:t>work to strengthen the grant guidance on this matter</w:t>
      </w:r>
      <w:r w:rsidR="00601392" w:rsidRPr="00B568F3">
        <w:rPr>
          <w:rFonts w:ascii="Arial" w:eastAsia="Calibri" w:hAnsi="Arial" w:cs="Arial"/>
          <w:sz w:val="24"/>
          <w:szCs w:val="24"/>
          <w:lang w:eastAsia="en-GB"/>
        </w:rPr>
        <w:t>,</w:t>
      </w:r>
      <w:r w:rsidR="005B549D" w:rsidRPr="00B568F3">
        <w:rPr>
          <w:rFonts w:ascii="Arial" w:eastAsia="Calibri" w:hAnsi="Arial" w:cs="Arial"/>
          <w:sz w:val="24"/>
          <w:szCs w:val="24"/>
          <w:lang w:eastAsia="en-GB"/>
        </w:rPr>
        <w:t xml:space="preserve"> with input from the </w:t>
      </w:r>
      <w:r w:rsidR="0083338D" w:rsidRPr="00B568F3">
        <w:rPr>
          <w:rFonts w:ascii="Arial" w:eastAsia="Calibri" w:hAnsi="Arial" w:cs="Arial"/>
          <w:sz w:val="24"/>
          <w:szCs w:val="24"/>
          <w:lang w:eastAsia="en-GB"/>
        </w:rPr>
        <w:t>workforce development</w:t>
      </w:r>
      <w:r w:rsidR="005B549D" w:rsidRPr="00B568F3">
        <w:rPr>
          <w:rFonts w:ascii="Arial" w:eastAsia="Calibri" w:hAnsi="Arial" w:cs="Arial"/>
          <w:sz w:val="24"/>
          <w:szCs w:val="24"/>
          <w:lang w:eastAsia="en-GB"/>
        </w:rPr>
        <w:t xml:space="preserve"> managers. </w:t>
      </w:r>
    </w:p>
    <w:p w14:paraId="6EEEB1DB" w14:textId="77777777" w:rsidR="00A3409E" w:rsidRPr="00B568F3" w:rsidRDefault="00A3409E" w:rsidP="00A3409E">
      <w:pPr>
        <w:pStyle w:val="ListParagraph"/>
        <w:spacing w:after="0"/>
        <w:rPr>
          <w:rFonts w:ascii="Arial" w:eastAsia="Calibri" w:hAnsi="Arial" w:cs="Arial"/>
          <w:sz w:val="24"/>
          <w:szCs w:val="24"/>
          <w:lang w:eastAsia="en-GB"/>
        </w:rPr>
      </w:pPr>
    </w:p>
    <w:p w14:paraId="5C6738AA" w14:textId="467059C9" w:rsidR="00273316" w:rsidRPr="00B568F3" w:rsidRDefault="00E30E85" w:rsidP="00724796">
      <w:pPr>
        <w:pStyle w:val="Heading3"/>
      </w:pPr>
      <w:r w:rsidRPr="00B568F3">
        <w:t xml:space="preserve">Training take-up and attendance </w:t>
      </w:r>
      <w:r w:rsidR="008569D2" w:rsidRPr="00B568F3">
        <w:t>by</w:t>
      </w:r>
      <w:r w:rsidRPr="00B568F3">
        <w:t xml:space="preserve"> sector profile</w:t>
      </w:r>
    </w:p>
    <w:p w14:paraId="5F5346FD" w14:textId="77777777" w:rsidR="00A3409E" w:rsidRPr="00B568F3" w:rsidRDefault="00A3409E" w:rsidP="00A3409E">
      <w:pPr>
        <w:spacing w:after="0"/>
        <w:rPr>
          <w:rFonts w:ascii="Arial" w:hAnsi="Arial" w:cs="Arial"/>
          <w:sz w:val="24"/>
          <w:szCs w:val="24"/>
          <w:u w:val="single"/>
        </w:rPr>
      </w:pPr>
    </w:p>
    <w:p w14:paraId="5535753B" w14:textId="0C4E0437" w:rsidR="00D2104A" w:rsidRPr="00B568F3" w:rsidRDefault="00CB2AAE" w:rsidP="00632461">
      <w:pPr>
        <w:numPr>
          <w:ilvl w:val="0"/>
          <w:numId w:val="6"/>
        </w:numPr>
        <w:spacing w:after="200" w:line="276" w:lineRule="auto"/>
        <w:ind w:left="709" w:hanging="283"/>
        <w:contextualSpacing/>
        <w:rPr>
          <w:rFonts w:ascii="Arial" w:eastAsia="Calibri" w:hAnsi="Arial" w:cs="Arial"/>
          <w:sz w:val="24"/>
          <w:szCs w:val="24"/>
          <w:lang w:eastAsia="en-GB"/>
        </w:rPr>
      </w:pPr>
      <w:r w:rsidRPr="00B568F3">
        <w:rPr>
          <w:rFonts w:ascii="Arial" w:eastAsia="Calibri" w:hAnsi="Arial" w:cs="Arial"/>
          <w:sz w:val="24"/>
          <w:szCs w:val="24"/>
          <w:lang w:eastAsia="en-GB"/>
        </w:rPr>
        <w:t>For</w:t>
      </w:r>
      <w:r w:rsidR="005178B3" w:rsidRPr="00B568F3">
        <w:rPr>
          <w:rFonts w:ascii="Arial" w:eastAsia="Calibri" w:hAnsi="Arial" w:cs="Arial"/>
          <w:sz w:val="24"/>
          <w:szCs w:val="24"/>
          <w:lang w:eastAsia="en-GB"/>
        </w:rPr>
        <w:t xml:space="preserve"> the last three years </w:t>
      </w:r>
      <w:r w:rsidR="007666BD" w:rsidRPr="00B568F3">
        <w:rPr>
          <w:rFonts w:ascii="Arial" w:eastAsia="Calibri" w:hAnsi="Arial" w:cs="Arial"/>
          <w:sz w:val="24"/>
          <w:szCs w:val="24"/>
          <w:lang w:eastAsia="en-GB"/>
        </w:rPr>
        <w:t xml:space="preserve">the statutory sector has accounted for </w:t>
      </w:r>
      <w:r w:rsidR="00EC713E" w:rsidRPr="00B568F3">
        <w:rPr>
          <w:rFonts w:ascii="Arial" w:eastAsia="Calibri" w:hAnsi="Arial" w:cs="Arial"/>
          <w:sz w:val="24"/>
          <w:szCs w:val="24"/>
          <w:lang w:eastAsia="en-GB"/>
        </w:rPr>
        <w:t>most of</w:t>
      </w:r>
      <w:r w:rsidR="00F1150D" w:rsidRPr="00B568F3">
        <w:rPr>
          <w:rFonts w:ascii="Arial" w:eastAsia="Calibri" w:hAnsi="Arial" w:cs="Arial"/>
          <w:sz w:val="24"/>
          <w:szCs w:val="24"/>
          <w:lang w:eastAsia="en-GB"/>
        </w:rPr>
        <w:t xml:space="preserve"> the</w:t>
      </w:r>
      <w:r w:rsidR="005178B3" w:rsidRPr="00B568F3">
        <w:rPr>
          <w:rFonts w:ascii="Arial" w:eastAsia="Calibri" w:hAnsi="Arial" w:cs="Arial"/>
          <w:sz w:val="24"/>
          <w:szCs w:val="24"/>
          <w:lang w:eastAsia="en-GB"/>
        </w:rPr>
        <w:t xml:space="preserve"> training places booked and attended. This is</w:t>
      </w:r>
      <w:r w:rsidR="0000058A" w:rsidRPr="00B568F3">
        <w:rPr>
          <w:rFonts w:ascii="Arial" w:eastAsia="Calibri" w:hAnsi="Arial" w:cs="Arial"/>
          <w:sz w:val="24"/>
          <w:szCs w:val="24"/>
          <w:lang w:eastAsia="en-GB"/>
        </w:rPr>
        <w:t>n’t</w:t>
      </w:r>
      <w:r w:rsidR="00A57E94" w:rsidRPr="00B568F3">
        <w:rPr>
          <w:rFonts w:ascii="Arial" w:eastAsia="Calibri" w:hAnsi="Arial" w:cs="Arial"/>
          <w:sz w:val="24"/>
          <w:szCs w:val="24"/>
          <w:lang w:eastAsia="en-GB"/>
        </w:rPr>
        <w:t xml:space="preserve"> proportion</w:t>
      </w:r>
      <w:r w:rsidR="007666BD" w:rsidRPr="00B568F3">
        <w:rPr>
          <w:rFonts w:ascii="Arial" w:eastAsia="Calibri" w:hAnsi="Arial" w:cs="Arial"/>
          <w:sz w:val="24"/>
          <w:szCs w:val="24"/>
          <w:lang w:eastAsia="en-GB"/>
        </w:rPr>
        <w:t>al, as</w:t>
      </w:r>
      <w:r w:rsidR="005178B3" w:rsidRPr="00B568F3">
        <w:rPr>
          <w:rFonts w:ascii="Arial" w:eastAsia="Calibri" w:hAnsi="Arial" w:cs="Arial"/>
          <w:sz w:val="24"/>
          <w:szCs w:val="24"/>
          <w:lang w:eastAsia="en-GB"/>
        </w:rPr>
        <w:t xml:space="preserve"> 63</w:t>
      </w:r>
      <w:r w:rsidR="00A57E94" w:rsidRPr="00B568F3">
        <w:rPr>
          <w:rFonts w:ascii="Arial" w:eastAsia="Calibri" w:hAnsi="Arial" w:cs="Arial"/>
          <w:sz w:val="24"/>
          <w:szCs w:val="24"/>
          <w:lang w:eastAsia="en-GB"/>
        </w:rPr>
        <w:t xml:space="preserve"> per cent</w:t>
      </w:r>
      <w:r w:rsidR="005178B3" w:rsidRPr="00B568F3">
        <w:rPr>
          <w:rFonts w:ascii="Arial" w:eastAsia="Calibri" w:hAnsi="Arial" w:cs="Arial"/>
          <w:sz w:val="24"/>
          <w:szCs w:val="24"/>
          <w:lang w:eastAsia="en-GB"/>
        </w:rPr>
        <w:t xml:space="preserve"> of the estimated social care workforce in Wales work for commissioned</w:t>
      </w:r>
      <w:r w:rsidR="000D61DB" w:rsidRPr="00B568F3">
        <w:rPr>
          <w:rFonts w:ascii="Arial" w:eastAsia="Calibri" w:hAnsi="Arial" w:cs="Arial"/>
          <w:sz w:val="24"/>
          <w:szCs w:val="24"/>
          <w:lang w:eastAsia="en-GB"/>
        </w:rPr>
        <w:t xml:space="preserve"> </w:t>
      </w:r>
      <w:r w:rsidR="005178B3" w:rsidRPr="00B568F3">
        <w:rPr>
          <w:rFonts w:ascii="Arial" w:eastAsia="Calibri" w:hAnsi="Arial" w:cs="Arial"/>
          <w:sz w:val="24"/>
          <w:szCs w:val="24"/>
          <w:lang w:eastAsia="en-GB"/>
        </w:rPr>
        <w:t>providers.</w:t>
      </w:r>
    </w:p>
    <w:p w14:paraId="53F1E46F" w14:textId="77777777" w:rsidR="00CE2CA7" w:rsidRPr="00B568F3" w:rsidRDefault="00CE2CA7" w:rsidP="00CE2CA7">
      <w:pPr>
        <w:spacing w:after="200" w:line="276" w:lineRule="auto"/>
        <w:ind w:left="709"/>
        <w:contextualSpacing/>
        <w:rPr>
          <w:rFonts w:ascii="Arial" w:eastAsia="Calibri" w:hAnsi="Arial" w:cs="Arial"/>
          <w:sz w:val="24"/>
          <w:szCs w:val="24"/>
          <w:lang w:eastAsia="en-GB"/>
        </w:rPr>
      </w:pPr>
    </w:p>
    <w:p w14:paraId="35949DA4" w14:textId="23C20AB9" w:rsidR="00CE64CB" w:rsidRPr="00B568F3" w:rsidRDefault="00235806" w:rsidP="00632461">
      <w:pPr>
        <w:numPr>
          <w:ilvl w:val="0"/>
          <w:numId w:val="6"/>
        </w:numPr>
        <w:spacing w:after="0" w:line="276" w:lineRule="auto"/>
        <w:ind w:left="709" w:hanging="283"/>
        <w:contextualSpacing/>
        <w:rPr>
          <w:rFonts w:ascii="Arial" w:eastAsia="Calibri" w:hAnsi="Arial" w:cs="Arial"/>
          <w:sz w:val="24"/>
          <w:szCs w:val="24"/>
          <w:lang w:eastAsia="en-GB"/>
        </w:rPr>
      </w:pPr>
      <w:r w:rsidRPr="00B568F3">
        <w:rPr>
          <w:rFonts w:ascii="Arial" w:eastAsia="Calibri" w:hAnsi="Arial" w:cs="Arial"/>
          <w:sz w:val="24"/>
          <w:szCs w:val="24"/>
          <w:lang w:eastAsia="en-GB"/>
        </w:rPr>
        <w:t>Training take-up and attendance</w:t>
      </w:r>
      <w:r w:rsidR="000D61DB" w:rsidRPr="00B568F3">
        <w:rPr>
          <w:rFonts w:ascii="Arial" w:eastAsia="Calibri" w:hAnsi="Arial" w:cs="Arial"/>
          <w:sz w:val="24"/>
          <w:szCs w:val="24"/>
          <w:lang w:eastAsia="en-GB"/>
        </w:rPr>
        <w:t xml:space="preserve"> </w:t>
      </w:r>
      <w:r w:rsidR="005178B3" w:rsidRPr="00B568F3">
        <w:rPr>
          <w:rFonts w:ascii="Arial" w:eastAsia="Calibri" w:hAnsi="Arial" w:cs="Arial"/>
          <w:sz w:val="24"/>
          <w:szCs w:val="24"/>
          <w:lang w:eastAsia="en-GB"/>
        </w:rPr>
        <w:t>has been an area of particular focus in the grant circular over the past few years</w:t>
      </w:r>
      <w:r w:rsidR="000D61DB" w:rsidRPr="00B568F3">
        <w:rPr>
          <w:rFonts w:ascii="Arial" w:eastAsia="Calibri" w:hAnsi="Arial" w:cs="Arial"/>
          <w:sz w:val="24"/>
          <w:szCs w:val="24"/>
          <w:lang w:eastAsia="en-GB"/>
        </w:rPr>
        <w:t>.</w:t>
      </w:r>
      <w:r w:rsidR="00DA5103" w:rsidRPr="00B568F3">
        <w:rPr>
          <w:rFonts w:ascii="Arial" w:eastAsia="Calibri" w:hAnsi="Arial" w:cs="Arial"/>
          <w:sz w:val="24"/>
          <w:szCs w:val="24"/>
          <w:lang w:eastAsia="en-GB"/>
        </w:rPr>
        <w:t xml:space="preserve"> </w:t>
      </w:r>
      <w:r w:rsidR="000D61DB" w:rsidRPr="00B568F3">
        <w:rPr>
          <w:rFonts w:ascii="Arial" w:eastAsia="Calibri" w:hAnsi="Arial" w:cs="Arial"/>
          <w:sz w:val="24"/>
          <w:szCs w:val="24"/>
          <w:lang w:eastAsia="en-GB"/>
        </w:rPr>
        <w:t>T</w:t>
      </w:r>
      <w:r w:rsidR="00DA5103" w:rsidRPr="00B568F3">
        <w:rPr>
          <w:rFonts w:ascii="Arial" w:eastAsia="Calibri" w:hAnsi="Arial" w:cs="Arial"/>
          <w:sz w:val="24"/>
          <w:szCs w:val="24"/>
          <w:lang w:eastAsia="en-GB"/>
        </w:rPr>
        <w:t xml:space="preserve">he data </w:t>
      </w:r>
      <w:r w:rsidR="008E3AA0" w:rsidRPr="00B568F3">
        <w:rPr>
          <w:rFonts w:ascii="Arial" w:eastAsia="Calibri" w:hAnsi="Arial" w:cs="Arial"/>
          <w:sz w:val="24"/>
          <w:szCs w:val="24"/>
          <w:lang w:eastAsia="en-GB"/>
        </w:rPr>
        <w:t>shows</w:t>
      </w:r>
      <w:r w:rsidR="00DA5103" w:rsidRPr="00B568F3">
        <w:rPr>
          <w:rFonts w:ascii="Arial" w:eastAsia="Calibri" w:hAnsi="Arial" w:cs="Arial"/>
          <w:sz w:val="24"/>
          <w:szCs w:val="24"/>
          <w:lang w:eastAsia="en-GB"/>
        </w:rPr>
        <w:t xml:space="preserve"> that </w:t>
      </w:r>
      <w:r w:rsidR="00551326" w:rsidRPr="00B568F3">
        <w:rPr>
          <w:rFonts w:ascii="Arial" w:eastAsia="Calibri" w:hAnsi="Arial" w:cs="Arial"/>
          <w:sz w:val="24"/>
          <w:szCs w:val="24"/>
          <w:lang w:eastAsia="en-GB"/>
        </w:rPr>
        <w:t xml:space="preserve">the shift towards </w:t>
      </w:r>
      <w:r w:rsidR="0000487D" w:rsidRPr="00B568F3">
        <w:rPr>
          <w:rFonts w:ascii="Arial" w:eastAsia="Calibri" w:hAnsi="Arial" w:cs="Arial"/>
          <w:sz w:val="24"/>
          <w:szCs w:val="24"/>
          <w:lang w:eastAsia="en-GB"/>
        </w:rPr>
        <w:t>training take-up and attendance</w:t>
      </w:r>
      <w:r w:rsidR="00AB762A" w:rsidRPr="00B568F3">
        <w:rPr>
          <w:rFonts w:ascii="Arial" w:eastAsia="Calibri" w:hAnsi="Arial" w:cs="Arial"/>
          <w:sz w:val="24"/>
          <w:szCs w:val="24"/>
          <w:lang w:eastAsia="en-GB"/>
        </w:rPr>
        <w:t xml:space="preserve"> by sector profile</w:t>
      </w:r>
      <w:r w:rsidR="0000487D" w:rsidRPr="00B568F3">
        <w:rPr>
          <w:rFonts w:ascii="Arial" w:eastAsia="Calibri" w:hAnsi="Arial" w:cs="Arial"/>
          <w:sz w:val="24"/>
          <w:szCs w:val="24"/>
          <w:lang w:eastAsia="en-GB"/>
        </w:rPr>
        <w:t xml:space="preserve"> has</w:t>
      </w:r>
      <w:r w:rsidR="00DA5103" w:rsidRPr="00B568F3">
        <w:rPr>
          <w:rFonts w:ascii="Arial" w:eastAsia="Calibri" w:hAnsi="Arial" w:cs="Arial"/>
          <w:sz w:val="24"/>
          <w:szCs w:val="24"/>
          <w:lang w:eastAsia="en-GB"/>
        </w:rPr>
        <w:t>n</w:t>
      </w:r>
      <w:r w:rsidR="00A2395D" w:rsidRPr="00B568F3">
        <w:rPr>
          <w:rFonts w:ascii="Arial" w:eastAsia="Calibri" w:hAnsi="Arial" w:cs="Arial"/>
          <w:sz w:val="24"/>
          <w:szCs w:val="24"/>
          <w:lang w:eastAsia="en-GB"/>
        </w:rPr>
        <w:t>’</w:t>
      </w:r>
      <w:r w:rsidR="00DA5103" w:rsidRPr="00B568F3">
        <w:rPr>
          <w:rFonts w:ascii="Arial" w:eastAsia="Calibri" w:hAnsi="Arial" w:cs="Arial"/>
          <w:sz w:val="24"/>
          <w:szCs w:val="24"/>
          <w:lang w:eastAsia="en-GB"/>
        </w:rPr>
        <w:t>t progress</w:t>
      </w:r>
      <w:r w:rsidR="0000487D" w:rsidRPr="00B568F3">
        <w:rPr>
          <w:rFonts w:ascii="Arial" w:eastAsia="Calibri" w:hAnsi="Arial" w:cs="Arial"/>
          <w:sz w:val="24"/>
          <w:szCs w:val="24"/>
          <w:lang w:eastAsia="en-GB"/>
        </w:rPr>
        <w:t xml:space="preserve">ed </w:t>
      </w:r>
      <w:r w:rsidR="00DA5103" w:rsidRPr="00B568F3">
        <w:rPr>
          <w:rFonts w:ascii="Arial" w:eastAsia="Calibri" w:hAnsi="Arial" w:cs="Arial"/>
          <w:sz w:val="24"/>
          <w:szCs w:val="24"/>
          <w:lang w:eastAsia="en-GB"/>
        </w:rPr>
        <w:t xml:space="preserve">as we </w:t>
      </w:r>
      <w:r w:rsidR="006A11B6" w:rsidRPr="00B568F3">
        <w:rPr>
          <w:rFonts w:ascii="Arial" w:eastAsia="Calibri" w:hAnsi="Arial" w:cs="Arial"/>
          <w:sz w:val="24"/>
          <w:szCs w:val="24"/>
          <w:lang w:eastAsia="en-GB"/>
        </w:rPr>
        <w:t>would’ve though</w:t>
      </w:r>
      <w:r w:rsidR="009F396F" w:rsidRPr="00B568F3">
        <w:rPr>
          <w:rFonts w:ascii="Arial" w:eastAsia="Calibri" w:hAnsi="Arial" w:cs="Arial"/>
          <w:sz w:val="24"/>
          <w:szCs w:val="24"/>
          <w:lang w:eastAsia="en-GB"/>
        </w:rPr>
        <w:t>t</w:t>
      </w:r>
      <w:r w:rsidR="00516DCE" w:rsidRPr="00B568F3">
        <w:rPr>
          <w:rFonts w:ascii="Arial" w:eastAsia="Calibri" w:hAnsi="Arial" w:cs="Arial"/>
          <w:sz w:val="24"/>
          <w:szCs w:val="24"/>
          <w:lang w:eastAsia="en-GB"/>
        </w:rPr>
        <w:t>, so we</w:t>
      </w:r>
      <w:r w:rsidR="009F396F" w:rsidRPr="00B568F3">
        <w:rPr>
          <w:rFonts w:ascii="Arial" w:eastAsia="Calibri" w:hAnsi="Arial" w:cs="Arial"/>
          <w:sz w:val="24"/>
          <w:szCs w:val="24"/>
          <w:lang w:eastAsia="en-GB"/>
        </w:rPr>
        <w:t>’ll be</w:t>
      </w:r>
      <w:r w:rsidR="00516DCE" w:rsidRPr="00B568F3">
        <w:rPr>
          <w:rFonts w:ascii="Arial" w:eastAsia="Calibri" w:hAnsi="Arial" w:cs="Arial"/>
          <w:sz w:val="24"/>
          <w:szCs w:val="24"/>
          <w:lang w:eastAsia="en-GB"/>
        </w:rPr>
        <w:t xml:space="preserve"> </w:t>
      </w:r>
      <w:r w:rsidR="005178B3" w:rsidRPr="00B568F3">
        <w:rPr>
          <w:rFonts w:ascii="Arial" w:eastAsia="Calibri" w:hAnsi="Arial" w:cs="Arial"/>
          <w:sz w:val="24"/>
          <w:szCs w:val="24"/>
          <w:lang w:eastAsia="en-GB"/>
        </w:rPr>
        <w:t>strengthen</w:t>
      </w:r>
      <w:r w:rsidR="00516DCE" w:rsidRPr="00B568F3">
        <w:rPr>
          <w:rFonts w:ascii="Arial" w:eastAsia="Calibri" w:hAnsi="Arial" w:cs="Arial"/>
          <w:sz w:val="24"/>
          <w:szCs w:val="24"/>
          <w:lang w:eastAsia="en-GB"/>
        </w:rPr>
        <w:t xml:space="preserve">ing the </w:t>
      </w:r>
      <w:r w:rsidR="005178B3" w:rsidRPr="00B568F3">
        <w:rPr>
          <w:rFonts w:ascii="Arial" w:eastAsia="Calibri" w:hAnsi="Arial" w:cs="Arial"/>
          <w:sz w:val="24"/>
          <w:szCs w:val="24"/>
          <w:lang w:eastAsia="en-GB"/>
        </w:rPr>
        <w:t>2025</w:t>
      </w:r>
      <w:r w:rsidR="006A11B6" w:rsidRPr="00B568F3">
        <w:rPr>
          <w:rFonts w:ascii="Arial" w:eastAsia="Calibri" w:hAnsi="Arial" w:cs="Arial"/>
          <w:sz w:val="24"/>
          <w:szCs w:val="24"/>
          <w:lang w:eastAsia="en-GB"/>
        </w:rPr>
        <w:t xml:space="preserve"> to </w:t>
      </w:r>
      <w:r w:rsidR="005178B3" w:rsidRPr="00B568F3">
        <w:rPr>
          <w:rFonts w:ascii="Arial" w:eastAsia="Calibri" w:hAnsi="Arial" w:cs="Arial"/>
          <w:sz w:val="24"/>
          <w:szCs w:val="24"/>
          <w:lang w:eastAsia="en-GB"/>
        </w:rPr>
        <w:t>2026 grant circular</w:t>
      </w:r>
      <w:r w:rsidR="00516DCE" w:rsidRPr="00B568F3">
        <w:rPr>
          <w:rFonts w:ascii="Arial" w:eastAsia="Calibri" w:hAnsi="Arial" w:cs="Arial"/>
          <w:sz w:val="24"/>
          <w:szCs w:val="24"/>
          <w:lang w:eastAsia="en-GB"/>
        </w:rPr>
        <w:t xml:space="preserve"> to </w:t>
      </w:r>
      <w:r w:rsidR="00CE2CA7" w:rsidRPr="00B568F3">
        <w:rPr>
          <w:rFonts w:ascii="Arial" w:eastAsia="Calibri" w:hAnsi="Arial" w:cs="Arial"/>
          <w:sz w:val="24"/>
          <w:szCs w:val="24"/>
          <w:lang w:eastAsia="en-GB"/>
        </w:rPr>
        <w:t xml:space="preserve">be more specific in terms of our expectations and monitoring </w:t>
      </w:r>
      <w:r w:rsidR="00513CA1" w:rsidRPr="00B568F3">
        <w:rPr>
          <w:rFonts w:ascii="Arial" w:eastAsia="Calibri" w:hAnsi="Arial" w:cs="Arial"/>
          <w:sz w:val="24"/>
          <w:szCs w:val="24"/>
          <w:lang w:eastAsia="en-GB"/>
        </w:rPr>
        <w:t>on this</w:t>
      </w:r>
      <w:r w:rsidR="005178B3" w:rsidRPr="00B568F3">
        <w:rPr>
          <w:rFonts w:ascii="Arial" w:eastAsia="Calibri" w:hAnsi="Arial" w:cs="Arial"/>
          <w:sz w:val="24"/>
          <w:szCs w:val="24"/>
          <w:lang w:eastAsia="en-GB"/>
        </w:rPr>
        <w:t>.</w:t>
      </w:r>
    </w:p>
    <w:p w14:paraId="747B9F55" w14:textId="77777777" w:rsidR="00CC5E14" w:rsidRPr="00B568F3" w:rsidRDefault="00CC5E14" w:rsidP="000C553D">
      <w:pPr>
        <w:spacing w:after="0" w:line="276" w:lineRule="auto"/>
        <w:contextualSpacing/>
        <w:rPr>
          <w:rFonts w:ascii="Arial" w:eastAsia="Calibri" w:hAnsi="Arial" w:cs="Arial"/>
          <w:sz w:val="24"/>
          <w:szCs w:val="24"/>
          <w:lang w:eastAsia="en-GB"/>
        </w:rPr>
      </w:pPr>
    </w:p>
    <w:p w14:paraId="01E28FDB" w14:textId="7BBD37B1" w:rsidR="00CE64CB" w:rsidRPr="00B568F3" w:rsidRDefault="00283484" w:rsidP="00632461">
      <w:pPr>
        <w:numPr>
          <w:ilvl w:val="0"/>
          <w:numId w:val="6"/>
        </w:numPr>
        <w:spacing w:after="200" w:line="276" w:lineRule="auto"/>
        <w:ind w:left="709" w:hanging="283"/>
        <w:contextualSpacing/>
        <w:rPr>
          <w:rFonts w:ascii="Arial" w:eastAsia="Calibri" w:hAnsi="Arial" w:cs="Arial"/>
          <w:sz w:val="24"/>
          <w:szCs w:val="24"/>
          <w:lang w:eastAsia="en-GB"/>
        </w:rPr>
      </w:pPr>
      <w:r w:rsidRPr="00B568F3">
        <w:rPr>
          <w:rFonts w:ascii="Arial" w:eastAsia="Calibri" w:hAnsi="Arial" w:cs="Arial"/>
          <w:sz w:val="24"/>
          <w:szCs w:val="24"/>
          <w:lang w:eastAsia="en-GB"/>
        </w:rPr>
        <w:t>T</w:t>
      </w:r>
      <w:r w:rsidR="00CE64CB" w:rsidRPr="00B568F3">
        <w:rPr>
          <w:rFonts w:ascii="Arial" w:eastAsia="Calibri" w:hAnsi="Arial" w:cs="Arial"/>
          <w:sz w:val="24"/>
          <w:szCs w:val="24"/>
          <w:lang w:eastAsia="en-GB"/>
        </w:rPr>
        <w:t xml:space="preserve">o </w:t>
      </w:r>
      <w:r w:rsidR="00BC76C1" w:rsidRPr="00B568F3">
        <w:rPr>
          <w:rFonts w:ascii="Arial" w:eastAsia="Calibri" w:hAnsi="Arial" w:cs="Arial"/>
          <w:sz w:val="24"/>
          <w:szCs w:val="24"/>
          <w:lang w:eastAsia="en-GB"/>
        </w:rPr>
        <w:t>make sure</w:t>
      </w:r>
      <w:r w:rsidR="00CE64CB" w:rsidRPr="00B568F3">
        <w:rPr>
          <w:rFonts w:ascii="Arial" w:eastAsia="Calibri" w:hAnsi="Arial" w:cs="Arial"/>
          <w:sz w:val="24"/>
          <w:szCs w:val="24"/>
          <w:lang w:eastAsia="en-GB"/>
        </w:rPr>
        <w:t xml:space="preserve"> </w:t>
      </w:r>
      <w:r w:rsidR="000D460F" w:rsidRPr="00B568F3">
        <w:rPr>
          <w:rFonts w:ascii="Arial" w:eastAsia="Calibri" w:hAnsi="Arial" w:cs="Arial"/>
          <w:sz w:val="24"/>
          <w:szCs w:val="24"/>
          <w:lang w:eastAsia="en-GB"/>
        </w:rPr>
        <w:t xml:space="preserve">the </w:t>
      </w:r>
      <w:r w:rsidR="00CE64CB" w:rsidRPr="00B568F3">
        <w:rPr>
          <w:rFonts w:ascii="Arial" w:eastAsia="Calibri" w:hAnsi="Arial" w:cs="Arial"/>
          <w:sz w:val="24"/>
          <w:szCs w:val="24"/>
          <w:lang w:eastAsia="en-GB"/>
        </w:rPr>
        <w:t xml:space="preserve">learning and development offer </w:t>
      </w:r>
      <w:r w:rsidR="000D460F" w:rsidRPr="00B568F3">
        <w:rPr>
          <w:rFonts w:ascii="Arial" w:eastAsia="Calibri" w:hAnsi="Arial" w:cs="Arial"/>
          <w:sz w:val="24"/>
          <w:szCs w:val="24"/>
          <w:lang w:eastAsia="en-GB"/>
        </w:rPr>
        <w:t xml:space="preserve">is </w:t>
      </w:r>
      <w:r w:rsidR="00CE64CB" w:rsidRPr="00B568F3">
        <w:rPr>
          <w:rFonts w:ascii="Arial" w:eastAsia="Calibri" w:hAnsi="Arial" w:cs="Arial"/>
          <w:sz w:val="24"/>
          <w:szCs w:val="24"/>
          <w:lang w:eastAsia="en-GB"/>
        </w:rPr>
        <w:t xml:space="preserve">available at </w:t>
      </w:r>
      <w:r w:rsidR="00513CA1" w:rsidRPr="00B568F3">
        <w:rPr>
          <w:rFonts w:ascii="Arial" w:eastAsia="Calibri" w:hAnsi="Arial" w:cs="Arial"/>
          <w:sz w:val="24"/>
          <w:szCs w:val="24"/>
          <w:lang w:eastAsia="en-GB"/>
        </w:rPr>
        <w:t>a</w:t>
      </w:r>
      <w:r w:rsidR="00CE64CB" w:rsidRPr="00B568F3">
        <w:rPr>
          <w:rFonts w:ascii="Arial" w:eastAsia="Calibri" w:hAnsi="Arial" w:cs="Arial"/>
          <w:sz w:val="24"/>
          <w:szCs w:val="24"/>
          <w:lang w:eastAsia="en-GB"/>
        </w:rPr>
        <w:t xml:space="preserve"> local level, </w:t>
      </w:r>
      <w:r w:rsidR="00456FDC" w:rsidRPr="00B568F3">
        <w:rPr>
          <w:rFonts w:ascii="Arial" w:eastAsia="Calibri" w:hAnsi="Arial" w:cs="Arial"/>
          <w:sz w:val="24"/>
          <w:szCs w:val="24"/>
          <w:lang w:eastAsia="en-GB"/>
        </w:rPr>
        <w:t>we’ll</w:t>
      </w:r>
      <w:r w:rsidR="00CE64CB" w:rsidRPr="00B568F3">
        <w:rPr>
          <w:rFonts w:ascii="Arial" w:eastAsia="Calibri" w:hAnsi="Arial" w:cs="Arial"/>
          <w:sz w:val="24"/>
          <w:szCs w:val="24"/>
          <w:lang w:eastAsia="en-GB"/>
        </w:rPr>
        <w:t xml:space="preserve"> </w:t>
      </w:r>
      <w:r w:rsidR="00997308" w:rsidRPr="00B568F3">
        <w:rPr>
          <w:rFonts w:ascii="Arial" w:eastAsia="Calibri" w:hAnsi="Arial" w:cs="Arial"/>
          <w:sz w:val="24"/>
          <w:szCs w:val="24"/>
          <w:lang w:eastAsia="en-GB"/>
        </w:rPr>
        <w:t xml:space="preserve">also </w:t>
      </w:r>
      <w:r w:rsidR="00CE64CB" w:rsidRPr="00B568F3">
        <w:rPr>
          <w:rFonts w:ascii="Arial" w:eastAsia="Calibri" w:hAnsi="Arial" w:cs="Arial"/>
          <w:sz w:val="24"/>
          <w:szCs w:val="24"/>
          <w:lang w:eastAsia="en-GB"/>
        </w:rPr>
        <w:t xml:space="preserve">work with local authorities </w:t>
      </w:r>
      <w:r w:rsidR="00456FDC" w:rsidRPr="00B568F3">
        <w:rPr>
          <w:rFonts w:ascii="Arial" w:eastAsia="Calibri" w:hAnsi="Arial" w:cs="Arial"/>
          <w:sz w:val="24"/>
          <w:szCs w:val="24"/>
          <w:lang w:eastAsia="en-GB"/>
        </w:rPr>
        <w:t xml:space="preserve">in </w:t>
      </w:r>
      <w:r w:rsidR="00CE64CB" w:rsidRPr="00B568F3">
        <w:rPr>
          <w:rFonts w:ascii="Arial" w:eastAsia="Calibri" w:hAnsi="Arial" w:cs="Arial"/>
          <w:sz w:val="24"/>
          <w:szCs w:val="24"/>
          <w:lang w:eastAsia="en-GB"/>
        </w:rPr>
        <w:t>the regions to see how we can nationally support communicati</w:t>
      </w:r>
      <w:r w:rsidR="00513CA1" w:rsidRPr="00B568F3">
        <w:rPr>
          <w:rFonts w:ascii="Arial" w:eastAsia="Calibri" w:hAnsi="Arial" w:cs="Arial"/>
          <w:sz w:val="24"/>
          <w:szCs w:val="24"/>
          <w:lang w:eastAsia="en-GB"/>
        </w:rPr>
        <w:t>ng</w:t>
      </w:r>
      <w:r w:rsidR="00CE64CB" w:rsidRPr="00B568F3">
        <w:rPr>
          <w:rFonts w:ascii="Arial" w:eastAsia="Calibri" w:hAnsi="Arial" w:cs="Arial"/>
          <w:sz w:val="24"/>
          <w:szCs w:val="24"/>
          <w:lang w:eastAsia="en-GB"/>
        </w:rPr>
        <w:t xml:space="preserve"> and publicising learning and development offers.  </w:t>
      </w:r>
    </w:p>
    <w:p w14:paraId="6E3C9C2B" w14:textId="77777777" w:rsidR="00CE64CB" w:rsidRPr="00B568F3" w:rsidRDefault="00CE64CB" w:rsidP="004A619A">
      <w:pPr>
        <w:spacing w:after="200" w:line="276" w:lineRule="auto"/>
        <w:ind w:left="709"/>
        <w:contextualSpacing/>
        <w:rPr>
          <w:rFonts w:ascii="Arial" w:eastAsia="Calibri" w:hAnsi="Arial" w:cs="Arial"/>
          <w:sz w:val="24"/>
          <w:szCs w:val="24"/>
          <w:lang w:eastAsia="en-GB"/>
        </w:rPr>
      </w:pPr>
    </w:p>
    <w:p w14:paraId="3A7FDCE9" w14:textId="378C94C9" w:rsidR="00273316" w:rsidRPr="00B568F3" w:rsidRDefault="00C20312" w:rsidP="00724796">
      <w:pPr>
        <w:pStyle w:val="Heading3"/>
      </w:pPr>
      <w:r w:rsidRPr="00B568F3">
        <w:t>Measuring impact</w:t>
      </w:r>
    </w:p>
    <w:p w14:paraId="68B1B5A2" w14:textId="77777777" w:rsidR="00A90414" w:rsidRPr="00B568F3" w:rsidRDefault="00A90414" w:rsidP="00142109">
      <w:pPr>
        <w:spacing w:after="0"/>
        <w:rPr>
          <w:rFonts w:ascii="Arial" w:hAnsi="Arial" w:cs="Arial"/>
          <w:sz w:val="24"/>
          <w:szCs w:val="24"/>
        </w:rPr>
      </w:pPr>
    </w:p>
    <w:p w14:paraId="594C2E02" w14:textId="56BF85C6" w:rsidR="001E2D17" w:rsidRPr="00B568F3" w:rsidRDefault="00273316"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As mentioned </w:t>
      </w:r>
      <w:r w:rsidR="005F48A5" w:rsidRPr="00B568F3">
        <w:rPr>
          <w:rFonts w:ascii="Arial" w:eastAsia="Calibri" w:hAnsi="Arial" w:cs="Arial"/>
          <w:sz w:val="24"/>
          <w:szCs w:val="24"/>
        </w:rPr>
        <w:t>before</w:t>
      </w:r>
      <w:r w:rsidR="00CC6026" w:rsidRPr="00B568F3">
        <w:rPr>
          <w:rFonts w:ascii="Arial" w:eastAsia="Calibri" w:hAnsi="Arial" w:cs="Arial"/>
          <w:sz w:val="24"/>
          <w:szCs w:val="24"/>
        </w:rPr>
        <w:t>, t</w:t>
      </w:r>
      <w:r w:rsidRPr="00B568F3">
        <w:rPr>
          <w:rFonts w:ascii="Arial" w:eastAsia="Calibri" w:hAnsi="Arial" w:cs="Arial"/>
          <w:sz w:val="24"/>
          <w:szCs w:val="24"/>
        </w:rPr>
        <w:t>he</w:t>
      </w:r>
      <w:r w:rsidR="00115DB9" w:rsidRPr="00B568F3">
        <w:rPr>
          <w:rFonts w:ascii="Arial" w:eastAsia="Calibri" w:hAnsi="Arial" w:cs="Arial"/>
          <w:sz w:val="24"/>
          <w:szCs w:val="24"/>
        </w:rPr>
        <w:t xml:space="preserve"> regions’</w:t>
      </w:r>
      <w:r w:rsidRPr="00B568F3">
        <w:rPr>
          <w:rFonts w:ascii="Arial" w:eastAsia="Calibri" w:hAnsi="Arial" w:cs="Arial"/>
          <w:sz w:val="24"/>
          <w:szCs w:val="24"/>
        </w:rPr>
        <w:t xml:space="preserve"> end-of-year reporting is </w:t>
      </w:r>
      <w:r w:rsidR="00CC22B8" w:rsidRPr="00B568F3">
        <w:rPr>
          <w:rFonts w:ascii="Arial" w:eastAsia="Calibri" w:hAnsi="Arial" w:cs="Arial"/>
          <w:sz w:val="24"/>
          <w:szCs w:val="24"/>
        </w:rPr>
        <w:t>mainly</w:t>
      </w:r>
      <w:r w:rsidRPr="00B568F3">
        <w:rPr>
          <w:rFonts w:ascii="Arial" w:eastAsia="Calibri" w:hAnsi="Arial" w:cs="Arial"/>
          <w:sz w:val="24"/>
          <w:szCs w:val="24"/>
        </w:rPr>
        <w:t xml:space="preserve"> a mixture of </w:t>
      </w:r>
      <w:r w:rsidR="00CC22B8" w:rsidRPr="00B568F3">
        <w:rPr>
          <w:rFonts w:ascii="Arial" w:eastAsia="Calibri" w:hAnsi="Arial" w:cs="Arial"/>
          <w:sz w:val="24"/>
          <w:szCs w:val="24"/>
        </w:rPr>
        <w:t>numbers and stories</w:t>
      </w:r>
      <w:r w:rsidR="00A0515A" w:rsidRPr="00B568F3">
        <w:rPr>
          <w:rFonts w:ascii="Arial" w:eastAsia="Calibri" w:hAnsi="Arial" w:cs="Arial"/>
          <w:sz w:val="24"/>
          <w:szCs w:val="24"/>
        </w:rPr>
        <w:t xml:space="preserve"> of the results</w:t>
      </w:r>
      <w:r w:rsidR="00513CA1" w:rsidRPr="00B568F3">
        <w:rPr>
          <w:rFonts w:ascii="Arial" w:eastAsia="Calibri" w:hAnsi="Arial" w:cs="Arial"/>
          <w:sz w:val="24"/>
          <w:szCs w:val="24"/>
        </w:rPr>
        <w:t>,</w:t>
      </w:r>
      <w:r w:rsidR="00A0515A" w:rsidRPr="00B568F3">
        <w:rPr>
          <w:rFonts w:ascii="Arial" w:eastAsia="Calibri" w:hAnsi="Arial" w:cs="Arial"/>
          <w:sz w:val="24"/>
          <w:szCs w:val="24"/>
        </w:rPr>
        <w:t xml:space="preserve"> </w:t>
      </w:r>
      <w:r w:rsidRPr="00B568F3">
        <w:rPr>
          <w:rFonts w:ascii="Arial" w:eastAsia="Calibri" w:hAnsi="Arial" w:cs="Arial"/>
          <w:sz w:val="24"/>
          <w:szCs w:val="24"/>
        </w:rPr>
        <w:t xml:space="preserve">which don’t necessarily </w:t>
      </w:r>
      <w:r w:rsidR="00364197" w:rsidRPr="00B568F3">
        <w:rPr>
          <w:rFonts w:ascii="Arial" w:eastAsia="Calibri" w:hAnsi="Arial" w:cs="Arial"/>
          <w:sz w:val="24"/>
          <w:szCs w:val="24"/>
        </w:rPr>
        <w:t>give</w:t>
      </w:r>
      <w:r w:rsidRPr="00B568F3">
        <w:rPr>
          <w:rFonts w:ascii="Arial" w:eastAsia="Calibri" w:hAnsi="Arial" w:cs="Arial"/>
          <w:sz w:val="24"/>
          <w:szCs w:val="24"/>
        </w:rPr>
        <w:t xml:space="preserve"> the full </w:t>
      </w:r>
      <w:r w:rsidR="00364197" w:rsidRPr="00B568F3">
        <w:rPr>
          <w:rFonts w:ascii="Arial" w:eastAsia="Calibri" w:hAnsi="Arial" w:cs="Arial"/>
          <w:sz w:val="24"/>
          <w:szCs w:val="24"/>
        </w:rPr>
        <w:t xml:space="preserve">picture </w:t>
      </w:r>
      <w:r w:rsidRPr="00B568F3">
        <w:rPr>
          <w:rFonts w:ascii="Arial" w:eastAsia="Calibri" w:hAnsi="Arial" w:cs="Arial"/>
          <w:sz w:val="24"/>
          <w:szCs w:val="24"/>
        </w:rPr>
        <w:t xml:space="preserve">of the difference the SCWWDP funding is making. </w:t>
      </w:r>
    </w:p>
    <w:p w14:paraId="5028C6AD" w14:textId="77777777" w:rsidR="00144EA2" w:rsidRPr="00B568F3" w:rsidRDefault="00144EA2" w:rsidP="00142109">
      <w:pPr>
        <w:spacing w:after="200" w:line="276" w:lineRule="auto"/>
        <w:ind w:left="567"/>
        <w:contextualSpacing/>
        <w:rPr>
          <w:rFonts w:ascii="Arial" w:eastAsia="Calibri" w:hAnsi="Arial" w:cs="Arial"/>
          <w:sz w:val="24"/>
          <w:szCs w:val="24"/>
        </w:rPr>
      </w:pPr>
    </w:p>
    <w:p w14:paraId="38669F8D" w14:textId="188F2432" w:rsidR="00A90414" w:rsidRPr="00B568F3" w:rsidRDefault="001E2D17"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 xml:space="preserve">During </w:t>
      </w:r>
      <w:r w:rsidR="00273316" w:rsidRPr="00B568F3">
        <w:rPr>
          <w:rFonts w:ascii="Arial" w:eastAsia="Calibri" w:hAnsi="Arial" w:cs="Arial"/>
          <w:sz w:val="24"/>
          <w:szCs w:val="24"/>
        </w:rPr>
        <w:t>2025</w:t>
      </w:r>
      <w:r w:rsidR="00A0515A" w:rsidRPr="00B568F3">
        <w:rPr>
          <w:rFonts w:ascii="Arial" w:eastAsia="Calibri" w:hAnsi="Arial" w:cs="Arial"/>
          <w:sz w:val="24"/>
          <w:szCs w:val="24"/>
        </w:rPr>
        <w:t xml:space="preserve"> to </w:t>
      </w:r>
      <w:r w:rsidR="00273316" w:rsidRPr="00B568F3">
        <w:rPr>
          <w:rFonts w:ascii="Arial" w:eastAsia="Calibri" w:hAnsi="Arial" w:cs="Arial"/>
          <w:sz w:val="24"/>
          <w:szCs w:val="24"/>
        </w:rPr>
        <w:t xml:space="preserve">2026, </w:t>
      </w:r>
      <w:r w:rsidRPr="00B568F3">
        <w:rPr>
          <w:rFonts w:ascii="Arial" w:eastAsia="Calibri" w:hAnsi="Arial" w:cs="Arial"/>
          <w:sz w:val="24"/>
          <w:szCs w:val="24"/>
        </w:rPr>
        <w:t>we</w:t>
      </w:r>
      <w:r w:rsidR="00364197" w:rsidRPr="00B568F3">
        <w:rPr>
          <w:rFonts w:ascii="Arial" w:eastAsia="Calibri" w:hAnsi="Arial" w:cs="Arial"/>
          <w:sz w:val="24"/>
          <w:szCs w:val="24"/>
        </w:rPr>
        <w:t>’ll</w:t>
      </w:r>
      <w:r w:rsidRPr="00B568F3">
        <w:rPr>
          <w:rFonts w:ascii="Arial" w:eastAsia="Calibri" w:hAnsi="Arial" w:cs="Arial"/>
          <w:sz w:val="24"/>
          <w:szCs w:val="24"/>
        </w:rPr>
        <w:t xml:space="preserve"> work</w:t>
      </w:r>
      <w:r w:rsidR="00273316" w:rsidRPr="00B568F3">
        <w:rPr>
          <w:rFonts w:ascii="Arial" w:eastAsia="Calibri" w:hAnsi="Arial" w:cs="Arial"/>
          <w:sz w:val="24"/>
          <w:szCs w:val="24"/>
        </w:rPr>
        <w:t xml:space="preserve"> with </w:t>
      </w:r>
      <w:r w:rsidR="003332F5" w:rsidRPr="00B568F3">
        <w:rPr>
          <w:rFonts w:ascii="Arial" w:eastAsia="Calibri" w:hAnsi="Arial" w:cs="Arial"/>
          <w:sz w:val="24"/>
          <w:szCs w:val="24"/>
        </w:rPr>
        <w:t>workforce development managers</w:t>
      </w:r>
      <w:r w:rsidR="00273316" w:rsidRPr="00B568F3">
        <w:rPr>
          <w:rFonts w:ascii="Arial" w:eastAsia="Calibri" w:hAnsi="Arial" w:cs="Arial"/>
          <w:sz w:val="24"/>
          <w:szCs w:val="24"/>
        </w:rPr>
        <w:t xml:space="preserve">, </w:t>
      </w:r>
      <w:r w:rsidRPr="00B568F3">
        <w:rPr>
          <w:rFonts w:ascii="Arial" w:eastAsia="Calibri" w:hAnsi="Arial" w:cs="Arial"/>
          <w:sz w:val="24"/>
          <w:szCs w:val="24"/>
        </w:rPr>
        <w:t xml:space="preserve">to </w:t>
      </w:r>
      <w:r w:rsidR="002241B1" w:rsidRPr="00B568F3">
        <w:rPr>
          <w:rFonts w:ascii="Arial" w:eastAsia="Calibri" w:hAnsi="Arial" w:cs="Arial"/>
          <w:sz w:val="24"/>
          <w:szCs w:val="24"/>
        </w:rPr>
        <w:t>look at how we can</w:t>
      </w:r>
      <w:r w:rsidR="00364197" w:rsidRPr="00B568F3">
        <w:rPr>
          <w:rFonts w:ascii="Arial" w:eastAsia="Calibri" w:hAnsi="Arial" w:cs="Arial"/>
          <w:sz w:val="24"/>
          <w:szCs w:val="24"/>
        </w:rPr>
        <w:t xml:space="preserve"> </w:t>
      </w:r>
      <w:r w:rsidR="00273316" w:rsidRPr="00B568F3">
        <w:rPr>
          <w:rFonts w:ascii="Arial" w:eastAsia="Calibri" w:hAnsi="Arial" w:cs="Arial"/>
          <w:sz w:val="24"/>
          <w:szCs w:val="24"/>
        </w:rPr>
        <w:t>strengthen the production of a well-evidenced and meaningful story of impact in terms of outcomes</w:t>
      </w:r>
      <w:r w:rsidR="00144EA2" w:rsidRPr="00B568F3">
        <w:rPr>
          <w:rFonts w:ascii="Arial" w:eastAsia="Calibri" w:hAnsi="Arial" w:cs="Arial"/>
          <w:sz w:val="24"/>
          <w:szCs w:val="24"/>
        </w:rPr>
        <w:t xml:space="preserve"> </w:t>
      </w:r>
      <w:r w:rsidR="003D420C" w:rsidRPr="00B568F3">
        <w:rPr>
          <w:rFonts w:ascii="Arial" w:eastAsia="Calibri" w:hAnsi="Arial" w:cs="Arial"/>
          <w:sz w:val="24"/>
          <w:szCs w:val="24"/>
        </w:rPr>
        <w:t xml:space="preserve">and build this as </w:t>
      </w:r>
      <w:r w:rsidR="006E12C9" w:rsidRPr="00B568F3">
        <w:rPr>
          <w:rFonts w:ascii="Arial" w:eastAsia="Calibri" w:hAnsi="Arial" w:cs="Arial"/>
          <w:sz w:val="24"/>
          <w:szCs w:val="24"/>
        </w:rPr>
        <w:t>a requirement</w:t>
      </w:r>
      <w:r w:rsidR="00144EA2" w:rsidRPr="00B568F3">
        <w:rPr>
          <w:rFonts w:ascii="Arial" w:eastAsia="Calibri" w:hAnsi="Arial" w:cs="Arial"/>
          <w:sz w:val="24"/>
          <w:szCs w:val="24"/>
        </w:rPr>
        <w:t xml:space="preserve"> of the grant circular for 2026</w:t>
      </w:r>
      <w:r w:rsidR="002B6087" w:rsidRPr="00B568F3">
        <w:rPr>
          <w:rFonts w:ascii="Arial" w:eastAsia="Calibri" w:hAnsi="Arial" w:cs="Arial"/>
          <w:sz w:val="24"/>
          <w:szCs w:val="24"/>
        </w:rPr>
        <w:t xml:space="preserve"> to </w:t>
      </w:r>
      <w:r w:rsidR="00144EA2" w:rsidRPr="00B568F3">
        <w:rPr>
          <w:rFonts w:ascii="Arial" w:eastAsia="Calibri" w:hAnsi="Arial" w:cs="Arial"/>
          <w:sz w:val="24"/>
          <w:szCs w:val="24"/>
        </w:rPr>
        <w:t>2027.</w:t>
      </w:r>
    </w:p>
    <w:p w14:paraId="03A2FBE1" w14:textId="77777777" w:rsidR="00144EA2" w:rsidRPr="00B568F3" w:rsidRDefault="00144EA2" w:rsidP="003C433E">
      <w:pPr>
        <w:spacing w:after="0"/>
        <w:rPr>
          <w:rFonts w:ascii="Arial" w:eastAsia="Calibri" w:hAnsi="Arial" w:cs="Arial"/>
          <w:sz w:val="24"/>
          <w:szCs w:val="24"/>
        </w:rPr>
      </w:pPr>
    </w:p>
    <w:p w14:paraId="213A783E" w14:textId="64920A5F" w:rsidR="00193077" w:rsidRPr="00B568F3" w:rsidRDefault="001A6FDF" w:rsidP="00632461">
      <w:pPr>
        <w:numPr>
          <w:ilvl w:val="0"/>
          <w:numId w:val="6"/>
        </w:numPr>
        <w:spacing w:after="200" w:line="276" w:lineRule="auto"/>
        <w:ind w:left="567" w:hanging="425"/>
        <w:contextualSpacing/>
        <w:rPr>
          <w:rFonts w:ascii="Arial" w:eastAsia="Calibri" w:hAnsi="Arial" w:cs="Arial"/>
          <w:sz w:val="24"/>
          <w:szCs w:val="24"/>
        </w:rPr>
      </w:pPr>
      <w:r w:rsidRPr="00B568F3">
        <w:rPr>
          <w:rFonts w:ascii="Arial" w:eastAsia="Calibri" w:hAnsi="Arial" w:cs="Arial"/>
          <w:sz w:val="24"/>
          <w:szCs w:val="24"/>
        </w:rPr>
        <w:t>As part of this work</w:t>
      </w:r>
      <w:r w:rsidR="00B06B1F" w:rsidRPr="00B568F3">
        <w:rPr>
          <w:rFonts w:ascii="Arial" w:eastAsia="Calibri" w:hAnsi="Arial" w:cs="Arial"/>
          <w:sz w:val="24"/>
          <w:szCs w:val="24"/>
        </w:rPr>
        <w:t xml:space="preserve">, </w:t>
      </w:r>
      <w:r w:rsidR="00685E7E" w:rsidRPr="00B568F3">
        <w:rPr>
          <w:rFonts w:ascii="Arial" w:eastAsia="Calibri" w:hAnsi="Arial" w:cs="Arial"/>
          <w:sz w:val="24"/>
          <w:szCs w:val="24"/>
        </w:rPr>
        <w:t>we</w:t>
      </w:r>
      <w:r w:rsidR="00F37308" w:rsidRPr="00B568F3">
        <w:rPr>
          <w:rFonts w:ascii="Arial" w:eastAsia="Calibri" w:hAnsi="Arial" w:cs="Arial"/>
          <w:sz w:val="24"/>
          <w:szCs w:val="24"/>
        </w:rPr>
        <w:t>’ll</w:t>
      </w:r>
      <w:r w:rsidR="00B06B1F" w:rsidRPr="00B568F3">
        <w:rPr>
          <w:rFonts w:ascii="Arial" w:eastAsia="Calibri" w:hAnsi="Arial" w:cs="Arial"/>
          <w:sz w:val="24"/>
          <w:szCs w:val="24"/>
        </w:rPr>
        <w:t xml:space="preserve"> consider </w:t>
      </w:r>
      <w:r w:rsidR="00772FFA" w:rsidRPr="00B568F3">
        <w:rPr>
          <w:rFonts w:ascii="Arial" w:eastAsia="Calibri" w:hAnsi="Arial" w:cs="Arial"/>
          <w:sz w:val="24"/>
          <w:szCs w:val="24"/>
        </w:rPr>
        <w:t xml:space="preserve">and map out </w:t>
      </w:r>
      <w:r w:rsidR="00B06B1F" w:rsidRPr="00B568F3">
        <w:rPr>
          <w:rFonts w:ascii="Arial" w:eastAsia="Calibri" w:hAnsi="Arial" w:cs="Arial"/>
          <w:sz w:val="24"/>
          <w:szCs w:val="24"/>
        </w:rPr>
        <w:t xml:space="preserve">how the </w:t>
      </w:r>
      <w:r w:rsidR="00AC1D8D" w:rsidRPr="00B568F3">
        <w:rPr>
          <w:rFonts w:ascii="Arial" w:eastAsia="Calibri" w:hAnsi="Arial" w:cs="Arial"/>
          <w:sz w:val="24"/>
          <w:szCs w:val="24"/>
        </w:rPr>
        <w:t xml:space="preserve">results </w:t>
      </w:r>
      <w:r w:rsidR="00CE50BD" w:rsidRPr="00B568F3">
        <w:rPr>
          <w:rFonts w:ascii="Arial" w:eastAsia="Calibri" w:hAnsi="Arial" w:cs="Arial"/>
          <w:sz w:val="24"/>
          <w:szCs w:val="24"/>
        </w:rPr>
        <w:t xml:space="preserve">of the SCWWDP grant </w:t>
      </w:r>
      <w:r w:rsidR="00F37308" w:rsidRPr="00B568F3">
        <w:rPr>
          <w:rFonts w:ascii="Arial" w:eastAsia="Calibri" w:hAnsi="Arial" w:cs="Arial"/>
          <w:sz w:val="24"/>
          <w:szCs w:val="24"/>
        </w:rPr>
        <w:t>are</w:t>
      </w:r>
      <w:r w:rsidR="00CE50BD" w:rsidRPr="00B568F3">
        <w:rPr>
          <w:rFonts w:ascii="Arial" w:eastAsia="Calibri" w:hAnsi="Arial" w:cs="Arial"/>
          <w:sz w:val="24"/>
          <w:szCs w:val="24"/>
        </w:rPr>
        <w:t xml:space="preserve"> impacting and contributing to the </w:t>
      </w:r>
      <w:hyperlink r:id="rId33" w:history="1">
        <w:r w:rsidR="00CE50BD" w:rsidRPr="00B568F3">
          <w:rPr>
            <w:rStyle w:val="Hyperlink"/>
            <w:rFonts w:ascii="Arial" w:eastAsia="Calibri" w:hAnsi="Arial" w:cs="Arial"/>
            <w:sz w:val="24"/>
            <w:szCs w:val="24"/>
          </w:rPr>
          <w:t>measures</w:t>
        </w:r>
      </w:hyperlink>
      <w:r w:rsidR="00CE50BD" w:rsidRPr="00B568F3">
        <w:rPr>
          <w:rFonts w:ascii="Arial" w:eastAsia="Calibri" w:hAnsi="Arial" w:cs="Arial"/>
          <w:sz w:val="24"/>
          <w:szCs w:val="24"/>
        </w:rPr>
        <w:t xml:space="preserve"> </w:t>
      </w:r>
      <w:r w:rsidR="008431C6" w:rsidRPr="00B568F3">
        <w:rPr>
          <w:rFonts w:ascii="Arial" w:eastAsia="Calibri" w:hAnsi="Arial" w:cs="Arial"/>
          <w:sz w:val="24"/>
          <w:szCs w:val="24"/>
        </w:rPr>
        <w:t xml:space="preserve">noted </w:t>
      </w:r>
      <w:r w:rsidR="00E80DA4" w:rsidRPr="00B568F3">
        <w:rPr>
          <w:rFonts w:ascii="Arial" w:eastAsia="Calibri" w:hAnsi="Arial" w:cs="Arial"/>
          <w:sz w:val="24"/>
          <w:szCs w:val="24"/>
        </w:rPr>
        <w:t xml:space="preserve">in the </w:t>
      </w:r>
      <w:hyperlink r:id="rId34" w:history="1">
        <w:r w:rsidR="00E80DA4" w:rsidRPr="00B568F3">
          <w:rPr>
            <w:rStyle w:val="Hyperlink"/>
            <w:rFonts w:ascii="Arial" w:eastAsia="Calibri" w:hAnsi="Arial" w:cs="Arial"/>
            <w:sz w:val="24"/>
            <w:szCs w:val="24"/>
          </w:rPr>
          <w:t>Social Care Workforce Delivery Plan 2024 to 2027</w:t>
        </w:r>
      </w:hyperlink>
      <w:r w:rsidR="00C20312" w:rsidRPr="00B568F3">
        <w:rPr>
          <w:rFonts w:ascii="Arial" w:eastAsia="Calibri" w:hAnsi="Arial" w:cs="Arial"/>
          <w:sz w:val="24"/>
          <w:szCs w:val="24"/>
        </w:rPr>
        <w:t xml:space="preserve"> </w:t>
      </w:r>
      <w:r w:rsidR="009E6EA4" w:rsidRPr="00B568F3">
        <w:rPr>
          <w:rFonts w:ascii="Arial" w:eastAsia="Calibri" w:hAnsi="Arial" w:cs="Arial"/>
          <w:sz w:val="24"/>
          <w:szCs w:val="24"/>
        </w:rPr>
        <w:t>and</w:t>
      </w:r>
      <w:r w:rsidR="00C20312" w:rsidRPr="00B568F3">
        <w:rPr>
          <w:rFonts w:ascii="Arial" w:eastAsia="Calibri" w:hAnsi="Arial" w:cs="Arial"/>
          <w:sz w:val="24"/>
          <w:szCs w:val="24"/>
        </w:rPr>
        <w:t xml:space="preserve"> track progress against the </w:t>
      </w:r>
      <w:r w:rsidR="009E6EA4" w:rsidRPr="00B568F3">
        <w:rPr>
          <w:rFonts w:ascii="Arial" w:eastAsia="Calibri" w:hAnsi="Arial" w:cs="Arial"/>
          <w:sz w:val="24"/>
          <w:szCs w:val="24"/>
        </w:rPr>
        <w:t xml:space="preserve">goals </w:t>
      </w:r>
      <w:r w:rsidR="00C20312" w:rsidRPr="00B568F3">
        <w:rPr>
          <w:rFonts w:ascii="Arial" w:eastAsia="Calibri" w:hAnsi="Arial" w:cs="Arial"/>
          <w:sz w:val="24"/>
          <w:szCs w:val="24"/>
        </w:rPr>
        <w:t>of the workforce strategy.</w:t>
      </w:r>
    </w:p>
    <w:p w14:paraId="5B4548BD" w14:textId="77777777" w:rsidR="00193077" w:rsidRPr="00B568F3" w:rsidRDefault="00193077" w:rsidP="00193077">
      <w:pPr>
        <w:spacing w:after="200" w:line="276" w:lineRule="auto"/>
        <w:contextualSpacing/>
        <w:rPr>
          <w:rFonts w:ascii="Arial" w:eastAsia="Calibri" w:hAnsi="Arial" w:cs="Arial"/>
          <w:sz w:val="24"/>
          <w:szCs w:val="24"/>
        </w:rPr>
      </w:pPr>
    </w:p>
    <w:p w14:paraId="438E7382" w14:textId="77777777" w:rsidR="00193077" w:rsidRPr="00B568F3" w:rsidRDefault="00193077" w:rsidP="00170F9A">
      <w:pPr>
        <w:spacing w:after="200" w:line="276" w:lineRule="auto"/>
        <w:contextualSpacing/>
        <w:rPr>
          <w:rFonts w:ascii="Arial" w:eastAsia="Calibri" w:hAnsi="Arial" w:cs="Arial"/>
          <w:sz w:val="24"/>
          <w:szCs w:val="24"/>
        </w:rPr>
      </w:pPr>
    </w:p>
    <w:sectPr w:rsidR="00193077" w:rsidRPr="00B568F3" w:rsidSect="00FF032B">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4147D" w14:textId="77777777" w:rsidR="00F43394" w:rsidRDefault="00F43394" w:rsidP="002D1B1F">
      <w:pPr>
        <w:spacing w:after="0" w:line="240" w:lineRule="auto"/>
      </w:pPr>
      <w:r>
        <w:separator/>
      </w:r>
    </w:p>
  </w:endnote>
  <w:endnote w:type="continuationSeparator" w:id="0">
    <w:p w14:paraId="5F6F9923" w14:textId="77777777" w:rsidR="00F43394" w:rsidRDefault="00F43394" w:rsidP="002D1B1F">
      <w:pPr>
        <w:spacing w:after="0" w:line="240" w:lineRule="auto"/>
      </w:pPr>
      <w:r>
        <w:continuationSeparator/>
      </w:r>
    </w:p>
  </w:endnote>
  <w:endnote w:type="continuationNotice" w:id="1">
    <w:p w14:paraId="19ED115B" w14:textId="77777777" w:rsidR="00F43394" w:rsidRDefault="00F43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046340"/>
      <w:docPartObj>
        <w:docPartGallery w:val="Page Numbers (Bottom of Page)"/>
        <w:docPartUnique/>
      </w:docPartObj>
    </w:sdtPr>
    <w:sdtEndPr>
      <w:rPr>
        <w:rFonts w:asciiTheme="minorBidi" w:hAnsiTheme="minorBidi"/>
        <w:noProof/>
        <w:sz w:val="24"/>
        <w:szCs w:val="24"/>
      </w:rPr>
    </w:sdtEndPr>
    <w:sdtContent>
      <w:p w14:paraId="68F9F395" w14:textId="600267BA" w:rsidR="00083EF3" w:rsidRPr="00083EF3" w:rsidRDefault="00083EF3">
        <w:pPr>
          <w:pStyle w:val="Footer"/>
          <w:jc w:val="center"/>
          <w:rPr>
            <w:rFonts w:asciiTheme="minorBidi" w:hAnsiTheme="minorBidi"/>
            <w:sz w:val="24"/>
            <w:szCs w:val="24"/>
          </w:rPr>
        </w:pPr>
        <w:r w:rsidRPr="00083EF3">
          <w:rPr>
            <w:rFonts w:asciiTheme="minorBidi" w:hAnsiTheme="minorBidi"/>
            <w:sz w:val="24"/>
            <w:szCs w:val="24"/>
          </w:rPr>
          <w:fldChar w:fldCharType="begin"/>
        </w:r>
        <w:r w:rsidRPr="00083EF3">
          <w:rPr>
            <w:rFonts w:asciiTheme="minorBidi" w:hAnsiTheme="minorBidi"/>
            <w:sz w:val="24"/>
            <w:szCs w:val="24"/>
          </w:rPr>
          <w:instrText xml:space="preserve"> PAGE   \* MERGEFORMAT </w:instrText>
        </w:r>
        <w:r w:rsidRPr="00083EF3">
          <w:rPr>
            <w:rFonts w:asciiTheme="minorBidi" w:hAnsiTheme="minorBidi"/>
            <w:sz w:val="24"/>
            <w:szCs w:val="24"/>
          </w:rPr>
          <w:fldChar w:fldCharType="separate"/>
        </w:r>
        <w:r w:rsidRPr="00083EF3">
          <w:rPr>
            <w:rFonts w:asciiTheme="minorBidi" w:hAnsiTheme="minorBidi"/>
            <w:noProof/>
            <w:sz w:val="24"/>
            <w:szCs w:val="24"/>
          </w:rPr>
          <w:t>2</w:t>
        </w:r>
        <w:r w:rsidRPr="00083EF3">
          <w:rPr>
            <w:rFonts w:asciiTheme="minorBidi" w:hAnsiTheme="minorBidi"/>
            <w:noProof/>
            <w:sz w:val="24"/>
            <w:szCs w:val="24"/>
          </w:rPr>
          <w:fldChar w:fldCharType="end"/>
        </w:r>
      </w:p>
    </w:sdtContent>
  </w:sdt>
  <w:p w14:paraId="52EA9CEB" w14:textId="77777777" w:rsidR="00083EF3" w:rsidRDefault="0008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E8347" w14:textId="77777777" w:rsidR="00F43394" w:rsidRDefault="00F43394" w:rsidP="002D1B1F">
      <w:pPr>
        <w:spacing w:after="0" w:line="240" w:lineRule="auto"/>
      </w:pPr>
      <w:r>
        <w:separator/>
      </w:r>
    </w:p>
  </w:footnote>
  <w:footnote w:type="continuationSeparator" w:id="0">
    <w:p w14:paraId="6C3E44EE" w14:textId="77777777" w:rsidR="00F43394" w:rsidRDefault="00F43394" w:rsidP="002D1B1F">
      <w:pPr>
        <w:spacing w:after="0" w:line="240" w:lineRule="auto"/>
      </w:pPr>
      <w:r>
        <w:continuationSeparator/>
      </w:r>
    </w:p>
  </w:footnote>
  <w:footnote w:type="continuationNotice" w:id="1">
    <w:p w14:paraId="6677EDE2" w14:textId="77777777" w:rsidR="00F43394" w:rsidRDefault="00F43394">
      <w:pPr>
        <w:spacing w:after="0" w:line="240" w:lineRule="auto"/>
      </w:pPr>
    </w:p>
  </w:footnote>
  <w:footnote w:id="2">
    <w:p w14:paraId="674258CC" w14:textId="225AA6AB" w:rsidR="00C8010E" w:rsidRDefault="00C8010E">
      <w:pPr>
        <w:pStyle w:val="FootnoteText"/>
      </w:pPr>
      <w:r>
        <w:rPr>
          <w:rStyle w:val="FootnoteReference"/>
        </w:rPr>
        <w:footnoteRef/>
      </w:r>
      <w:r>
        <w:t xml:space="preserve"> </w:t>
      </w:r>
      <w:r w:rsidR="00C1268C">
        <w:t>Social Care Wales is working with the WLGA during 2024</w:t>
      </w:r>
      <w:r w:rsidR="00480EC6">
        <w:t xml:space="preserve"> to </w:t>
      </w:r>
      <w:r w:rsidR="00C1268C">
        <w:t>2025</w:t>
      </w:r>
      <w:r w:rsidR="00B66DCF">
        <w:t xml:space="preserve"> to expand workforce planning training to social services departments</w:t>
      </w:r>
      <w:r w:rsidR="009204EE">
        <w:t>, building on the</w:t>
      </w:r>
      <w:r w:rsidR="00C42786">
        <w:t xml:space="preserve"> council wide</w:t>
      </w:r>
      <w:r w:rsidR="009204EE">
        <w:t xml:space="preserve"> local authority support previously received in 2023</w:t>
      </w:r>
      <w:r w:rsidR="00480EC6">
        <w:t xml:space="preserve"> to </w:t>
      </w:r>
      <w:r w:rsidR="009204EE">
        <w:t>2024.</w:t>
      </w:r>
    </w:p>
  </w:footnote>
  <w:footnote w:id="3">
    <w:p w14:paraId="5FD261D9" w14:textId="59E397F0" w:rsidR="00F6788A" w:rsidRDefault="00F6788A">
      <w:pPr>
        <w:pStyle w:val="FootnoteText"/>
      </w:pPr>
      <w:r>
        <w:rPr>
          <w:rStyle w:val="FootnoteReference"/>
        </w:rPr>
        <w:footnoteRef/>
      </w:r>
      <w:r>
        <w:t xml:space="preserve"> </w:t>
      </w:r>
      <w:r w:rsidR="00516529" w:rsidRPr="00516529">
        <w:t>This role was evaluated in 2023</w:t>
      </w:r>
      <w:r w:rsidR="00394624">
        <w:t xml:space="preserve"> to </w:t>
      </w:r>
      <w:r w:rsidR="00516529" w:rsidRPr="00516529">
        <w:t xml:space="preserve">2024 with the findings showing value to the role. The full and summary evaluation report has been shared with the regions. The key recommendations from the review are being </w:t>
      </w:r>
      <w:r w:rsidR="00394624">
        <w:t>carried out</w:t>
      </w:r>
      <w:r w:rsidR="00516529" w:rsidRPr="00516529">
        <w:t xml:space="preserve"> through the national WeCare Wales team and the regional care career connectors in each region.</w:t>
      </w:r>
    </w:p>
  </w:footnote>
</w:footnotes>
</file>

<file path=word/intelligence2.xml><?xml version="1.0" encoding="utf-8"?>
<int2:intelligence xmlns:int2="http://schemas.microsoft.com/office/intelligence/2020/intelligence" xmlns:oel="http://schemas.microsoft.com/office/2019/extlst">
  <int2:observations>
    <int2:textHash int2:hashCode="jCD1h5i3CJQo9q" int2:id="uZmud8AC">
      <int2:state int2:value="Rejected" int2:type="AugLoop_Text_Critique"/>
    </int2:textHash>
    <int2:bookmark int2:bookmarkName="_Int_pNXmP8pQ" int2:invalidationBookmarkName="" int2:hashCode="1ee5Bp/ggluzfT" int2:id="0Ak9TVoS">
      <int2:state int2:value="Rejected" int2:type="AugLoop_Text_Critique"/>
    </int2:bookmark>
    <int2:bookmark int2:bookmarkName="_Int_fqOhWJVb" int2:invalidationBookmarkName="" int2:hashCode="VDyb0DkCs6yeBK" int2:id="1d7e2nnd">
      <int2:state int2:value="Rejected" int2:type="AugLoop_Text_Critique"/>
    </int2:bookmark>
    <int2:bookmark int2:bookmarkName="_Int_s7I9eMnn" int2:invalidationBookmarkName="" int2:hashCode="llbS/j5qYzCVpv" int2:id="5O71TC9u">
      <int2:state int2:value="Rejected" int2:type="AugLoop_Text_Critique"/>
    </int2:bookmark>
    <int2:bookmark int2:bookmarkName="_Int_O9eKd173" int2:invalidationBookmarkName="" int2:hashCode="/tuY91W2RYiqfS" int2:id="AJXZXHGt">
      <int2:state int2:value="Rejected" int2:type="AugLoop_Text_Critique"/>
    </int2:bookmark>
    <int2:bookmark int2:bookmarkName="_Int_5uC2Vsg5" int2:invalidationBookmarkName="" int2:hashCode="Ria5NMgt09s3JT" int2:id="CbESR9tz">
      <int2:state int2:value="Rejected" int2:type="AugLoop_Text_Critique"/>
    </int2:bookmark>
    <int2:bookmark int2:bookmarkName="_Int_rNjxPd8m" int2:invalidationBookmarkName="" int2:hashCode="rDR41po8gfpi5g" int2:id="Hm2IUBWw">
      <int2:state int2:value="Rejected" int2:type="AugLoop_Text_Critique"/>
    </int2:bookmark>
    <int2:bookmark int2:bookmarkName="_Int_pp54k5Lk" int2:invalidationBookmarkName="" int2:hashCode="r1N+6+6ySFWihz" int2:id="IyTn0DME">
      <int2:state int2:value="Rejected" int2:type="AugLoop_Text_Critique"/>
    </int2:bookmark>
    <int2:bookmark int2:bookmarkName="_Int_FbgM508O" int2:invalidationBookmarkName="" int2:hashCode="MX01YSdQdjXIeg" int2:id="SpLkPbfF">
      <int2:state int2:value="Rejected" int2:type="AugLoop_Text_Critique"/>
    </int2:bookmark>
    <int2:bookmark int2:bookmarkName="_Int_ObsEHYNw" int2:invalidationBookmarkName="" int2:hashCode="Ym2Vl43E8xse6/" int2:id="TThCG2lN">
      <int2:state int2:value="Rejected" int2:type="AugLoop_Text_Critique"/>
    </int2:bookmark>
    <int2:bookmark int2:bookmarkName="_Int_giJQT1Rl" int2:invalidationBookmarkName="" int2:hashCode="tH82PitDDAZH8U" int2:id="fJpG0rpb">
      <int2:state int2:value="Rejected" int2:type="AugLoop_Text_Critique"/>
    </int2:bookmark>
    <int2:bookmark int2:bookmarkName="_Int_O5hwu3wT" int2:invalidationBookmarkName="" int2:hashCode="kcoV2YTDSgau/n" int2:id="fXeEAmWW">
      <int2:state int2:value="Rejected" int2:type="AugLoop_Text_Critique"/>
    </int2:bookmark>
    <int2:bookmark int2:bookmarkName="_Int_wBze4vko" int2:invalidationBookmarkName="" int2:hashCode="qiDDv17KFul4o5" int2:id="gxa6nswi">
      <int2:state int2:value="Rejected" int2:type="AugLoop_Text_Critique"/>
    </int2:bookmark>
    <int2:bookmark int2:bookmarkName="_Int_pFOqFNhJ" int2:invalidationBookmarkName="" int2:hashCode="FKnXZkWNbB+ryj" int2:id="hgGpE5hN">
      <int2:state int2:value="Rejected" int2:type="AugLoop_Text_Critique"/>
    </int2:bookmark>
    <int2:bookmark int2:bookmarkName="_Int_404PGHmI" int2:invalidationBookmarkName="" int2:hashCode="6AcheTwkrhTt/K" int2:id="npuGNaYx">
      <int2:state int2:value="Rejected" int2:type="AugLoop_Text_Critique"/>
    </int2:bookmark>
    <int2:bookmark int2:bookmarkName="_Int_LgmDOWOP" int2:invalidationBookmarkName="" int2:hashCode="/tuY91W2RYiqfS" int2:id="tNEM3CZu">
      <int2:state int2:value="Rejected" int2:type="AugLoop_Text_Critique"/>
    </int2:bookmark>
    <int2:bookmark int2:bookmarkName="_Int_V65oFWFp" int2:invalidationBookmarkName="" int2:hashCode="+OtSXSbhv8zyWG" int2:id="tQwPlpx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5E51"/>
    <w:multiLevelType w:val="hybridMultilevel"/>
    <w:tmpl w:val="24C8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42E9D"/>
    <w:multiLevelType w:val="hybridMultilevel"/>
    <w:tmpl w:val="953CCB6C"/>
    <w:lvl w:ilvl="0" w:tplc="08090003">
      <w:start w:val="1"/>
      <w:numFmt w:val="bullet"/>
      <w:lvlText w:val="o"/>
      <w:lvlJc w:val="left"/>
      <w:pPr>
        <w:ind w:left="1440" w:hanging="360"/>
      </w:pPr>
      <w:rPr>
        <w:rFonts w:ascii="Courier New" w:hAnsi="Courier New" w:cs="Courier New"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77A291A"/>
    <w:multiLevelType w:val="hybridMultilevel"/>
    <w:tmpl w:val="5E02FECA"/>
    <w:lvl w:ilvl="0" w:tplc="41827CD8">
      <w:start w:val="1"/>
      <w:numFmt w:val="bullet"/>
      <w:lvlText w:val=""/>
      <w:lvlJc w:val="left"/>
      <w:pPr>
        <w:ind w:left="720" w:hanging="360"/>
      </w:pPr>
      <w:rPr>
        <w:rFonts w:ascii="Symbol" w:hAnsi="Symbol" w:hint="default"/>
      </w:rPr>
    </w:lvl>
    <w:lvl w:ilvl="1" w:tplc="04D237FE">
      <w:start w:val="1"/>
      <w:numFmt w:val="bullet"/>
      <w:lvlText w:val="o"/>
      <w:lvlJc w:val="left"/>
      <w:pPr>
        <w:ind w:left="1440" w:hanging="360"/>
      </w:pPr>
      <w:rPr>
        <w:rFonts w:ascii="Courier New" w:hAnsi="Courier New" w:hint="default"/>
      </w:rPr>
    </w:lvl>
    <w:lvl w:ilvl="2" w:tplc="56DA6C36">
      <w:start w:val="1"/>
      <w:numFmt w:val="bullet"/>
      <w:lvlText w:val=""/>
      <w:lvlJc w:val="left"/>
      <w:pPr>
        <w:ind w:left="2160" w:hanging="360"/>
      </w:pPr>
      <w:rPr>
        <w:rFonts w:ascii="Wingdings" w:hAnsi="Wingdings" w:hint="default"/>
      </w:rPr>
    </w:lvl>
    <w:lvl w:ilvl="3" w:tplc="DD0EE03C">
      <w:start w:val="1"/>
      <w:numFmt w:val="bullet"/>
      <w:lvlText w:val=""/>
      <w:lvlJc w:val="left"/>
      <w:pPr>
        <w:ind w:left="2880" w:hanging="360"/>
      </w:pPr>
      <w:rPr>
        <w:rFonts w:ascii="Symbol" w:hAnsi="Symbol" w:hint="default"/>
      </w:rPr>
    </w:lvl>
    <w:lvl w:ilvl="4" w:tplc="0AD011C8">
      <w:start w:val="1"/>
      <w:numFmt w:val="bullet"/>
      <w:lvlText w:val="o"/>
      <w:lvlJc w:val="left"/>
      <w:pPr>
        <w:ind w:left="3600" w:hanging="360"/>
      </w:pPr>
      <w:rPr>
        <w:rFonts w:ascii="Courier New" w:hAnsi="Courier New" w:hint="default"/>
      </w:rPr>
    </w:lvl>
    <w:lvl w:ilvl="5" w:tplc="7C0A0F74">
      <w:start w:val="1"/>
      <w:numFmt w:val="bullet"/>
      <w:lvlText w:val=""/>
      <w:lvlJc w:val="left"/>
      <w:pPr>
        <w:ind w:left="4320" w:hanging="360"/>
      </w:pPr>
      <w:rPr>
        <w:rFonts w:ascii="Wingdings" w:hAnsi="Wingdings" w:hint="default"/>
      </w:rPr>
    </w:lvl>
    <w:lvl w:ilvl="6" w:tplc="3F2AB090">
      <w:start w:val="1"/>
      <w:numFmt w:val="bullet"/>
      <w:lvlText w:val=""/>
      <w:lvlJc w:val="left"/>
      <w:pPr>
        <w:ind w:left="5040" w:hanging="360"/>
      </w:pPr>
      <w:rPr>
        <w:rFonts w:ascii="Symbol" w:hAnsi="Symbol" w:hint="default"/>
      </w:rPr>
    </w:lvl>
    <w:lvl w:ilvl="7" w:tplc="1ED06DB6">
      <w:start w:val="1"/>
      <w:numFmt w:val="bullet"/>
      <w:lvlText w:val="o"/>
      <w:lvlJc w:val="left"/>
      <w:pPr>
        <w:ind w:left="5760" w:hanging="360"/>
      </w:pPr>
      <w:rPr>
        <w:rFonts w:ascii="Courier New" w:hAnsi="Courier New" w:hint="default"/>
      </w:rPr>
    </w:lvl>
    <w:lvl w:ilvl="8" w:tplc="6AD6309C">
      <w:start w:val="1"/>
      <w:numFmt w:val="bullet"/>
      <w:lvlText w:val=""/>
      <w:lvlJc w:val="left"/>
      <w:pPr>
        <w:ind w:left="6480" w:hanging="360"/>
      </w:pPr>
      <w:rPr>
        <w:rFonts w:ascii="Wingdings" w:hAnsi="Wingdings" w:hint="default"/>
      </w:rPr>
    </w:lvl>
  </w:abstractNum>
  <w:abstractNum w:abstractNumId="3" w15:restartNumberingAfterBreak="0">
    <w:nsid w:val="07F86246"/>
    <w:multiLevelType w:val="multilevel"/>
    <w:tmpl w:val="B7D6290A"/>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0E7B17"/>
    <w:multiLevelType w:val="hybridMultilevel"/>
    <w:tmpl w:val="05DE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D7D5A"/>
    <w:multiLevelType w:val="hybridMultilevel"/>
    <w:tmpl w:val="87EE388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 w15:restartNumberingAfterBreak="0">
    <w:nsid w:val="0E1E3E6D"/>
    <w:multiLevelType w:val="hybridMultilevel"/>
    <w:tmpl w:val="2040A57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7" w15:restartNumberingAfterBreak="0">
    <w:nsid w:val="0ED3170B"/>
    <w:multiLevelType w:val="hybridMultilevel"/>
    <w:tmpl w:val="96A0E8F8"/>
    <w:lvl w:ilvl="0" w:tplc="2506A3FC">
      <w:start w:val="1"/>
      <w:numFmt w:val="bullet"/>
      <w:lvlText w:val=""/>
      <w:lvlJc w:val="left"/>
      <w:pPr>
        <w:ind w:left="720" w:hanging="360"/>
      </w:pPr>
      <w:rPr>
        <w:rFonts w:ascii="Symbol" w:hAnsi="Symbol" w:hint="default"/>
      </w:rPr>
    </w:lvl>
    <w:lvl w:ilvl="1" w:tplc="7F322BEC">
      <w:start w:val="1"/>
      <w:numFmt w:val="bullet"/>
      <w:lvlText w:val="o"/>
      <w:lvlJc w:val="left"/>
      <w:pPr>
        <w:ind w:left="1440" w:hanging="360"/>
      </w:pPr>
      <w:rPr>
        <w:rFonts w:ascii="Courier New" w:hAnsi="Courier New" w:hint="default"/>
      </w:rPr>
    </w:lvl>
    <w:lvl w:ilvl="2" w:tplc="406032F6">
      <w:start w:val="1"/>
      <w:numFmt w:val="bullet"/>
      <w:lvlText w:val=""/>
      <w:lvlJc w:val="left"/>
      <w:pPr>
        <w:ind w:left="2160" w:hanging="360"/>
      </w:pPr>
      <w:rPr>
        <w:rFonts w:ascii="Wingdings" w:hAnsi="Wingdings" w:hint="default"/>
      </w:rPr>
    </w:lvl>
    <w:lvl w:ilvl="3" w:tplc="7BE44536">
      <w:start w:val="1"/>
      <w:numFmt w:val="bullet"/>
      <w:lvlText w:val=""/>
      <w:lvlJc w:val="left"/>
      <w:pPr>
        <w:ind w:left="2880" w:hanging="360"/>
      </w:pPr>
      <w:rPr>
        <w:rFonts w:ascii="Symbol" w:hAnsi="Symbol" w:hint="default"/>
      </w:rPr>
    </w:lvl>
    <w:lvl w:ilvl="4" w:tplc="9EE66A6C">
      <w:start w:val="1"/>
      <w:numFmt w:val="bullet"/>
      <w:lvlText w:val="o"/>
      <w:lvlJc w:val="left"/>
      <w:pPr>
        <w:ind w:left="3600" w:hanging="360"/>
      </w:pPr>
      <w:rPr>
        <w:rFonts w:ascii="Courier New" w:hAnsi="Courier New" w:hint="default"/>
      </w:rPr>
    </w:lvl>
    <w:lvl w:ilvl="5" w:tplc="0C800390">
      <w:start w:val="1"/>
      <w:numFmt w:val="bullet"/>
      <w:lvlText w:val=""/>
      <w:lvlJc w:val="left"/>
      <w:pPr>
        <w:ind w:left="4320" w:hanging="360"/>
      </w:pPr>
      <w:rPr>
        <w:rFonts w:ascii="Wingdings" w:hAnsi="Wingdings" w:hint="default"/>
      </w:rPr>
    </w:lvl>
    <w:lvl w:ilvl="6" w:tplc="EE969E50">
      <w:start w:val="1"/>
      <w:numFmt w:val="bullet"/>
      <w:lvlText w:val=""/>
      <w:lvlJc w:val="left"/>
      <w:pPr>
        <w:ind w:left="5040" w:hanging="360"/>
      </w:pPr>
      <w:rPr>
        <w:rFonts w:ascii="Symbol" w:hAnsi="Symbol" w:hint="default"/>
      </w:rPr>
    </w:lvl>
    <w:lvl w:ilvl="7" w:tplc="FA52E0F2">
      <w:start w:val="1"/>
      <w:numFmt w:val="bullet"/>
      <w:lvlText w:val="o"/>
      <w:lvlJc w:val="left"/>
      <w:pPr>
        <w:ind w:left="5760" w:hanging="360"/>
      </w:pPr>
      <w:rPr>
        <w:rFonts w:ascii="Courier New" w:hAnsi="Courier New" w:hint="default"/>
      </w:rPr>
    </w:lvl>
    <w:lvl w:ilvl="8" w:tplc="59E6222C">
      <w:start w:val="1"/>
      <w:numFmt w:val="bullet"/>
      <w:lvlText w:val=""/>
      <w:lvlJc w:val="left"/>
      <w:pPr>
        <w:ind w:left="6480" w:hanging="360"/>
      </w:pPr>
      <w:rPr>
        <w:rFonts w:ascii="Wingdings" w:hAnsi="Wingdings" w:hint="default"/>
      </w:rPr>
    </w:lvl>
  </w:abstractNum>
  <w:abstractNum w:abstractNumId="8" w15:restartNumberingAfterBreak="0">
    <w:nsid w:val="10F42057"/>
    <w:multiLevelType w:val="hybridMultilevel"/>
    <w:tmpl w:val="1C36CC1E"/>
    <w:lvl w:ilvl="0" w:tplc="08090003">
      <w:start w:val="1"/>
      <w:numFmt w:val="bullet"/>
      <w:lvlText w:val="o"/>
      <w:lvlJc w:val="left"/>
      <w:pPr>
        <w:ind w:left="1581" w:hanging="360"/>
      </w:pPr>
      <w:rPr>
        <w:rFonts w:ascii="Courier New" w:hAnsi="Courier New" w:cs="Courier New" w:hint="default"/>
        <w:color w:val="auto"/>
      </w:rPr>
    </w:lvl>
    <w:lvl w:ilvl="1" w:tplc="FFFFFFFF">
      <w:start w:val="1"/>
      <w:numFmt w:val="bullet"/>
      <w:lvlText w:val="o"/>
      <w:lvlJc w:val="left"/>
      <w:pPr>
        <w:ind w:left="2301" w:hanging="360"/>
      </w:pPr>
      <w:rPr>
        <w:rFonts w:ascii="Courier New" w:hAnsi="Courier New" w:cs="Courier New" w:hint="default"/>
      </w:rPr>
    </w:lvl>
    <w:lvl w:ilvl="2" w:tplc="FFFFFFFF">
      <w:start w:val="1"/>
      <w:numFmt w:val="bullet"/>
      <w:lvlText w:val=""/>
      <w:lvlJc w:val="left"/>
      <w:pPr>
        <w:ind w:left="3021" w:hanging="360"/>
      </w:pPr>
      <w:rPr>
        <w:rFonts w:ascii="Wingdings" w:hAnsi="Wingdings" w:hint="default"/>
      </w:rPr>
    </w:lvl>
    <w:lvl w:ilvl="3" w:tplc="FFFFFFFF" w:tentative="1">
      <w:start w:val="1"/>
      <w:numFmt w:val="bullet"/>
      <w:lvlText w:val=""/>
      <w:lvlJc w:val="left"/>
      <w:pPr>
        <w:ind w:left="3741" w:hanging="360"/>
      </w:pPr>
      <w:rPr>
        <w:rFonts w:ascii="Symbol" w:hAnsi="Symbol" w:hint="default"/>
      </w:rPr>
    </w:lvl>
    <w:lvl w:ilvl="4" w:tplc="FFFFFFFF" w:tentative="1">
      <w:start w:val="1"/>
      <w:numFmt w:val="bullet"/>
      <w:lvlText w:val="o"/>
      <w:lvlJc w:val="left"/>
      <w:pPr>
        <w:ind w:left="4461" w:hanging="360"/>
      </w:pPr>
      <w:rPr>
        <w:rFonts w:ascii="Courier New" w:hAnsi="Courier New" w:cs="Courier New" w:hint="default"/>
      </w:rPr>
    </w:lvl>
    <w:lvl w:ilvl="5" w:tplc="FFFFFFFF" w:tentative="1">
      <w:start w:val="1"/>
      <w:numFmt w:val="bullet"/>
      <w:lvlText w:val=""/>
      <w:lvlJc w:val="left"/>
      <w:pPr>
        <w:ind w:left="5181" w:hanging="360"/>
      </w:pPr>
      <w:rPr>
        <w:rFonts w:ascii="Wingdings" w:hAnsi="Wingdings" w:hint="default"/>
      </w:rPr>
    </w:lvl>
    <w:lvl w:ilvl="6" w:tplc="FFFFFFFF" w:tentative="1">
      <w:start w:val="1"/>
      <w:numFmt w:val="bullet"/>
      <w:lvlText w:val=""/>
      <w:lvlJc w:val="left"/>
      <w:pPr>
        <w:ind w:left="5901" w:hanging="360"/>
      </w:pPr>
      <w:rPr>
        <w:rFonts w:ascii="Symbol" w:hAnsi="Symbol" w:hint="default"/>
      </w:rPr>
    </w:lvl>
    <w:lvl w:ilvl="7" w:tplc="FFFFFFFF" w:tentative="1">
      <w:start w:val="1"/>
      <w:numFmt w:val="bullet"/>
      <w:lvlText w:val="o"/>
      <w:lvlJc w:val="left"/>
      <w:pPr>
        <w:ind w:left="6621" w:hanging="360"/>
      </w:pPr>
      <w:rPr>
        <w:rFonts w:ascii="Courier New" w:hAnsi="Courier New" w:cs="Courier New" w:hint="default"/>
      </w:rPr>
    </w:lvl>
    <w:lvl w:ilvl="8" w:tplc="FFFFFFFF" w:tentative="1">
      <w:start w:val="1"/>
      <w:numFmt w:val="bullet"/>
      <w:lvlText w:val=""/>
      <w:lvlJc w:val="left"/>
      <w:pPr>
        <w:ind w:left="7341" w:hanging="360"/>
      </w:pPr>
      <w:rPr>
        <w:rFonts w:ascii="Wingdings" w:hAnsi="Wingdings" w:hint="default"/>
      </w:rPr>
    </w:lvl>
  </w:abstractNum>
  <w:abstractNum w:abstractNumId="9" w15:restartNumberingAfterBreak="0">
    <w:nsid w:val="17317880"/>
    <w:multiLevelType w:val="hybridMultilevel"/>
    <w:tmpl w:val="7CB6C076"/>
    <w:lvl w:ilvl="0" w:tplc="08090001">
      <w:start w:val="1"/>
      <w:numFmt w:val="bullet"/>
      <w:lvlText w:val=""/>
      <w:lvlJc w:val="left"/>
      <w:pPr>
        <w:ind w:left="720" w:hanging="360"/>
      </w:pPr>
      <w:rPr>
        <w:rFonts w:ascii="Symbol" w:hAnsi="Symbol" w:hint="default"/>
      </w:rPr>
    </w:lvl>
    <w:lvl w:ilvl="1" w:tplc="223A52CE">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54459"/>
    <w:multiLevelType w:val="hybridMultilevel"/>
    <w:tmpl w:val="9FFAB0F8"/>
    <w:lvl w:ilvl="0" w:tplc="B7782E24">
      <w:start w:val="1"/>
      <w:numFmt w:val="bullet"/>
      <w:lvlText w:val=""/>
      <w:lvlJc w:val="left"/>
      <w:pPr>
        <w:ind w:left="1581" w:hanging="360"/>
      </w:pPr>
      <w:rPr>
        <w:rFonts w:ascii="Symbol" w:hAnsi="Symbol" w:hint="default"/>
        <w:color w:val="auto"/>
      </w:rPr>
    </w:lvl>
    <w:lvl w:ilvl="1" w:tplc="04520003">
      <w:start w:val="1"/>
      <w:numFmt w:val="bullet"/>
      <w:lvlText w:val="o"/>
      <w:lvlJc w:val="left"/>
      <w:pPr>
        <w:ind w:left="2301" w:hanging="360"/>
      </w:pPr>
      <w:rPr>
        <w:rFonts w:ascii="Courier New" w:hAnsi="Courier New" w:cs="Courier New" w:hint="default"/>
      </w:rPr>
    </w:lvl>
    <w:lvl w:ilvl="2" w:tplc="04520005">
      <w:start w:val="1"/>
      <w:numFmt w:val="bullet"/>
      <w:lvlText w:val=""/>
      <w:lvlJc w:val="left"/>
      <w:pPr>
        <w:ind w:left="3021" w:hanging="360"/>
      </w:pPr>
      <w:rPr>
        <w:rFonts w:ascii="Wingdings" w:hAnsi="Wingdings" w:hint="default"/>
      </w:rPr>
    </w:lvl>
    <w:lvl w:ilvl="3" w:tplc="04520001" w:tentative="1">
      <w:start w:val="1"/>
      <w:numFmt w:val="bullet"/>
      <w:lvlText w:val=""/>
      <w:lvlJc w:val="left"/>
      <w:pPr>
        <w:ind w:left="3741" w:hanging="360"/>
      </w:pPr>
      <w:rPr>
        <w:rFonts w:ascii="Symbol" w:hAnsi="Symbol" w:hint="default"/>
      </w:rPr>
    </w:lvl>
    <w:lvl w:ilvl="4" w:tplc="04520003" w:tentative="1">
      <w:start w:val="1"/>
      <w:numFmt w:val="bullet"/>
      <w:lvlText w:val="o"/>
      <w:lvlJc w:val="left"/>
      <w:pPr>
        <w:ind w:left="4461" w:hanging="360"/>
      </w:pPr>
      <w:rPr>
        <w:rFonts w:ascii="Courier New" w:hAnsi="Courier New" w:cs="Courier New" w:hint="default"/>
      </w:rPr>
    </w:lvl>
    <w:lvl w:ilvl="5" w:tplc="04520005" w:tentative="1">
      <w:start w:val="1"/>
      <w:numFmt w:val="bullet"/>
      <w:lvlText w:val=""/>
      <w:lvlJc w:val="left"/>
      <w:pPr>
        <w:ind w:left="5181" w:hanging="360"/>
      </w:pPr>
      <w:rPr>
        <w:rFonts w:ascii="Wingdings" w:hAnsi="Wingdings" w:hint="default"/>
      </w:rPr>
    </w:lvl>
    <w:lvl w:ilvl="6" w:tplc="04520001" w:tentative="1">
      <w:start w:val="1"/>
      <w:numFmt w:val="bullet"/>
      <w:lvlText w:val=""/>
      <w:lvlJc w:val="left"/>
      <w:pPr>
        <w:ind w:left="5901" w:hanging="360"/>
      </w:pPr>
      <w:rPr>
        <w:rFonts w:ascii="Symbol" w:hAnsi="Symbol" w:hint="default"/>
      </w:rPr>
    </w:lvl>
    <w:lvl w:ilvl="7" w:tplc="04520003" w:tentative="1">
      <w:start w:val="1"/>
      <w:numFmt w:val="bullet"/>
      <w:lvlText w:val="o"/>
      <w:lvlJc w:val="left"/>
      <w:pPr>
        <w:ind w:left="6621" w:hanging="360"/>
      </w:pPr>
      <w:rPr>
        <w:rFonts w:ascii="Courier New" w:hAnsi="Courier New" w:cs="Courier New" w:hint="default"/>
      </w:rPr>
    </w:lvl>
    <w:lvl w:ilvl="8" w:tplc="04520005" w:tentative="1">
      <w:start w:val="1"/>
      <w:numFmt w:val="bullet"/>
      <w:lvlText w:val=""/>
      <w:lvlJc w:val="left"/>
      <w:pPr>
        <w:ind w:left="7341" w:hanging="360"/>
      </w:pPr>
      <w:rPr>
        <w:rFonts w:ascii="Wingdings" w:hAnsi="Wingdings" w:hint="default"/>
      </w:rPr>
    </w:lvl>
  </w:abstractNum>
  <w:abstractNum w:abstractNumId="11" w15:restartNumberingAfterBreak="0">
    <w:nsid w:val="196D23DA"/>
    <w:multiLevelType w:val="hybridMultilevel"/>
    <w:tmpl w:val="48C04BF2"/>
    <w:lvl w:ilvl="0" w:tplc="08090003">
      <w:start w:val="1"/>
      <w:numFmt w:val="bullet"/>
      <w:lvlText w:val="o"/>
      <w:lvlJc w:val="left"/>
      <w:pPr>
        <w:ind w:left="1440" w:hanging="360"/>
      </w:pPr>
      <w:rPr>
        <w:rFonts w:ascii="Courier New" w:hAnsi="Courier New" w:cs="Courier New"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38934A3"/>
    <w:multiLevelType w:val="hybridMultilevel"/>
    <w:tmpl w:val="D5F0029A"/>
    <w:lvl w:ilvl="0" w:tplc="3280B11C">
      <w:start w:val="1"/>
      <w:numFmt w:val="bullet"/>
      <w:lvlText w:val=""/>
      <w:lvlJc w:val="left"/>
      <w:pPr>
        <w:ind w:left="720" w:hanging="360"/>
      </w:pPr>
      <w:rPr>
        <w:rFonts w:ascii="Symbol" w:hAnsi="Symbol" w:hint="default"/>
      </w:rPr>
    </w:lvl>
    <w:lvl w:ilvl="1" w:tplc="073CF5F4">
      <w:start w:val="1"/>
      <w:numFmt w:val="bullet"/>
      <w:lvlText w:val="o"/>
      <w:lvlJc w:val="left"/>
      <w:pPr>
        <w:ind w:left="1440" w:hanging="360"/>
      </w:pPr>
      <w:rPr>
        <w:rFonts w:ascii="Courier New" w:hAnsi="Courier New" w:hint="default"/>
      </w:rPr>
    </w:lvl>
    <w:lvl w:ilvl="2" w:tplc="16006512">
      <w:start w:val="1"/>
      <w:numFmt w:val="bullet"/>
      <w:lvlText w:val=""/>
      <w:lvlJc w:val="left"/>
      <w:pPr>
        <w:ind w:left="2160" w:hanging="360"/>
      </w:pPr>
      <w:rPr>
        <w:rFonts w:ascii="Wingdings" w:hAnsi="Wingdings" w:hint="default"/>
      </w:rPr>
    </w:lvl>
    <w:lvl w:ilvl="3" w:tplc="F6F495E6">
      <w:start w:val="1"/>
      <w:numFmt w:val="bullet"/>
      <w:lvlText w:val=""/>
      <w:lvlJc w:val="left"/>
      <w:pPr>
        <w:ind w:left="2880" w:hanging="360"/>
      </w:pPr>
      <w:rPr>
        <w:rFonts w:ascii="Symbol" w:hAnsi="Symbol" w:hint="default"/>
      </w:rPr>
    </w:lvl>
    <w:lvl w:ilvl="4" w:tplc="1406ABF4">
      <w:start w:val="1"/>
      <w:numFmt w:val="bullet"/>
      <w:lvlText w:val="o"/>
      <w:lvlJc w:val="left"/>
      <w:pPr>
        <w:ind w:left="3600" w:hanging="360"/>
      </w:pPr>
      <w:rPr>
        <w:rFonts w:ascii="Courier New" w:hAnsi="Courier New" w:hint="default"/>
      </w:rPr>
    </w:lvl>
    <w:lvl w:ilvl="5" w:tplc="5C80364C">
      <w:start w:val="1"/>
      <w:numFmt w:val="bullet"/>
      <w:lvlText w:val=""/>
      <w:lvlJc w:val="left"/>
      <w:pPr>
        <w:ind w:left="4320" w:hanging="360"/>
      </w:pPr>
      <w:rPr>
        <w:rFonts w:ascii="Wingdings" w:hAnsi="Wingdings" w:hint="default"/>
      </w:rPr>
    </w:lvl>
    <w:lvl w:ilvl="6" w:tplc="82265DEA">
      <w:start w:val="1"/>
      <w:numFmt w:val="bullet"/>
      <w:lvlText w:val=""/>
      <w:lvlJc w:val="left"/>
      <w:pPr>
        <w:ind w:left="5040" w:hanging="360"/>
      </w:pPr>
      <w:rPr>
        <w:rFonts w:ascii="Symbol" w:hAnsi="Symbol" w:hint="default"/>
      </w:rPr>
    </w:lvl>
    <w:lvl w:ilvl="7" w:tplc="6E6EF476">
      <w:start w:val="1"/>
      <w:numFmt w:val="bullet"/>
      <w:lvlText w:val="o"/>
      <w:lvlJc w:val="left"/>
      <w:pPr>
        <w:ind w:left="5760" w:hanging="360"/>
      </w:pPr>
      <w:rPr>
        <w:rFonts w:ascii="Courier New" w:hAnsi="Courier New" w:hint="default"/>
      </w:rPr>
    </w:lvl>
    <w:lvl w:ilvl="8" w:tplc="1EC6E39E">
      <w:start w:val="1"/>
      <w:numFmt w:val="bullet"/>
      <w:lvlText w:val=""/>
      <w:lvlJc w:val="left"/>
      <w:pPr>
        <w:ind w:left="6480" w:hanging="360"/>
      </w:pPr>
      <w:rPr>
        <w:rFonts w:ascii="Wingdings" w:hAnsi="Wingdings" w:hint="default"/>
      </w:rPr>
    </w:lvl>
  </w:abstractNum>
  <w:abstractNum w:abstractNumId="13" w15:restartNumberingAfterBreak="0">
    <w:nsid w:val="29FC6FA5"/>
    <w:multiLevelType w:val="hybridMultilevel"/>
    <w:tmpl w:val="4426B79A"/>
    <w:lvl w:ilvl="0" w:tplc="5B706B4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0170D"/>
    <w:multiLevelType w:val="hybridMultilevel"/>
    <w:tmpl w:val="070472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23E0E"/>
    <w:multiLevelType w:val="hybridMultilevel"/>
    <w:tmpl w:val="CB22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9CBF0"/>
    <w:multiLevelType w:val="hybridMultilevel"/>
    <w:tmpl w:val="1450BF18"/>
    <w:lvl w:ilvl="0" w:tplc="B5309EF6">
      <w:start w:val="1"/>
      <w:numFmt w:val="bullet"/>
      <w:lvlText w:val=""/>
      <w:lvlJc w:val="left"/>
      <w:pPr>
        <w:ind w:left="720" w:hanging="360"/>
      </w:pPr>
      <w:rPr>
        <w:rFonts w:ascii="Symbol" w:hAnsi="Symbol" w:hint="default"/>
      </w:rPr>
    </w:lvl>
    <w:lvl w:ilvl="1" w:tplc="F342B650">
      <w:start w:val="1"/>
      <w:numFmt w:val="bullet"/>
      <w:lvlText w:val="o"/>
      <w:lvlJc w:val="left"/>
      <w:pPr>
        <w:ind w:left="1440" w:hanging="360"/>
      </w:pPr>
      <w:rPr>
        <w:rFonts w:ascii="Courier New" w:hAnsi="Courier New" w:hint="default"/>
      </w:rPr>
    </w:lvl>
    <w:lvl w:ilvl="2" w:tplc="A9B8AB8E">
      <w:start w:val="1"/>
      <w:numFmt w:val="bullet"/>
      <w:lvlText w:val=""/>
      <w:lvlJc w:val="left"/>
      <w:pPr>
        <w:ind w:left="2160" w:hanging="360"/>
      </w:pPr>
      <w:rPr>
        <w:rFonts w:ascii="Wingdings" w:hAnsi="Wingdings" w:hint="default"/>
      </w:rPr>
    </w:lvl>
    <w:lvl w:ilvl="3" w:tplc="F364D824">
      <w:start w:val="1"/>
      <w:numFmt w:val="bullet"/>
      <w:lvlText w:val=""/>
      <w:lvlJc w:val="left"/>
      <w:pPr>
        <w:ind w:left="2880" w:hanging="360"/>
      </w:pPr>
      <w:rPr>
        <w:rFonts w:ascii="Symbol" w:hAnsi="Symbol" w:hint="default"/>
      </w:rPr>
    </w:lvl>
    <w:lvl w:ilvl="4" w:tplc="90B29FEE">
      <w:start w:val="1"/>
      <w:numFmt w:val="bullet"/>
      <w:lvlText w:val="o"/>
      <w:lvlJc w:val="left"/>
      <w:pPr>
        <w:ind w:left="3600" w:hanging="360"/>
      </w:pPr>
      <w:rPr>
        <w:rFonts w:ascii="Courier New" w:hAnsi="Courier New" w:hint="default"/>
      </w:rPr>
    </w:lvl>
    <w:lvl w:ilvl="5" w:tplc="0892261E">
      <w:start w:val="1"/>
      <w:numFmt w:val="bullet"/>
      <w:lvlText w:val=""/>
      <w:lvlJc w:val="left"/>
      <w:pPr>
        <w:ind w:left="4320" w:hanging="360"/>
      </w:pPr>
      <w:rPr>
        <w:rFonts w:ascii="Wingdings" w:hAnsi="Wingdings" w:hint="default"/>
      </w:rPr>
    </w:lvl>
    <w:lvl w:ilvl="6" w:tplc="A6DE1A7A">
      <w:start w:val="1"/>
      <w:numFmt w:val="bullet"/>
      <w:lvlText w:val=""/>
      <w:lvlJc w:val="left"/>
      <w:pPr>
        <w:ind w:left="5040" w:hanging="360"/>
      </w:pPr>
      <w:rPr>
        <w:rFonts w:ascii="Symbol" w:hAnsi="Symbol" w:hint="default"/>
      </w:rPr>
    </w:lvl>
    <w:lvl w:ilvl="7" w:tplc="1ED2DBE4">
      <w:start w:val="1"/>
      <w:numFmt w:val="bullet"/>
      <w:lvlText w:val="o"/>
      <w:lvlJc w:val="left"/>
      <w:pPr>
        <w:ind w:left="5760" w:hanging="360"/>
      </w:pPr>
      <w:rPr>
        <w:rFonts w:ascii="Courier New" w:hAnsi="Courier New" w:hint="default"/>
      </w:rPr>
    </w:lvl>
    <w:lvl w:ilvl="8" w:tplc="384AC5A8">
      <w:start w:val="1"/>
      <w:numFmt w:val="bullet"/>
      <w:lvlText w:val=""/>
      <w:lvlJc w:val="left"/>
      <w:pPr>
        <w:ind w:left="6480" w:hanging="360"/>
      </w:pPr>
      <w:rPr>
        <w:rFonts w:ascii="Wingdings" w:hAnsi="Wingdings" w:hint="default"/>
      </w:rPr>
    </w:lvl>
  </w:abstractNum>
  <w:abstractNum w:abstractNumId="17" w15:restartNumberingAfterBreak="0">
    <w:nsid w:val="3E06324D"/>
    <w:multiLevelType w:val="hybridMultilevel"/>
    <w:tmpl w:val="AB348DA2"/>
    <w:lvl w:ilvl="0" w:tplc="0809000B">
      <w:start w:val="1"/>
      <w:numFmt w:val="bullet"/>
      <w:lvlText w:val=""/>
      <w:lvlJc w:val="left"/>
      <w:pPr>
        <w:ind w:left="1581" w:hanging="360"/>
      </w:pPr>
      <w:rPr>
        <w:rFonts w:ascii="Wingdings" w:hAnsi="Wingdings" w:hint="default"/>
        <w:color w:val="auto"/>
      </w:rPr>
    </w:lvl>
    <w:lvl w:ilvl="1" w:tplc="FFFFFFFF">
      <w:start w:val="1"/>
      <w:numFmt w:val="bullet"/>
      <w:lvlText w:val="o"/>
      <w:lvlJc w:val="left"/>
      <w:pPr>
        <w:ind w:left="2301" w:hanging="360"/>
      </w:pPr>
      <w:rPr>
        <w:rFonts w:ascii="Courier New" w:hAnsi="Courier New" w:cs="Courier New" w:hint="default"/>
      </w:rPr>
    </w:lvl>
    <w:lvl w:ilvl="2" w:tplc="FFFFFFFF">
      <w:start w:val="1"/>
      <w:numFmt w:val="bullet"/>
      <w:lvlText w:val=""/>
      <w:lvlJc w:val="left"/>
      <w:pPr>
        <w:ind w:left="3021" w:hanging="360"/>
      </w:pPr>
      <w:rPr>
        <w:rFonts w:ascii="Wingdings" w:hAnsi="Wingdings" w:hint="default"/>
      </w:rPr>
    </w:lvl>
    <w:lvl w:ilvl="3" w:tplc="FFFFFFFF" w:tentative="1">
      <w:start w:val="1"/>
      <w:numFmt w:val="bullet"/>
      <w:lvlText w:val=""/>
      <w:lvlJc w:val="left"/>
      <w:pPr>
        <w:ind w:left="3741" w:hanging="360"/>
      </w:pPr>
      <w:rPr>
        <w:rFonts w:ascii="Symbol" w:hAnsi="Symbol" w:hint="default"/>
      </w:rPr>
    </w:lvl>
    <w:lvl w:ilvl="4" w:tplc="FFFFFFFF" w:tentative="1">
      <w:start w:val="1"/>
      <w:numFmt w:val="bullet"/>
      <w:lvlText w:val="o"/>
      <w:lvlJc w:val="left"/>
      <w:pPr>
        <w:ind w:left="4461" w:hanging="360"/>
      </w:pPr>
      <w:rPr>
        <w:rFonts w:ascii="Courier New" w:hAnsi="Courier New" w:cs="Courier New" w:hint="default"/>
      </w:rPr>
    </w:lvl>
    <w:lvl w:ilvl="5" w:tplc="FFFFFFFF" w:tentative="1">
      <w:start w:val="1"/>
      <w:numFmt w:val="bullet"/>
      <w:lvlText w:val=""/>
      <w:lvlJc w:val="left"/>
      <w:pPr>
        <w:ind w:left="5181" w:hanging="360"/>
      </w:pPr>
      <w:rPr>
        <w:rFonts w:ascii="Wingdings" w:hAnsi="Wingdings" w:hint="default"/>
      </w:rPr>
    </w:lvl>
    <w:lvl w:ilvl="6" w:tplc="FFFFFFFF" w:tentative="1">
      <w:start w:val="1"/>
      <w:numFmt w:val="bullet"/>
      <w:lvlText w:val=""/>
      <w:lvlJc w:val="left"/>
      <w:pPr>
        <w:ind w:left="5901" w:hanging="360"/>
      </w:pPr>
      <w:rPr>
        <w:rFonts w:ascii="Symbol" w:hAnsi="Symbol" w:hint="default"/>
      </w:rPr>
    </w:lvl>
    <w:lvl w:ilvl="7" w:tplc="FFFFFFFF" w:tentative="1">
      <w:start w:val="1"/>
      <w:numFmt w:val="bullet"/>
      <w:lvlText w:val="o"/>
      <w:lvlJc w:val="left"/>
      <w:pPr>
        <w:ind w:left="6621" w:hanging="360"/>
      </w:pPr>
      <w:rPr>
        <w:rFonts w:ascii="Courier New" w:hAnsi="Courier New" w:cs="Courier New" w:hint="default"/>
      </w:rPr>
    </w:lvl>
    <w:lvl w:ilvl="8" w:tplc="FFFFFFFF" w:tentative="1">
      <w:start w:val="1"/>
      <w:numFmt w:val="bullet"/>
      <w:lvlText w:val=""/>
      <w:lvlJc w:val="left"/>
      <w:pPr>
        <w:ind w:left="7341" w:hanging="360"/>
      </w:pPr>
      <w:rPr>
        <w:rFonts w:ascii="Wingdings" w:hAnsi="Wingdings" w:hint="default"/>
      </w:rPr>
    </w:lvl>
  </w:abstractNum>
  <w:abstractNum w:abstractNumId="18" w15:restartNumberingAfterBreak="0">
    <w:nsid w:val="3E0C0349"/>
    <w:multiLevelType w:val="hybridMultilevel"/>
    <w:tmpl w:val="644C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045C28"/>
    <w:multiLevelType w:val="hybridMultilevel"/>
    <w:tmpl w:val="6A7ECA1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0" w15:restartNumberingAfterBreak="0">
    <w:nsid w:val="54C7156C"/>
    <w:multiLevelType w:val="hybridMultilevel"/>
    <w:tmpl w:val="009A79F6"/>
    <w:lvl w:ilvl="0" w:tplc="B7782E24">
      <w:start w:val="1"/>
      <w:numFmt w:val="bullet"/>
      <w:lvlText w:val=""/>
      <w:lvlJc w:val="left"/>
      <w:pPr>
        <w:ind w:left="158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4595B"/>
    <w:multiLevelType w:val="multilevel"/>
    <w:tmpl w:val="8794DC1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E66AE05"/>
    <w:multiLevelType w:val="hybridMultilevel"/>
    <w:tmpl w:val="5A56FA4A"/>
    <w:lvl w:ilvl="0" w:tplc="747AD6E0">
      <w:start w:val="1"/>
      <w:numFmt w:val="bullet"/>
      <w:lvlText w:val=""/>
      <w:lvlJc w:val="left"/>
      <w:pPr>
        <w:ind w:left="720" w:hanging="360"/>
      </w:pPr>
      <w:rPr>
        <w:rFonts w:ascii="Symbol" w:hAnsi="Symbol" w:hint="default"/>
      </w:rPr>
    </w:lvl>
    <w:lvl w:ilvl="1" w:tplc="D18C9652">
      <w:start w:val="1"/>
      <w:numFmt w:val="bullet"/>
      <w:lvlText w:val="o"/>
      <w:lvlJc w:val="left"/>
      <w:pPr>
        <w:ind w:left="1440" w:hanging="360"/>
      </w:pPr>
      <w:rPr>
        <w:rFonts w:ascii="Courier New" w:hAnsi="Courier New" w:hint="default"/>
      </w:rPr>
    </w:lvl>
    <w:lvl w:ilvl="2" w:tplc="72129132">
      <w:start w:val="1"/>
      <w:numFmt w:val="bullet"/>
      <w:lvlText w:val=""/>
      <w:lvlJc w:val="left"/>
      <w:pPr>
        <w:ind w:left="2160" w:hanging="360"/>
      </w:pPr>
      <w:rPr>
        <w:rFonts w:ascii="Wingdings" w:hAnsi="Wingdings" w:hint="default"/>
      </w:rPr>
    </w:lvl>
    <w:lvl w:ilvl="3" w:tplc="B22491D0">
      <w:start w:val="1"/>
      <w:numFmt w:val="bullet"/>
      <w:lvlText w:val=""/>
      <w:lvlJc w:val="left"/>
      <w:pPr>
        <w:ind w:left="2880" w:hanging="360"/>
      </w:pPr>
      <w:rPr>
        <w:rFonts w:ascii="Symbol" w:hAnsi="Symbol" w:hint="default"/>
      </w:rPr>
    </w:lvl>
    <w:lvl w:ilvl="4" w:tplc="6F5A5DFE">
      <w:start w:val="1"/>
      <w:numFmt w:val="bullet"/>
      <w:lvlText w:val="o"/>
      <w:lvlJc w:val="left"/>
      <w:pPr>
        <w:ind w:left="3600" w:hanging="360"/>
      </w:pPr>
      <w:rPr>
        <w:rFonts w:ascii="Courier New" w:hAnsi="Courier New" w:hint="default"/>
      </w:rPr>
    </w:lvl>
    <w:lvl w:ilvl="5" w:tplc="75D8790A">
      <w:start w:val="1"/>
      <w:numFmt w:val="bullet"/>
      <w:lvlText w:val=""/>
      <w:lvlJc w:val="left"/>
      <w:pPr>
        <w:ind w:left="4320" w:hanging="360"/>
      </w:pPr>
      <w:rPr>
        <w:rFonts w:ascii="Wingdings" w:hAnsi="Wingdings" w:hint="default"/>
      </w:rPr>
    </w:lvl>
    <w:lvl w:ilvl="6" w:tplc="D86C60B8">
      <w:start w:val="1"/>
      <w:numFmt w:val="bullet"/>
      <w:lvlText w:val=""/>
      <w:lvlJc w:val="left"/>
      <w:pPr>
        <w:ind w:left="5040" w:hanging="360"/>
      </w:pPr>
      <w:rPr>
        <w:rFonts w:ascii="Symbol" w:hAnsi="Symbol" w:hint="default"/>
      </w:rPr>
    </w:lvl>
    <w:lvl w:ilvl="7" w:tplc="021092E8">
      <w:start w:val="1"/>
      <w:numFmt w:val="bullet"/>
      <w:lvlText w:val="o"/>
      <w:lvlJc w:val="left"/>
      <w:pPr>
        <w:ind w:left="5760" w:hanging="360"/>
      </w:pPr>
      <w:rPr>
        <w:rFonts w:ascii="Courier New" w:hAnsi="Courier New" w:hint="default"/>
      </w:rPr>
    </w:lvl>
    <w:lvl w:ilvl="8" w:tplc="7C38156C">
      <w:start w:val="1"/>
      <w:numFmt w:val="bullet"/>
      <w:lvlText w:val=""/>
      <w:lvlJc w:val="left"/>
      <w:pPr>
        <w:ind w:left="6480" w:hanging="360"/>
      </w:pPr>
      <w:rPr>
        <w:rFonts w:ascii="Wingdings" w:hAnsi="Wingdings" w:hint="default"/>
      </w:rPr>
    </w:lvl>
  </w:abstractNum>
  <w:abstractNum w:abstractNumId="23" w15:restartNumberingAfterBreak="0">
    <w:nsid w:val="631560D8"/>
    <w:multiLevelType w:val="hybridMultilevel"/>
    <w:tmpl w:val="1F206C7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4" w15:restartNumberingAfterBreak="0">
    <w:nsid w:val="69BB042A"/>
    <w:multiLevelType w:val="hybridMultilevel"/>
    <w:tmpl w:val="CF68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C53648"/>
    <w:multiLevelType w:val="hybridMultilevel"/>
    <w:tmpl w:val="BF6ACAD8"/>
    <w:lvl w:ilvl="0" w:tplc="7DB0313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746CAE"/>
    <w:multiLevelType w:val="hybridMultilevel"/>
    <w:tmpl w:val="17D6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B4496"/>
    <w:multiLevelType w:val="hybridMultilevel"/>
    <w:tmpl w:val="BEA8D23C"/>
    <w:lvl w:ilvl="0" w:tplc="FFFFFFFF">
      <w:start w:val="1"/>
      <w:numFmt w:val="bullet"/>
      <w:lvlText w:val=""/>
      <w:lvlJc w:val="left"/>
      <w:pPr>
        <w:ind w:left="720" w:hanging="360"/>
      </w:pPr>
      <w:rPr>
        <w:rFonts w:ascii="Symbol" w:hAnsi="Symbol" w:hint="default"/>
        <w:color w:val="auto"/>
      </w:rPr>
    </w:lvl>
    <w:lvl w:ilvl="1" w:tplc="FFFFFFFF">
      <w:numFmt w:val="bullet"/>
      <w:lvlText w:val="•"/>
      <w:lvlJc w:val="left"/>
      <w:pPr>
        <w:ind w:left="1440" w:hanging="360"/>
      </w:pPr>
      <w:rPr>
        <w:rFonts w:ascii="Calibri Light" w:eastAsia="Calibri" w:hAnsi="Calibri Light" w:cs="Calibri Light" w:hint="default"/>
      </w:rPr>
    </w:lvl>
    <w:lvl w:ilvl="2" w:tplc="08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23418015">
    <w:abstractNumId w:val="7"/>
  </w:num>
  <w:num w:numId="2" w16cid:durableId="1705867567">
    <w:abstractNumId w:val="12"/>
  </w:num>
  <w:num w:numId="3" w16cid:durableId="1717582328">
    <w:abstractNumId w:val="16"/>
  </w:num>
  <w:num w:numId="4" w16cid:durableId="1457719541">
    <w:abstractNumId w:val="2"/>
  </w:num>
  <w:num w:numId="5" w16cid:durableId="920604439">
    <w:abstractNumId w:val="22"/>
  </w:num>
  <w:num w:numId="6" w16cid:durableId="942808395">
    <w:abstractNumId w:val="10"/>
  </w:num>
  <w:num w:numId="7" w16cid:durableId="1911184994">
    <w:abstractNumId w:val="13"/>
  </w:num>
  <w:num w:numId="8" w16cid:durableId="547256174">
    <w:abstractNumId w:val="26"/>
  </w:num>
  <w:num w:numId="9" w16cid:durableId="1766338446">
    <w:abstractNumId w:val="9"/>
  </w:num>
  <w:num w:numId="10" w16cid:durableId="367612617">
    <w:abstractNumId w:val="18"/>
  </w:num>
  <w:num w:numId="11" w16cid:durableId="1379668338">
    <w:abstractNumId w:val="25"/>
  </w:num>
  <w:num w:numId="12" w16cid:durableId="736055295">
    <w:abstractNumId w:val="11"/>
  </w:num>
  <w:num w:numId="13" w16cid:durableId="1724208632">
    <w:abstractNumId w:val="1"/>
  </w:num>
  <w:num w:numId="14" w16cid:durableId="832531069">
    <w:abstractNumId w:val="4"/>
  </w:num>
  <w:num w:numId="15" w16cid:durableId="577598962">
    <w:abstractNumId w:val="3"/>
  </w:num>
  <w:num w:numId="16" w16cid:durableId="1115446269">
    <w:abstractNumId w:val="21"/>
  </w:num>
  <w:num w:numId="17" w16cid:durableId="1947690592">
    <w:abstractNumId w:val="19"/>
  </w:num>
  <w:num w:numId="18" w16cid:durableId="1764062165">
    <w:abstractNumId w:val="5"/>
  </w:num>
  <w:num w:numId="19" w16cid:durableId="1460419770">
    <w:abstractNumId w:val="23"/>
  </w:num>
  <w:num w:numId="20" w16cid:durableId="1786389203">
    <w:abstractNumId w:val="27"/>
  </w:num>
  <w:num w:numId="21" w16cid:durableId="498886244">
    <w:abstractNumId w:val="24"/>
  </w:num>
  <w:num w:numId="22" w16cid:durableId="1559635393">
    <w:abstractNumId w:val="6"/>
  </w:num>
  <w:num w:numId="23" w16cid:durableId="516503101">
    <w:abstractNumId w:val="0"/>
  </w:num>
  <w:num w:numId="24" w16cid:durableId="1145581321">
    <w:abstractNumId w:val="15"/>
  </w:num>
  <w:num w:numId="25" w16cid:durableId="1297369087">
    <w:abstractNumId w:val="20"/>
  </w:num>
  <w:num w:numId="26" w16cid:durableId="1632783958">
    <w:abstractNumId w:val="8"/>
  </w:num>
  <w:num w:numId="27" w16cid:durableId="941374455">
    <w:abstractNumId w:val="14"/>
  </w:num>
  <w:num w:numId="28" w16cid:durableId="16966934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1F"/>
    <w:rsid w:val="0000009C"/>
    <w:rsid w:val="0000058A"/>
    <w:rsid w:val="000006AF"/>
    <w:rsid w:val="00000A44"/>
    <w:rsid w:val="00000B75"/>
    <w:rsid w:val="000010E8"/>
    <w:rsid w:val="00001917"/>
    <w:rsid w:val="00001A7E"/>
    <w:rsid w:val="00002449"/>
    <w:rsid w:val="0000287C"/>
    <w:rsid w:val="00002BBB"/>
    <w:rsid w:val="00003093"/>
    <w:rsid w:val="00003F00"/>
    <w:rsid w:val="0000487D"/>
    <w:rsid w:val="0000525B"/>
    <w:rsid w:val="0000574C"/>
    <w:rsid w:val="00005B21"/>
    <w:rsid w:val="000064A5"/>
    <w:rsid w:val="00006703"/>
    <w:rsid w:val="00006982"/>
    <w:rsid w:val="00007505"/>
    <w:rsid w:val="00010146"/>
    <w:rsid w:val="000108D3"/>
    <w:rsid w:val="000111E1"/>
    <w:rsid w:val="00011914"/>
    <w:rsid w:val="00012DE0"/>
    <w:rsid w:val="00013378"/>
    <w:rsid w:val="000138E8"/>
    <w:rsid w:val="00013A3F"/>
    <w:rsid w:val="00013DB3"/>
    <w:rsid w:val="00013E77"/>
    <w:rsid w:val="00014C58"/>
    <w:rsid w:val="000156CE"/>
    <w:rsid w:val="000159D0"/>
    <w:rsid w:val="00015A4B"/>
    <w:rsid w:val="00015B27"/>
    <w:rsid w:val="00015C96"/>
    <w:rsid w:val="000170C9"/>
    <w:rsid w:val="000173F9"/>
    <w:rsid w:val="00017423"/>
    <w:rsid w:val="0001750E"/>
    <w:rsid w:val="000178CD"/>
    <w:rsid w:val="0002158F"/>
    <w:rsid w:val="000216F3"/>
    <w:rsid w:val="00021E04"/>
    <w:rsid w:val="00022446"/>
    <w:rsid w:val="00022E02"/>
    <w:rsid w:val="0002304D"/>
    <w:rsid w:val="00024311"/>
    <w:rsid w:val="000245BA"/>
    <w:rsid w:val="00024629"/>
    <w:rsid w:val="000250AF"/>
    <w:rsid w:val="00025F54"/>
    <w:rsid w:val="00026616"/>
    <w:rsid w:val="000268B6"/>
    <w:rsid w:val="00026E2B"/>
    <w:rsid w:val="00026ED4"/>
    <w:rsid w:val="00027221"/>
    <w:rsid w:val="00027F98"/>
    <w:rsid w:val="0003017B"/>
    <w:rsid w:val="0003070E"/>
    <w:rsid w:val="000309C6"/>
    <w:rsid w:val="0003180F"/>
    <w:rsid w:val="000318E5"/>
    <w:rsid w:val="00032074"/>
    <w:rsid w:val="00032DD6"/>
    <w:rsid w:val="000332FA"/>
    <w:rsid w:val="00033701"/>
    <w:rsid w:val="000338E0"/>
    <w:rsid w:val="00033940"/>
    <w:rsid w:val="00033C5B"/>
    <w:rsid w:val="00033CD4"/>
    <w:rsid w:val="00033CDB"/>
    <w:rsid w:val="000342BD"/>
    <w:rsid w:val="00035889"/>
    <w:rsid w:val="00035F32"/>
    <w:rsid w:val="00036FEA"/>
    <w:rsid w:val="0003710E"/>
    <w:rsid w:val="00037406"/>
    <w:rsid w:val="0003755A"/>
    <w:rsid w:val="00037ADE"/>
    <w:rsid w:val="00040B53"/>
    <w:rsid w:val="00040B7F"/>
    <w:rsid w:val="00040CE7"/>
    <w:rsid w:val="00040D76"/>
    <w:rsid w:val="00041B94"/>
    <w:rsid w:val="0004211F"/>
    <w:rsid w:val="00042408"/>
    <w:rsid w:val="00042AD2"/>
    <w:rsid w:val="00043206"/>
    <w:rsid w:val="00043A2D"/>
    <w:rsid w:val="00043E2F"/>
    <w:rsid w:val="00044430"/>
    <w:rsid w:val="00044BBF"/>
    <w:rsid w:val="000455C0"/>
    <w:rsid w:val="00045E18"/>
    <w:rsid w:val="00045FCC"/>
    <w:rsid w:val="00046341"/>
    <w:rsid w:val="00046526"/>
    <w:rsid w:val="00046BAC"/>
    <w:rsid w:val="000509F7"/>
    <w:rsid w:val="00050C04"/>
    <w:rsid w:val="00050D4F"/>
    <w:rsid w:val="00051ABE"/>
    <w:rsid w:val="00051B5A"/>
    <w:rsid w:val="00052A72"/>
    <w:rsid w:val="00052DC4"/>
    <w:rsid w:val="00053E7B"/>
    <w:rsid w:val="0005417D"/>
    <w:rsid w:val="000547CC"/>
    <w:rsid w:val="00055956"/>
    <w:rsid w:val="00055E91"/>
    <w:rsid w:val="000560DD"/>
    <w:rsid w:val="00056CED"/>
    <w:rsid w:val="00060195"/>
    <w:rsid w:val="00060300"/>
    <w:rsid w:val="0006066B"/>
    <w:rsid w:val="000615D7"/>
    <w:rsid w:val="00062C80"/>
    <w:rsid w:val="00062D5F"/>
    <w:rsid w:val="000632F5"/>
    <w:rsid w:val="000634EB"/>
    <w:rsid w:val="00063665"/>
    <w:rsid w:val="0006593D"/>
    <w:rsid w:val="00065BFE"/>
    <w:rsid w:val="000664DB"/>
    <w:rsid w:val="00066981"/>
    <w:rsid w:val="00066B12"/>
    <w:rsid w:val="00066EEA"/>
    <w:rsid w:val="000672F6"/>
    <w:rsid w:val="00067365"/>
    <w:rsid w:val="000676B5"/>
    <w:rsid w:val="00070DE8"/>
    <w:rsid w:val="000712A0"/>
    <w:rsid w:val="00071370"/>
    <w:rsid w:val="00072990"/>
    <w:rsid w:val="000730FF"/>
    <w:rsid w:val="00074167"/>
    <w:rsid w:val="00074845"/>
    <w:rsid w:val="000753EB"/>
    <w:rsid w:val="00075CA8"/>
    <w:rsid w:val="0007620A"/>
    <w:rsid w:val="00076389"/>
    <w:rsid w:val="00076794"/>
    <w:rsid w:val="0007706D"/>
    <w:rsid w:val="000774F4"/>
    <w:rsid w:val="00077701"/>
    <w:rsid w:val="000801F4"/>
    <w:rsid w:val="00080678"/>
    <w:rsid w:val="00080B3D"/>
    <w:rsid w:val="00080DCE"/>
    <w:rsid w:val="00080E51"/>
    <w:rsid w:val="00081176"/>
    <w:rsid w:val="000819E4"/>
    <w:rsid w:val="00082442"/>
    <w:rsid w:val="000829D8"/>
    <w:rsid w:val="00083464"/>
    <w:rsid w:val="00083492"/>
    <w:rsid w:val="00083585"/>
    <w:rsid w:val="00083EF3"/>
    <w:rsid w:val="00084160"/>
    <w:rsid w:val="000844B4"/>
    <w:rsid w:val="00084F19"/>
    <w:rsid w:val="00085245"/>
    <w:rsid w:val="00085967"/>
    <w:rsid w:val="00085B62"/>
    <w:rsid w:val="00086989"/>
    <w:rsid w:val="00087C0A"/>
    <w:rsid w:val="000913DB"/>
    <w:rsid w:val="00091C73"/>
    <w:rsid w:val="00092658"/>
    <w:rsid w:val="000929E8"/>
    <w:rsid w:val="00092B27"/>
    <w:rsid w:val="00092F12"/>
    <w:rsid w:val="000936AE"/>
    <w:rsid w:val="00094872"/>
    <w:rsid w:val="00095494"/>
    <w:rsid w:val="00096381"/>
    <w:rsid w:val="000A04CA"/>
    <w:rsid w:val="000A0756"/>
    <w:rsid w:val="000A09C4"/>
    <w:rsid w:val="000A1997"/>
    <w:rsid w:val="000A1D71"/>
    <w:rsid w:val="000A2AE5"/>
    <w:rsid w:val="000A2CD4"/>
    <w:rsid w:val="000A3745"/>
    <w:rsid w:val="000A4359"/>
    <w:rsid w:val="000A4DD9"/>
    <w:rsid w:val="000A58F6"/>
    <w:rsid w:val="000A653C"/>
    <w:rsid w:val="000A72F5"/>
    <w:rsid w:val="000A776E"/>
    <w:rsid w:val="000A7F55"/>
    <w:rsid w:val="000B012B"/>
    <w:rsid w:val="000B0232"/>
    <w:rsid w:val="000B08AA"/>
    <w:rsid w:val="000B0915"/>
    <w:rsid w:val="000B09AA"/>
    <w:rsid w:val="000B1078"/>
    <w:rsid w:val="000B12C2"/>
    <w:rsid w:val="000B12DB"/>
    <w:rsid w:val="000B2776"/>
    <w:rsid w:val="000B29FD"/>
    <w:rsid w:val="000B502A"/>
    <w:rsid w:val="000B5616"/>
    <w:rsid w:val="000B577E"/>
    <w:rsid w:val="000B5E9F"/>
    <w:rsid w:val="000B5F69"/>
    <w:rsid w:val="000B612F"/>
    <w:rsid w:val="000B65BB"/>
    <w:rsid w:val="000B666A"/>
    <w:rsid w:val="000B69CD"/>
    <w:rsid w:val="000B6AB4"/>
    <w:rsid w:val="000B744A"/>
    <w:rsid w:val="000B788C"/>
    <w:rsid w:val="000C0315"/>
    <w:rsid w:val="000C06A7"/>
    <w:rsid w:val="000C08D5"/>
    <w:rsid w:val="000C1147"/>
    <w:rsid w:val="000C1468"/>
    <w:rsid w:val="000C1929"/>
    <w:rsid w:val="000C2C02"/>
    <w:rsid w:val="000C2EF5"/>
    <w:rsid w:val="000C3118"/>
    <w:rsid w:val="000C3CE0"/>
    <w:rsid w:val="000C43C6"/>
    <w:rsid w:val="000C476B"/>
    <w:rsid w:val="000C4B15"/>
    <w:rsid w:val="000C4D4E"/>
    <w:rsid w:val="000C50A8"/>
    <w:rsid w:val="000C542F"/>
    <w:rsid w:val="000C54F8"/>
    <w:rsid w:val="000C553D"/>
    <w:rsid w:val="000C5BDC"/>
    <w:rsid w:val="000C6AD8"/>
    <w:rsid w:val="000D0513"/>
    <w:rsid w:val="000D182C"/>
    <w:rsid w:val="000D26D4"/>
    <w:rsid w:val="000D2BA3"/>
    <w:rsid w:val="000D2DCA"/>
    <w:rsid w:val="000D2E18"/>
    <w:rsid w:val="000D2EA3"/>
    <w:rsid w:val="000D2FFC"/>
    <w:rsid w:val="000D3094"/>
    <w:rsid w:val="000D342E"/>
    <w:rsid w:val="000D3809"/>
    <w:rsid w:val="000D3C45"/>
    <w:rsid w:val="000D3FE3"/>
    <w:rsid w:val="000D3FF6"/>
    <w:rsid w:val="000D4094"/>
    <w:rsid w:val="000D4574"/>
    <w:rsid w:val="000D460F"/>
    <w:rsid w:val="000D5A5E"/>
    <w:rsid w:val="000D5EA3"/>
    <w:rsid w:val="000D60C9"/>
    <w:rsid w:val="000D61DB"/>
    <w:rsid w:val="000D7ADE"/>
    <w:rsid w:val="000E0500"/>
    <w:rsid w:val="000E0879"/>
    <w:rsid w:val="000E0AE4"/>
    <w:rsid w:val="000E0FC2"/>
    <w:rsid w:val="000E1B67"/>
    <w:rsid w:val="000E1EB3"/>
    <w:rsid w:val="000E226F"/>
    <w:rsid w:val="000E2A24"/>
    <w:rsid w:val="000E2E93"/>
    <w:rsid w:val="000E365C"/>
    <w:rsid w:val="000E3F28"/>
    <w:rsid w:val="000E46F0"/>
    <w:rsid w:val="000E529B"/>
    <w:rsid w:val="000E537A"/>
    <w:rsid w:val="000E53DC"/>
    <w:rsid w:val="000E672E"/>
    <w:rsid w:val="000E6925"/>
    <w:rsid w:val="000E6976"/>
    <w:rsid w:val="000E7B9D"/>
    <w:rsid w:val="000F092D"/>
    <w:rsid w:val="000F09FF"/>
    <w:rsid w:val="000F0AA1"/>
    <w:rsid w:val="000F1EAD"/>
    <w:rsid w:val="000F216E"/>
    <w:rsid w:val="000F261F"/>
    <w:rsid w:val="000F29AD"/>
    <w:rsid w:val="000F3A9B"/>
    <w:rsid w:val="000F430D"/>
    <w:rsid w:val="000F4799"/>
    <w:rsid w:val="000F4920"/>
    <w:rsid w:val="000F4D3C"/>
    <w:rsid w:val="000F4D7C"/>
    <w:rsid w:val="000F51A5"/>
    <w:rsid w:val="000F5E29"/>
    <w:rsid w:val="000F5E73"/>
    <w:rsid w:val="000F614F"/>
    <w:rsid w:val="000F6AE0"/>
    <w:rsid w:val="000F7C05"/>
    <w:rsid w:val="00100184"/>
    <w:rsid w:val="001001AC"/>
    <w:rsid w:val="00100357"/>
    <w:rsid w:val="00101E8D"/>
    <w:rsid w:val="0010221A"/>
    <w:rsid w:val="0010227B"/>
    <w:rsid w:val="00103380"/>
    <w:rsid w:val="001035E4"/>
    <w:rsid w:val="0010410E"/>
    <w:rsid w:val="0010433A"/>
    <w:rsid w:val="001047C3"/>
    <w:rsid w:val="00104ED2"/>
    <w:rsid w:val="00105171"/>
    <w:rsid w:val="001052BD"/>
    <w:rsid w:val="001056D3"/>
    <w:rsid w:val="00105D42"/>
    <w:rsid w:val="001063F5"/>
    <w:rsid w:val="00106AF3"/>
    <w:rsid w:val="00106E49"/>
    <w:rsid w:val="001075CF"/>
    <w:rsid w:val="00107834"/>
    <w:rsid w:val="00107FF2"/>
    <w:rsid w:val="001101D0"/>
    <w:rsid w:val="00110724"/>
    <w:rsid w:val="00110853"/>
    <w:rsid w:val="00111117"/>
    <w:rsid w:val="00111294"/>
    <w:rsid w:val="001117F9"/>
    <w:rsid w:val="0011229C"/>
    <w:rsid w:val="00112CF1"/>
    <w:rsid w:val="00112F8F"/>
    <w:rsid w:val="00112FC7"/>
    <w:rsid w:val="00113929"/>
    <w:rsid w:val="00114DD5"/>
    <w:rsid w:val="001158BB"/>
    <w:rsid w:val="00115B12"/>
    <w:rsid w:val="00115DB9"/>
    <w:rsid w:val="001160AC"/>
    <w:rsid w:val="001161A3"/>
    <w:rsid w:val="00116E2E"/>
    <w:rsid w:val="0012078E"/>
    <w:rsid w:val="001210D8"/>
    <w:rsid w:val="00121968"/>
    <w:rsid w:val="00122ACA"/>
    <w:rsid w:val="00122DA6"/>
    <w:rsid w:val="00122F1E"/>
    <w:rsid w:val="00123112"/>
    <w:rsid w:val="001232DE"/>
    <w:rsid w:val="001235CC"/>
    <w:rsid w:val="00123C3A"/>
    <w:rsid w:val="0012438D"/>
    <w:rsid w:val="0012476F"/>
    <w:rsid w:val="00124935"/>
    <w:rsid w:val="0012567B"/>
    <w:rsid w:val="0012575B"/>
    <w:rsid w:val="00125BA0"/>
    <w:rsid w:val="0012612D"/>
    <w:rsid w:val="00126348"/>
    <w:rsid w:val="00126907"/>
    <w:rsid w:val="0012790B"/>
    <w:rsid w:val="00127CCC"/>
    <w:rsid w:val="00130520"/>
    <w:rsid w:val="00130E34"/>
    <w:rsid w:val="001319F1"/>
    <w:rsid w:val="001323B0"/>
    <w:rsid w:val="0013319B"/>
    <w:rsid w:val="001334BF"/>
    <w:rsid w:val="001334F0"/>
    <w:rsid w:val="00134056"/>
    <w:rsid w:val="001342CF"/>
    <w:rsid w:val="001344C5"/>
    <w:rsid w:val="00134E66"/>
    <w:rsid w:val="001352AE"/>
    <w:rsid w:val="0013557D"/>
    <w:rsid w:val="00135B8E"/>
    <w:rsid w:val="00136069"/>
    <w:rsid w:val="00136466"/>
    <w:rsid w:val="00136B6A"/>
    <w:rsid w:val="001370A8"/>
    <w:rsid w:val="001378BA"/>
    <w:rsid w:val="00137D16"/>
    <w:rsid w:val="00140504"/>
    <w:rsid w:val="001407EF"/>
    <w:rsid w:val="00140DE7"/>
    <w:rsid w:val="00140E1A"/>
    <w:rsid w:val="00140EA7"/>
    <w:rsid w:val="00140F59"/>
    <w:rsid w:val="001417E2"/>
    <w:rsid w:val="00142109"/>
    <w:rsid w:val="001422E5"/>
    <w:rsid w:val="001423FE"/>
    <w:rsid w:val="00142461"/>
    <w:rsid w:val="00142470"/>
    <w:rsid w:val="001430ED"/>
    <w:rsid w:val="00143102"/>
    <w:rsid w:val="00143EDD"/>
    <w:rsid w:val="001442CC"/>
    <w:rsid w:val="0014443A"/>
    <w:rsid w:val="00144EA2"/>
    <w:rsid w:val="001450E0"/>
    <w:rsid w:val="0014544F"/>
    <w:rsid w:val="00146E7D"/>
    <w:rsid w:val="001478BD"/>
    <w:rsid w:val="001479E7"/>
    <w:rsid w:val="001501DD"/>
    <w:rsid w:val="001517F0"/>
    <w:rsid w:val="001519F6"/>
    <w:rsid w:val="00151B26"/>
    <w:rsid w:val="001520FA"/>
    <w:rsid w:val="0015225B"/>
    <w:rsid w:val="00152426"/>
    <w:rsid w:val="00152F9C"/>
    <w:rsid w:val="001547FE"/>
    <w:rsid w:val="00154D53"/>
    <w:rsid w:val="001555D7"/>
    <w:rsid w:val="001556B5"/>
    <w:rsid w:val="00155967"/>
    <w:rsid w:val="00156486"/>
    <w:rsid w:val="00156658"/>
    <w:rsid w:val="00156B95"/>
    <w:rsid w:val="0015715C"/>
    <w:rsid w:val="001573E7"/>
    <w:rsid w:val="00157F5A"/>
    <w:rsid w:val="0015E0B9"/>
    <w:rsid w:val="001602CA"/>
    <w:rsid w:val="001603FC"/>
    <w:rsid w:val="00160D34"/>
    <w:rsid w:val="00161244"/>
    <w:rsid w:val="00161CF8"/>
    <w:rsid w:val="001629F2"/>
    <w:rsid w:val="00163238"/>
    <w:rsid w:val="00163778"/>
    <w:rsid w:val="00163D3F"/>
    <w:rsid w:val="00164116"/>
    <w:rsid w:val="0016455D"/>
    <w:rsid w:val="00165BF8"/>
    <w:rsid w:val="00165E15"/>
    <w:rsid w:val="00165F57"/>
    <w:rsid w:val="00165FA6"/>
    <w:rsid w:val="0016678E"/>
    <w:rsid w:val="00166B11"/>
    <w:rsid w:val="00166B3C"/>
    <w:rsid w:val="00166E91"/>
    <w:rsid w:val="00167583"/>
    <w:rsid w:val="001675EF"/>
    <w:rsid w:val="00167EE6"/>
    <w:rsid w:val="001701C5"/>
    <w:rsid w:val="00170ACD"/>
    <w:rsid w:val="00170E30"/>
    <w:rsid w:val="00170F9A"/>
    <w:rsid w:val="00171FC8"/>
    <w:rsid w:val="00172077"/>
    <w:rsid w:val="00173123"/>
    <w:rsid w:val="00173678"/>
    <w:rsid w:val="00173AAD"/>
    <w:rsid w:val="001747BE"/>
    <w:rsid w:val="00175830"/>
    <w:rsid w:val="00175E30"/>
    <w:rsid w:val="00176CB0"/>
    <w:rsid w:val="001770A7"/>
    <w:rsid w:val="001801FD"/>
    <w:rsid w:val="00180B39"/>
    <w:rsid w:val="00180CC2"/>
    <w:rsid w:val="00180E06"/>
    <w:rsid w:val="00181285"/>
    <w:rsid w:val="00181B7B"/>
    <w:rsid w:val="00181C3D"/>
    <w:rsid w:val="001822B4"/>
    <w:rsid w:val="00182361"/>
    <w:rsid w:val="001829A0"/>
    <w:rsid w:val="00182DD7"/>
    <w:rsid w:val="00182FFE"/>
    <w:rsid w:val="001834F3"/>
    <w:rsid w:val="001834F6"/>
    <w:rsid w:val="00183AD6"/>
    <w:rsid w:val="00183C2A"/>
    <w:rsid w:val="00184607"/>
    <w:rsid w:val="00184860"/>
    <w:rsid w:val="0018546F"/>
    <w:rsid w:val="00185C2F"/>
    <w:rsid w:val="00186CE0"/>
    <w:rsid w:val="00187732"/>
    <w:rsid w:val="00187DA5"/>
    <w:rsid w:val="00187E25"/>
    <w:rsid w:val="001900D2"/>
    <w:rsid w:val="0019086F"/>
    <w:rsid w:val="0019088C"/>
    <w:rsid w:val="00191052"/>
    <w:rsid w:val="001911AD"/>
    <w:rsid w:val="001914B2"/>
    <w:rsid w:val="00192BCD"/>
    <w:rsid w:val="00192C01"/>
    <w:rsid w:val="00192FC4"/>
    <w:rsid w:val="00193077"/>
    <w:rsid w:val="00193C68"/>
    <w:rsid w:val="00193E64"/>
    <w:rsid w:val="00194369"/>
    <w:rsid w:val="00194A31"/>
    <w:rsid w:val="001959DE"/>
    <w:rsid w:val="00195CAF"/>
    <w:rsid w:val="00196D9A"/>
    <w:rsid w:val="001A09C0"/>
    <w:rsid w:val="001A0B91"/>
    <w:rsid w:val="001A0BA0"/>
    <w:rsid w:val="001A2CBE"/>
    <w:rsid w:val="001A2CD4"/>
    <w:rsid w:val="001A364A"/>
    <w:rsid w:val="001A4177"/>
    <w:rsid w:val="001A46DA"/>
    <w:rsid w:val="001A5133"/>
    <w:rsid w:val="001A5B9E"/>
    <w:rsid w:val="001A5BB0"/>
    <w:rsid w:val="001A6427"/>
    <w:rsid w:val="001A697F"/>
    <w:rsid w:val="001A6F4D"/>
    <w:rsid w:val="001A6FDF"/>
    <w:rsid w:val="001A720A"/>
    <w:rsid w:val="001A79D1"/>
    <w:rsid w:val="001B09F6"/>
    <w:rsid w:val="001B0B9D"/>
    <w:rsid w:val="001B1AD2"/>
    <w:rsid w:val="001B1D75"/>
    <w:rsid w:val="001B1DB1"/>
    <w:rsid w:val="001B1FD6"/>
    <w:rsid w:val="001B2154"/>
    <w:rsid w:val="001B233B"/>
    <w:rsid w:val="001B2BB2"/>
    <w:rsid w:val="001B37ED"/>
    <w:rsid w:val="001B3AA9"/>
    <w:rsid w:val="001B3DE9"/>
    <w:rsid w:val="001B4076"/>
    <w:rsid w:val="001B41A1"/>
    <w:rsid w:val="001B475B"/>
    <w:rsid w:val="001B482D"/>
    <w:rsid w:val="001B488F"/>
    <w:rsid w:val="001B4A40"/>
    <w:rsid w:val="001B4A4C"/>
    <w:rsid w:val="001B7241"/>
    <w:rsid w:val="001B7702"/>
    <w:rsid w:val="001C04A5"/>
    <w:rsid w:val="001C056C"/>
    <w:rsid w:val="001C07EB"/>
    <w:rsid w:val="001C138C"/>
    <w:rsid w:val="001C22AB"/>
    <w:rsid w:val="001C2320"/>
    <w:rsid w:val="001C2BCC"/>
    <w:rsid w:val="001C2C94"/>
    <w:rsid w:val="001C2DB9"/>
    <w:rsid w:val="001C3359"/>
    <w:rsid w:val="001C3456"/>
    <w:rsid w:val="001C3D86"/>
    <w:rsid w:val="001C3EA2"/>
    <w:rsid w:val="001C4212"/>
    <w:rsid w:val="001C4923"/>
    <w:rsid w:val="001C49A1"/>
    <w:rsid w:val="001C4C58"/>
    <w:rsid w:val="001C589E"/>
    <w:rsid w:val="001C6713"/>
    <w:rsid w:val="001C6A5C"/>
    <w:rsid w:val="001D0BC6"/>
    <w:rsid w:val="001D1F33"/>
    <w:rsid w:val="001D21D9"/>
    <w:rsid w:val="001D39EC"/>
    <w:rsid w:val="001D3DD4"/>
    <w:rsid w:val="001D4FE4"/>
    <w:rsid w:val="001D5A2F"/>
    <w:rsid w:val="001D5EA9"/>
    <w:rsid w:val="001D6051"/>
    <w:rsid w:val="001D6421"/>
    <w:rsid w:val="001D67BD"/>
    <w:rsid w:val="001D67F2"/>
    <w:rsid w:val="001D6A52"/>
    <w:rsid w:val="001D6FF4"/>
    <w:rsid w:val="001D705B"/>
    <w:rsid w:val="001D78EE"/>
    <w:rsid w:val="001D7CB6"/>
    <w:rsid w:val="001E06BA"/>
    <w:rsid w:val="001E0808"/>
    <w:rsid w:val="001E0B1C"/>
    <w:rsid w:val="001E0DB6"/>
    <w:rsid w:val="001E0DF8"/>
    <w:rsid w:val="001E2535"/>
    <w:rsid w:val="001E2D17"/>
    <w:rsid w:val="001E3009"/>
    <w:rsid w:val="001E3C72"/>
    <w:rsid w:val="001E4045"/>
    <w:rsid w:val="001E48D6"/>
    <w:rsid w:val="001E4E7E"/>
    <w:rsid w:val="001E54DC"/>
    <w:rsid w:val="001E5DE2"/>
    <w:rsid w:val="001E6084"/>
    <w:rsid w:val="001E6268"/>
    <w:rsid w:val="001E6307"/>
    <w:rsid w:val="001E659A"/>
    <w:rsid w:val="001E6A30"/>
    <w:rsid w:val="001E79A5"/>
    <w:rsid w:val="001E7A00"/>
    <w:rsid w:val="001E7C9E"/>
    <w:rsid w:val="001F05EF"/>
    <w:rsid w:val="001F1462"/>
    <w:rsid w:val="001F162F"/>
    <w:rsid w:val="001F3239"/>
    <w:rsid w:val="001F344C"/>
    <w:rsid w:val="001F40F4"/>
    <w:rsid w:val="001F4131"/>
    <w:rsid w:val="001F4342"/>
    <w:rsid w:val="001F47B7"/>
    <w:rsid w:val="001F4B9D"/>
    <w:rsid w:val="001F5AAA"/>
    <w:rsid w:val="001F69E2"/>
    <w:rsid w:val="001F700A"/>
    <w:rsid w:val="002000EA"/>
    <w:rsid w:val="0020021A"/>
    <w:rsid w:val="002003C8"/>
    <w:rsid w:val="002013D3"/>
    <w:rsid w:val="00201635"/>
    <w:rsid w:val="00201C3A"/>
    <w:rsid w:val="00202899"/>
    <w:rsid w:val="00202AF8"/>
    <w:rsid w:val="002031EB"/>
    <w:rsid w:val="00203224"/>
    <w:rsid w:val="00203AE2"/>
    <w:rsid w:val="002052B9"/>
    <w:rsid w:val="00205933"/>
    <w:rsid w:val="00205B01"/>
    <w:rsid w:val="00205CE8"/>
    <w:rsid w:val="00205DE1"/>
    <w:rsid w:val="00206DEE"/>
    <w:rsid w:val="00207B2D"/>
    <w:rsid w:val="00207F52"/>
    <w:rsid w:val="00207F9D"/>
    <w:rsid w:val="002102F3"/>
    <w:rsid w:val="00210409"/>
    <w:rsid w:val="002106EF"/>
    <w:rsid w:val="00210D8B"/>
    <w:rsid w:val="00211B3F"/>
    <w:rsid w:val="0021203D"/>
    <w:rsid w:val="0021296F"/>
    <w:rsid w:val="00212DB6"/>
    <w:rsid w:val="00213026"/>
    <w:rsid w:val="002133A4"/>
    <w:rsid w:val="0021352C"/>
    <w:rsid w:val="00213957"/>
    <w:rsid w:val="00213AF3"/>
    <w:rsid w:val="00213FFA"/>
    <w:rsid w:val="00214439"/>
    <w:rsid w:val="00214903"/>
    <w:rsid w:val="00214A70"/>
    <w:rsid w:val="00215538"/>
    <w:rsid w:val="00215FCA"/>
    <w:rsid w:val="002162DB"/>
    <w:rsid w:val="002164AF"/>
    <w:rsid w:val="0021705F"/>
    <w:rsid w:val="0021793E"/>
    <w:rsid w:val="00220CF3"/>
    <w:rsid w:val="00221E37"/>
    <w:rsid w:val="0022235B"/>
    <w:rsid w:val="002226E8"/>
    <w:rsid w:val="00223669"/>
    <w:rsid w:val="002237E7"/>
    <w:rsid w:val="00223D98"/>
    <w:rsid w:val="0022407C"/>
    <w:rsid w:val="002241B1"/>
    <w:rsid w:val="0022489F"/>
    <w:rsid w:val="00225420"/>
    <w:rsid w:val="00225485"/>
    <w:rsid w:val="002256FE"/>
    <w:rsid w:val="00225756"/>
    <w:rsid w:val="0022632D"/>
    <w:rsid w:val="002264DD"/>
    <w:rsid w:val="00226BAD"/>
    <w:rsid w:val="00227E7D"/>
    <w:rsid w:val="00230EB5"/>
    <w:rsid w:val="00231BFE"/>
    <w:rsid w:val="00231C17"/>
    <w:rsid w:val="00231F96"/>
    <w:rsid w:val="0023299B"/>
    <w:rsid w:val="00234B44"/>
    <w:rsid w:val="00234CFE"/>
    <w:rsid w:val="00234EDD"/>
    <w:rsid w:val="0023577F"/>
    <w:rsid w:val="00235806"/>
    <w:rsid w:val="002364A7"/>
    <w:rsid w:val="002364D0"/>
    <w:rsid w:val="00236647"/>
    <w:rsid w:val="00236765"/>
    <w:rsid w:val="00236919"/>
    <w:rsid w:val="00236FA1"/>
    <w:rsid w:val="00237725"/>
    <w:rsid w:val="00237C77"/>
    <w:rsid w:val="0024056C"/>
    <w:rsid w:val="00240643"/>
    <w:rsid w:val="002408EF"/>
    <w:rsid w:val="00240A9C"/>
    <w:rsid w:val="00240C59"/>
    <w:rsid w:val="00241233"/>
    <w:rsid w:val="00241389"/>
    <w:rsid w:val="00241675"/>
    <w:rsid w:val="00241F43"/>
    <w:rsid w:val="0024229B"/>
    <w:rsid w:val="00242718"/>
    <w:rsid w:val="00242820"/>
    <w:rsid w:val="0024289E"/>
    <w:rsid w:val="002433DD"/>
    <w:rsid w:val="0024341C"/>
    <w:rsid w:val="00243F30"/>
    <w:rsid w:val="0024439A"/>
    <w:rsid w:val="002447A3"/>
    <w:rsid w:val="00244CF6"/>
    <w:rsid w:val="00244FC1"/>
    <w:rsid w:val="002451AC"/>
    <w:rsid w:val="00245F9E"/>
    <w:rsid w:val="002461A4"/>
    <w:rsid w:val="00246235"/>
    <w:rsid w:val="0024652D"/>
    <w:rsid w:val="00246C32"/>
    <w:rsid w:val="002477A0"/>
    <w:rsid w:val="00247ADF"/>
    <w:rsid w:val="0025033A"/>
    <w:rsid w:val="00250922"/>
    <w:rsid w:val="00250E8E"/>
    <w:rsid w:val="00250FBB"/>
    <w:rsid w:val="002510A0"/>
    <w:rsid w:val="00251742"/>
    <w:rsid w:val="002519C3"/>
    <w:rsid w:val="00252086"/>
    <w:rsid w:val="00252DE5"/>
    <w:rsid w:val="00252E57"/>
    <w:rsid w:val="0025365F"/>
    <w:rsid w:val="00253CAF"/>
    <w:rsid w:val="00253E23"/>
    <w:rsid w:val="00254F4F"/>
    <w:rsid w:val="00254F57"/>
    <w:rsid w:val="00255761"/>
    <w:rsid w:val="002557F2"/>
    <w:rsid w:val="0025667F"/>
    <w:rsid w:val="0025699B"/>
    <w:rsid w:val="002570EC"/>
    <w:rsid w:val="002572CD"/>
    <w:rsid w:val="00260199"/>
    <w:rsid w:val="002602FF"/>
    <w:rsid w:val="0026072D"/>
    <w:rsid w:val="00260B00"/>
    <w:rsid w:val="00260B6D"/>
    <w:rsid w:val="00261150"/>
    <w:rsid w:val="00261BE5"/>
    <w:rsid w:val="00261E28"/>
    <w:rsid w:val="00262188"/>
    <w:rsid w:val="00262348"/>
    <w:rsid w:val="00262649"/>
    <w:rsid w:val="00265CBE"/>
    <w:rsid w:val="002661BE"/>
    <w:rsid w:val="00266918"/>
    <w:rsid w:val="00267400"/>
    <w:rsid w:val="00270558"/>
    <w:rsid w:val="00270E01"/>
    <w:rsid w:val="00271940"/>
    <w:rsid w:val="00271D83"/>
    <w:rsid w:val="00271E6B"/>
    <w:rsid w:val="002722CB"/>
    <w:rsid w:val="002728EF"/>
    <w:rsid w:val="00273316"/>
    <w:rsid w:val="0027372D"/>
    <w:rsid w:val="002738C0"/>
    <w:rsid w:val="00274397"/>
    <w:rsid w:val="00274AFD"/>
    <w:rsid w:val="00274E32"/>
    <w:rsid w:val="0027557A"/>
    <w:rsid w:val="00275AC0"/>
    <w:rsid w:val="00275DBB"/>
    <w:rsid w:val="0027611E"/>
    <w:rsid w:val="002764D5"/>
    <w:rsid w:val="00276A55"/>
    <w:rsid w:val="00277C70"/>
    <w:rsid w:val="00280209"/>
    <w:rsid w:val="0028277C"/>
    <w:rsid w:val="00282F8B"/>
    <w:rsid w:val="002830B9"/>
    <w:rsid w:val="00283484"/>
    <w:rsid w:val="00283F31"/>
    <w:rsid w:val="002842EE"/>
    <w:rsid w:val="00284930"/>
    <w:rsid w:val="00284C83"/>
    <w:rsid w:val="00285973"/>
    <w:rsid w:val="00285B71"/>
    <w:rsid w:val="00285C22"/>
    <w:rsid w:val="0028654F"/>
    <w:rsid w:val="00286AD1"/>
    <w:rsid w:val="00286E13"/>
    <w:rsid w:val="002879EF"/>
    <w:rsid w:val="00290231"/>
    <w:rsid w:val="00290B6B"/>
    <w:rsid w:val="00291730"/>
    <w:rsid w:val="002918DD"/>
    <w:rsid w:val="00292AE4"/>
    <w:rsid w:val="00292D7E"/>
    <w:rsid w:val="002930F5"/>
    <w:rsid w:val="0029355C"/>
    <w:rsid w:val="002938E1"/>
    <w:rsid w:val="00293D48"/>
    <w:rsid w:val="00294323"/>
    <w:rsid w:val="0029469E"/>
    <w:rsid w:val="0029470F"/>
    <w:rsid w:val="00295244"/>
    <w:rsid w:val="0029549B"/>
    <w:rsid w:val="0029606F"/>
    <w:rsid w:val="0029646E"/>
    <w:rsid w:val="00296E92"/>
    <w:rsid w:val="00296FC5"/>
    <w:rsid w:val="002A0199"/>
    <w:rsid w:val="002A021A"/>
    <w:rsid w:val="002A0EAF"/>
    <w:rsid w:val="002A10B0"/>
    <w:rsid w:val="002A12C5"/>
    <w:rsid w:val="002A140C"/>
    <w:rsid w:val="002A1CF1"/>
    <w:rsid w:val="002A220E"/>
    <w:rsid w:val="002A22CE"/>
    <w:rsid w:val="002A2828"/>
    <w:rsid w:val="002A2ECA"/>
    <w:rsid w:val="002A3591"/>
    <w:rsid w:val="002A37EB"/>
    <w:rsid w:val="002A3DDF"/>
    <w:rsid w:val="002A41DF"/>
    <w:rsid w:val="002A45FF"/>
    <w:rsid w:val="002A4FC9"/>
    <w:rsid w:val="002A5869"/>
    <w:rsid w:val="002A7569"/>
    <w:rsid w:val="002A7780"/>
    <w:rsid w:val="002A77E0"/>
    <w:rsid w:val="002A7AF3"/>
    <w:rsid w:val="002B058D"/>
    <w:rsid w:val="002B0E4C"/>
    <w:rsid w:val="002B167B"/>
    <w:rsid w:val="002B17C5"/>
    <w:rsid w:val="002B1B5B"/>
    <w:rsid w:val="002B1C7F"/>
    <w:rsid w:val="002B22DE"/>
    <w:rsid w:val="002B23FB"/>
    <w:rsid w:val="002B326B"/>
    <w:rsid w:val="002B36AC"/>
    <w:rsid w:val="002B3AB6"/>
    <w:rsid w:val="002B3F51"/>
    <w:rsid w:val="002B3FAE"/>
    <w:rsid w:val="002B51CD"/>
    <w:rsid w:val="002B55DA"/>
    <w:rsid w:val="002B58B1"/>
    <w:rsid w:val="002B5FE3"/>
    <w:rsid w:val="002B6087"/>
    <w:rsid w:val="002B6C02"/>
    <w:rsid w:val="002B6FA1"/>
    <w:rsid w:val="002B73D8"/>
    <w:rsid w:val="002B8502"/>
    <w:rsid w:val="002C0C75"/>
    <w:rsid w:val="002C1F1C"/>
    <w:rsid w:val="002C26E5"/>
    <w:rsid w:val="002C282A"/>
    <w:rsid w:val="002C3BC7"/>
    <w:rsid w:val="002C3D29"/>
    <w:rsid w:val="002C3E43"/>
    <w:rsid w:val="002C40F8"/>
    <w:rsid w:val="002C41F9"/>
    <w:rsid w:val="002C5219"/>
    <w:rsid w:val="002C5228"/>
    <w:rsid w:val="002C55C0"/>
    <w:rsid w:val="002C5A1E"/>
    <w:rsid w:val="002C5D08"/>
    <w:rsid w:val="002C6152"/>
    <w:rsid w:val="002C6553"/>
    <w:rsid w:val="002C70AA"/>
    <w:rsid w:val="002C7776"/>
    <w:rsid w:val="002C79AD"/>
    <w:rsid w:val="002C7EC7"/>
    <w:rsid w:val="002C7EFD"/>
    <w:rsid w:val="002D0615"/>
    <w:rsid w:val="002D09E1"/>
    <w:rsid w:val="002D0D60"/>
    <w:rsid w:val="002D13B0"/>
    <w:rsid w:val="002D143E"/>
    <w:rsid w:val="002D1B1F"/>
    <w:rsid w:val="002D1D30"/>
    <w:rsid w:val="002D21DC"/>
    <w:rsid w:val="002D24AC"/>
    <w:rsid w:val="002D286F"/>
    <w:rsid w:val="002D2A14"/>
    <w:rsid w:val="002D3454"/>
    <w:rsid w:val="002D35D3"/>
    <w:rsid w:val="002D3F73"/>
    <w:rsid w:val="002D47E4"/>
    <w:rsid w:val="002D5677"/>
    <w:rsid w:val="002D5EF3"/>
    <w:rsid w:val="002D67EB"/>
    <w:rsid w:val="002D6A11"/>
    <w:rsid w:val="002D71B1"/>
    <w:rsid w:val="002D7386"/>
    <w:rsid w:val="002D73E6"/>
    <w:rsid w:val="002D74CF"/>
    <w:rsid w:val="002D7771"/>
    <w:rsid w:val="002D7F59"/>
    <w:rsid w:val="002E0318"/>
    <w:rsid w:val="002E0B70"/>
    <w:rsid w:val="002E1436"/>
    <w:rsid w:val="002E1872"/>
    <w:rsid w:val="002E1A28"/>
    <w:rsid w:val="002E256A"/>
    <w:rsid w:val="002E34BF"/>
    <w:rsid w:val="002E3572"/>
    <w:rsid w:val="002E3A72"/>
    <w:rsid w:val="002E3BE1"/>
    <w:rsid w:val="002E4C81"/>
    <w:rsid w:val="002E6CD5"/>
    <w:rsid w:val="002E7C8C"/>
    <w:rsid w:val="002F0250"/>
    <w:rsid w:val="002F064A"/>
    <w:rsid w:val="002F0832"/>
    <w:rsid w:val="002F11E3"/>
    <w:rsid w:val="002F19EE"/>
    <w:rsid w:val="002F1B8F"/>
    <w:rsid w:val="002F1CAF"/>
    <w:rsid w:val="002F2AE5"/>
    <w:rsid w:val="002F4455"/>
    <w:rsid w:val="002F44C7"/>
    <w:rsid w:val="002F44C8"/>
    <w:rsid w:val="002F5348"/>
    <w:rsid w:val="002F5A0F"/>
    <w:rsid w:val="002F5A59"/>
    <w:rsid w:val="002F5E7A"/>
    <w:rsid w:val="002F6EA5"/>
    <w:rsid w:val="002F721E"/>
    <w:rsid w:val="00300340"/>
    <w:rsid w:val="003007CC"/>
    <w:rsid w:val="0030100F"/>
    <w:rsid w:val="0030151F"/>
    <w:rsid w:val="00301955"/>
    <w:rsid w:val="00301A27"/>
    <w:rsid w:val="00301BC9"/>
    <w:rsid w:val="003027B8"/>
    <w:rsid w:val="0030336F"/>
    <w:rsid w:val="00305691"/>
    <w:rsid w:val="0030691C"/>
    <w:rsid w:val="00306966"/>
    <w:rsid w:val="00306B1D"/>
    <w:rsid w:val="00307A0B"/>
    <w:rsid w:val="00307BCD"/>
    <w:rsid w:val="0031097F"/>
    <w:rsid w:val="00310A96"/>
    <w:rsid w:val="003117E5"/>
    <w:rsid w:val="00311CC8"/>
    <w:rsid w:val="00312732"/>
    <w:rsid w:val="00312B3D"/>
    <w:rsid w:val="0031376E"/>
    <w:rsid w:val="0031391B"/>
    <w:rsid w:val="00313A46"/>
    <w:rsid w:val="00314068"/>
    <w:rsid w:val="003140B8"/>
    <w:rsid w:val="00314CFA"/>
    <w:rsid w:val="00315C1B"/>
    <w:rsid w:val="00315C78"/>
    <w:rsid w:val="00316726"/>
    <w:rsid w:val="00316745"/>
    <w:rsid w:val="0031727E"/>
    <w:rsid w:val="00317BC6"/>
    <w:rsid w:val="00320A31"/>
    <w:rsid w:val="00320B2F"/>
    <w:rsid w:val="00320C49"/>
    <w:rsid w:val="00320F81"/>
    <w:rsid w:val="003213B1"/>
    <w:rsid w:val="003213E0"/>
    <w:rsid w:val="003217BB"/>
    <w:rsid w:val="00321D59"/>
    <w:rsid w:val="0032218A"/>
    <w:rsid w:val="0032296F"/>
    <w:rsid w:val="00322D27"/>
    <w:rsid w:val="00323BD0"/>
    <w:rsid w:val="00323E79"/>
    <w:rsid w:val="00324237"/>
    <w:rsid w:val="00324CFE"/>
    <w:rsid w:val="003251E7"/>
    <w:rsid w:val="00325D85"/>
    <w:rsid w:val="0032616D"/>
    <w:rsid w:val="003263C2"/>
    <w:rsid w:val="00326AFD"/>
    <w:rsid w:val="00326C78"/>
    <w:rsid w:val="00326F7D"/>
    <w:rsid w:val="00327796"/>
    <w:rsid w:val="0032798E"/>
    <w:rsid w:val="00327DDB"/>
    <w:rsid w:val="00327F2C"/>
    <w:rsid w:val="00330031"/>
    <w:rsid w:val="00330666"/>
    <w:rsid w:val="003317F0"/>
    <w:rsid w:val="00331AF5"/>
    <w:rsid w:val="00331D14"/>
    <w:rsid w:val="003332A8"/>
    <w:rsid w:val="003332F5"/>
    <w:rsid w:val="00333424"/>
    <w:rsid w:val="0033365C"/>
    <w:rsid w:val="00333C30"/>
    <w:rsid w:val="0033477E"/>
    <w:rsid w:val="0033490D"/>
    <w:rsid w:val="00334EE2"/>
    <w:rsid w:val="003352DB"/>
    <w:rsid w:val="0033537F"/>
    <w:rsid w:val="003354F9"/>
    <w:rsid w:val="00336726"/>
    <w:rsid w:val="003367E6"/>
    <w:rsid w:val="00337E06"/>
    <w:rsid w:val="00337E22"/>
    <w:rsid w:val="0034010F"/>
    <w:rsid w:val="00340621"/>
    <w:rsid w:val="003408AE"/>
    <w:rsid w:val="00340A9E"/>
    <w:rsid w:val="003410F6"/>
    <w:rsid w:val="003415C0"/>
    <w:rsid w:val="003418CE"/>
    <w:rsid w:val="00341F1C"/>
    <w:rsid w:val="00342114"/>
    <w:rsid w:val="00342CCC"/>
    <w:rsid w:val="003432A9"/>
    <w:rsid w:val="0034345E"/>
    <w:rsid w:val="0034352B"/>
    <w:rsid w:val="00343C94"/>
    <w:rsid w:val="00343EBC"/>
    <w:rsid w:val="0034411F"/>
    <w:rsid w:val="00344978"/>
    <w:rsid w:val="00345043"/>
    <w:rsid w:val="00345213"/>
    <w:rsid w:val="0034549D"/>
    <w:rsid w:val="003454A8"/>
    <w:rsid w:val="00345854"/>
    <w:rsid w:val="00345CE6"/>
    <w:rsid w:val="00346AD7"/>
    <w:rsid w:val="00347FE6"/>
    <w:rsid w:val="00350540"/>
    <w:rsid w:val="00350B61"/>
    <w:rsid w:val="00351382"/>
    <w:rsid w:val="00351935"/>
    <w:rsid w:val="0035233B"/>
    <w:rsid w:val="0035272F"/>
    <w:rsid w:val="00353889"/>
    <w:rsid w:val="00353E58"/>
    <w:rsid w:val="00355775"/>
    <w:rsid w:val="00357255"/>
    <w:rsid w:val="00357B42"/>
    <w:rsid w:val="00357DF7"/>
    <w:rsid w:val="00357E81"/>
    <w:rsid w:val="003608AC"/>
    <w:rsid w:val="00360B2B"/>
    <w:rsid w:val="00361798"/>
    <w:rsid w:val="003618EF"/>
    <w:rsid w:val="003622FA"/>
    <w:rsid w:val="00362780"/>
    <w:rsid w:val="00363B5A"/>
    <w:rsid w:val="00364197"/>
    <w:rsid w:val="00364298"/>
    <w:rsid w:val="00365030"/>
    <w:rsid w:val="003658D4"/>
    <w:rsid w:val="00365B03"/>
    <w:rsid w:val="00366E42"/>
    <w:rsid w:val="00367220"/>
    <w:rsid w:val="00367334"/>
    <w:rsid w:val="00367350"/>
    <w:rsid w:val="003673FC"/>
    <w:rsid w:val="00367577"/>
    <w:rsid w:val="003676A1"/>
    <w:rsid w:val="003676BF"/>
    <w:rsid w:val="00370F1F"/>
    <w:rsid w:val="003717E2"/>
    <w:rsid w:val="00371AD8"/>
    <w:rsid w:val="00371F19"/>
    <w:rsid w:val="00372DD8"/>
    <w:rsid w:val="003735DF"/>
    <w:rsid w:val="00373686"/>
    <w:rsid w:val="0037368B"/>
    <w:rsid w:val="00373C5B"/>
    <w:rsid w:val="00373C83"/>
    <w:rsid w:val="00374218"/>
    <w:rsid w:val="0037512C"/>
    <w:rsid w:val="0037574A"/>
    <w:rsid w:val="00375959"/>
    <w:rsid w:val="00376236"/>
    <w:rsid w:val="00376385"/>
    <w:rsid w:val="003766F9"/>
    <w:rsid w:val="003768F0"/>
    <w:rsid w:val="00377230"/>
    <w:rsid w:val="00377461"/>
    <w:rsid w:val="00377599"/>
    <w:rsid w:val="00377F43"/>
    <w:rsid w:val="00380C4F"/>
    <w:rsid w:val="00381020"/>
    <w:rsid w:val="003811FF"/>
    <w:rsid w:val="0038132F"/>
    <w:rsid w:val="00382605"/>
    <w:rsid w:val="00383021"/>
    <w:rsid w:val="00383257"/>
    <w:rsid w:val="00383655"/>
    <w:rsid w:val="00384071"/>
    <w:rsid w:val="00384962"/>
    <w:rsid w:val="003854C6"/>
    <w:rsid w:val="00385710"/>
    <w:rsid w:val="003858B3"/>
    <w:rsid w:val="00385AF0"/>
    <w:rsid w:val="00385F2A"/>
    <w:rsid w:val="00386014"/>
    <w:rsid w:val="0038624F"/>
    <w:rsid w:val="00387389"/>
    <w:rsid w:val="00387B82"/>
    <w:rsid w:val="00387BFA"/>
    <w:rsid w:val="00387EA1"/>
    <w:rsid w:val="00390081"/>
    <w:rsid w:val="0039128B"/>
    <w:rsid w:val="003918BE"/>
    <w:rsid w:val="00392069"/>
    <w:rsid w:val="0039260D"/>
    <w:rsid w:val="00392991"/>
    <w:rsid w:val="00393339"/>
    <w:rsid w:val="003935CC"/>
    <w:rsid w:val="00393DCF"/>
    <w:rsid w:val="00393E73"/>
    <w:rsid w:val="00394624"/>
    <w:rsid w:val="00394636"/>
    <w:rsid w:val="00394EE6"/>
    <w:rsid w:val="00395E30"/>
    <w:rsid w:val="00395E77"/>
    <w:rsid w:val="00395EAF"/>
    <w:rsid w:val="003964A4"/>
    <w:rsid w:val="00397323"/>
    <w:rsid w:val="00397DCB"/>
    <w:rsid w:val="00397E88"/>
    <w:rsid w:val="003A071B"/>
    <w:rsid w:val="003A0BFD"/>
    <w:rsid w:val="003A2713"/>
    <w:rsid w:val="003A2815"/>
    <w:rsid w:val="003A304C"/>
    <w:rsid w:val="003A30B5"/>
    <w:rsid w:val="003A3263"/>
    <w:rsid w:val="003A361D"/>
    <w:rsid w:val="003A36D6"/>
    <w:rsid w:val="003A37C6"/>
    <w:rsid w:val="003A3803"/>
    <w:rsid w:val="003A3B8A"/>
    <w:rsid w:val="003A43E5"/>
    <w:rsid w:val="003A4734"/>
    <w:rsid w:val="003A5A21"/>
    <w:rsid w:val="003A5ADF"/>
    <w:rsid w:val="003A6523"/>
    <w:rsid w:val="003A6719"/>
    <w:rsid w:val="003A6BE6"/>
    <w:rsid w:val="003A6F57"/>
    <w:rsid w:val="003A717B"/>
    <w:rsid w:val="003A7BD9"/>
    <w:rsid w:val="003B0021"/>
    <w:rsid w:val="003B052C"/>
    <w:rsid w:val="003B1896"/>
    <w:rsid w:val="003B1DD6"/>
    <w:rsid w:val="003B1FD2"/>
    <w:rsid w:val="003B2BB0"/>
    <w:rsid w:val="003B40D5"/>
    <w:rsid w:val="003B43FE"/>
    <w:rsid w:val="003B4909"/>
    <w:rsid w:val="003B50F6"/>
    <w:rsid w:val="003B6181"/>
    <w:rsid w:val="003B68DE"/>
    <w:rsid w:val="003B74E9"/>
    <w:rsid w:val="003B771D"/>
    <w:rsid w:val="003B7932"/>
    <w:rsid w:val="003B7A72"/>
    <w:rsid w:val="003C01E1"/>
    <w:rsid w:val="003C06F4"/>
    <w:rsid w:val="003C190F"/>
    <w:rsid w:val="003C1EB3"/>
    <w:rsid w:val="003C2064"/>
    <w:rsid w:val="003C275D"/>
    <w:rsid w:val="003C2949"/>
    <w:rsid w:val="003C2B56"/>
    <w:rsid w:val="003C309E"/>
    <w:rsid w:val="003C3D95"/>
    <w:rsid w:val="003C4310"/>
    <w:rsid w:val="003C433E"/>
    <w:rsid w:val="003C450F"/>
    <w:rsid w:val="003C481A"/>
    <w:rsid w:val="003C4E5A"/>
    <w:rsid w:val="003C55C6"/>
    <w:rsid w:val="003C5E17"/>
    <w:rsid w:val="003C6504"/>
    <w:rsid w:val="003C6596"/>
    <w:rsid w:val="003C6FBC"/>
    <w:rsid w:val="003C72F9"/>
    <w:rsid w:val="003C764D"/>
    <w:rsid w:val="003C785C"/>
    <w:rsid w:val="003C789F"/>
    <w:rsid w:val="003C7FAD"/>
    <w:rsid w:val="003D0269"/>
    <w:rsid w:val="003D03A0"/>
    <w:rsid w:val="003D042E"/>
    <w:rsid w:val="003D0A37"/>
    <w:rsid w:val="003D0C8C"/>
    <w:rsid w:val="003D0F05"/>
    <w:rsid w:val="003D16FA"/>
    <w:rsid w:val="003D19EF"/>
    <w:rsid w:val="003D2773"/>
    <w:rsid w:val="003D2C66"/>
    <w:rsid w:val="003D3620"/>
    <w:rsid w:val="003D3FDF"/>
    <w:rsid w:val="003D420C"/>
    <w:rsid w:val="003D4C9B"/>
    <w:rsid w:val="003D4DB4"/>
    <w:rsid w:val="003D5735"/>
    <w:rsid w:val="003D5EDE"/>
    <w:rsid w:val="003D642C"/>
    <w:rsid w:val="003D6543"/>
    <w:rsid w:val="003D6682"/>
    <w:rsid w:val="003D7D0B"/>
    <w:rsid w:val="003D7DF0"/>
    <w:rsid w:val="003E0081"/>
    <w:rsid w:val="003E1662"/>
    <w:rsid w:val="003E187D"/>
    <w:rsid w:val="003E1E04"/>
    <w:rsid w:val="003E3232"/>
    <w:rsid w:val="003E32BA"/>
    <w:rsid w:val="003E32D1"/>
    <w:rsid w:val="003E3E3B"/>
    <w:rsid w:val="003E4D75"/>
    <w:rsid w:val="003E69A7"/>
    <w:rsid w:val="003E6E6F"/>
    <w:rsid w:val="003E786F"/>
    <w:rsid w:val="003E7AA6"/>
    <w:rsid w:val="003E7C4E"/>
    <w:rsid w:val="003F0A71"/>
    <w:rsid w:val="003F0DDC"/>
    <w:rsid w:val="003F158B"/>
    <w:rsid w:val="003F19C1"/>
    <w:rsid w:val="003F289A"/>
    <w:rsid w:val="003F2B5C"/>
    <w:rsid w:val="003F2B76"/>
    <w:rsid w:val="003F2DB2"/>
    <w:rsid w:val="003F3852"/>
    <w:rsid w:val="003F3935"/>
    <w:rsid w:val="003F4014"/>
    <w:rsid w:val="003F4CDD"/>
    <w:rsid w:val="003F6929"/>
    <w:rsid w:val="003F7073"/>
    <w:rsid w:val="003F71E7"/>
    <w:rsid w:val="003F7374"/>
    <w:rsid w:val="003F76AA"/>
    <w:rsid w:val="00400CA2"/>
    <w:rsid w:val="00400CC4"/>
    <w:rsid w:val="00400D0F"/>
    <w:rsid w:val="004012B6"/>
    <w:rsid w:val="004017F2"/>
    <w:rsid w:val="00402A44"/>
    <w:rsid w:val="004030A7"/>
    <w:rsid w:val="004030B5"/>
    <w:rsid w:val="004030D5"/>
    <w:rsid w:val="0040350F"/>
    <w:rsid w:val="004036B4"/>
    <w:rsid w:val="00403C78"/>
    <w:rsid w:val="0040484A"/>
    <w:rsid w:val="00404DD9"/>
    <w:rsid w:val="00404F58"/>
    <w:rsid w:val="00405591"/>
    <w:rsid w:val="004061EF"/>
    <w:rsid w:val="00406222"/>
    <w:rsid w:val="00406C2A"/>
    <w:rsid w:val="004078BD"/>
    <w:rsid w:val="00407AF2"/>
    <w:rsid w:val="00410772"/>
    <w:rsid w:val="00411A56"/>
    <w:rsid w:val="00411BDA"/>
    <w:rsid w:val="00411C0D"/>
    <w:rsid w:val="00412CDC"/>
    <w:rsid w:val="00413507"/>
    <w:rsid w:val="00413D15"/>
    <w:rsid w:val="00413EE3"/>
    <w:rsid w:val="00414271"/>
    <w:rsid w:val="004148FD"/>
    <w:rsid w:val="00414BC6"/>
    <w:rsid w:val="00415149"/>
    <w:rsid w:val="00415964"/>
    <w:rsid w:val="00415C38"/>
    <w:rsid w:val="0041706A"/>
    <w:rsid w:val="004174FF"/>
    <w:rsid w:val="00417896"/>
    <w:rsid w:val="00420097"/>
    <w:rsid w:val="004202D7"/>
    <w:rsid w:val="0042066F"/>
    <w:rsid w:val="00420D96"/>
    <w:rsid w:val="004219C5"/>
    <w:rsid w:val="00421D58"/>
    <w:rsid w:val="004223FC"/>
    <w:rsid w:val="00422851"/>
    <w:rsid w:val="00423773"/>
    <w:rsid w:val="0042488B"/>
    <w:rsid w:val="00424962"/>
    <w:rsid w:val="00424F2F"/>
    <w:rsid w:val="004250A3"/>
    <w:rsid w:val="00425596"/>
    <w:rsid w:val="004256B6"/>
    <w:rsid w:val="0042599A"/>
    <w:rsid w:val="004273C1"/>
    <w:rsid w:val="00427782"/>
    <w:rsid w:val="00427D96"/>
    <w:rsid w:val="00431150"/>
    <w:rsid w:val="00431D27"/>
    <w:rsid w:val="00431E2A"/>
    <w:rsid w:val="00431FA9"/>
    <w:rsid w:val="004321AD"/>
    <w:rsid w:val="00432707"/>
    <w:rsid w:val="00432820"/>
    <w:rsid w:val="00432C9F"/>
    <w:rsid w:val="00432ED1"/>
    <w:rsid w:val="00433A0D"/>
    <w:rsid w:val="00434609"/>
    <w:rsid w:val="00434D5F"/>
    <w:rsid w:val="00434ECE"/>
    <w:rsid w:val="00434F8C"/>
    <w:rsid w:val="004356FE"/>
    <w:rsid w:val="00435D74"/>
    <w:rsid w:val="004368F1"/>
    <w:rsid w:val="00436F4F"/>
    <w:rsid w:val="004375B0"/>
    <w:rsid w:val="00437BB6"/>
    <w:rsid w:val="00437D4A"/>
    <w:rsid w:val="00440DA3"/>
    <w:rsid w:val="00440F52"/>
    <w:rsid w:val="00441CA1"/>
    <w:rsid w:val="00442C51"/>
    <w:rsid w:val="00442E36"/>
    <w:rsid w:val="00443048"/>
    <w:rsid w:val="00443E97"/>
    <w:rsid w:val="00444098"/>
    <w:rsid w:val="0044474E"/>
    <w:rsid w:val="00444B62"/>
    <w:rsid w:val="00444CC1"/>
    <w:rsid w:val="00444E0A"/>
    <w:rsid w:val="00445BD2"/>
    <w:rsid w:val="00445D4F"/>
    <w:rsid w:val="00445F87"/>
    <w:rsid w:val="00446267"/>
    <w:rsid w:val="004463A8"/>
    <w:rsid w:val="00446448"/>
    <w:rsid w:val="0044652C"/>
    <w:rsid w:val="00446635"/>
    <w:rsid w:val="0044692C"/>
    <w:rsid w:val="00446F85"/>
    <w:rsid w:val="004473F6"/>
    <w:rsid w:val="00447CC2"/>
    <w:rsid w:val="00447E95"/>
    <w:rsid w:val="00447F22"/>
    <w:rsid w:val="004508B3"/>
    <w:rsid w:val="00450B8F"/>
    <w:rsid w:val="00450FA1"/>
    <w:rsid w:val="00451B2F"/>
    <w:rsid w:val="00452334"/>
    <w:rsid w:val="00452878"/>
    <w:rsid w:val="00452885"/>
    <w:rsid w:val="00452EC5"/>
    <w:rsid w:val="0045369E"/>
    <w:rsid w:val="00453A19"/>
    <w:rsid w:val="00454357"/>
    <w:rsid w:val="00454731"/>
    <w:rsid w:val="00456FDC"/>
    <w:rsid w:val="004574A9"/>
    <w:rsid w:val="004575F7"/>
    <w:rsid w:val="00457786"/>
    <w:rsid w:val="00457C59"/>
    <w:rsid w:val="00460B7F"/>
    <w:rsid w:val="00460D9D"/>
    <w:rsid w:val="0046177B"/>
    <w:rsid w:val="004618FE"/>
    <w:rsid w:val="00461996"/>
    <w:rsid w:val="00461A4F"/>
    <w:rsid w:val="00462758"/>
    <w:rsid w:val="004631AE"/>
    <w:rsid w:val="0046395A"/>
    <w:rsid w:val="00463D9B"/>
    <w:rsid w:val="004644A8"/>
    <w:rsid w:val="0046455A"/>
    <w:rsid w:val="004658E6"/>
    <w:rsid w:val="00466051"/>
    <w:rsid w:val="00466F3A"/>
    <w:rsid w:val="00467408"/>
    <w:rsid w:val="00467686"/>
    <w:rsid w:val="00467718"/>
    <w:rsid w:val="0047032A"/>
    <w:rsid w:val="00470EE9"/>
    <w:rsid w:val="0047150A"/>
    <w:rsid w:val="00471705"/>
    <w:rsid w:val="0047174D"/>
    <w:rsid w:val="0047259A"/>
    <w:rsid w:val="00473309"/>
    <w:rsid w:val="00473832"/>
    <w:rsid w:val="00474043"/>
    <w:rsid w:val="004745CB"/>
    <w:rsid w:val="004746FD"/>
    <w:rsid w:val="0047536D"/>
    <w:rsid w:val="004759AA"/>
    <w:rsid w:val="00475BCF"/>
    <w:rsid w:val="004764AB"/>
    <w:rsid w:val="00476F1F"/>
    <w:rsid w:val="0047716E"/>
    <w:rsid w:val="00477178"/>
    <w:rsid w:val="00480A4E"/>
    <w:rsid w:val="00480EC6"/>
    <w:rsid w:val="004813A6"/>
    <w:rsid w:val="00481428"/>
    <w:rsid w:val="00482178"/>
    <w:rsid w:val="00482674"/>
    <w:rsid w:val="004827CD"/>
    <w:rsid w:val="00482D00"/>
    <w:rsid w:val="00482E95"/>
    <w:rsid w:val="0048320C"/>
    <w:rsid w:val="004845FC"/>
    <w:rsid w:val="00484892"/>
    <w:rsid w:val="004851EF"/>
    <w:rsid w:val="00485E87"/>
    <w:rsid w:val="00486022"/>
    <w:rsid w:val="004864DD"/>
    <w:rsid w:val="00487F48"/>
    <w:rsid w:val="00490438"/>
    <w:rsid w:val="00490F97"/>
    <w:rsid w:val="0049143C"/>
    <w:rsid w:val="0049151F"/>
    <w:rsid w:val="00491C07"/>
    <w:rsid w:val="00491D1A"/>
    <w:rsid w:val="00491E07"/>
    <w:rsid w:val="004926A7"/>
    <w:rsid w:val="00492DAD"/>
    <w:rsid w:val="00493128"/>
    <w:rsid w:val="00493405"/>
    <w:rsid w:val="00493768"/>
    <w:rsid w:val="00493F20"/>
    <w:rsid w:val="0049415E"/>
    <w:rsid w:val="00494A81"/>
    <w:rsid w:val="004955CE"/>
    <w:rsid w:val="00496A68"/>
    <w:rsid w:val="0049783C"/>
    <w:rsid w:val="00497BF2"/>
    <w:rsid w:val="004A0864"/>
    <w:rsid w:val="004A0A0A"/>
    <w:rsid w:val="004A106C"/>
    <w:rsid w:val="004A1434"/>
    <w:rsid w:val="004A1520"/>
    <w:rsid w:val="004A1683"/>
    <w:rsid w:val="004A19ED"/>
    <w:rsid w:val="004A1F9E"/>
    <w:rsid w:val="004A22F3"/>
    <w:rsid w:val="004A2690"/>
    <w:rsid w:val="004A2DE9"/>
    <w:rsid w:val="004A3B8C"/>
    <w:rsid w:val="004A451F"/>
    <w:rsid w:val="004A4B29"/>
    <w:rsid w:val="004A4ED5"/>
    <w:rsid w:val="004A54E6"/>
    <w:rsid w:val="004A5759"/>
    <w:rsid w:val="004A5C75"/>
    <w:rsid w:val="004A619A"/>
    <w:rsid w:val="004A6738"/>
    <w:rsid w:val="004A6778"/>
    <w:rsid w:val="004A68BA"/>
    <w:rsid w:val="004A77FC"/>
    <w:rsid w:val="004B045F"/>
    <w:rsid w:val="004B0516"/>
    <w:rsid w:val="004B0CBC"/>
    <w:rsid w:val="004B0EE0"/>
    <w:rsid w:val="004B1107"/>
    <w:rsid w:val="004B16F1"/>
    <w:rsid w:val="004B21D8"/>
    <w:rsid w:val="004B2474"/>
    <w:rsid w:val="004B2695"/>
    <w:rsid w:val="004B37ED"/>
    <w:rsid w:val="004B3A55"/>
    <w:rsid w:val="004B3D66"/>
    <w:rsid w:val="004B45FF"/>
    <w:rsid w:val="004B5BCE"/>
    <w:rsid w:val="004B69BD"/>
    <w:rsid w:val="004B6A39"/>
    <w:rsid w:val="004B6F92"/>
    <w:rsid w:val="004B7871"/>
    <w:rsid w:val="004B79B9"/>
    <w:rsid w:val="004B7A12"/>
    <w:rsid w:val="004B7AEE"/>
    <w:rsid w:val="004B7CA4"/>
    <w:rsid w:val="004C01CC"/>
    <w:rsid w:val="004C02E1"/>
    <w:rsid w:val="004C0C16"/>
    <w:rsid w:val="004C1214"/>
    <w:rsid w:val="004C1644"/>
    <w:rsid w:val="004C1A2C"/>
    <w:rsid w:val="004C1AC3"/>
    <w:rsid w:val="004C1C69"/>
    <w:rsid w:val="004C2743"/>
    <w:rsid w:val="004C2D56"/>
    <w:rsid w:val="004C3048"/>
    <w:rsid w:val="004C3E31"/>
    <w:rsid w:val="004C446D"/>
    <w:rsid w:val="004C581F"/>
    <w:rsid w:val="004C597E"/>
    <w:rsid w:val="004C6192"/>
    <w:rsid w:val="004C6D84"/>
    <w:rsid w:val="004C7114"/>
    <w:rsid w:val="004C735C"/>
    <w:rsid w:val="004C78DC"/>
    <w:rsid w:val="004C7A06"/>
    <w:rsid w:val="004D08BE"/>
    <w:rsid w:val="004D0C92"/>
    <w:rsid w:val="004D1A7C"/>
    <w:rsid w:val="004D2A77"/>
    <w:rsid w:val="004D31C5"/>
    <w:rsid w:val="004D369B"/>
    <w:rsid w:val="004D3B72"/>
    <w:rsid w:val="004D3DB9"/>
    <w:rsid w:val="004D4074"/>
    <w:rsid w:val="004D4613"/>
    <w:rsid w:val="004D4980"/>
    <w:rsid w:val="004D51A9"/>
    <w:rsid w:val="004D5291"/>
    <w:rsid w:val="004D5C1A"/>
    <w:rsid w:val="004D5CA7"/>
    <w:rsid w:val="004D5E12"/>
    <w:rsid w:val="004D691B"/>
    <w:rsid w:val="004D71AE"/>
    <w:rsid w:val="004D779E"/>
    <w:rsid w:val="004E102E"/>
    <w:rsid w:val="004E22DD"/>
    <w:rsid w:val="004E24DF"/>
    <w:rsid w:val="004E33F5"/>
    <w:rsid w:val="004E40AE"/>
    <w:rsid w:val="004E4191"/>
    <w:rsid w:val="004E49D3"/>
    <w:rsid w:val="004E53D9"/>
    <w:rsid w:val="004E63DE"/>
    <w:rsid w:val="004E7B58"/>
    <w:rsid w:val="004F0B44"/>
    <w:rsid w:val="004F3499"/>
    <w:rsid w:val="004F3A95"/>
    <w:rsid w:val="004F3F44"/>
    <w:rsid w:val="004F4106"/>
    <w:rsid w:val="004F4E6F"/>
    <w:rsid w:val="004F4F3E"/>
    <w:rsid w:val="004F59CD"/>
    <w:rsid w:val="004F626C"/>
    <w:rsid w:val="004F6D91"/>
    <w:rsid w:val="004F6DD4"/>
    <w:rsid w:val="004F73B1"/>
    <w:rsid w:val="004F7D6B"/>
    <w:rsid w:val="005004D9"/>
    <w:rsid w:val="005007E8"/>
    <w:rsid w:val="00501218"/>
    <w:rsid w:val="0050257D"/>
    <w:rsid w:val="00502BE5"/>
    <w:rsid w:val="00502DF4"/>
    <w:rsid w:val="0050321E"/>
    <w:rsid w:val="00503807"/>
    <w:rsid w:val="00503F21"/>
    <w:rsid w:val="005058BE"/>
    <w:rsid w:val="00506130"/>
    <w:rsid w:val="005062AC"/>
    <w:rsid w:val="00506FB0"/>
    <w:rsid w:val="0050704A"/>
    <w:rsid w:val="00510E5F"/>
    <w:rsid w:val="00511CBE"/>
    <w:rsid w:val="00512612"/>
    <w:rsid w:val="00512A01"/>
    <w:rsid w:val="00513153"/>
    <w:rsid w:val="005133BF"/>
    <w:rsid w:val="005136EF"/>
    <w:rsid w:val="005139D2"/>
    <w:rsid w:val="00513CA1"/>
    <w:rsid w:val="00514846"/>
    <w:rsid w:val="005157AF"/>
    <w:rsid w:val="00515F99"/>
    <w:rsid w:val="00516529"/>
    <w:rsid w:val="005166C9"/>
    <w:rsid w:val="00516C30"/>
    <w:rsid w:val="00516D8B"/>
    <w:rsid w:val="00516DCE"/>
    <w:rsid w:val="005178B3"/>
    <w:rsid w:val="0052005F"/>
    <w:rsid w:val="005209D1"/>
    <w:rsid w:val="00520FC2"/>
    <w:rsid w:val="005214FF"/>
    <w:rsid w:val="005216E3"/>
    <w:rsid w:val="0052205F"/>
    <w:rsid w:val="0052214C"/>
    <w:rsid w:val="00522461"/>
    <w:rsid w:val="0052249F"/>
    <w:rsid w:val="00522904"/>
    <w:rsid w:val="00523CF0"/>
    <w:rsid w:val="005241FF"/>
    <w:rsid w:val="005242EE"/>
    <w:rsid w:val="00524EA3"/>
    <w:rsid w:val="005256B1"/>
    <w:rsid w:val="005257E9"/>
    <w:rsid w:val="00525FE9"/>
    <w:rsid w:val="00526EE0"/>
    <w:rsid w:val="00527132"/>
    <w:rsid w:val="005307AD"/>
    <w:rsid w:val="005308D4"/>
    <w:rsid w:val="00531673"/>
    <w:rsid w:val="0053198A"/>
    <w:rsid w:val="00531DEA"/>
    <w:rsid w:val="0053230E"/>
    <w:rsid w:val="00532457"/>
    <w:rsid w:val="00532537"/>
    <w:rsid w:val="005327AC"/>
    <w:rsid w:val="00532FF5"/>
    <w:rsid w:val="00534430"/>
    <w:rsid w:val="00534544"/>
    <w:rsid w:val="0053474B"/>
    <w:rsid w:val="00534EB9"/>
    <w:rsid w:val="0053566C"/>
    <w:rsid w:val="00535CED"/>
    <w:rsid w:val="00535E51"/>
    <w:rsid w:val="0053602E"/>
    <w:rsid w:val="00536570"/>
    <w:rsid w:val="0053677B"/>
    <w:rsid w:val="005369AF"/>
    <w:rsid w:val="005400D9"/>
    <w:rsid w:val="005411DD"/>
    <w:rsid w:val="005427C0"/>
    <w:rsid w:val="00542BCF"/>
    <w:rsid w:val="00542C61"/>
    <w:rsid w:val="00542D07"/>
    <w:rsid w:val="00542EFF"/>
    <w:rsid w:val="005432D5"/>
    <w:rsid w:val="0054345E"/>
    <w:rsid w:val="005435FF"/>
    <w:rsid w:val="005439B4"/>
    <w:rsid w:val="005447C0"/>
    <w:rsid w:val="0054495E"/>
    <w:rsid w:val="00544AF1"/>
    <w:rsid w:val="00544E42"/>
    <w:rsid w:val="00544F01"/>
    <w:rsid w:val="00545403"/>
    <w:rsid w:val="00545F59"/>
    <w:rsid w:val="005460EE"/>
    <w:rsid w:val="005463CB"/>
    <w:rsid w:val="00546572"/>
    <w:rsid w:val="00546D17"/>
    <w:rsid w:val="00546DF9"/>
    <w:rsid w:val="00547237"/>
    <w:rsid w:val="0054727C"/>
    <w:rsid w:val="00547943"/>
    <w:rsid w:val="00550418"/>
    <w:rsid w:val="00550CDE"/>
    <w:rsid w:val="00551326"/>
    <w:rsid w:val="00552140"/>
    <w:rsid w:val="005521A1"/>
    <w:rsid w:val="00552276"/>
    <w:rsid w:val="005524F4"/>
    <w:rsid w:val="0055395C"/>
    <w:rsid w:val="00553D92"/>
    <w:rsid w:val="00555530"/>
    <w:rsid w:val="0055632F"/>
    <w:rsid w:val="00556667"/>
    <w:rsid w:val="0055741B"/>
    <w:rsid w:val="005577B2"/>
    <w:rsid w:val="00560547"/>
    <w:rsid w:val="00560B20"/>
    <w:rsid w:val="00560E05"/>
    <w:rsid w:val="005624B8"/>
    <w:rsid w:val="005626A6"/>
    <w:rsid w:val="005638B6"/>
    <w:rsid w:val="00563D20"/>
    <w:rsid w:val="00564653"/>
    <w:rsid w:val="00565C53"/>
    <w:rsid w:val="00565E8B"/>
    <w:rsid w:val="00566159"/>
    <w:rsid w:val="005665E4"/>
    <w:rsid w:val="00566856"/>
    <w:rsid w:val="00566B7D"/>
    <w:rsid w:val="00570A78"/>
    <w:rsid w:val="00570B3C"/>
    <w:rsid w:val="00571360"/>
    <w:rsid w:val="00571CE7"/>
    <w:rsid w:val="005728E8"/>
    <w:rsid w:val="005729F5"/>
    <w:rsid w:val="0057387E"/>
    <w:rsid w:val="0057403B"/>
    <w:rsid w:val="005749FD"/>
    <w:rsid w:val="00575848"/>
    <w:rsid w:val="005760F5"/>
    <w:rsid w:val="005762AC"/>
    <w:rsid w:val="00576C08"/>
    <w:rsid w:val="0057752A"/>
    <w:rsid w:val="00577576"/>
    <w:rsid w:val="005779EF"/>
    <w:rsid w:val="00577AFC"/>
    <w:rsid w:val="00577EF1"/>
    <w:rsid w:val="00580209"/>
    <w:rsid w:val="0058054E"/>
    <w:rsid w:val="00580FA6"/>
    <w:rsid w:val="005815F3"/>
    <w:rsid w:val="0058171D"/>
    <w:rsid w:val="00582B66"/>
    <w:rsid w:val="00582CDA"/>
    <w:rsid w:val="00582D93"/>
    <w:rsid w:val="00583882"/>
    <w:rsid w:val="00583C52"/>
    <w:rsid w:val="00584A8A"/>
    <w:rsid w:val="00584FC5"/>
    <w:rsid w:val="005857AE"/>
    <w:rsid w:val="0058607D"/>
    <w:rsid w:val="0058666C"/>
    <w:rsid w:val="005869C5"/>
    <w:rsid w:val="00587072"/>
    <w:rsid w:val="005871B7"/>
    <w:rsid w:val="00587D13"/>
    <w:rsid w:val="00587E4C"/>
    <w:rsid w:val="00587E5E"/>
    <w:rsid w:val="005907D3"/>
    <w:rsid w:val="00591A1C"/>
    <w:rsid w:val="00591CD2"/>
    <w:rsid w:val="0059201C"/>
    <w:rsid w:val="00592177"/>
    <w:rsid w:val="005932A2"/>
    <w:rsid w:val="00593374"/>
    <w:rsid w:val="0059388B"/>
    <w:rsid w:val="00594067"/>
    <w:rsid w:val="0059453C"/>
    <w:rsid w:val="00595002"/>
    <w:rsid w:val="00595761"/>
    <w:rsid w:val="00595E82"/>
    <w:rsid w:val="00595F98"/>
    <w:rsid w:val="0059634B"/>
    <w:rsid w:val="00596960"/>
    <w:rsid w:val="00596A27"/>
    <w:rsid w:val="005973EF"/>
    <w:rsid w:val="00597D9A"/>
    <w:rsid w:val="005A0CDE"/>
    <w:rsid w:val="005A1333"/>
    <w:rsid w:val="005A25C6"/>
    <w:rsid w:val="005A3184"/>
    <w:rsid w:val="005A3BBB"/>
    <w:rsid w:val="005A4BDE"/>
    <w:rsid w:val="005A5023"/>
    <w:rsid w:val="005A5033"/>
    <w:rsid w:val="005A58C5"/>
    <w:rsid w:val="005A5FC1"/>
    <w:rsid w:val="005A60F9"/>
    <w:rsid w:val="005A7C26"/>
    <w:rsid w:val="005A7D8C"/>
    <w:rsid w:val="005B0127"/>
    <w:rsid w:val="005B06BF"/>
    <w:rsid w:val="005B0A8D"/>
    <w:rsid w:val="005B0BE3"/>
    <w:rsid w:val="005B0F58"/>
    <w:rsid w:val="005B1117"/>
    <w:rsid w:val="005B25C1"/>
    <w:rsid w:val="005B2662"/>
    <w:rsid w:val="005B3195"/>
    <w:rsid w:val="005B3813"/>
    <w:rsid w:val="005B3D38"/>
    <w:rsid w:val="005B49A8"/>
    <w:rsid w:val="005B4D1D"/>
    <w:rsid w:val="005B549D"/>
    <w:rsid w:val="005B5E73"/>
    <w:rsid w:val="005B65D8"/>
    <w:rsid w:val="005B665C"/>
    <w:rsid w:val="005B7E36"/>
    <w:rsid w:val="005C0C4C"/>
    <w:rsid w:val="005C1D89"/>
    <w:rsid w:val="005C1F75"/>
    <w:rsid w:val="005C2572"/>
    <w:rsid w:val="005C2E3D"/>
    <w:rsid w:val="005C3459"/>
    <w:rsid w:val="005C359B"/>
    <w:rsid w:val="005C3666"/>
    <w:rsid w:val="005C48B7"/>
    <w:rsid w:val="005C4AA0"/>
    <w:rsid w:val="005C54D6"/>
    <w:rsid w:val="005C59E2"/>
    <w:rsid w:val="005C5A9A"/>
    <w:rsid w:val="005C5F78"/>
    <w:rsid w:val="005C683D"/>
    <w:rsid w:val="005C6981"/>
    <w:rsid w:val="005C75EF"/>
    <w:rsid w:val="005C78DF"/>
    <w:rsid w:val="005D212B"/>
    <w:rsid w:val="005D2431"/>
    <w:rsid w:val="005D24D6"/>
    <w:rsid w:val="005D2A15"/>
    <w:rsid w:val="005D2CC7"/>
    <w:rsid w:val="005D3209"/>
    <w:rsid w:val="005D330C"/>
    <w:rsid w:val="005D3D90"/>
    <w:rsid w:val="005D4294"/>
    <w:rsid w:val="005D45C8"/>
    <w:rsid w:val="005D4FDC"/>
    <w:rsid w:val="005D52D8"/>
    <w:rsid w:val="005D59F3"/>
    <w:rsid w:val="005D5E43"/>
    <w:rsid w:val="005D6EE6"/>
    <w:rsid w:val="005D766B"/>
    <w:rsid w:val="005E006D"/>
    <w:rsid w:val="005E09F1"/>
    <w:rsid w:val="005E13F0"/>
    <w:rsid w:val="005E178F"/>
    <w:rsid w:val="005E19BB"/>
    <w:rsid w:val="005E1C36"/>
    <w:rsid w:val="005E2530"/>
    <w:rsid w:val="005E2B68"/>
    <w:rsid w:val="005E2D65"/>
    <w:rsid w:val="005E2F5F"/>
    <w:rsid w:val="005E3313"/>
    <w:rsid w:val="005E3597"/>
    <w:rsid w:val="005E3C4F"/>
    <w:rsid w:val="005E3F1F"/>
    <w:rsid w:val="005E6141"/>
    <w:rsid w:val="005E6768"/>
    <w:rsid w:val="005E69B2"/>
    <w:rsid w:val="005E73C2"/>
    <w:rsid w:val="005E76FB"/>
    <w:rsid w:val="005E7BD3"/>
    <w:rsid w:val="005E7C06"/>
    <w:rsid w:val="005E7FAF"/>
    <w:rsid w:val="005F0791"/>
    <w:rsid w:val="005F0DBA"/>
    <w:rsid w:val="005F13E5"/>
    <w:rsid w:val="005F2326"/>
    <w:rsid w:val="005F25D2"/>
    <w:rsid w:val="005F448A"/>
    <w:rsid w:val="005F48A5"/>
    <w:rsid w:val="005F4EEA"/>
    <w:rsid w:val="005F517F"/>
    <w:rsid w:val="005F5552"/>
    <w:rsid w:val="005F5DAD"/>
    <w:rsid w:val="005F6751"/>
    <w:rsid w:val="005F67D3"/>
    <w:rsid w:val="005F7D22"/>
    <w:rsid w:val="005F7FE1"/>
    <w:rsid w:val="00600D1F"/>
    <w:rsid w:val="00601392"/>
    <w:rsid w:val="0060169F"/>
    <w:rsid w:val="0060175D"/>
    <w:rsid w:val="00601837"/>
    <w:rsid w:val="00601BBA"/>
    <w:rsid w:val="00602124"/>
    <w:rsid w:val="006021CB"/>
    <w:rsid w:val="006026A2"/>
    <w:rsid w:val="0060399B"/>
    <w:rsid w:val="00603E86"/>
    <w:rsid w:val="00603F38"/>
    <w:rsid w:val="006048EB"/>
    <w:rsid w:val="00604B59"/>
    <w:rsid w:val="00604B8C"/>
    <w:rsid w:val="00604C7A"/>
    <w:rsid w:val="00604D93"/>
    <w:rsid w:val="00604E52"/>
    <w:rsid w:val="00605489"/>
    <w:rsid w:val="00605966"/>
    <w:rsid w:val="0060643E"/>
    <w:rsid w:val="00606599"/>
    <w:rsid w:val="0060667C"/>
    <w:rsid w:val="00606C1F"/>
    <w:rsid w:val="006070E1"/>
    <w:rsid w:val="00607A18"/>
    <w:rsid w:val="00607BE9"/>
    <w:rsid w:val="00607CB9"/>
    <w:rsid w:val="0061048A"/>
    <w:rsid w:val="006111FD"/>
    <w:rsid w:val="00611A82"/>
    <w:rsid w:val="00612EF9"/>
    <w:rsid w:val="006139E3"/>
    <w:rsid w:val="00613A3F"/>
    <w:rsid w:val="00614131"/>
    <w:rsid w:val="0061421D"/>
    <w:rsid w:val="006144A1"/>
    <w:rsid w:val="00614B83"/>
    <w:rsid w:val="00614C85"/>
    <w:rsid w:val="00614EC1"/>
    <w:rsid w:val="006161C1"/>
    <w:rsid w:val="006168B1"/>
    <w:rsid w:val="00616F22"/>
    <w:rsid w:val="00617377"/>
    <w:rsid w:val="00617B10"/>
    <w:rsid w:val="00617FA0"/>
    <w:rsid w:val="0062016A"/>
    <w:rsid w:val="00620413"/>
    <w:rsid w:val="006204BE"/>
    <w:rsid w:val="00621563"/>
    <w:rsid w:val="00621A31"/>
    <w:rsid w:val="00621B8E"/>
    <w:rsid w:val="00621CBC"/>
    <w:rsid w:val="00622588"/>
    <w:rsid w:val="00623216"/>
    <w:rsid w:val="00624350"/>
    <w:rsid w:val="0062502B"/>
    <w:rsid w:val="006252ED"/>
    <w:rsid w:val="006253C9"/>
    <w:rsid w:val="0062542F"/>
    <w:rsid w:val="00625C6C"/>
    <w:rsid w:val="00625FDA"/>
    <w:rsid w:val="00626F76"/>
    <w:rsid w:val="006276ED"/>
    <w:rsid w:val="006278C4"/>
    <w:rsid w:val="00627F96"/>
    <w:rsid w:val="006302BD"/>
    <w:rsid w:val="006303B5"/>
    <w:rsid w:val="006305CE"/>
    <w:rsid w:val="00632345"/>
    <w:rsid w:val="006323E8"/>
    <w:rsid w:val="00632461"/>
    <w:rsid w:val="00632AA3"/>
    <w:rsid w:val="00632FF7"/>
    <w:rsid w:val="00633371"/>
    <w:rsid w:val="00633613"/>
    <w:rsid w:val="00633960"/>
    <w:rsid w:val="00634339"/>
    <w:rsid w:val="00635062"/>
    <w:rsid w:val="006350DB"/>
    <w:rsid w:val="00637515"/>
    <w:rsid w:val="006379E4"/>
    <w:rsid w:val="00637F1F"/>
    <w:rsid w:val="0064090F"/>
    <w:rsid w:val="00640EF2"/>
    <w:rsid w:val="00641F84"/>
    <w:rsid w:val="006420F5"/>
    <w:rsid w:val="0064220E"/>
    <w:rsid w:val="0064227E"/>
    <w:rsid w:val="00642359"/>
    <w:rsid w:val="00642C34"/>
    <w:rsid w:val="00642E7F"/>
    <w:rsid w:val="006431CF"/>
    <w:rsid w:val="006435FD"/>
    <w:rsid w:val="006438C1"/>
    <w:rsid w:val="00644ABA"/>
    <w:rsid w:val="006456B2"/>
    <w:rsid w:val="00645FE7"/>
    <w:rsid w:val="00645FEA"/>
    <w:rsid w:val="006460A3"/>
    <w:rsid w:val="006464C0"/>
    <w:rsid w:val="00646F87"/>
    <w:rsid w:val="00647061"/>
    <w:rsid w:val="00650089"/>
    <w:rsid w:val="006502B0"/>
    <w:rsid w:val="0065048A"/>
    <w:rsid w:val="00650599"/>
    <w:rsid w:val="00650808"/>
    <w:rsid w:val="00650FC4"/>
    <w:rsid w:val="00651645"/>
    <w:rsid w:val="00652B21"/>
    <w:rsid w:val="00652E64"/>
    <w:rsid w:val="006532C8"/>
    <w:rsid w:val="00653374"/>
    <w:rsid w:val="00653623"/>
    <w:rsid w:val="00653BE7"/>
    <w:rsid w:val="00653EA3"/>
    <w:rsid w:val="00653F1F"/>
    <w:rsid w:val="006552BD"/>
    <w:rsid w:val="0065620C"/>
    <w:rsid w:val="00656DBB"/>
    <w:rsid w:val="00656E5F"/>
    <w:rsid w:val="00657B2D"/>
    <w:rsid w:val="00657F2A"/>
    <w:rsid w:val="00660C6C"/>
    <w:rsid w:val="00661049"/>
    <w:rsid w:val="00661783"/>
    <w:rsid w:val="00661FAF"/>
    <w:rsid w:val="006622DC"/>
    <w:rsid w:val="0066345D"/>
    <w:rsid w:val="00664115"/>
    <w:rsid w:val="00664315"/>
    <w:rsid w:val="006643F4"/>
    <w:rsid w:val="00664F46"/>
    <w:rsid w:val="006651A9"/>
    <w:rsid w:val="006662BB"/>
    <w:rsid w:val="00666329"/>
    <w:rsid w:val="00666E28"/>
    <w:rsid w:val="00667443"/>
    <w:rsid w:val="00667934"/>
    <w:rsid w:val="00667E6C"/>
    <w:rsid w:val="0067103F"/>
    <w:rsid w:val="006718FB"/>
    <w:rsid w:val="0067197F"/>
    <w:rsid w:val="0067255E"/>
    <w:rsid w:val="00672562"/>
    <w:rsid w:val="00672CB4"/>
    <w:rsid w:val="00672F1F"/>
    <w:rsid w:val="00674000"/>
    <w:rsid w:val="0067423A"/>
    <w:rsid w:val="006742DF"/>
    <w:rsid w:val="0067442E"/>
    <w:rsid w:val="00674FC8"/>
    <w:rsid w:val="006759E6"/>
    <w:rsid w:val="00675AAE"/>
    <w:rsid w:val="00677047"/>
    <w:rsid w:val="00677175"/>
    <w:rsid w:val="00677986"/>
    <w:rsid w:val="00677FC7"/>
    <w:rsid w:val="006801B5"/>
    <w:rsid w:val="006808F2"/>
    <w:rsid w:val="00681973"/>
    <w:rsid w:val="00684287"/>
    <w:rsid w:val="00684AA5"/>
    <w:rsid w:val="0068593F"/>
    <w:rsid w:val="00685C24"/>
    <w:rsid w:val="00685C7C"/>
    <w:rsid w:val="00685E7E"/>
    <w:rsid w:val="00685F12"/>
    <w:rsid w:val="006861B3"/>
    <w:rsid w:val="006866D8"/>
    <w:rsid w:val="00686EED"/>
    <w:rsid w:val="0068759D"/>
    <w:rsid w:val="0068769A"/>
    <w:rsid w:val="00690CFA"/>
    <w:rsid w:val="0069183B"/>
    <w:rsid w:val="006920FE"/>
    <w:rsid w:val="00692AFE"/>
    <w:rsid w:val="00692E05"/>
    <w:rsid w:val="00693359"/>
    <w:rsid w:val="006936C3"/>
    <w:rsid w:val="00693DC0"/>
    <w:rsid w:val="006954C1"/>
    <w:rsid w:val="0069604F"/>
    <w:rsid w:val="00696893"/>
    <w:rsid w:val="00696B46"/>
    <w:rsid w:val="00697505"/>
    <w:rsid w:val="00697B70"/>
    <w:rsid w:val="00697F9B"/>
    <w:rsid w:val="006A0601"/>
    <w:rsid w:val="006A11B6"/>
    <w:rsid w:val="006A1757"/>
    <w:rsid w:val="006A17F2"/>
    <w:rsid w:val="006A2577"/>
    <w:rsid w:val="006A3D75"/>
    <w:rsid w:val="006A49EA"/>
    <w:rsid w:val="006A4A06"/>
    <w:rsid w:val="006A4A76"/>
    <w:rsid w:val="006A4CB7"/>
    <w:rsid w:val="006A4D78"/>
    <w:rsid w:val="006A5352"/>
    <w:rsid w:val="006A570E"/>
    <w:rsid w:val="006A5F25"/>
    <w:rsid w:val="006A5F27"/>
    <w:rsid w:val="006B0F21"/>
    <w:rsid w:val="006B0F69"/>
    <w:rsid w:val="006B1797"/>
    <w:rsid w:val="006B1FCC"/>
    <w:rsid w:val="006B2019"/>
    <w:rsid w:val="006B23A6"/>
    <w:rsid w:val="006B23AD"/>
    <w:rsid w:val="006B257F"/>
    <w:rsid w:val="006B2CAF"/>
    <w:rsid w:val="006B4B66"/>
    <w:rsid w:val="006B4BE4"/>
    <w:rsid w:val="006B5D1C"/>
    <w:rsid w:val="006B6078"/>
    <w:rsid w:val="006B6490"/>
    <w:rsid w:val="006B71B9"/>
    <w:rsid w:val="006B7EB3"/>
    <w:rsid w:val="006C0248"/>
    <w:rsid w:val="006C03FE"/>
    <w:rsid w:val="006C1176"/>
    <w:rsid w:val="006C14DB"/>
    <w:rsid w:val="006C1DD3"/>
    <w:rsid w:val="006C278B"/>
    <w:rsid w:val="006C3089"/>
    <w:rsid w:val="006C369D"/>
    <w:rsid w:val="006C36A6"/>
    <w:rsid w:val="006C3FCC"/>
    <w:rsid w:val="006C4321"/>
    <w:rsid w:val="006C451B"/>
    <w:rsid w:val="006C488C"/>
    <w:rsid w:val="006C496F"/>
    <w:rsid w:val="006C4BE5"/>
    <w:rsid w:val="006C4C46"/>
    <w:rsid w:val="006C4F85"/>
    <w:rsid w:val="006C5486"/>
    <w:rsid w:val="006C587D"/>
    <w:rsid w:val="006C5AA0"/>
    <w:rsid w:val="006C7179"/>
    <w:rsid w:val="006C7E7D"/>
    <w:rsid w:val="006C7FE4"/>
    <w:rsid w:val="006D017C"/>
    <w:rsid w:val="006D0A35"/>
    <w:rsid w:val="006D0D06"/>
    <w:rsid w:val="006D133E"/>
    <w:rsid w:val="006D21F1"/>
    <w:rsid w:val="006D266C"/>
    <w:rsid w:val="006D2738"/>
    <w:rsid w:val="006D35F2"/>
    <w:rsid w:val="006D4942"/>
    <w:rsid w:val="006D4BB3"/>
    <w:rsid w:val="006D586E"/>
    <w:rsid w:val="006D5B2A"/>
    <w:rsid w:val="006D5B86"/>
    <w:rsid w:val="006D62E4"/>
    <w:rsid w:val="006D71C8"/>
    <w:rsid w:val="006D7817"/>
    <w:rsid w:val="006D7A7C"/>
    <w:rsid w:val="006E003B"/>
    <w:rsid w:val="006E0111"/>
    <w:rsid w:val="006E011B"/>
    <w:rsid w:val="006E12C9"/>
    <w:rsid w:val="006E1628"/>
    <w:rsid w:val="006E1678"/>
    <w:rsid w:val="006E1AB7"/>
    <w:rsid w:val="006E1E77"/>
    <w:rsid w:val="006E218D"/>
    <w:rsid w:val="006E2E1D"/>
    <w:rsid w:val="006E33C4"/>
    <w:rsid w:val="006E3693"/>
    <w:rsid w:val="006E44D9"/>
    <w:rsid w:val="006E5311"/>
    <w:rsid w:val="006E775C"/>
    <w:rsid w:val="006E7805"/>
    <w:rsid w:val="006E7B4E"/>
    <w:rsid w:val="006F063B"/>
    <w:rsid w:val="006F0A67"/>
    <w:rsid w:val="006F14F9"/>
    <w:rsid w:val="006F1E22"/>
    <w:rsid w:val="006F1FB1"/>
    <w:rsid w:val="006F34F7"/>
    <w:rsid w:val="006F3DCC"/>
    <w:rsid w:val="006F3FC9"/>
    <w:rsid w:val="006F404B"/>
    <w:rsid w:val="006F480B"/>
    <w:rsid w:val="006F4EB9"/>
    <w:rsid w:val="006F5528"/>
    <w:rsid w:val="006F56C5"/>
    <w:rsid w:val="006F6E53"/>
    <w:rsid w:val="006F6EBA"/>
    <w:rsid w:val="006F79F8"/>
    <w:rsid w:val="0070084B"/>
    <w:rsid w:val="00700A07"/>
    <w:rsid w:val="00700AB4"/>
    <w:rsid w:val="00700BA5"/>
    <w:rsid w:val="00700E34"/>
    <w:rsid w:val="00700FE3"/>
    <w:rsid w:val="0070162C"/>
    <w:rsid w:val="00701656"/>
    <w:rsid w:val="0070183B"/>
    <w:rsid w:val="0070304F"/>
    <w:rsid w:val="00703456"/>
    <w:rsid w:val="00703A39"/>
    <w:rsid w:val="0070431F"/>
    <w:rsid w:val="00704CAB"/>
    <w:rsid w:val="00705575"/>
    <w:rsid w:val="00706D19"/>
    <w:rsid w:val="00706E68"/>
    <w:rsid w:val="00706FD0"/>
    <w:rsid w:val="00707184"/>
    <w:rsid w:val="007077A0"/>
    <w:rsid w:val="00707805"/>
    <w:rsid w:val="00707B0E"/>
    <w:rsid w:val="007100AD"/>
    <w:rsid w:val="007101CA"/>
    <w:rsid w:val="007104FB"/>
    <w:rsid w:val="00710E21"/>
    <w:rsid w:val="007110B5"/>
    <w:rsid w:val="00711F13"/>
    <w:rsid w:val="007122EF"/>
    <w:rsid w:val="00712BE4"/>
    <w:rsid w:val="00712DAE"/>
    <w:rsid w:val="0071312B"/>
    <w:rsid w:val="007131B9"/>
    <w:rsid w:val="0071322E"/>
    <w:rsid w:val="007135C5"/>
    <w:rsid w:val="007143DC"/>
    <w:rsid w:val="00714E46"/>
    <w:rsid w:val="00715285"/>
    <w:rsid w:val="007154BD"/>
    <w:rsid w:val="00715547"/>
    <w:rsid w:val="00715910"/>
    <w:rsid w:val="007159C4"/>
    <w:rsid w:val="0071621E"/>
    <w:rsid w:val="00716F87"/>
    <w:rsid w:val="007173BA"/>
    <w:rsid w:val="007201F3"/>
    <w:rsid w:val="007206B6"/>
    <w:rsid w:val="00721875"/>
    <w:rsid w:val="00721B16"/>
    <w:rsid w:val="00722024"/>
    <w:rsid w:val="00722A85"/>
    <w:rsid w:val="0072334E"/>
    <w:rsid w:val="007237C2"/>
    <w:rsid w:val="00724748"/>
    <w:rsid w:val="00724796"/>
    <w:rsid w:val="007248E2"/>
    <w:rsid w:val="00724DD0"/>
    <w:rsid w:val="007257CE"/>
    <w:rsid w:val="00725E42"/>
    <w:rsid w:val="00726112"/>
    <w:rsid w:val="00726752"/>
    <w:rsid w:val="00726936"/>
    <w:rsid w:val="00726B4A"/>
    <w:rsid w:val="00727A14"/>
    <w:rsid w:val="00727EDE"/>
    <w:rsid w:val="00730093"/>
    <w:rsid w:val="0073036F"/>
    <w:rsid w:val="007311EC"/>
    <w:rsid w:val="00731443"/>
    <w:rsid w:val="0073173B"/>
    <w:rsid w:val="007317F3"/>
    <w:rsid w:val="00731863"/>
    <w:rsid w:val="00731968"/>
    <w:rsid w:val="007322B6"/>
    <w:rsid w:val="00732661"/>
    <w:rsid w:val="00732DAA"/>
    <w:rsid w:val="0073314E"/>
    <w:rsid w:val="00733963"/>
    <w:rsid w:val="00733B85"/>
    <w:rsid w:val="00734514"/>
    <w:rsid w:val="0073487C"/>
    <w:rsid w:val="00734C59"/>
    <w:rsid w:val="007357A5"/>
    <w:rsid w:val="0073653C"/>
    <w:rsid w:val="00736551"/>
    <w:rsid w:val="007368F2"/>
    <w:rsid w:val="00736F04"/>
    <w:rsid w:val="007403CA"/>
    <w:rsid w:val="007403CE"/>
    <w:rsid w:val="00740421"/>
    <w:rsid w:val="00740706"/>
    <w:rsid w:val="0074264A"/>
    <w:rsid w:val="00744275"/>
    <w:rsid w:val="00744A18"/>
    <w:rsid w:val="00745085"/>
    <w:rsid w:val="00745363"/>
    <w:rsid w:val="007460A2"/>
    <w:rsid w:val="0074629E"/>
    <w:rsid w:val="007469E5"/>
    <w:rsid w:val="00747123"/>
    <w:rsid w:val="007475FF"/>
    <w:rsid w:val="00747644"/>
    <w:rsid w:val="00747CB7"/>
    <w:rsid w:val="0075075A"/>
    <w:rsid w:val="00750904"/>
    <w:rsid w:val="00750AEC"/>
    <w:rsid w:val="007511CF"/>
    <w:rsid w:val="00751343"/>
    <w:rsid w:val="0075226A"/>
    <w:rsid w:val="00752735"/>
    <w:rsid w:val="0075280C"/>
    <w:rsid w:val="00752EAB"/>
    <w:rsid w:val="007533EA"/>
    <w:rsid w:val="00753644"/>
    <w:rsid w:val="00754524"/>
    <w:rsid w:val="00755536"/>
    <w:rsid w:val="0075572F"/>
    <w:rsid w:val="00755E91"/>
    <w:rsid w:val="00756082"/>
    <w:rsid w:val="00756382"/>
    <w:rsid w:val="007565F7"/>
    <w:rsid w:val="00756EBC"/>
    <w:rsid w:val="0075796A"/>
    <w:rsid w:val="00757BC8"/>
    <w:rsid w:val="0076025D"/>
    <w:rsid w:val="00760530"/>
    <w:rsid w:val="007609C8"/>
    <w:rsid w:val="007610F2"/>
    <w:rsid w:val="007615D2"/>
    <w:rsid w:val="00762845"/>
    <w:rsid w:val="007631C4"/>
    <w:rsid w:val="0076383C"/>
    <w:rsid w:val="00764A6D"/>
    <w:rsid w:val="0076554D"/>
    <w:rsid w:val="007659F2"/>
    <w:rsid w:val="00765A31"/>
    <w:rsid w:val="00766292"/>
    <w:rsid w:val="007666BD"/>
    <w:rsid w:val="007666E5"/>
    <w:rsid w:val="007669F3"/>
    <w:rsid w:val="00767083"/>
    <w:rsid w:val="007670D5"/>
    <w:rsid w:val="0076756D"/>
    <w:rsid w:val="007678C5"/>
    <w:rsid w:val="0076792A"/>
    <w:rsid w:val="00767CC8"/>
    <w:rsid w:val="0077083D"/>
    <w:rsid w:val="007711DC"/>
    <w:rsid w:val="007713EB"/>
    <w:rsid w:val="00771459"/>
    <w:rsid w:val="00771A43"/>
    <w:rsid w:val="00771C16"/>
    <w:rsid w:val="00771C54"/>
    <w:rsid w:val="00771E44"/>
    <w:rsid w:val="00771F37"/>
    <w:rsid w:val="007722F0"/>
    <w:rsid w:val="00772906"/>
    <w:rsid w:val="00772FFA"/>
    <w:rsid w:val="00773313"/>
    <w:rsid w:val="007752B5"/>
    <w:rsid w:val="007755C4"/>
    <w:rsid w:val="00775748"/>
    <w:rsid w:val="00775AE9"/>
    <w:rsid w:val="00776F67"/>
    <w:rsid w:val="00777333"/>
    <w:rsid w:val="007773BB"/>
    <w:rsid w:val="00777B37"/>
    <w:rsid w:val="00777B74"/>
    <w:rsid w:val="007800D8"/>
    <w:rsid w:val="007804A1"/>
    <w:rsid w:val="00780532"/>
    <w:rsid w:val="00780670"/>
    <w:rsid w:val="007809BE"/>
    <w:rsid w:val="00780AE2"/>
    <w:rsid w:val="00780B3A"/>
    <w:rsid w:val="00780CCD"/>
    <w:rsid w:val="00782755"/>
    <w:rsid w:val="00782AC8"/>
    <w:rsid w:val="00782B0B"/>
    <w:rsid w:val="00782FD7"/>
    <w:rsid w:val="00783DAB"/>
    <w:rsid w:val="007845EE"/>
    <w:rsid w:val="00784FE5"/>
    <w:rsid w:val="007860F8"/>
    <w:rsid w:val="0078696C"/>
    <w:rsid w:val="00786CE5"/>
    <w:rsid w:val="00786CFE"/>
    <w:rsid w:val="0078710C"/>
    <w:rsid w:val="00787752"/>
    <w:rsid w:val="0078799A"/>
    <w:rsid w:val="007900A6"/>
    <w:rsid w:val="00790737"/>
    <w:rsid w:val="007908EC"/>
    <w:rsid w:val="00790B30"/>
    <w:rsid w:val="00790CFC"/>
    <w:rsid w:val="0079114E"/>
    <w:rsid w:val="00791503"/>
    <w:rsid w:val="0079163C"/>
    <w:rsid w:val="00792031"/>
    <w:rsid w:val="0079232A"/>
    <w:rsid w:val="007928A1"/>
    <w:rsid w:val="0079331E"/>
    <w:rsid w:val="007933EF"/>
    <w:rsid w:val="00793DD6"/>
    <w:rsid w:val="007940C7"/>
    <w:rsid w:val="00794946"/>
    <w:rsid w:val="00795197"/>
    <w:rsid w:val="007951E2"/>
    <w:rsid w:val="00795633"/>
    <w:rsid w:val="00795E38"/>
    <w:rsid w:val="00795E8D"/>
    <w:rsid w:val="007969B8"/>
    <w:rsid w:val="00796A3C"/>
    <w:rsid w:val="00796C65"/>
    <w:rsid w:val="00797BDB"/>
    <w:rsid w:val="007A0418"/>
    <w:rsid w:val="007A0470"/>
    <w:rsid w:val="007A04B9"/>
    <w:rsid w:val="007A05E7"/>
    <w:rsid w:val="007A0776"/>
    <w:rsid w:val="007A09D2"/>
    <w:rsid w:val="007A0E9A"/>
    <w:rsid w:val="007A0EA3"/>
    <w:rsid w:val="007A1505"/>
    <w:rsid w:val="007A1A74"/>
    <w:rsid w:val="007A1ACE"/>
    <w:rsid w:val="007A1BD7"/>
    <w:rsid w:val="007A1F3A"/>
    <w:rsid w:val="007A20CA"/>
    <w:rsid w:val="007A3284"/>
    <w:rsid w:val="007A33B3"/>
    <w:rsid w:val="007A5835"/>
    <w:rsid w:val="007A65BC"/>
    <w:rsid w:val="007A6C47"/>
    <w:rsid w:val="007A71F8"/>
    <w:rsid w:val="007A75E5"/>
    <w:rsid w:val="007A7DAE"/>
    <w:rsid w:val="007B06BA"/>
    <w:rsid w:val="007B0B9C"/>
    <w:rsid w:val="007B0C64"/>
    <w:rsid w:val="007B0EE0"/>
    <w:rsid w:val="007B12B4"/>
    <w:rsid w:val="007B1B66"/>
    <w:rsid w:val="007B1FB8"/>
    <w:rsid w:val="007B235B"/>
    <w:rsid w:val="007B23AA"/>
    <w:rsid w:val="007B2817"/>
    <w:rsid w:val="007B2894"/>
    <w:rsid w:val="007B3CAA"/>
    <w:rsid w:val="007B4BF4"/>
    <w:rsid w:val="007B4DEE"/>
    <w:rsid w:val="007B5512"/>
    <w:rsid w:val="007B56E5"/>
    <w:rsid w:val="007B5E4B"/>
    <w:rsid w:val="007B62A0"/>
    <w:rsid w:val="007B630F"/>
    <w:rsid w:val="007B6BE7"/>
    <w:rsid w:val="007B6DF3"/>
    <w:rsid w:val="007B714F"/>
    <w:rsid w:val="007B71A5"/>
    <w:rsid w:val="007B75CA"/>
    <w:rsid w:val="007B793F"/>
    <w:rsid w:val="007B7E22"/>
    <w:rsid w:val="007C087F"/>
    <w:rsid w:val="007C0D31"/>
    <w:rsid w:val="007C0DF4"/>
    <w:rsid w:val="007C0ED8"/>
    <w:rsid w:val="007C2921"/>
    <w:rsid w:val="007C30C3"/>
    <w:rsid w:val="007C3775"/>
    <w:rsid w:val="007C3B05"/>
    <w:rsid w:val="007C3EC1"/>
    <w:rsid w:val="007C425D"/>
    <w:rsid w:val="007C4825"/>
    <w:rsid w:val="007C5C79"/>
    <w:rsid w:val="007C5C92"/>
    <w:rsid w:val="007C608A"/>
    <w:rsid w:val="007C636D"/>
    <w:rsid w:val="007D0B6D"/>
    <w:rsid w:val="007D0E46"/>
    <w:rsid w:val="007D0F3D"/>
    <w:rsid w:val="007D139A"/>
    <w:rsid w:val="007D14B7"/>
    <w:rsid w:val="007D1B75"/>
    <w:rsid w:val="007D2031"/>
    <w:rsid w:val="007D230A"/>
    <w:rsid w:val="007D2401"/>
    <w:rsid w:val="007D25E7"/>
    <w:rsid w:val="007D2772"/>
    <w:rsid w:val="007D3461"/>
    <w:rsid w:val="007D3A59"/>
    <w:rsid w:val="007D3B3D"/>
    <w:rsid w:val="007D3C6E"/>
    <w:rsid w:val="007D4036"/>
    <w:rsid w:val="007D5165"/>
    <w:rsid w:val="007D5205"/>
    <w:rsid w:val="007D6A31"/>
    <w:rsid w:val="007D6B33"/>
    <w:rsid w:val="007D6B5F"/>
    <w:rsid w:val="007D6FEA"/>
    <w:rsid w:val="007D7465"/>
    <w:rsid w:val="007E0B8F"/>
    <w:rsid w:val="007E0CA0"/>
    <w:rsid w:val="007E0F1C"/>
    <w:rsid w:val="007E14EB"/>
    <w:rsid w:val="007E15F1"/>
    <w:rsid w:val="007E1A82"/>
    <w:rsid w:val="007E1EFF"/>
    <w:rsid w:val="007E2873"/>
    <w:rsid w:val="007E2A32"/>
    <w:rsid w:val="007E3217"/>
    <w:rsid w:val="007E3AC7"/>
    <w:rsid w:val="007E4011"/>
    <w:rsid w:val="007E417C"/>
    <w:rsid w:val="007E68DF"/>
    <w:rsid w:val="007E7886"/>
    <w:rsid w:val="007E7CC9"/>
    <w:rsid w:val="007E7DFE"/>
    <w:rsid w:val="007E7FA3"/>
    <w:rsid w:val="007F062F"/>
    <w:rsid w:val="007F0E45"/>
    <w:rsid w:val="007F105E"/>
    <w:rsid w:val="007F138D"/>
    <w:rsid w:val="007F1DB6"/>
    <w:rsid w:val="007F2498"/>
    <w:rsid w:val="007F3633"/>
    <w:rsid w:val="007F3965"/>
    <w:rsid w:val="007F3A55"/>
    <w:rsid w:val="007F498F"/>
    <w:rsid w:val="007F4BD2"/>
    <w:rsid w:val="007F5698"/>
    <w:rsid w:val="007F56EB"/>
    <w:rsid w:val="007F5BA2"/>
    <w:rsid w:val="007F6290"/>
    <w:rsid w:val="007F6F5F"/>
    <w:rsid w:val="007F7128"/>
    <w:rsid w:val="007F7B76"/>
    <w:rsid w:val="00800145"/>
    <w:rsid w:val="008007B9"/>
    <w:rsid w:val="0080203D"/>
    <w:rsid w:val="00802368"/>
    <w:rsid w:val="00802E93"/>
    <w:rsid w:val="008032AC"/>
    <w:rsid w:val="008038EC"/>
    <w:rsid w:val="0080418B"/>
    <w:rsid w:val="00804C35"/>
    <w:rsid w:val="00807AC7"/>
    <w:rsid w:val="00807C08"/>
    <w:rsid w:val="008108A2"/>
    <w:rsid w:val="00810C1B"/>
    <w:rsid w:val="00811D18"/>
    <w:rsid w:val="00811E4A"/>
    <w:rsid w:val="00812B81"/>
    <w:rsid w:val="008138CE"/>
    <w:rsid w:val="00813ED1"/>
    <w:rsid w:val="00814694"/>
    <w:rsid w:val="00814791"/>
    <w:rsid w:val="00814911"/>
    <w:rsid w:val="00814CE5"/>
    <w:rsid w:val="00814F49"/>
    <w:rsid w:val="00815216"/>
    <w:rsid w:val="008154A1"/>
    <w:rsid w:val="00815A0B"/>
    <w:rsid w:val="00815D33"/>
    <w:rsid w:val="00815E90"/>
    <w:rsid w:val="00815F47"/>
    <w:rsid w:val="00816A8F"/>
    <w:rsid w:val="0081759D"/>
    <w:rsid w:val="0081766E"/>
    <w:rsid w:val="00817A36"/>
    <w:rsid w:val="00821287"/>
    <w:rsid w:val="008213C6"/>
    <w:rsid w:val="00821589"/>
    <w:rsid w:val="00823311"/>
    <w:rsid w:val="008237FF"/>
    <w:rsid w:val="00823990"/>
    <w:rsid w:val="0082412A"/>
    <w:rsid w:val="00824196"/>
    <w:rsid w:val="008248F7"/>
    <w:rsid w:val="00825A54"/>
    <w:rsid w:val="008260C9"/>
    <w:rsid w:val="008260E1"/>
    <w:rsid w:val="008268F9"/>
    <w:rsid w:val="00826E4F"/>
    <w:rsid w:val="00827334"/>
    <w:rsid w:val="0082735E"/>
    <w:rsid w:val="00827452"/>
    <w:rsid w:val="00827883"/>
    <w:rsid w:val="00827D8C"/>
    <w:rsid w:val="00830102"/>
    <w:rsid w:val="0083034A"/>
    <w:rsid w:val="008309E6"/>
    <w:rsid w:val="008317AC"/>
    <w:rsid w:val="008320C5"/>
    <w:rsid w:val="00832287"/>
    <w:rsid w:val="0083244C"/>
    <w:rsid w:val="008330DD"/>
    <w:rsid w:val="0083338D"/>
    <w:rsid w:val="008334BB"/>
    <w:rsid w:val="00833528"/>
    <w:rsid w:val="00834240"/>
    <w:rsid w:val="0083592B"/>
    <w:rsid w:val="00835B24"/>
    <w:rsid w:val="00835E7A"/>
    <w:rsid w:val="008365F7"/>
    <w:rsid w:val="00836A08"/>
    <w:rsid w:val="00836A55"/>
    <w:rsid w:val="00837385"/>
    <w:rsid w:val="0083757C"/>
    <w:rsid w:val="00837795"/>
    <w:rsid w:val="008377C7"/>
    <w:rsid w:val="0084005F"/>
    <w:rsid w:val="0084052C"/>
    <w:rsid w:val="008405B4"/>
    <w:rsid w:val="008412F8"/>
    <w:rsid w:val="0084186D"/>
    <w:rsid w:val="00842354"/>
    <w:rsid w:val="00842414"/>
    <w:rsid w:val="0084283A"/>
    <w:rsid w:val="008429CE"/>
    <w:rsid w:val="00842FB7"/>
    <w:rsid w:val="008431C6"/>
    <w:rsid w:val="00843380"/>
    <w:rsid w:val="0084361E"/>
    <w:rsid w:val="00843CEE"/>
    <w:rsid w:val="00844034"/>
    <w:rsid w:val="008446B8"/>
    <w:rsid w:val="008467A0"/>
    <w:rsid w:val="00846E7C"/>
    <w:rsid w:val="00846EA4"/>
    <w:rsid w:val="00847037"/>
    <w:rsid w:val="0084748B"/>
    <w:rsid w:val="008504A8"/>
    <w:rsid w:val="00850866"/>
    <w:rsid w:val="00850AE0"/>
    <w:rsid w:val="00850C5F"/>
    <w:rsid w:val="00850CD8"/>
    <w:rsid w:val="008510D3"/>
    <w:rsid w:val="00851440"/>
    <w:rsid w:val="008517CB"/>
    <w:rsid w:val="008517E8"/>
    <w:rsid w:val="00851856"/>
    <w:rsid w:val="00851968"/>
    <w:rsid w:val="008519D8"/>
    <w:rsid w:val="00851E58"/>
    <w:rsid w:val="008533B5"/>
    <w:rsid w:val="008538F0"/>
    <w:rsid w:val="00853DF5"/>
    <w:rsid w:val="008542BC"/>
    <w:rsid w:val="00854956"/>
    <w:rsid w:val="00855A35"/>
    <w:rsid w:val="008560B5"/>
    <w:rsid w:val="008560E8"/>
    <w:rsid w:val="008562CE"/>
    <w:rsid w:val="008569D2"/>
    <w:rsid w:val="00856B3D"/>
    <w:rsid w:val="00856C9C"/>
    <w:rsid w:val="00856FF8"/>
    <w:rsid w:val="0085704C"/>
    <w:rsid w:val="00857179"/>
    <w:rsid w:val="008571F0"/>
    <w:rsid w:val="00857269"/>
    <w:rsid w:val="008578B5"/>
    <w:rsid w:val="00861DB0"/>
    <w:rsid w:val="00862715"/>
    <w:rsid w:val="00862A02"/>
    <w:rsid w:val="00862BE1"/>
    <w:rsid w:val="00863B1B"/>
    <w:rsid w:val="008654D9"/>
    <w:rsid w:val="00865572"/>
    <w:rsid w:val="008656F9"/>
    <w:rsid w:val="00865C75"/>
    <w:rsid w:val="00867444"/>
    <w:rsid w:val="008701B2"/>
    <w:rsid w:val="00870905"/>
    <w:rsid w:val="0087171F"/>
    <w:rsid w:val="00871CA2"/>
    <w:rsid w:val="008722B2"/>
    <w:rsid w:val="00872D12"/>
    <w:rsid w:val="008733BE"/>
    <w:rsid w:val="00874497"/>
    <w:rsid w:val="00876161"/>
    <w:rsid w:val="00876411"/>
    <w:rsid w:val="0087668E"/>
    <w:rsid w:val="0087698C"/>
    <w:rsid w:val="00876CB5"/>
    <w:rsid w:val="00876CC8"/>
    <w:rsid w:val="0088010C"/>
    <w:rsid w:val="00880511"/>
    <w:rsid w:val="00881ED4"/>
    <w:rsid w:val="008821D9"/>
    <w:rsid w:val="00882465"/>
    <w:rsid w:val="0088287A"/>
    <w:rsid w:val="00882F18"/>
    <w:rsid w:val="008839C0"/>
    <w:rsid w:val="008840F5"/>
    <w:rsid w:val="00884493"/>
    <w:rsid w:val="00884EDF"/>
    <w:rsid w:val="00885084"/>
    <w:rsid w:val="0088528C"/>
    <w:rsid w:val="00886290"/>
    <w:rsid w:val="008866A7"/>
    <w:rsid w:val="00886985"/>
    <w:rsid w:val="00886C37"/>
    <w:rsid w:val="00886D93"/>
    <w:rsid w:val="00887008"/>
    <w:rsid w:val="00887561"/>
    <w:rsid w:val="008877F6"/>
    <w:rsid w:val="00887DBB"/>
    <w:rsid w:val="00890069"/>
    <w:rsid w:val="008900FC"/>
    <w:rsid w:val="0089076B"/>
    <w:rsid w:val="008910B3"/>
    <w:rsid w:val="0089112C"/>
    <w:rsid w:val="0089159C"/>
    <w:rsid w:val="008920AF"/>
    <w:rsid w:val="00892816"/>
    <w:rsid w:val="00892F6F"/>
    <w:rsid w:val="00893515"/>
    <w:rsid w:val="00893953"/>
    <w:rsid w:val="00893D51"/>
    <w:rsid w:val="00893E90"/>
    <w:rsid w:val="00894024"/>
    <w:rsid w:val="00894868"/>
    <w:rsid w:val="008949DF"/>
    <w:rsid w:val="00894CD1"/>
    <w:rsid w:val="008965E7"/>
    <w:rsid w:val="00897660"/>
    <w:rsid w:val="0089779B"/>
    <w:rsid w:val="00897826"/>
    <w:rsid w:val="00897832"/>
    <w:rsid w:val="00897EB3"/>
    <w:rsid w:val="008A00F7"/>
    <w:rsid w:val="008A0183"/>
    <w:rsid w:val="008A0430"/>
    <w:rsid w:val="008A0566"/>
    <w:rsid w:val="008A2120"/>
    <w:rsid w:val="008A2367"/>
    <w:rsid w:val="008A2B84"/>
    <w:rsid w:val="008A2BED"/>
    <w:rsid w:val="008A2CA1"/>
    <w:rsid w:val="008A3256"/>
    <w:rsid w:val="008A3F71"/>
    <w:rsid w:val="008A4329"/>
    <w:rsid w:val="008A4B57"/>
    <w:rsid w:val="008A526C"/>
    <w:rsid w:val="008A54A5"/>
    <w:rsid w:val="008A5BAB"/>
    <w:rsid w:val="008A61CF"/>
    <w:rsid w:val="008A6228"/>
    <w:rsid w:val="008A6A02"/>
    <w:rsid w:val="008A7F03"/>
    <w:rsid w:val="008B00C8"/>
    <w:rsid w:val="008B0748"/>
    <w:rsid w:val="008B14D3"/>
    <w:rsid w:val="008B340F"/>
    <w:rsid w:val="008B3569"/>
    <w:rsid w:val="008B3888"/>
    <w:rsid w:val="008B3B87"/>
    <w:rsid w:val="008B4188"/>
    <w:rsid w:val="008B4C5B"/>
    <w:rsid w:val="008B4D10"/>
    <w:rsid w:val="008B5595"/>
    <w:rsid w:val="008B6002"/>
    <w:rsid w:val="008B68B1"/>
    <w:rsid w:val="008B6D8C"/>
    <w:rsid w:val="008B7038"/>
    <w:rsid w:val="008B7214"/>
    <w:rsid w:val="008B7632"/>
    <w:rsid w:val="008C08C1"/>
    <w:rsid w:val="008C0B63"/>
    <w:rsid w:val="008C0BDA"/>
    <w:rsid w:val="008C0EEB"/>
    <w:rsid w:val="008C188A"/>
    <w:rsid w:val="008C2482"/>
    <w:rsid w:val="008C2653"/>
    <w:rsid w:val="008C2965"/>
    <w:rsid w:val="008C351F"/>
    <w:rsid w:val="008C3B0E"/>
    <w:rsid w:val="008C4168"/>
    <w:rsid w:val="008C43DA"/>
    <w:rsid w:val="008C48B0"/>
    <w:rsid w:val="008C4950"/>
    <w:rsid w:val="008C4CD6"/>
    <w:rsid w:val="008C4FD2"/>
    <w:rsid w:val="008C5164"/>
    <w:rsid w:val="008C52C1"/>
    <w:rsid w:val="008C6554"/>
    <w:rsid w:val="008D0B61"/>
    <w:rsid w:val="008D0BBA"/>
    <w:rsid w:val="008D0D06"/>
    <w:rsid w:val="008D20B4"/>
    <w:rsid w:val="008D20ED"/>
    <w:rsid w:val="008D284F"/>
    <w:rsid w:val="008D31B9"/>
    <w:rsid w:val="008D3238"/>
    <w:rsid w:val="008D350E"/>
    <w:rsid w:val="008D39AD"/>
    <w:rsid w:val="008D3BEA"/>
    <w:rsid w:val="008D4816"/>
    <w:rsid w:val="008D5403"/>
    <w:rsid w:val="008D5758"/>
    <w:rsid w:val="008D64AF"/>
    <w:rsid w:val="008D675D"/>
    <w:rsid w:val="008D6804"/>
    <w:rsid w:val="008D6FFE"/>
    <w:rsid w:val="008D77D5"/>
    <w:rsid w:val="008D7CF5"/>
    <w:rsid w:val="008E1452"/>
    <w:rsid w:val="008E180F"/>
    <w:rsid w:val="008E2408"/>
    <w:rsid w:val="008E27DC"/>
    <w:rsid w:val="008E2E35"/>
    <w:rsid w:val="008E3284"/>
    <w:rsid w:val="008E3379"/>
    <w:rsid w:val="008E3624"/>
    <w:rsid w:val="008E3AA0"/>
    <w:rsid w:val="008E40D0"/>
    <w:rsid w:val="008E433B"/>
    <w:rsid w:val="008E448D"/>
    <w:rsid w:val="008E47DE"/>
    <w:rsid w:val="008E4847"/>
    <w:rsid w:val="008E49E0"/>
    <w:rsid w:val="008E504B"/>
    <w:rsid w:val="008E52A8"/>
    <w:rsid w:val="008E6209"/>
    <w:rsid w:val="008E650E"/>
    <w:rsid w:val="008E6951"/>
    <w:rsid w:val="008F001A"/>
    <w:rsid w:val="008F05DC"/>
    <w:rsid w:val="008F09E0"/>
    <w:rsid w:val="008F1592"/>
    <w:rsid w:val="008F20BB"/>
    <w:rsid w:val="008F22E9"/>
    <w:rsid w:val="008F285D"/>
    <w:rsid w:val="008F2A23"/>
    <w:rsid w:val="008F2AF8"/>
    <w:rsid w:val="008F2C2E"/>
    <w:rsid w:val="008F2E8A"/>
    <w:rsid w:val="008F2FF2"/>
    <w:rsid w:val="008F3225"/>
    <w:rsid w:val="008F3C83"/>
    <w:rsid w:val="008F436A"/>
    <w:rsid w:val="008F45BD"/>
    <w:rsid w:val="008F4602"/>
    <w:rsid w:val="008F4CA1"/>
    <w:rsid w:val="008F4EA0"/>
    <w:rsid w:val="008F5706"/>
    <w:rsid w:val="008F59C0"/>
    <w:rsid w:val="008F5A25"/>
    <w:rsid w:val="008F5A3E"/>
    <w:rsid w:val="008F5DB1"/>
    <w:rsid w:val="008F5F45"/>
    <w:rsid w:val="008F617E"/>
    <w:rsid w:val="008F6CDB"/>
    <w:rsid w:val="008F6EAF"/>
    <w:rsid w:val="008F700B"/>
    <w:rsid w:val="008F756B"/>
    <w:rsid w:val="008F75D6"/>
    <w:rsid w:val="008F7BDA"/>
    <w:rsid w:val="008F7DE1"/>
    <w:rsid w:val="0090086F"/>
    <w:rsid w:val="00900D71"/>
    <w:rsid w:val="00901100"/>
    <w:rsid w:val="0090129F"/>
    <w:rsid w:val="00901E8B"/>
    <w:rsid w:val="00901F60"/>
    <w:rsid w:val="00902237"/>
    <w:rsid w:val="009024E9"/>
    <w:rsid w:val="00902AC9"/>
    <w:rsid w:val="00903705"/>
    <w:rsid w:val="00903C0C"/>
    <w:rsid w:val="00903CDE"/>
    <w:rsid w:val="00904240"/>
    <w:rsid w:val="00904448"/>
    <w:rsid w:val="009044FB"/>
    <w:rsid w:val="00904D5B"/>
    <w:rsid w:val="00904FEA"/>
    <w:rsid w:val="009053CE"/>
    <w:rsid w:val="009059FB"/>
    <w:rsid w:val="0090613E"/>
    <w:rsid w:val="009065F2"/>
    <w:rsid w:val="009066B9"/>
    <w:rsid w:val="0090692C"/>
    <w:rsid w:val="00906A9D"/>
    <w:rsid w:val="00906B58"/>
    <w:rsid w:val="0090770E"/>
    <w:rsid w:val="0090789A"/>
    <w:rsid w:val="00910F31"/>
    <w:rsid w:val="0091161E"/>
    <w:rsid w:val="0091170F"/>
    <w:rsid w:val="00912D1B"/>
    <w:rsid w:val="009134B7"/>
    <w:rsid w:val="00913EB7"/>
    <w:rsid w:val="0091413F"/>
    <w:rsid w:val="009146C0"/>
    <w:rsid w:val="00914779"/>
    <w:rsid w:val="009149EF"/>
    <w:rsid w:val="00915137"/>
    <w:rsid w:val="00915798"/>
    <w:rsid w:val="00915F87"/>
    <w:rsid w:val="00916669"/>
    <w:rsid w:val="00916DAC"/>
    <w:rsid w:val="00916E1D"/>
    <w:rsid w:val="009179CB"/>
    <w:rsid w:val="00917D6A"/>
    <w:rsid w:val="00917EA7"/>
    <w:rsid w:val="009204EE"/>
    <w:rsid w:val="0092080F"/>
    <w:rsid w:val="0092108D"/>
    <w:rsid w:val="00921536"/>
    <w:rsid w:val="00921F49"/>
    <w:rsid w:val="00922A09"/>
    <w:rsid w:val="00922ED6"/>
    <w:rsid w:val="009230E8"/>
    <w:rsid w:val="009238BB"/>
    <w:rsid w:val="00923972"/>
    <w:rsid w:val="00925554"/>
    <w:rsid w:val="00925849"/>
    <w:rsid w:val="0092591B"/>
    <w:rsid w:val="00925EB1"/>
    <w:rsid w:val="00926846"/>
    <w:rsid w:val="00926CB8"/>
    <w:rsid w:val="00927871"/>
    <w:rsid w:val="00927C06"/>
    <w:rsid w:val="00927C3B"/>
    <w:rsid w:val="00927F88"/>
    <w:rsid w:val="0093019D"/>
    <w:rsid w:val="009308A0"/>
    <w:rsid w:val="009314C8"/>
    <w:rsid w:val="009319AE"/>
    <w:rsid w:val="00931BB2"/>
    <w:rsid w:val="00932254"/>
    <w:rsid w:val="00932D34"/>
    <w:rsid w:val="009330EB"/>
    <w:rsid w:val="00933702"/>
    <w:rsid w:val="0093392F"/>
    <w:rsid w:val="00933B36"/>
    <w:rsid w:val="00933D01"/>
    <w:rsid w:val="00934C81"/>
    <w:rsid w:val="00934CB9"/>
    <w:rsid w:val="009350C3"/>
    <w:rsid w:val="009352CD"/>
    <w:rsid w:val="009353CE"/>
    <w:rsid w:val="00936164"/>
    <w:rsid w:val="00936CF4"/>
    <w:rsid w:val="00936E56"/>
    <w:rsid w:val="00937D2B"/>
    <w:rsid w:val="00937DE0"/>
    <w:rsid w:val="00937E65"/>
    <w:rsid w:val="00940448"/>
    <w:rsid w:val="00941044"/>
    <w:rsid w:val="00941171"/>
    <w:rsid w:val="009411B9"/>
    <w:rsid w:val="00941602"/>
    <w:rsid w:val="00941BAC"/>
    <w:rsid w:val="009426D3"/>
    <w:rsid w:val="00942729"/>
    <w:rsid w:val="00942894"/>
    <w:rsid w:val="00942ABE"/>
    <w:rsid w:val="00942E8E"/>
    <w:rsid w:val="00942F26"/>
    <w:rsid w:val="00944875"/>
    <w:rsid w:val="00946A2E"/>
    <w:rsid w:val="00946EDB"/>
    <w:rsid w:val="00947513"/>
    <w:rsid w:val="009479BB"/>
    <w:rsid w:val="00947FD5"/>
    <w:rsid w:val="009509B4"/>
    <w:rsid w:val="00951426"/>
    <w:rsid w:val="009518E0"/>
    <w:rsid w:val="00951A7D"/>
    <w:rsid w:val="00952700"/>
    <w:rsid w:val="009529E8"/>
    <w:rsid w:val="00953523"/>
    <w:rsid w:val="00953A7F"/>
    <w:rsid w:val="00953C0C"/>
    <w:rsid w:val="00954143"/>
    <w:rsid w:val="0095438E"/>
    <w:rsid w:val="00954621"/>
    <w:rsid w:val="0095541C"/>
    <w:rsid w:val="00957026"/>
    <w:rsid w:val="009573A2"/>
    <w:rsid w:val="00957465"/>
    <w:rsid w:val="00957818"/>
    <w:rsid w:val="009602EE"/>
    <w:rsid w:val="0096086D"/>
    <w:rsid w:val="00960993"/>
    <w:rsid w:val="009624CA"/>
    <w:rsid w:val="00962B00"/>
    <w:rsid w:val="00962E99"/>
    <w:rsid w:val="00962F81"/>
    <w:rsid w:val="0096338D"/>
    <w:rsid w:val="00963C35"/>
    <w:rsid w:val="00964700"/>
    <w:rsid w:val="00964745"/>
    <w:rsid w:val="00964D4B"/>
    <w:rsid w:val="00965AA0"/>
    <w:rsid w:val="009667BE"/>
    <w:rsid w:val="00966B5D"/>
    <w:rsid w:val="00966CCC"/>
    <w:rsid w:val="00967854"/>
    <w:rsid w:val="00967961"/>
    <w:rsid w:val="00970554"/>
    <w:rsid w:val="00970C87"/>
    <w:rsid w:val="00970F1C"/>
    <w:rsid w:val="00970F55"/>
    <w:rsid w:val="00971D3C"/>
    <w:rsid w:val="00972160"/>
    <w:rsid w:val="00972259"/>
    <w:rsid w:val="00972710"/>
    <w:rsid w:val="00974CE9"/>
    <w:rsid w:val="009756D5"/>
    <w:rsid w:val="0097635E"/>
    <w:rsid w:val="009763D4"/>
    <w:rsid w:val="009775FD"/>
    <w:rsid w:val="00981266"/>
    <w:rsid w:val="0098193A"/>
    <w:rsid w:val="009827F1"/>
    <w:rsid w:val="00983230"/>
    <w:rsid w:val="00983CBB"/>
    <w:rsid w:val="0098459A"/>
    <w:rsid w:val="00985661"/>
    <w:rsid w:val="009860E4"/>
    <w:rsid w:val="00986A7B"/>
    <w:rsid w:val="00986DF5"/>
    <w:rsid w:val="00987DA8"/>
    <w:rsid w:val="009903CF"/>
    <w:rsid w:val="00990581"/>
    <w:rsid w:val="009909CD"/>
    <w:rsid w:val="00990C79"/>
    <w:rsid w:val="009911A6"/>
    <w:rsid w:val="009912E7"/>
    <w:rsid w:val="00993683"/>
    <w:rsid w:val="00994163"/>
    <w:rsid w:val="00994C8B"/>
    <w:rsid w:val="0099627A"/>
    <w:rsid w:val="0099636E"/>
    <w:rsid w:val="0099722F"/>
    <w:rsid w:val="00997308"/>
    <w:rsid w:val="009976B2"/>
    <w:rsid w:val="00997F53"/>
    <w:rsid w:val="009A04FA"/>
    <w:rsid w:val="009A05E1"/>
    <w:rsid w:val="009A066A"/>
    <w:rsid w:val="009A08D3"/>
    <w:rsid w:val="009A27C1"/>
    <w:rsid w:val="009A2BAE"/>
    <w:rsid w:val="009A2DC1"/>
    <w:rsid w:val="009A2DD4"/>
    <w:rsid w:val="009A32D1"/>
    <w:rsid w:val="009A354A"/>
    <w:rsid w:val="009A36FF"/>
    <w:rsid w:val="009A3978"/>
    <w:rsid w:val="009A3ADE"/>
    <w:rsid w:val="009A3B74"/>
    <w:rsid w:val="009A477D"/>
    <w:rsid w:val="009A4E44"/>
    <w:rsid w:val="009A4E52"/>
    <w:rsid w:val="009A5F88"/>
    <w:rsid w:val="009A6329"/>
    <w:rsid w:val="009A63D2"/>
    <w:rsid w:val="009A6619"/>
    <w:rsid w:val="009A66DB"/>
    <w:rsid w:val="009A67C9"/>
    <w:rsid w:val="009A785F"/>
    <w:rsid w:val="009B11B2"/>
    <w:rsid w:val="009B19C6"/>
    <w:rsid w:val="009B2013"/>
    <w:rsid w:val="009B2649"/>
    <w:rsid w:val="009B2A2E"/>
    <w:rsid w:val="009B301A"/>
    <w:rsid w:val="009B3D64"/>
    <w:rsid w:val="009B4331"/>
    <w:rsid w:val="009B4897"/>
    <w:rsid w:val="009B48A1"/>
    <w:rsid w:val="009B4960"/>
    <w:rsid w:val="009B4C44"/>
    <w:rsid w:val="009B4F66"/>
    <w:rsid w:val="009B6404"/>
    <w:rsid w:val="009B6E24"/>
    <w:rsid w:val="009B7151"/>
    <w:rsid w:val="009B74DE"/>
    <w:rsid w:val="009B755E"/>
    <w:rsid w:val="009B7A44"/>
    <w:rsid w:val="009C033F"/>
    <w:rsid w:val="009C062C"/>
    <w:rsid w:val="009C0656"/>
    <w:rsid w:val="009C0808"/>
    <w:rsid w:val="009C0C91"/>
    <w:rsid w:val="009C1DC2"/>
    <w:rsid w:val="009C1EAB"/>
    <w:rsid w:val="009C2172"/>
    <w:rsid w:val="009C2247"/>
    <w:rsid w:val="009C225D"/>
    <w:rsid w:val="009C24B4"/>
    <w:rsid w:val="009C2AB6"/>
    <w:rsid w:val="009C30A0"/>
    <w:rsid w:val="009C387F"/>
    <w:rsid w:val="009C388D"/>
    <w:rsid w:val="009C4340"/>
    <w:rsid w:val="009C527C"/>
    <w:rsid w:val="009C5820"/>
    <w:rsid w:val="009C66E3"/>
    <w:rsid w:val="009C7930"/>
    <w:rsid w:val="009D0A3C"/>
    <w:rsid w:val="009D0BC6"/>
    <w:rsid w:val="009D1124"/>
    <w:rsid w:val="009D1BA6"/>
    <w:rsid w:val="009D20EC"/>
    <w:rsid w:val="009D2F36"/>
    <w:rsid w:val="009D2FEA"/>
    <w:rsid w:val="009D3013"/>
    <w:rsid w:val="009D3767"/>
    <w:rsid w:val="009D41E9"/>
    <w:rsid w:val="009D43BC"/>
    <w:rsid w:val="009D4C4E"/>
    <w:rsid w:val="009D5E01"/>
    <w:rsid w:val="009D632A"/>
    <w:rsid w:val="009D66F1"/>
    <w:rsid w:val="009D6BD8"/>
    <w:rsid w:val="009D6F6F"/>
    <w:rsid w:val="009D7371"/>
    <w:rsid w:val="009D7950"/>
    <w:rsid w:val="009D79B7"/>
    <w:rsid w:val="009E0882"/>
    <w:rsid w:val="009E0C97"/>
    <w:rsid w:val="009E0F43"/>
    <w:rsid w:val="009E1570"/>
    <w:rsid w:val="009E1FFF"/>
    <w:rsid w:val="009E22C5"/>
    <w:rsid w:val="009E231C"/>
    <w:rsid w:val="009E27E2"/>
    <w:rsid w:val="009E2FAD"/>
    <w:rsid w:val="009E3597"/>
    <w:rsid w:val="009E3B73"/>
    <w:rsid w:val="009E3E92"/>
    <w:rsid w:val="009E5957"/>
    <w:rsid w:val="009E6338"/>
    <w:rsid w:val="009E6EA4"/>
    <w:rsid w:val="009E7172"/>
    <w:rsid w:val="009E74E7"/>
    <w:rsid w:val="009E77A5"/>
    <w:rsid w:val="009F07F9"/>
    <w:rsid w:val="009F099C"/>
    <w:rsid w:val="009F2082"/>
    <w:rsid w:val="009F29BF"/>
    <w:rsid w:val="009F32A9"/>
    <w:rsid w:val="009F396F"/>
    <w:rsid w:val="009F3AEC"/>
    <w:rsid w:val="009F3C50"/>
    <w:rsid w:val="009F3DD2"/>
    <w:rsid w:val="009F4696"/>
    <w:rsid w:val="009F4A15"/>
    <w:rsid w:val="009F4CF6"/>
    <w:rsid w:val="009F4EFF"/>
    <w:rsid w:val="009F5A41"/>
    <w:rsid w:val="009F6D93"/>
    <w:rsid w:val="009F7D2E"/>
    <w:rsid w:val="009F7FB7"/>
    <w:rsid w:val="009F7FDC"/>
    <w:rsid w:val="00A0018D"/>
    <w:rsid w:val="00A01113"/>
    <w:rsid w:val="00A01DF7"/>
    <w:rsid w:val="00A023B6"/>
    <w:rsid w:val="00A02F62"/>
    <w:rsid w:val="00A03D3B"/>
    <w:rsid w:val="00A0487C"/>
    <w:rsid w:val="00A04E61"/>
    <w:rsid w:val="00A0515A"/>
    <w:rsid w:val="00A05551"/>
    <w:rsid w:val="00A05754"/>
    <w:rsid w:val="00A06EDF"/>
    <w:rsid w:val="00A07711"/>
    <w:rsid w:val="00A10075"/>
    <w:rsid w:val="00A109DB"/>
    <w:rsid w:val="00A110F1"/>
    <w:rsid w:val="00A11247"/>
    <w:rsid w:val="00A114EB"/>
    <w:rsid w:val="00A11A5D"/>
    <w:rsid w:val="00A11AC2"/>
    <w:rsid w:val="00A12356"/>
    <w:rsid w:val="00A124F5"/>
    <w:rsid w:val="00A12D19"/>
    <w:rsid w:val="00A12F80"/>
    <w:rsid w:val="00A13198"/>
    <w:rsid w:val="00A134C8"/>
    <w:rsid w:val="00A14083"/>
    <w:rsid w:val="00A1408A"/>
    <w:rsid w:val="00A1446C"/>
    <w:rsid w:val="00A146D9"/>
    <w:rsid w:val="00A15995"/>
    <w:rsid w:val="00A15BC1"/>
    <w:rsid w:val="00A163D4"/>
    <w:rsid w:val="00A1668E"/>
    <w:rsid w:val="00A169F3"/>
    <w:rsid w:val="00A17716"/>
    <w:rsid w:val="00A179B9"/>
    <w:rsid w:val="00A17F10"/>
    <w:rsid w:val="00A201AD"/>
    <w:rsid w:val="00A20387"/>
    <w:rsid w:val="00A204D4"/>
    <w:rsid w:val="00A2056E"/>
    <w:rsid w:val="00A210CD"/>
    <w:rsid w:val="00A21C3F"/>
    <w:rsid w:val="00A22055"/>
    <w:rsid w:val="00A223BA"/>
    <w:rsid w:val="00A223F6"/>
    <w:rsid w:val="00A227A5"/>
    <w:rsid w:val="00A22B2B"/>
    <w:rsid w:val="00A22DDC"/>
    <w:rsid w:val="00A22F56"/>
    <w:rsid w:val="00A2395D"/>
    <w:rsid w:val="00A241BC"/>
    <w:rsid w:val="00A24AE9"/>
    <w:rsid w:val="00A2541D"/>
    <w:rsid w:val="00A25471"/>
    <w:rsid w:val="00A256DF"/>
    <w:rsid w:val="00A26807"/>
    <w:rsid w:val="00A26835"/>
    <w:rsid w:val="00A26D79"/>
    <w:rsid w:val="00A26DF5"/>
    <w:rsid w:val="00A2717E"/>
    <w:rsid w:val="00A271C3"/>
    <w:rsid w:val="00A27395"/>
    <w:rsid w:val="00A27A5E"/>
    <w:rsid w:val="00A27B9F"/>
    <w:rsid w:val="00A27BF7"/>
    <w:rsid w:val="00A27C30"/>
    <w:rsid w:val="00A307CA"/>
    <w:rsid w:val="00A30803"/>
    <w:rsid w:val="00A30CFA"/>
    <w:rsid w:val="00A31FAC"/>
    <w:rsid w:val="00A3302A"/>
    <w:rsid w:val="00A339C3"/>
    <w:rsid w:val="00A33C30"/>
    <w:rsid w:val="00A3409E"/>
    <w:rsid w:val="00A342AA"/>
    <w:rsid w:val="00A35708"/>
    <w:rsid w:val="00A35821"/>
    <w:rsid w:val="00A36DA2"/>
    <w:rsid w:val="00A37113"/>
    <w:rsid w:val="00A374EF"/>
    <w:rsid w:val="00A376AC"/>
    <w:rsid w:val="00A37BCE"/>
    <w:rsid w:val="00A37FC8"/>
    <w:rsid w:val="00A40F61"/>
    <w:rsid w:val="00A41442"/>
    <w:rsid w:val="00A41B03"/>
    <w:rsid w:val="00A41E42"/>
    <w:rsid w:val="00A42214"/>
    <w:rsid w:val="00A423A1"/>
    <w:rsid w:val="00A4243A"/>
    <w:rsid w:val="00A42566"/>
    <w:rsid w:val="00A426DC"/>
    <w:rsid w:val="00A42ECE"/>
    <w:rsid w:val="00A438CF"/>
    <w:rsid w:val="00A444B8"/>
    <w:rsid w:val="00A445DF"/>
    <w:rsid w:val="00A44646"/>
    <w:rsid w:val="00A446C1"/>
    <w:rsid w:val="00A44C0A"/>
    <w:rsid w:val="00A44E39"/>
    <w:rsid w:val="00A450C8"/>
    <w:rsid w:val="00A450FF"/>
    <w:rsid w:val="00A453A8"/>
    <w:rsid w:val="00A45495"/>
    <w:rsid w:val="00A461FC"/>
    <w:rsid w:val="00A46984"/>
    <w:rsid w:val="00A46F42"/>
    <w:rsid w:val="00A4767E"/>
    <w:rsid w:val="00A52A4D"/>
    <w:rsid w:val="00A530DB"/>
    <w:rsid w:val="00A53748"/>
    <w:rsid w:val="00A53D06"/>
    <w:rsid w:val="00A53F39"/>
    <w:rsid w:val="00A546D9"/>
    <w:rsid w:val="00A54908"/>
    <w:rsid w:val="00A55464"/>
    <w:rsid w:val="00A554C9"/>
    <w:rsid w:val="00A55A97"/>
    <w:rsid w:val="00A56A5F"/>
    <w:rsid w:val="00A56BE1"/>
    <w:rsid w:val="00A57E94"/>
    <w:rsid w:val="00A60512"/>
    <w:rsid w:val="00A61182"/>
    <w:rsid w:val="00A61733"/>
    <w:rsid w:val="00A62282"/>
    <w:rsid w:val="00A63103"/>
    <w:rsid w:val="00A63147"/>
    <w:rsid w:val="00A63592"/>
    <w:rsid w:val="00A637C3"/>
    <w:rsid w:val="00A637EB"/>
    <w:rsid w:val="00A6398C"/>
    <w:rsid w:val="00A6417B"/>
    <w:rsid w:val="00A657AB"/>
    <w:rsid w:val="00A65C40"/>
    <w:rsid w:val="00A65D01"/>
    <w:rsid w:val="00A667CE"/>
    <w:rsid w:val="00A668AD"/>
    <w:rsid w:val="00A66B8A"/>
    <w:rsid w:val="00A67245"/>
    <w:rsid w:val="00A67BAA"/>
    <w:rsid w:val="00A7119D"/>
    <w:rsid w:val="00A715AB"/>
    <w:rsid w:val="00A718CB"/>
    <w:rsid w:val="00A72217"/>
    <w:rsid w:val="00A72EAB"/>
    <w:rsid w:val="00A74035"/>
    <w:rsid w:val="00A741A9"/>
    <w:rsid w:val="00A7422A"/>
    <w:rsid w:val="00A74A14"/>
    <w:rsid w:val="00A75388"/>
    <w:rsid w:val="00A7542B"/>
    <w:rsid w:val="00A755D1"/>
    <w:rsid w:val="00A76027"/>
    <w:rsid w:val="00A7647A"/>
    <w:rsid w:val="00A76C21"/>
    <w:rsid w:val="00A76DA0"/>
    <w:rsid w:val="00A775B0"/>
    <w:rsid w:val="00A776E5"/>
    <w:rsid w:val="00A778FB"/>
    <w:rsid w:val="00A77B97"/>
    <w:rsid w:val="00A80044"/>
    <w:rsid w:val="00A803F0"/>
    <w:rsid w:val="00A80808"/>
    <w:rsid w:val="00A80EEB"/>
    <w:rsid w:val="00A8149A"/>
    <w:rsid w:val="00A8185B"/>
    <w:rsid w:val="00A81C61"/>
    <w:rsid w:val="00A81E7B"/>
    <w:rsid w:val="00A82C1C"/>
    <w:rsid w:val="00A831D5"/>
    <w:rsid w:val="00A8332D"/>
    <w:rsid w:val="00A835D0"/>
    <w:rsid w:val="00A83A31"/>
    <w:rsid w:val="00A840B7"/>
    <w:rsid w:val="00A8474B"/>
    <w:rsid w:val="00A84AB7"/>
    <w:rsid w:val="00A8509F"/>
    <w:rsid w:val="00A85477"/>
    <w:rsid w:val="00A8593C"/>
    <w:rsid w:val="00A86CFC"/>
    <w:rsid w:val="00A86EC4"/>
    <w:rsid w:val="00A86FD7"/>
    <w:rsid w:val="00A870F0"/>
    <w:rsid w:val="00A87222"/>
    <w:rsid w:val="00A90414"/>
    <w:rsid w:val="00A9071D"/>
    <w:rsid w:val="00A907C8"/>
    <w:rsid w:val="00A90AA0"/>
    <w:rsid w:val="00A91076"/>
    <w:rsid w:val="00A91328"/>
    <w:rsid w:val="00A91BB4"/>
    <w:rsid w:val="00A92597"/>
    <w:rsid w:val="00A929D9"/>
    <w:rsid w:val="00A92D6E"/>
    <w:rsid w:val="00A92F77"/>
    <w:rsid w:val="00A931BB"/>
    <w:rsid w:val="00A932F4"/>
    <w:rsid w:val="00A93688"/>
    <w:rsid w:val="00A93F38"/>
    <w:rsid w:val="00A9445C"/>
    <w:rsid w:val="00A9448D"/>
    <w:rsid w:val="00A945AA"/>
    <w:rsid w:val="00A945FD"/>
    <w:rsid w:val="00A94B5E"/>
    <w:rsid w:val="00A94B7C"/>
    <w:rsid w:val="00A94E59"/>
    <w:rsid w:val="00A95C40"/>
    <w:rsid w:val="00A96BE0"/>
    <w:rsid w:val="00A97172"/>
    <w:rsid w:val="00A978D4"/>
    <w:rsid w:val="00AA0A5C"/>
    <w:rsid w:val="00AA16CC"/>
    <w:rsid w:val="00AA1F30"/>
    <w:rsid w:val="00AA2716"/>
    <w:rsid w:val="00AA2C71"/>
    <w:rsid w:val="00AA3653"/>
    <w:rsid w:val="00AA3890"/>
    <w:rsid w:val="00AA3F2B"/>
    <w:rsid w:val="00AA4F68"/>
    <w:rsid w:val="00AA5364"/>
    <w:rsid w:val="00AA65A2"/>
    <w:rsid w:val="00AA672D"/>
    <w:rsid w:val="00AA6990"/>
    <w:rsid w:val="00AA6C8C"/>
    <w:rsid w:val="00AA7512"/>
    <w:rsid w:val="00AB0CD2"/>
    <w:rsid w:val="00AB286F"/>
    <w:rsid w:val="00AB3101"/>
    <w:rsid w:val="00AB32E4"/>
    <w:rsid w:val="00AB33C3"/>
    <w:rsid w:val="00AB3412"/>
    <w:rsid w:val="00AB35AB"/>
    <w:rsid w:val="00AB35C5"/>
    <w:rsid w:val="00AB46AD"/>
    <w:rsid w:val="00AB4C20"/>
    <w:rsid w:val="00AB53A3"/>
    <w:rsid w:val="00AB6450"/>
    <w:rsid w:val="00AB6AA1"/>
    <w:rsid w:val="00AB762A"/>
    <w:rsid w:val="00AC04A8"/>
    <w:rsid w:val="00AC0828"/>
    <w:rsid w:val="00AC0D67"/>
    <w:rsid w:val="00AC0DEF"/>
    <w:rsid w:val="00AC1255"/>
    <w:rsid w:val="00AC1315"/>
    <w:rsid w:val="00AC1D8D"/>
    <w:rsid w:val="00AC1DBC"/>
    <w:rsid w:val="00AC23AD"/>
    <w:rsid w:val="00AC269C"/>
    <w:rsid w:val="00AC297F"/>
    <w:rsid w:val="00AC3672"/>
    <w:rsid w:val="00AC38DD"/>
    <w:rsid w:val="00AC4023"/>
    <w:rsid w:val="00AC4430"/>
    <w:rsid w:val="00AC51B8"/>
    <w:rsid w:val="00AC5A8A"/>
    <w:rsid w:val="00AC5F18"/>
    <w:rsid w:val="00AC650B"/>
    <w:rsid w:val="00AC6513"/>
    <w:rsid w:val="00AC6972"/>
    <w:rsid w:val="00AC6D96"/>
    <w:rsid w:val="00AC6F50"/>
    <w:rsid w:val="00AC6FE9"/>
    <w:rsid w:val="00AC71B4"/>
    <w:rsid w:val="00AC754D"/>
    <w:rsid w:val="00AC756A"/>
    <w:rsid w:val="00AD08ED"/>
    <w:rsid w:val="00AD0C28"/>
    <w:rsid w:val="00AD1649"/>
    <w:rsid w:val="00AD180E"/>
    <w:rsid w:val="00AD1D93"/>
    <w:rsid w:val="00AD216B"/>
    <w:rsid w:val="00AD236F"/>
    <w:rsid w:val="00AD2372"/>
    <w:rsid w:val="00AD2762"/>
    <w:rsid w:val="00AD2D15"/>
    <w:rsid w:val="00AD3222"/>
    <w:rsid w:val="00AD4063"/>
    <w:rsid w:val="00AD421C"/>
    <w:rsid w:val="00AD52E1"/>
    <w:rsid w:val="00AD5FD9"/>
    <w:rsid w:val="00AD6482"/>
    <w:rsid w:val="00AD6A31"/>
    <w:rsid w:val="00AD6C88"/>
    <w:rsid w:val="00AD6F21"/>
    <w:rsid w:val="00AD755E"/>
    <w:rsid w:val="00AE002D"/>
    <w:rsid w:val="00AE0086"/>
    <w:rsid w:val="00AE0579"/>
    <w:rsid w:val="00AE0705"/>
    <w:rsid w:val="00AE0BC0"/>
    <w:rsid w:val="00AE162C"/>
    <w:rsid w:val="00AE1688"/>
    <w:rsid w:val="00AE18F5"/>
    <w:rsid w:val="00AE2864"/>
    <w:rsid w:val="00AE2B9B"/>
    <w:rsid w:val="00AE2CF5"/>
    <w:rsid w:val="00AE336D"/>
    <w:rsid w:val="00AE3836"/>
    <w:rsid w:val="00AE3C4E"/>
    <w:rsid w:val="00AE3CC5"/>
    <w:rsid w:val="00AE3D33"/>
    <w:rsid w:val="00AE4510"/>
    <w:rsid w:val="00AE4669"/>
    <w:rsid w:val="00AE475F"/>
    <w:rsid w:val="00AE53AA"/>
    <w:rsid w:val="00AE58A7"/>
    <w:rsid w:val="00AE5E5C"/>
    <w:rsid w:val="00AE622C"/>
    <w:rsid w:val="00AE704D"/>
    <w:rsid w:val="00AE744A"/>
    <w:rsid w:val="00AE77F1"/>
    <w:rsid w:val="00AE7CE6"/>
    <w:rsid w:val="00AF0610"/>
    <w:rsid w:val="00AF0D19"/>
    <w:rsid w:val="00AF13EB"/>
    <w:rsid w:val="00AF21F6"/>
    <w:rsid w:val="00AF2240"/>
    <w:rsid w:val="00AF2BFD"/>
    <w:rsid w:val="00AF2C06"/>
    <w:rsid w:val="00AF2D8E"/>
    <w:rsid w:val="00AF3145"/>
    <w:rsid w:val="00AF51BA"/>
    <w:rsid w:val="00AF5562"/>
    <w:rsid w:val="00AF5718"/>
    <w:rsid w:val="00AF5C4B"/>
    <w:rsid w:val="00AF628B"/>
    <w:rsid w:val="00AF71C5"/>
    <w:rsid w:val="00AF7EF5"/>
    <w:rsid w:val="00B001B2"/>
    <w:rsid w:val="00B00CC9"/>
    <w:rsid w:val="00B00E36"/>
    <w:rsid w:val="00B01114"/>
    <w:rsid w:val="00B011F0"/>
    <w:rsid w:val="00B01AAF"/>
    <w:rsid w:val="00B01DA1"/>
    <w:rsid w:val="00B022C2"/>
    <w:rsid w:val="00B028CC"/>
    <w:rsid w:val="00B03411"/>
    <w:rsid w:val="00B03896"/>
    <w:rsid w:val="00B0391F"/>
    <w:rsid w:val="00B045AA"/>
    <w:rsid w:val="00B04A2B"/>
    <w:rsid w:val="00B05294"/>
    <w:rsid w:val="00B058E0"/>
    <w:rsid w:val="00B05D0C"/>
    <w:rsid w:val="00B06230"/>
    <w:rsid w:val="00B06A59"/>
    <w:rsid w:val="00B06B1F"/>
    <w:rsid w:val="00B071B2"/>
    <w:rsid w:val="00B07374"/>
    <w:rsid w:val="00B078EA"/>
    <w:rsid w:val="00B07FF4"/>
    <w:rsid w:val="00B10310"/>
    <w:rsid w:val="00B10675"/>
    <w:rsid w:val="00B12078"/>
    <w:rsid w:val="00B1253E"/>
    <w:rsid w:val="00B12BD9"/>
    <w:rsid w:val="00B12CBA"/>
    <w:rsid w:val="00B12F12"/>
    <w:rsid w:val="00B1304A"/>
    <w:rsid w:val="00B13651"/>
    <w:rsid w:val="00B136ED"/>
    <w:rsid w:val="00B13919"/>
    <w:rsid w:val="00B13AB9"/>
    <w:rsid w:val="00B13FCD"/>
    <w:rsid w:val="00B149ED"/>
    <w:rsid w:val="00B14E20"/>
    <w:rsid w:val="00B15F40"/>
    <w:rsid w:val="00B16AF8"/>
    <w:rsid w:val="00B175BF"/>
    <w:rsid w:val="00B1791A"/>
    <w:rsid w:val="00B2041E"/>
    <w:rsid w:val="00B20B1B"/>
    <w:rsid w:val="00B20BF5"/>
    <w:rsid w:val="00B2131D"/>
    <w:rsid w:val="00B21767"/>
    <w:rsid w:val="00B21A5D"/>
    <w:rsid w:val="00B21D39"/>
    <w:rsid w:val="00B21EC6"/>
    <w:rsid w:val="00B221ED"/>
    <w:rsid w:val="00B2274B"/>
    <w:rsid w:val="00B23BED"/>
    <w:rsid w:val="00B24892"/>
    <w:rsid w:val="00B24C33"/>
    <w:rsid w:val="00B2673F"/>
    <w:rsid w:val="00B269BC"/>
    <w:rsid w:val="00B26CFF"/>
    <w:rsid w:val="00B27315"/>
    <w:rsid w:val="00B27796"/>
    <w:rsid w:val="00B278DD"/>
    <w:rsid w:val="00B27C74"/>
    <w:rsid w:val="00B3026B"/>
    <w:rsid w:val="00B306C8"/>
    <w:rsid w:val="00B312C7"/>
    <w:rsid w:val="00B314A4"/>
    <w:rsid w:val="00B314B5"/>
    <w:rsid w:val="00B3159E"/>
    <w:rsid w:val="00B323F3"/>
    <w:rsid w:val="00B327D0"/>
    <w:rsid w:val="00B332DF"/>
    <w:rsid w:val="00B3389A"/>
    <w:rsid w:val="00B3410E"/>
    <w:rsid w:val="00B34277"/>
    <w:rsid w:val="00B34832"/>
    <w:rsid w:val="00B348E6"/>
    <w:rsid w:val="00B34A94"/>
    <w:rsid w:val="00B34B9A"/>
    <w:rsid w:val="00B360BA"/>
    <w:rsid w:val="00B361EA"/>
    <w:rsid w:val="00B36527"/>
    <w:rsid w:val="00B36847"/>
    <w:rsid w:val="00B3684F"/>
    <w:rsid w:val="00B36CEB"/>
    <w:rsid w:val="00B40A7F"/>
    <w:rsid w:val="00B41087"/>
    <w:rsid w:val="00B413F0"/>
    <w:rsid w:val="00B41E11"/>
    <w:rsid w:val="00B42A10"/>
    <w:rsid w:val="00B43453"/>
    <w:rsid w:val="00B43645"/>
    <w:rsid w:val="00B43DD4"/>
    <w:rsid w:val="00B4474A"/>
    <w:rsid w:val="00B44FB9"/>
    <w:rsid w:val="00B451E7"/>
    <w:rsid w:val="00B4558A"/>
    <w:rsid w:val="00B468BC"/>
    <w:rsid w:val="00B46B40"/>
    <w:rsid w:val="00B4700E"/>
    <w:rsid w:val="00B4731B"/>
    <w:rsid w:val="00B47556"/>
    <w:rsid w:val="00B47ACE"/>
    <w:rsid w:val="00B47B38"/>
    <w:rsid w:val="00B50A8D"/>
    <w:rsid w:val="00B51026"/>
    <w:rsid w:val="00B5112D"/>
    <w:rsid w:val="00B51806"/>
    <w:rsid w:val="00B5236C"/>
    <w:rsid w:val="00B528C5"/>
    <w:rsid w:val="00B53B75"/>
    <w:rsid w:val="00B54204"/>
    <w:rsid w:val="00B54BEC"/>
    <w:rsid w:val="00B54E1E"/>
    <w:rsid w:val="00B54F79"/>
    <w:rsid w:val="00B558BB"/>
    <w:rsid w:val="00B55E32"/>
    <w:rsid w:val="00B568F3"/>
    <w:rsid w:val="00B56CF5"/>
    <w:rsid w:val="00B57139"/>
    <w:rsid w:val="00B57764"/>
    <w:rsid w:val="00B57DA5"/>
    <w:rsid w:val="00B60049"/>
    <w:rsid w:val="00B60A22"/>
    <w:rsid w:val="00B60B5F"/>
    <w:rsid w:val="00B60F84"/>
    <w:rsid w:val="00B61799"/>
    <w:rsid w:val="00B61C7F"/>
    <w:rsid w:val="00B61D91"/>
    <w:rsid w:val="00B62C77"/>
    <w:rsid w:val="00B63F95"/>
    <w:rsid w:val="00B6540B"/>
    <w:rsid w:val="00B656BD"/>
    <w:rsid w:val="00B656C3"/>
    <w:rsid w:val="00B65AA8"/>
    <w:rsid w:val="00B65AAC"/>
    <w:rsid w:val="00B65C79"/>
    <w:rsid w:val="00B66246"/>
    <w:rsid w:val="00B66DCF"/>
    <w:rsid w:val="00B67BCD"/>
    <w:rsid w:val="00B70AB0"/>
    <w:rsid w:val="00B7128B"/>
    <w:rsid w:val="00B71589"/>
    <w:rsid w:val="00B715A8"/>
    <w:rsid w:val="00B71EC4"/>
    <w:rsid w:val="00B73075"/>
    <w:rsid w:val="00B73D55"/>
    <w:rsid w:val="00B74364"/>
    <w:rsid w:val="00B75803"/>
    <w:rsid w:val="00B75C73"/>
    <w:rsid w:val="00B75DE2"/>
    <w:rsid w:val="00B75E4D"/>
    <w:rsid w:val="00B7609E"/>
    <w:rsid w:val="00B76E3C"/>
    <w:rsid w:val="00B76F5E"/>
    <w:rsid w:val="00B7764F"/>
    <w:rsid w:val="00B77767"/>
    <w:rsid w:val="00B77C2E"/>
    <w:rsid w:val="00B77DC4"/>
    <w:rsid w:val="00B81296"/>
    <w:rsid w:val="00B814B7"/>
    <w:rsid w:val="00B8153A"/>
    <w:rsid w:val="00B8155C"/>
    <w:rsid w:val="00B819FD"/>
    <w:rsid w:val="00B81E08"/>
    <w:rsid w:val="00B8221A"/>
    <w:rsid w:val="00B827B8"/>
    <w:rsid w:val="00B828A9"/>
    <w:rsid w:val="00B829D7"/>
    <w:rsid w:val="00B83243"/>
    <w:rsid w:val="00B83436"/>
    <w:rsid w:val="00B8366A"/>
    <w:rsid w:val="00B836C2"/>
    <w:rsid w:val="00B83BB2"/>
    <w:rsid w:val="00B83E5D"/>
    <w:rsid w:val="00B83EFA"/>
    <w:rsid w:val="00B845A5"/>
    <w:rsid w:val="00B84623"/>
    <w:rsid w:val="00B8507E"/>
    <w:rsid w:val="00B85363"/>
    <w:rsid w:val="00B853BA"/>
    <w:rsid w:val="00B86B30"/>
    <w:rsid w:val="00B86C69"/>
    <w:rsid w:val="00B873B1"/>
    <w:rsid w:val="00B874CF"/>
    <w:rsid w:val="00B90302"/>
    <w:rsid w:val="00B9057F"/>
    <w:rsid w:val="00B90E07"/>
    <w:rsid w:val="00B91E67"/>
    <w:rsid w:val="00B93019"/>
    <w:rsid w:val="00B93313"/>
    <w:rsid w:val="00B947D0"/>
    <w:rsid w:val="00B95194"/>
    <w:rsid w:val="00B95A5B"/>
    <w:rsid w:val="00B968C8"/>
    <w:rsid w:val="00B96C77"/>
    <w:rsid w:val="00B9739F"/>
    <w:rsid w:val="00B9753D"/>
    <w:rsid w:val="00B97A33"/>
    <w:rsid w:val="00B97F73"/>
    <w:rsid w:val="00BA05A5"/>
    <w:rsid w:val="00BA1806"/>
    <w:rsid w:val="00BA2BB3"/>
    <w:rsid w:val="00BA2DA9"/>
    <w:rsid w:val="00BA2E09"/>
    <w:rsid w:val="00BA3101"/>
    <w:rsid w:val="00BA3193"/>
    <w:rsid w:val="00BA3810"/>
    <w:rsid w:val="00BA4D10"/>
    <w:rsid w:val="00BA52DA"/>
    <w:rsid w:val="00BA530C"/>
    <w:rsid w:val="00BA5C8C"/>
    <w:rsid w:val="00BA6B87"/>
    <w:rsid w:val="00BB0221"/>
    <w:rsid w:val="00BB02BB"/>
    <w:rsid w:val="00BB0C42"/>
    <w:rsid w:val="00BB0F52"/>
    <w:rsid w:val="00BB0FCF"/>
    <w:rsid w:val="00BB1774"/>
    <w:rsid w:val="00BB1952"/>
    <w:rsid w:val="00BB2263"/>
    <w:rsid w:val="00BB2725"/>
    <w:rsid w:val="00BB2E45"/>
    <w:rsid w:val="00BC0232"/>
    <w:rsid w:val="00BC0B94"/>
    <w:rsid w:val="00BC0D85"/>
    <w:rsid w:val="00BC14B8"/>
    <w:rsid w:val="00BC17C3"/>
    <w:rsid w:val="00BC1F9C"/>
    <w:rsid w:val="00BC26D0"/>
    <w:rsid w:val="00BC2CE6"/>
    <w:rsid w:val="00BC330C"/>
    <w:rsid w:val="00BC33F4"/>
    <w:rsid w:val="00BC3514"/>
    <w:rsid w:val="00BC35CB"/>
    <w:rsid w:val="00BC3643"/>
    <w:rsid w:val="00BC54F2"/>
    <w:rsid w:val="00BC61B3"/>
    <w:rsid w:val="00BC73A7"/>
    <w:rsid w:val="00BC76C1"/>
    <w:rsid w:val="00BC7720"/>
    <w:rsid w:val="00BC7EBC"/>
    <w:rsid w:val="00BD0030"/>
    <w:rsid w:val="00BD0683"/>
    <w:rsid w:val="00BD1CAA"/>
    <w:rsid w:val="00BD1DC8"/>
    <w:rsid w:val="00BD288B"/>
    <w:rsid w:val="00BD2A38"/>
    <w:rsid w:val="00BD2DD3"/>
    <w:rsid w:val="00BD2EBD"/>
    <w:rsid w:val="00BD3440"/>
    <w:rsid w:val="00BD4E6E"/>
    <w:rsid w:val="00BD5342"/>
    <w:rsid w:val="00BD56F6"/>
    <w:rsid w:val="00BE02ED"/>
    <w:rsid w:val="00BE05AC"/>
    <w:rsid w:val="00BE063D"/>
    <w:rsid w:val="00BE0EE0"/>
    <w:rsid w:val="00BE126B"/>
    <w:rsid w:val="00BE151A"/>
    <w:rsid w:val="00BE24FD"/>
    <w:rsid w:val="00BE2DA3"/>
    <w:rsid w:val="00BE2FDA"/>
    <w:rsid w:val="00BE36F0"/>
    <w:rsid w:val="00BE3872"/>
    <w:rsid w:val="00BE38DD"/>
    <w:rsid w:val="00BE3C59"/>
    <w:rsid w:val="00BE47BE"/>
    <w:rsid w:val="00BE4AA4"/>
    <w:rsid w:val="00BE59CF"/>
    <w:rsid w:val="00BE5CF5"/>
    <w:rsid w:val="00BE6256"/>
    <w:rsid w:val="00BE6AA2"/>
    <w:rsid w:val="00BE6F9C"/>
    <w:rsid w:val="00BE7874"/>
    <w:rsid w:val="00BE7891"/>
    <w:rsid w:val="00BE7F89"/>
    <w:rsid w:val="00BF0244"/>
    <w:rsid w:val="00BF05BB"/>
    <w:rsid w:val="00BF0692"/>
    <w:rsid w:val="00BF091E"/>
    <w:rsid w:val="00BF1815"/>
    <w:rsid w:val="00BF19D5"/>
    <w:rsid w:val="00BF1A99"/>
    <w:rsid w:val="00BF1CFF"/>
    <w:rsid w:val="00BF1D9B"/>
    <w:rsid w:val="00BF2105"/>
    <w:rsid w:val="00BF21C2"/>
    <w:rsid w:val="00BF2B9A"/>
    <w:rsid w:val="00BF2D3D"/>
    <w:rsid w:val="00BF30ED"/>
    <w:rsid w:val="00BF3163"/>
    <w:rsid w:val="00BF47AF"/>
    <w:rsid w:val="00BF47C5"/>
    <w:rsid w:val="00BF4FAC"/>
    <w:rsid w:val="00BF52A2"/>
    <w:rsid w:val="00BF55DA"/>
    <w:rsid w:val="00BF57C5"/>
    <w:rsid w:val="00BF599F"/>
    <w:rsid w:val="00BF6355"/>
    <w:rsid w:val="00BF68FE"/>
    <w:rsid w:val="00BF6F9E"/>
    <w:rsid w:val="00BF6FFB"/>
    <w:rsid w:val="00BF72B3"/>
    <w:rsid w:val="00BF7910"/>
    <w:rsid w:val="00C00261"/>
    <w:rsid w:val="00C00956"/>
    <w:rsid w:val="00C00F12"/>
    <w:rsid w:val="00C01A6A"/>
    <w:rsid w:val="00C02144"/>
    <w:rsid w:val="00C02280"/>
    <w:rsid w:val="00C027E0"/>
    <w:rsid w:val="00C02E65"/>
    <w:rsid w:val="00C03195"/>
    <w:rsid w:val="00C038C2"/>
    <w:rsid w:val="00C03C74"/>
    <w:rsid w:val="00C03E3B"/>
    <w:rsid w:val="00C04A1D"/>
    <w:rsid w:val="00C058D1"/>
    <w:rsid w:val="00C05AC5"/>
    <w:rsid w:val="00C05DEA"/>
    <w:rsid w:val="00C06A09"/>
    <w:rsid w:val="00C06B10"/>
    <w:rsid w:val="00C06CC7"/>
    <w:rsid w:val="00C07001"/>
    <w:rsid w:val="00C07FA7"/>
    <w:rsid w:val="00C1032F"/>
    <w:rsid w:val="00C105BF"/>
    <w:rsid w:val="00C109CB"/>
    <w:rsid w:val="00C10AAE"/>
    <w:rsid w:val="00C10E57"/>
    <w:rsid w:val="00C11173"/>
    <w:rsid w:val="00C111F1"/>
    <w:rsid w:val="00C1268C"/>
    <w:rsid w:val="00C12696"/>
    <w:rsid w:val="00C1282F"/>
    <w:rsid w:val="00C12B0D"/>
    <w:rsid w:val="00C12CB8"/>
    <w:rsid w:val="00C130BE"/>
    <w:rsid w:val="00C13292"/>
    <w:rsid w:val="00C13971"/>
    <w:rsid w:val="00C14361"/>
    <w:rsid w:val="00C14D01"/>
    <w:rsid w:val="00C15219"/>
    <w:rsid w:val="00C1585E"/>
    <w:rsid w:val="00C16AC5"/>
    <w:rsid w:val="00C16B07"/>
    <w:rsid w:val="00C17E72"/>
    <w:rsid w:val="00C20312"/>
    <w:rsid w:val="00C20CFF"/>
    <w:rsid w:val="00C2117E"/>
    <w:rsid w:val="00C21555"/>
    <w:rsid w:val="00C21740"/>
    <w:rsid w:val="00C21BFE"/>
    <w:rsid w:val="00C220E9"/>
    <w:rsid w:val="00C22AB8"/>
    <w:rsid w:val="00C22C40"/>
    <w:rsid w:val="00C23476"/>
    <w:rsid w:val="00C238A6"/>
    <w:rsid w:val="00C2464B"/>
    <w:rsid w:val="00C2497C"/>
    <w:rsid w:val="00C24E05"/>
    <w:rsid w:val="00C24E8D"/>
    <w:rsid w:val="00C24ED6"/>
    <w:rsid w:val="00C2578B"/>
    <w:rsid w:val="00C26078"/>
    <w:rsid w:val="00C26980"/>
    <w:rsid w:val="00C2763F"/>
    <w:rsid w:val="00C3078A"/>
    <w:rsid w:val="00C30C25"/>
    <w:rsid w:val="00C30FBC"/>
    <w:rsid w:val="00C31016"/>
    <w:rsid w:val="00C31723"/>
    <w:rsid w:val="00C319CF"/>
    <w:rsid w:val="00C31DF9"/>
    <w:rsid w:val="00C3209E"/>
    <w:rsid w:val="00C325A7"/>
    <w:rsid w:val="00C33590"/>
    <w:rsid w:val="00C33DE9"/>
    <w:rsid w:val="00C34030"/>
    <w:rsid w:val="00C341B8"/>
    <w:rsid w:val="00C343F0"/>
    <w:rsid w:val="00C3443E"/>
    <w:rsid w:val="00C35054"/>
    <w:rsid w:val="00C35DCD"/>
    <w:rsid w:val="00C35DD7"/>
    <w:rsid w:val="00C369CE"/>
    <w:rsid w:val="00C36B35"/>
    <w:rsid w:val="00C37A7A"/>
    <w:rsid w:val="00C37BE8"/>
    <w:rsid w:val="00C400F1"/>
    <w:rsid w:val="00C40376"/>
    <w:rsid w:val="00C40EDC"/>
    <w:rsid w:val="00C40FE0"/>
    <w:rsid w:val="00C41274"/>
    <w:rsid w:val="00C416F7"/>
    <w:rsid w:val="00C42711"/>
    <w:rsid w:val="00C42786"/>
    <w:rsid w:val="00C43312"/>
    <w:rsid w:val="00C44413"/>
    <w:rsid w:val="00C4483C"/>
    <w:rsid w:val="00C448DD"/>
    <w:rsid w:val="00C457F5"/>
    <w:rsid w:val="00C45CF9"/>
    <w:rsid w:val="00C45F2C"/>
    <w:rsid w:val="00C46D39"/>
    <w:rsid w:val="00C47500"/>
    <w:rsid w:val="00C5092D"/>
    <w:rsid w:val="00C50F95"/>
    <w:rsid w:val="00C511B6"/>
    <w:rsid w:val="00C51918"/>
    <w:rsid w:val="00C51955"/>
    <w:rsid w:val="00C51C0E"/>
    <w:rsid w:val="00C51D5F"/>
    <w:rsid w:val="00C51DA9"/>
    <w:rsid w:val="00C52A58"/>
    <w:rsid w:val="00C52D0D"/>
    <w:rsid w:val="00C533EE"/>
    <w:rsid w:val="00C53A34"/>
    <w:rsid w:val="00C53CC5"/>
    <w:rsid w:val="00C547C2"/>
    <w:rsid w:val="00C54AC2"/>
    <w:rsid w:val="00C54BA7"/>
    <w:rsid w:val="00C557DD"/>
    <w:rsid w:val="00C55937"/>
    <w:rsid w:val="00C559D1"/>
    <w:rsid w:val="00C56328"/>
    <w:rsid w:val="00C5671C"/>
    <w:rsid w:val="00C57748"/>
    <w:rsid w:val="00C5788D"/>
    <w:rsid w:val="00C57FAA"/>
    <w:rsid w:val="00C60CB9"/>
    <w:rsid w:val="00C60D7C"/>
    <w:rsid w:val="00C60E85"/>
    <w:rsid w:val="00C60F89"/>
    <w:rsid w:val="00C611D9"/>
    <w:rsid w:val="00C61C90"/>
    <w:rsid w:val="00C62ED3"/>
    <w:rsid w:val="00C6332E"/>
    <w:rsid w:val="00C6359A"/>
    <w:rsid w:val="00C63736"/>
    <w:rsid w:val="00C63FE2"/>
    <w:rsid w:val="00C6433A"/>
    <w:rsid w:val="00C6529E"/>
    <w:rsid w:val="00C6598A"/>
    <w:rsid w:val="00C6603F"/>
    <w:rsid w:val="00C66325"/>
    <w:rsid w:val="00C6678C"/>
    <w:rsid w:val="00C66EB1"/>
    <w:rsid w:val="00C67A8E"/>
    <w:rsid w:val="00C67F08"/>
    <w:rsid w:val="00C70E2B"/>
    <w:rsid w:val="00C71089"/>
    <w:rsid w:val="00C71C7B"/>
    <w:rsid w:val="00C724B4"/>
    <w:rsid w:val="00C72A1C"/>
    <w:rsid w:val="00C7300D"/>
    <w:rsid w:val="00C7309C"/>
    <w:rsid w:val="00C734B3"/>
    <w:rsid w:val="00C7400B"/>
    <w:rsid w:val="00C74C5C"/>
    <w:rsid w:val="00C74FA5"/>
    <w:rsid w:val="00C75353"/>
    <w:rsid w:val="00C75427"/>
    <w:rsid w:val="00C774FB"/>
    <w:rsid w:val="00C777C2"/>
    <w:rsid w:val="00C8010E"/>
    <w:rsid w:val="00C80EED"/>
    <w:rsid w:val="00C81328"/>
    <w:rsid w:val="00C814D9"/>
    <w:rsid w:val="00C817CF"/>
    <w:rsid w:val="00C81AAA"/>
    <w:rsid w:val="00C81DEE"/>
    <w:rsid w:val="00C820D2"/>
    <w:rsid w:val="00C82668"/>
    <w:rsid w:val="00C827EE"/>
    <w:rsid w:val="00C8289C"/>
    <w:rsid w:val="00C82BC7"/>
    <w:rsid w:val="00C82FCF"/>
    <w:rsid w:val="00C83861"/>
    <w:rsid w:val="00C83F9F"/>
    <w:rsid w:val="00C848DC"/>
    <w:rsid w:val="00C855A6"/>
    <w:rsid w:val="00C85F2B"/>
    <w:rsid w:val="00C8629A"/>
    <w:rsid w:val="00C86CDA"/>
    <w:rsid w:val="00C86F2A"/>
    <w:rsid w:val="00C87615"/>
    <w:rsid w:val="00C876FB"/>
    <w:rsid w:val="00C87747"/>
    <w:rsid w:val="00C87B01"/>
    <w:rsid w:val="00C87C14"/>
    <w:rsid w:val="00C87DAE"/>
    <w:rsid w:val="00C9006A"/>
    <w:rsid w:val="00C90234"/>
    <w:rsid w:val="00C908AB"/>
    <w:rsid w:val="00C90B4F"/>
    <w:rsid w:val="00C90BA7"/>
    <w:rsid w:val="00C90EA6"/>
    <w:rsid w:val="00C91030"/>
    <w:rsid w:val="00C91F3B"/>
    <w:rsid w:val="00C93966"/>
    <w:rsid w:val="00C939D4"/>
    <w:rsid w:val="00C93C7A"/>
    <w:rsid w:val="00C954E2"/>
    <w:rsid w:val="00C9554C"/>
    <w:rsid w:val="00C956E8"/>
    <w:rsid w:val="00C95F1A"/>
    <w:rsid w:val="00C96097"/>
    <w:rsid w:val="00C9681F"/>
    <w:rsid w:val="00C96B17"/>
    <w:rsid w:val="00C9770D"/>
    <w:rsid w:val="00C9774C"/>
    <w:rsid w:val="00C978A8"/>
    <w:rsid w:val="00C978C8"/>
    <w:rsid w:val="00C97C03"/>
    <w:rsid w:val="00CA008C"/>
    <w:rsid w:val="00CA0565"/>
    <w:rsid w:val="00CA1EE2"/>
    <w:rsid w:val="00CA2903"/>
    <w:rsid w:val="00CA332E"/>
    <w:rsid w:val="00CA352C"/>
    <w:rsid w:val="00CA3A16"/>
    <w:rsid w:val="00CA49D6"/>
    <w:rsid w:val="00CA5698"/>
    <w:rsid w:val="00CA5845"/>
    <w:rsid w:val="00CA5FC1"/>
    <w:rsid w:val="00CA665C"/>
    <w:rsid w:val="00CA66A0"/>
    <w:rsid w:val="00CA6BA5"/>
    <w:rsid w:val="00CA7341"/>
    <w:rsid w:val="00CA7721"/>
    <w:rsid w:val="00CA7DCD"/>
    <w:rsid w:val="00CB00D1"/>
    <w:rsid w:val="00CB13B1"/>
    <w:rsid w:val="00CB158E"/>
    <w:rsid w:val="00CB1DA3"/>
    <w:rsid w:val="00CB229A"/>
    <w:rsid w:val="00CB2AAE"/>
    <w:rsid w:val="00CB3516"/>
    <w:rsid w:val="00CB3824"/>
    <w:rsid w:val="00CB38B0"/>
    <w:rsid w:val="00CB38DC"/>
    <w:rsid w:val="00CB509B"/>
    <w:rsid w:val="00CB56E7"/>
    <w:rsid w:val="00CB6A07"/>
    <w:rsid w:val="00CB6CB0"/>
    <w:rsid w:val="00CB7699"/>
    <w:rsid w:val="00CC0241"/>
    <w:rsid w:val="00CC03F7"/>
    <w:rsid w:val="00CC0622"/>
    <w:rsid w:val="00CC062B"/>
    <w:rsid w:val="00CC1005"/>
    <w:rsid w:val="00CC10DF"/>
    <w:rsid w:val="00CC12A0"/>
    <w:rsid w:val="00CC1926"/>
    <w:rsid w:val="00CC1AFB"/>
    <w:rsid w:val="00CC1BF5"/>
    <w:rsid w:val="00CC22B8"/>
    <w:rsid w:val="00CC3260"/>
    <w:rsid w:val="00CC3790"/>
    <w:rsid w:val="00CC39D9"/>
    <w:rsid w:val="00CC4F4F"/>
    <w:rsid w:val="00CC54F2"/>
    <w:rsid w:val="00CC5ACF"/>
    <w:rsid w:val="00CC5CE2"/>
    <w:rsid w:val="00CC5CE5"/>
    <w:rsid w:val="00CC5D6E"/>
    <w:rsid w:val="00CC5E14"/>
    <w:rsid w:val="00CC6026"/>
    <w:rsid w:val="00CC62CA"/>
    <w:rsid w:val="00CC6374"/>
    <w:rsid w:val="00CC710A"/>
    <w:rsid w:val="00CC7235"/>
    <w:rsid w:val="00CC7C5F"/>
    <w:rsid w:val="00CD068D"/>
    <w:rsid w:val="00CD0701"/>
    <w:rsid w:val="00CD0764"/>
    <w:rsid w:val="00CD08B2"/>
    <w:rsid w:val="00CD0C6C"/>
    <w:rsid w:val="00CD0E97"/>
    <w:rsid w:val="00CD0ED5"/>
    <w:rsid w:val="00CD137E"/>
    <w:rsid w:val="00CD190C"/>
    <w:rsid w:val="00CD312C"/>
    <w:rsid w:val="00CD32E8"/>
    <w:rsid w:val="00CD34BB"/>
    <w:rsid w:val="00CD3E04"/>
    <w:rsid w:val="00CD3F52"/>
    <w:rsid w:val="00CD47EE"/>
    <w:rsid w:val="00CD498B"/>
    <w:rsid w:val="00CD4C67"/>
    <w:rsid w:val="00CD5032"/>
    <w:rsid w:val="00CD533A"/>
    <w:rsid w:val="00CD6405"/>
    <w:rsid w:val="00CD6957"/>
    <w:rsid w:val="00CD6CFD"/>
    <w:rsid w:val="00CD7212"/>
    <w:rsid w:val="00CD754F"/>
    <w:rsid w:val="00CE0197"/>
    <w:rsid w:val="00CE0884"/>
    <w:rsid w:val="00CE109D"/>
    <w:rsid w:val="00CE2A93"/>
    <w:rsid w:val="00CE2CA7"/>
    <w:rsid w:val="00CE364B"/>
    <w:rsid w:val="00CE3D6E"/>
    <w:rsid w:val="00CE4800"/>
    <w:rsid w:val="00CE4A8F"/>
    <w:rsid w:val="00CE50BD"/>
    <w:rsid w:val="00CE50FB"/>
    <w:rsid w:val="00CE5369"/>
    <w:rsid w:val="00CE5A7C"/>
    <w:rsid w:val="00CE5FD1"/>
    <w:rsid w:val="00CE63E4"/>
    <w:rsid w:val="00CE6492"/>
    <w:rsid w:val="00CE64CB"/>
    <w:rsid w:val="00CE68CD"/>
    <w:rsid w:val="00CE6ADA"/>
    <w:rsid w:val="00CE7205"/>
    <w:rsid w:val="00CE7422"/>
    <w:rsid w:val="00CE7BAC"/>
    <w:rsid w:val="00CF0630"/>
    <w:rsid w:val="00CF093F"/>
    <w:rsid w:val="00CF0F35"/>
    <w:rsid w:val="00CF139C"/>
    <w:rsid w:val="00CF1B0C"/>
    <w:rsid w:val="00CF21B5"/>
    <w:rsid w:val="00CF22C1"/>
    <w:rsid w:val="00CF26B0"/>
    <w:rsid w:val="00CF2943"/>
    <w:rsid w:val="00CF2D98"/>
    <w:rsid w:val="00CF2DAE"/>
    <w:rsid w:val="00CF3A83"/>
    <w:rsid w:val="00CF4058"/>
    <w:rsid w:val="00CF42E7"/>
    <w:rsid w:val="00CF4596"/>
    <w:rsid w:val="00CF5C9A"/>
    <w:rsid w:val="00CF60C8"/>
    <w:rsid w:val="00CF6AFB"/>
    <w:rsid w:val="00CF6BFE"/>
    <w:rsid w:val="00CF794B"/>
    <w:rsid w:val="00D001D5"/>
    <w:rsid w:val="00D002E0"/>
    <w:rsid w:val="00D02CA6"/>
    <w:rsid w:val="00D03182"/>
    <w:rsid w:val="00D0403A"/>
    <w:rsid w:val="00D05244"/>
    <w:rsid w:val="00D06012"/>
    <w:rsid w:val="00D07912"/>
    <w:rsid w:val="00D07994"/>
    <w:rsid w:val="00D10390"/>
    <w:rsid w:val="00D111C7"/>
    <w:rsid w:val="00D12499"/>
    <w:rsid w:val="00D125CD"/>
    <w:rsid w:val="00D14205"/>
    <w:rsid w:val="00D14F99"/>
    <w:rsid w:val="00D15912"/>
    <w:rsid w:val="00D15EE8"/>
    <w:rsid w:val="00D15F15"/>
    <w:rsid w:val="00D16102"/>
    <w:rsid w:val="00D16B24"/>
    <w:rsid w:val="00D170BA"/>
    <w:rsid w:val="00D178F5"/>
    <w:rsid w:val="00D17B08"/>
    <w:rsid w:val="00D201A3"/>
    <w:rsid w:val="00D20539"/>
    <w:rsid w:val="00D2104A"/>
    <w:rsid w:val="00D21135"/>
    <w:rsid w:val="00D2154A"/>
    <w:rsid w:val="00D21BF9"/>
    <w:rsid w:val="00D227B2"/>
    <w:rsid w:val="00D22CD2"/>
    <w:rsid w:val="00D236EA"/>
    <w:rsid w:val="00D244E0"/>
    <w:rsid w:val="00D247F9"/>
    <w:rsid w:val="00D24D96"/>
    <w:rsid w:val="00D26B89"/>
    <w:rsid w:val="00D26EEB"/>
    <w:rsid w:val="00D2784F"/>
    <w:rsid w:val="00D27913"/>
    <w:rsid w:val="00D27D60"/>
    <w:rsid w:val="00D27F09"/>
    <w:rsid w:val="00D31353"/>
    <w:rsid w:val="00D313BB"/>
    <w:rsid w:val="00D31651"/>
    <w:rsid w:val="00D3172C"/>
    <w:rsid w:val="00D317DE"/>
    <w:rsid w:val="00D320E2"/>
    <w:rsid w:val="00D32626"/>
    <w:rsid w:val="00D32797"/>
    <w:rsid w:val="00D33124"/>
    <w:rsid w:val="00D335FC"/>
    <w:rsid w:val="00D33D74"/>
    <w:rsid w:val="00D34026"/>
    <w:rsid w:val="00D34477"/>
    <w:rsid w:val="00D3529B"/>
    <w:rsid w:val="00D352D1"/>
    <w:rsid w:val="00D36716"/>
    <w:rsid w:val="00D36D31"/>
    <w:rsid w:val="00D36D76"/>
    <w:rsid w:val="00D37613"/>
    <w:rsid w:val="00D37686"/>
    <w:rsid w:val="00D37BD7"/>
    <w:rsid w:val="00D402BB"/>
    <w:rsid w:val="00D4062E"/>
    <w:rsid w:val="00D414E7"/>
    <w:rsid w:val="00D423ED"/>
    <w:rsid w:val="00D43D65"/>
    <w:rsid w:val="00D4406A"/>
    <w:rsid w:val="00D45127"/>
    <w:rsid w:val="00D452CD"/>
    <w:rsid w:val="00D4541F"/>
    <w:rsid w:val="00D45BC6"/>
    <w:rsid w:val="00D46501"/>
    <w:rsid w:val="00D46D6E"/>
    <w:rsid w:val="00D47358"/>
    <w:rsid w:val="00D50B67"/>
    <w:rsid w:val="00D510EB"/>
    <w:rsid w:val="00D5168C"/>
    <w:rsid w:val="00D51CD8"/>
    <w:rsid w:val="00D522C5"/>
    <w:rsid w:val="00D52F03"/>
    <w:rsid w:val="00D531D4"/>
    <w:rsid w:val="00D536DB"/>
    <w:rsid w:val="00D54E85"/>
    <w:rsid w:val="00D55411"/>
    <w:rsid w:val="00D5609E"/>
    <w:rsid w:val="00D56181"/>
    <w:rsid w:val="00D561EA"/>
    <w:rsid w:val="00D563FF"/>
    <w:rsid w:val="00D56737"/>
    <w:rsid w:val="00D57426"/>
    <w:rsid w:val="00D575CE"/>
    <w:rsid w:val="00D57824"/>
    <w:rsid w:val="00D60187"/>
    <w:rsid w:val="00D603F5"/>
    <w:rsid w:val="00D608F2"/>
    <w:rsid w:val="00D613EF"/>
    <w:rsid w:val="00D619E8"/>
    <w:rsid w:val="00D61B8A"/>
    <w:rsid w:val="00D6271F"/>
    <w:rsid w:val="00D62FAA"/>
    <w:rsid w:val="00D63430"/>
    <w:rsid w:val="00D63617"/>
    <w:rsid w:val="00D637D1"/>
    <w:rsid w:val="00D638B7"/>
    <w:rsid w:val="00D63DF5"/>
    <w:rsid w:val="00D64152"/>
    <w:rsid w:val="00D64318"/>
    <w:rsid w:val="00D64E1E"/>
    <w:rsid w:val="00D64ED8"/>
    <w:rsid w:val="00D65424"/>
    <w:rsid w:val="00D65585"/>
    <w:rsid w:val="00D659A8"/>
    <w:rsid w:val="00D667EA"/>
    <w:rsid w:val="00D66B77"/>
    <w:rsid w:val="00D66C6D"/>
    <w:rsid w:val="00D675BC"/>
    <w:rsid w:val="00D67AF5"/>
    <w:rsid w:val="00D6F011"/>
    <w:rsid w:val="00D701A4"/>
    <w:rsid w:val="00D70851"/>
    <w:rsid w:val="00D71595"/>
    <w:rsid w:val="00D717CA"/>
    <w:rsid w:val="00D71C78"/>
    <w:rsid w:val="00D71D01"/>
    <w:rsid w:val="00D722B3"/>
    <w:rsid w:val="00D7252C"/>
    <w:rsid w:val="00D73705"/>
    <w:rsid w:val="00D74577"/>
    <w:rsid w:val="00D74872"/>
    <w:rsid w:val="00D74AC1"/>
    <w:rsid w:val="00D74F7E"/>
    <w:rsid w:val="00D754CC"/>
    <w:rsid w:val="00D75B5E"/>
    <w:rsid w:val="00D75C89"/>
    <w:rsid w:val="00D765AE"/>
    <w:rsid w:val="00D76C83"/>
    <w:rsid w:val="00D7763D"/>
    <w:rsid w:val="00D77984"/>
    <w:rsid w:val="00D82795"/>
    <w:rsid w:val="00D82B0E"/>
    <w:rsid w:val="00D82BF2"/>
    <w:rsid w:val="00D8300A"/>
    <w:rsid w:val="00D8316B"/>
    <w:rsid w:val="00D83570"/>
    <w:rsid w:val="00D8381D"/>
    <w:rsid w:val="00D841AF"/>
    <w:rsid w:val="00D848A5"/>
    <w:rsid w:val="00D84F0E"/>
    <w:rsid w:val="00D8548B"/>
    <w:rsid w:val="00D86116"/>
    <w:rsid w:val="00D86691"/>
    <w:rsid w:val="00D87BA4"/>
    <w:rsid w:val="00D87BF3"/>
    <w:rsid w:val="00D87F64"/>
    <w:rsid w:val="00D9007D"/>
    <w:rsid w:val="00D902FE"/>
    <w:rsid w:val="00D917BA"/>
    <w:rsid w:val="00D927B1"/>
    <w:rsid w:val="00D92A5F"/>
    <w:rsid w:val="00D92BD2"/>
    <w:rsid w:val="00D92BF9"/>
    <w:rsid w:val="00D9333A"/>
    <w:rsid w:val="00D93D3B"/>
    <w:rsid w:val="00D94BE9"/>
    <w:rsid w:val="00D957C3"/>
    <w:rsid w:val="00D95FDC"/>
    <w:rsid w:val="00D968AD"/>
    <w:rsid w:val="00D96FB7"/>
    <w:rsid w:val="00D97389"/>
    <w:rsid w:val="00D97576"/>
    <w:rsid w:val="00D9761A"/>
    <w:rsid w:val="00D97845"/>
    <w:rsid w:val="00DA0A9E"/>
    <w:rsid w:val="00DA13E1"/>
    <w:rsid w:val="00DA1751"/>
    <w:rsid w:val="00DA1860"/>
    <w:rsid w:val="00DA1CB0"/>
    <w:rsid w:val="00DA25BC"/>
    <w:rsid w:val="00DA2816"/>
    <w:rsid w:val="00DA2871"/>
    <w:rsid w:val="00DA3367"/>
    <w:rsid w:val="00DA39F0"/>
    <w:rsid w:val="00DA3A32"/>
    <w:rsid w:val="00DA41F3"/>
    <w:rsid w:val="00DA5103"/>
    <w:rsid w:val="00DA5624"/>
    <w:rsid w:val="00DA5862"/>
    <w:rsid w:val="00DA5F5B"/>
    <w:rsid w:val="00DA68DB"/>
    <w:rsid w:val="00DA690A"/>
    <w:rsid w:val="00DA6DE1"/>
    <w:rsid w:val="00DA6E5A"/>
    <w:rsid w:val="00DA70EA"/>
    <w:rsid w:val="00DA7681"/>
    <w:rsid w:val="00DA7690"/>
    <w:rsid w:val="00DA7A44"/>
    <w:rsid w:val="00DA7C7F"/>
    <w:rsid w:val="00DB0A42"/>
    <w:rsid w:val="00DB0B4E"/>
    <w:rsid w:val="00DB0FFE"/>
    <w:rsid w:val="00DB14DD"/>
    <w:rsid w:val="00DB26ED"/>
    <w:rsid w:val="00DB2A3D"/>
    <w:rsid w:val="00DB2A55"/>
    <w:rsid w:val="00DB3211"/>
    <w:rsid w:val="00DB39B6"/>
    <w:rsid w:val="00DB55B7"/>
    <w:rsid w:val="00DB5CB4"/>
    <w:rsid w:val="00DB60C1"/>
    <w:rsid w:val="00DB659B"/>
    <w:rsid w:val="00DB7384"/>
    <w:rsid w:val="00DB7755"/>
    <w:rsid w:val="00DC0249"/>
    <w:rsid w:val="00DC0D45"/>
    <w:rsid w:val="00DC182E"/>
    <w:rsid w:val="00DC212C"/>
    <w:rsid w:val="00DC25D5"/>
    <w:rsid w:val="00DC3DB8"/>
    <w:rsid w:val="00DC3FA1"/>
    <w:rsid w:val="00DC42CE"/>
    <w:rsid w:val="00DC4FC1"/>
    <w:rsid w:val="00DC5BD3"/>
    <w:rsid w:val="00DC60A8"/>
    <w:rsid w:val="00DC63D9"/>
    <w:rsid w:val="00DC6962"/>
    <w:rsid w:val="00DD0061"/>
    <w:rsid w:val="00DD0631"/>
    <w:rsid w:val="00DD0644"/>
    <w:rsid w:val="00DD0F35"/>
    <w:rsid w:val="00DD1FE4"/>
    <w:rsid w:val="00DD23D9"/>
    <w:rsid w:val="00DD2481"/>
    <w:rsid w:val="00DD2B47"/>
    <w:rsid w:val="00DD2CDD"/>
    <w:rsid w:val="00DD2F1A"/>
    <w:rsid w:val="00DD2F56"/>
    <w:rsid w:val="00DD4869"/>
    <w:rsid w:val="00DD4B44"/>
    <w:rsid w:val="00DD4C44"/>
    <w:rsid w:val="00DD751B"/>
    <w:rsid w:val="00DD769E"/>
    <w:rsid w:val="00DD7D89"/>
    <w:rsid w:val="00DE0689"/>
    <w:rsid w:val="00DE204E"/>
    <w:rsid w:val="00DE216C"/>
    <w:rsid w:val="00DE2190"/>
    <w:rsid w:val="00DE2724"/>
    <w:rsid w:val="00DE3B0A"/>
    <w:rsid w:val="00DE4297"/>
    <w:rsid w:val="00DE46AA"/>
    <w:rsid w:val="00DE4832"/>
    <w:rsid w:val="00DE4DED"/>
    <w:rsid w:val="00DE524B"/>
    <w:rsid w:val="00DE5578"/>
    <w:rsid w:val="00DE5C5B"/>
    <w:rsid w:val="00DE650F"/>
    <w:rsid w:val="00DE6DB3"/>
    <w:rsid w:val="00DE759A"/>
    <w:rsid w:val="00DE7F60"/>
    <w:rsid w:val="00DF0456"/>
    <w:rsid w:val="00DF079D"/>
    <w:rsid w:val="00DF0A29"/>
    <w:rsid w:val="00DF0D67"/>
    <w:rsid w:val="00DF1943"/>
    <w:rsid w:val="00DF1991"/>
    <w:rsid w:val="00DF2291"/>
    <w:rsid w:val="00DF2415"/>
    <w:rsid w:val="00DF2A55"/>
    <w:rsid w:val="00DF3D36"/>
    <w:rsid w:val="00DF3E3A"/>
    <w:rsid w:val="00DF4037"/>
    <w:rsid w:val="00DF4438"/>
    <w:rsid w:val="00DF4E08"/>
    <w:rsid w:val="00DF5D6D"/>
    <w:rsid w:val="00DF610B"/>
    <w:rsid w:val="00DF647C"/>
    <w:rsid w:val="00DF65AA"/>
    <w:rsid w:val="00DF6DA8"/>
    <w:rsid w:val="00DF6EC8"/>
    <w:rsid w:val="00DF7EF2"/>
    <w:rsid w:val="00E01100"/>
    <w:rsid w:val="00E013F4"/>
    <w:rsid w:val="00E019A3"/>
    <w:rsid w:val="00E02970"/>
    <w:rsid w:val="00E03695"/>
    <w:rsid w:val="00E0391A"/>
    <w:rsid w:val="00E03AB1"/>
    <w:rsid w:val="00E03BB1"/>
    <w:rsid w:val="00E03CC0"/>
    <w:rsid w:val="00E03F2D"/>
    <w:rsid w:val="00E04302"/>
    <w:rsid w:val="00E045FF"/>
    <w:rsid w:val="00E04DFC"/>
    <w:rsid w:val="00E04EEE"/>
    <w:rsid w:val="00E052F5"/>
    <w:rsid w:val="00E06007"/>
    <w:rsid w:val="00E061BB"/>
    <w:rsid w:val="00E06262"/>
    <w:rsid w:val="00E0647C"/>
    <w:rsid w:val="00E06520"/>
    <w:rsid w:val="00E06C61"/>
    <w:rsid w:val="00E07012"/>
    <w:rsid w:val="00E07187"/>
    <w:rsid w:val="00E074F2"/>
    <w:rsid w:val="00E076D5"/>
    <w:rsid w:val="00E07A1A"/>
    <w:rsid w:val="00E07BA2"/>
    <w:rsid w:val="00E105D6"/>
    <w:rsid w:val="00E10864"/>
    <w:rsid w:val="00E10AF9"/>
    <w:rsid w:val="00E11855"/>
    <w:rsid w:val="00E11A60"/>
    <w:rsid w:val="00E12446"/>
    <w:rsid w:val="00E12670"/>
    <w:rsid w:val="00E13216"/>
    <w:rsid w:val="00E13748"/>
    <w:rsid w:val="00E13BA6"/>
    <w:rsid w:val="00E145C3"/>
    <w:rsid w:val="00E14AAD"/>
    <w:rsid w:val="00E1590C"/>
    <w:rsid w:val="00E17041"/>
    <w:rsid w:val="00E174E6"/>
    <w:rsid w:val="00E17767"/>
    <w:rsid w:val="00E200E5"/>
    <w:rsid w:val="00E206CC"/>
    <w:rsid w:val="00E20870"/>
    <w:rsid w:val="00E2119A"/>
    <w:rsid w:val="00E2123F"/>
    <w:rsid w:val="00E212FE"/>
    <w:rsid w:val="00E215AC"/>
    <w:rsid w:val="00E21B06"/>
    <w:rsid w:val="00E21F71"/>
    <w:rsid w:val="00E228B6"/>
    <w:rsid w:val="00E22CA6"/>
    <w:rsid w:val="00E23232"/>
    <w:rsid w:val="00E2440B"/>
    <w:rsid w:val="00E24AEB"/>
    <w:rsid w:val="00E25961"/>
    <w:rsid w:val="00E26B37"/>
    <w:rsid w:val="00E27A14"/>
    <w:rsid w:val="00E27B21"/>
    <w:rsid w:val="00E27C30"/>
    <w:rsid w:val="00E304AF"/>
    <w:rsid w:val="00E3053A"/>
    <w:rsid w:val="00E306BD"/>
    <w:rsid w:val="00E307B2"/>
    <w:rsid w:val="00E307B4"/>
    <w:rsid w:val="00E30E85"/>
    <w:rsid w:val="00E311F8"/>
    <w:rsid w:val="00E32A56"/>
    <w:rsid w:val="00E32AF6"/>
    <w:rsid w:val="00E32D85"/>
    <w:rsid w:val="00E33033"/>
    <w:rsid w:val="00E330A3"/>
    <w:rsid w:val="00E3326B"/>
    <w:rsid w:val="00E334FC"/>
    <w:rsid w:val="00E33DA7"/>
    <w:rsid w:val="00E3416B"/>
    <w:rsid w:val="00E34300"/>
    <w:rsid w:val="00E346D9"/>
    <w:rsid w:val="00E34F54"/>
    <w:rsid w:val="00E350F5"/>
    <w:rsid w:val="00E356C8"/>
    <w:rsid w:val="00E3578B"/>
    <w:rsid w:val="00E35B8C"/>
    <w:rsid w:val="00E35E92"/>
    <w:rsid w:val="00E360B8"/>
    <w:rsid w:val="00E3649F"/>
    <w:rsid w:val="00E36870"/>
    <w:rsid w:val="00E36AEF"/>
    <w:rsid w:val="00E36BE5"/>
    <w:rsid w:val="00E377B9"/>
    <w:rsid w:val="00E37A7F"/>
    <w:rsid w:val="00E41395"/>
    <w:rsid w:val="00E41428"/>
    <w:rsid w:val="00E4188B"/>
    <w:rsid w:val="00E41E46"/>
    <w:rsid w:val="00E42385"/>
    <w:rsid w:val="00E430DE"/>
    <w:rsid w:val="00E4313E"/>
    <w:rsid w:val="00E43422"/>
    <w:rsid w:val="00E44A95"/>
    <w:rsid w:val="00E44F32"/>
    <w:rsid w:val="00E467A0"/>
    <w:rsid w:val="00E467A5"/>
    <w:rsid w:val="00E47572"/>
    <w:rsid w:val="00E47BC5"/>
    <w:rsid w:val="00E47C4A"/>
    <w:rsid w:val="00E50046"/>
    <w:rsid w:val="00E50674"/>
    <w:rsid w:val="00E50805"/>
    <w:rsid w:val="00E5086D"/>
    <w:rsid w:val="00E51274"/>
    <w:rsid w:val="00E526A6"/>
    <w:rsid w:val="00E52988"/>
    <w:rsid w:val="00E53218"/>
    <w:rsid w:val="00E53A0D"/>
    <w:rsid w:val="00E540ED"/>
    <w:rsid w:val="00E55B4C"/>
    <w:rsid w:val="00E5642C"/>
    <w:rsid w:val="00E56791"/>
    <w:rsid w:val="00E5687D"/>
    <w:rsid w:val="00E56BBF"/>
    <w:rsid w:val="00E57825"/>
    <w:rsid w:val="00E6010F"/>
    <w:rsid w:val="00E60CAF"/>
    <w:rsid w:val="00E6143F"/>
    <w:rsid w:val="00E623DE"/>
    <w:rsid w:val="00E62854"/>
    <w:rsid w:val="00E62DE1"/>
    <w:rsid w:val="00E644A6"/>
    <w:rsid w:val="00E6463A"/>
    <w:rsid w:val="00E6485F"/>
    <w:rsid w:val="00E648DB"/>
    <w:rsid w:val="00E64AE9"/>
    <w:rsid w:val="00E65E0B"/>
    <w:rsid w:val="00E66E8A"/>
    <w:rsid w:val="00E67546"/>
    <w:rsid w:val="00E70C27"/>
    <w:rsid w:val="00E71391"/>
    <w:rsid w:val="00E7247C"/>
    <w:rsid w:val="00E72D26"/>
    <w:rsid w:val="00E74341"/>
    <w:rsid w:val="00E75272"/>
    <w:rsid w:val="00E75CE0"/>
    <w:rsid w:val="00E76937"/>
    <w:rsid w:val="00E76B12"/>
    <w:rsid w:val="00E76DD2"/>
    <w:rsid w:val="00E76F65"/>
    <w:rsid w:val="00E771BC"/>
    <w:rsid w:val="00E776D8"/>
    <w:rsid w:val="00E802E6"/>
    <w:rsid w:val="00E80B29"/>
    <w:rsid w:val="00E80DA4"/>
    <w:rsid w:val="00E81AB7"/>
    <w:rsid w:val="00E821E5"/>
    <w:rsid w:val="00E82407"/>
    <w:rsid w:val="00E82FA8"/>
    <w:rsid w:val="00E833D0"/>
    <w:rsid w:val="00E837F7"/>
    <w:rsid w:val="00E84020"/>
    <w:rsid w:val="00E845CE"/>
    <w:rsid w:val="00E84E16"/>
    <w:rsid w:val="00E84FD0"/>
    <w:rsid w:val="00E858F6"/>
    <w:rsid w:val="00E85A74"/>
    <w:rsid w:val="00E85B90"/>
    <w:rsid w:val="00E86669"/>
    <w:rsid w:val="00E86AAE"/>
    <w:rsid w:val="00E877F3"/>
    <w:rsid w:val="00E8786D"/>
    <w:rsid w:val="00E87CB7"/>
    <w:rsid w:val="00E90D1A"/>
    <w:rsid w:val="00E91994"/>
    <w:rsid w:val="00E9281E"/>
    <w:rsid w:val="00E92CAD"/>
    <w:rsid w:val="00E931B1"/>
    <w:rsid w:val="00E934B0"/>
    <w:rsid w:val="00E93780"/>
    <w:rsid w:val="00E94025"/>
    <w:rsid w:val="00E944B5"/>
    <w:rsid w:val="00E94C6D"/>
    <w:rsid w:val="00E95F1A"/>
    <w:rsid w:val="00E96100"/>
    <w:rsid w:val="00E9665C"/>
    <w:rsid w:val="00E9739A"/>
    <w:rsid w:val="00E975DE"/>
    <w:rsid w:val="00E976C7"/>
    <w:rsid w:val="00E9779E"/>
    <w:rsid w:val="00EA0442"/>
    <w:rsid w:val="00EA0DAF"/>
    <w:rsid w:val="00EA0F8D"/>
    <w:rsid w:val="00EA1727"/>
    <w:rsid w:val="00EA2AB9"/>
    <w:rsid w:val="00EA2F54"/>
    <w:rsid w:val="00EA3143"/>
    <w:rsid w:val="00EA3187"/>
    <w:rsid w:val="00EA3663"/>
    <w:rsid w:val="00EA3F50"/>
    <w:rsid w:val="00EA4FC0"/>
    <w:rsid w:val="00EA529D"/>
    <w:rsid w:val="00EA605B"/>
    <w:rsid w:val="00EA6BD6"/>
    <w:rsid w:val="00EA73BF"/>
    <w:rsid w:val="00EA7AEB"/>
    <w:rsid w:val="00EB060B"/>
    <w:rsid w:val="00EB081E"/>
    <w:rsid w:val="00EB1A13"/>
    <w:rsid w:val="00EB1E3C"/>
    <w:rsid w:val="00EB2326"/>
    <w:rsid w:val="00EB3160"/>
    <w:rsid w:val="00EB32C4"/>
    <w:rsid w:val="00EB57AA"/>
    <w:rsid w:val="00EB663C"/>
    <w:rsid w:val="00EB6648"/>
    <w:rsid w:val="00EB6F7E"/>
    <w:rsid w:val="00EB7A30"/>
    <w:rsid w:val="00EB7D45"/>
    <w:rsid w:val="00EC09AD"/>
    <w:rsid w:val="00EC0EEE"/>
    <w:rsid w:val="00EC1597"/>
    <w:rsid w:val="00EC2265"/>
    <w:rsid w:val="00EC3126"/>
    <w:rsid w:val="00EC36DC"/>
    <w:rsid w:val="00EC4BD3"/>
    <w:rsid w:val="00EC58F5"/>
    <w:rsid w:val="00EC6374"/>
    <w:rsid w:val="00EC63F4"/>
    <w:rsid w:val="00EC6BAE"/>
    <w:rsid w:val="00EC6C05"/>
    <w:rsid w:val="00EC6CEC"/>
    <w:rsid w:val="00EC713E"/>
    <w:rsid w:val="00EC75F6"/>
    <w:rsid w:val="00EC7E7C"/>
    <w:rsid w:val="00ED00B0"/>
    <w:rsid w:val="00ED117C"/>
    <w:rsid w:val="00ED2215"/>
    <w:rsid w:val="00ED2BBD"/>
    <w:rsid w:val="00ED2D90"/>
    <w:rsid w:val="00ED334A"/>
    <w:rsid w:val="00ED33D9"/>
    <w:rsid w:val="00ED3473"/>
    <w:rsid w:val="00ED38D1"/>
    <w:rsid w:val="00ED46BE"/>
    <w:rsid w:val="00ED4C90"/>
    <w:rsid w:val="00ED50B9"/>
    <w:rsid w:val="00ED5311"/>
    <w:rsid w:val="00ED5598"/>
    <w:rsid w:val="00ED5B7E"/>
    <w:rsid w:val="00ED6F7C"/>
    <w:rsid w:val="00ED76EF"/>
    <w:rsid w:val="00ED7866"/>
    <w:rsid w:val="00ED7DFA"/>
    <w:rsid w:val="00EE1150"/>
    <w:rsid w:val="00EE1759"/>
    <w:rsid w:val="00EE1B9E"/>
    <w:rsid w:val="00EE1DD3"/>
    <w:rsid w:val="00EE233D"/>
    <w:rsid w:val="00EE33C9"/>
    <w:rsid w:val="00EE3CC1"/>
    <w:rsid w:val="00EE4106"/>
    <w:rsid w:val="00EE468C"/>
    <w:rsid w:val="00EE4F8E"/>
    <w:rsid w:val="00EE5E54"/>
    <w:rsid w:val="00EE5F40"/>
    <w:rsid w:val="00EE6C61"/>
    <w:rsid w:val="00EE7375"/>
    <w:rsid w:val="00EE748E"/>
    <w:rsid w:val="00EE76BC"/>
    <w:rsid w:val="00EE7EA9"/>
    <w:rsid w:val="00EF0183"/>
    <w:rsid w:val="00EF1096"/>
    <w:rsid w:val="00EF1ACB"/>
    <w:rsid w:val="00EF1CCF"/>
    <w:rsid w:val="00EF228C"/>
    <w:rsid w:val="00EF280C"/>
    <w:rsid w:val="00EF307D"/>
    <w:rsid w:val="00EF3096"/>
    <w:rsid w:val="00EF35BF"/>
    <w:rsid w:val="00EF3636"/>
    <w:rsid w:val="00EF3CFA"/>
    <w:rsid w:val="00EF488E"/>
    <w:rsid w:val="00EF5D31"/>
    <w:rsid w:val="00EF62C1"/>
    <w:rsid w:val="00EF63C2"/>
    <w:rsid w:val="00EF6706"/>
    <w:rsid w:val="00EF670A"/>
    <w:rsid w:val="00EF69C2"/>
    <w:rsid w:val="00EF75B8"/>
    <w:rsid w:val="00EF79D1"/>
    <w:rsid w:val="00EF7A6F"/>
    <w:rsid w:val="00EF7A84"/>
    <w:rsid w:val="00EF7C1C"/>
    <w:rsid w:val="00EF7CC6"/>
    <w:rsid w:val="00F002D8"/>
    <w:rsid w:val="00F00B7D"/>
    <w:rsid w:val="00F00EA0"/>
    <w:rsid w:val="00F010FB"/>
    <w:rsid w:val="00F01259"/>
    <w:rsid w:val="00F012FB"/>
    <w:rsid w:val="00F01860"/>
    <w:rsid w:val="00F03FA1"/>
    <w:rsid w:val="00F03FBB"/>
    <w:rsid w:val="00F045E4"/>
    <w:rsid w:val="00F04A9A"/>
    <w:rsid w:val="00F04E95"/>
    <w:rsid w:val="00F052BC"/>
    <w:rsid w:val="00F055B7"/>
    <w:rsid w:val="00F05885"/>
    <w:rsid w:val="00F0594A"/>
    <w:rsid w:val="00F05FCE"/>
    <w:rsid w:val="00F06B7C"/>
    <w:rsid w:val="00F07F19"/>
    <w:rsid w:val="00F10E33"/>
    <w:rsid w:val="00F10F66"/>
    <w:rsid w:val="00F1150D"/>
    <w:rsid w:val="00F118C5"/>
    <w:rsid w:val="00F123E0"/>
    <w:rsid w:val="00F124B5"/>
    <w:rsid w:val="00F12E5A"/>
    <w:rsid w:val="00F13574"/>
    <w:rsid w:val="00F13793"/>
    <w:rsid w:val="00F145B7"/>
    <w:rsid w:val="00F14D4F"/>
    <w:rsid w:val="00F1511B"/>
    <w:rsid w:val="00F15164"/>
    <w:rsid w:val="00F159F3"/>
    <w:rsid w:val="00F15F41"/>
    <w:rsid w:val="00F163D0"/>
    <w:rsid w:val="00F16C85"/>
    <w:rsid w:val="00F16CED"/>
    <w:rsid w:val="00F16E07"/>
    <w:rsid w:val="00F17358"/>
    <w:rsid w:val="00F17B21"/>
    <w:rsid w:val="00F17D30"/>
    <w:rsid w:val="00F20054"/>
    <w:rsid w:val="00F20775"/>
    <w:rsid w:val="00F20ECE"/>
    <w:rsid w:val="00F215D4"/>
    <w:rsid w:val="00F231B9"/>
    <w:rsid w:val="00F23836"/>
    <w:rsid w:val="00F24003"/>
    <w:rsid w:val="00F24353"/>
    <w:rsid w:val="00F244F0"/>
    <w:rsid w:val="00F249DC"/>
    <w:rsid w:val="00F24ADB"/>
    <w:rsid w:val="00F24B85"/>
    <w:rsid w:val="00F25EA9"/>
    <w:rsid w:val="00F2698A"/>
    <w:rsid w:val="00F26D01"/>
    <w:rsid w:val="00F274F6"/>
    <w:rsid w:val="00F27F27"/>
    <w:rsid w:val="00F3005A"/>
    <w:rsid w:val="00F3008E"/>
    <w:rsid w:val="00F3016A"/>
    <w:rsid w:val="00F310D7"/>
    <w:rsid w:val="00F313DE"/>
    <w:rsid w:val="00F31951"/>
    <w:rsid w:val="00F31E31"/>
    <w:rsid w:val="00F322AB"/>
    <w:rsid w:val="00F327C8"/>
    <w:rsid w:val="00F329CA"/>
    <w:rsid w:val="00F32AD8"/>
    <w:rsid w:val="00F33787"/>
    <w:rsid w:val="00F339F4"/>
    <w:rsid w:val="00F34B78"/>
    <w:rsid w:val="00F34F1C"/>
    <w:rsid w:val="00F37308"/>
    <w:rsid w:val="00F3770C"/>
    <w:rsid w:val="00F37E53"/>
    <w:rsid w:val="00F408F0"/>
    <w:rsid w:val="00F409AE"/>
    <w:rsid w:val="00F40CE8"/>
    <w:rsid w:val="00F41292"/>
    <w:rsid w:val="00F4155E"/>
    <w:rsid w:val="00F41561"/>
    <w:rsid w:val="00F41E4F"/>
    <w:rsid w:val="00F42090"/>
    <w:rsid w:val="00F4229D"/>
    <w:rsid w:val="00F43038"/>
    <w:rsid w:val="00F431CB"/>
    <w:rsid w:val="00F43394"/>
    <w:rsid w:val="00F43955"/>
    <w:rsid w:val="00F44155"/>
    <w:rsid w:val="00F44931"/>
    <w:rsid w:val="00F44A98"/>
    <w:rsid w:val="00F44DFE"/>
    <w:rsid w:val="00F44F6D"/>
    <w:rsid w:val="00F455BD"/>
    <w:rsid w:val="00F457FA"/>
    <w:rsid w:val="00F45873"/>
    <w:rsid w:val="00F5025D"/>
    <w:rsid w:val="00F510BE"/>
    <w:rsid w:val="00F51380"/>
    <w:rsid w:val="00F519C9"/>
    <w:rsid w:val="00F51E2F"/>
    <w:rsid w:val="00F51EBE"/>
    <w:rsid w:val="00F521F9"/>
    <w:rsid w:val="00F5389C"/>
    <w:rsid w:val="00F54106"/>
    <w:rsid w:val="00F543EF"/>
    <w:rsid w:val="00F5491A"/>
    <w:rsid w:val="00F55082"/>
    <w:rsid w:val="00F56439"/>
    <w:rsid w:val="00F565DD"/>
    <w:rsid w:val="00F5692E"/>
    <w:rsid w:val="00F56C40"/>
    <w:rsid w:val="00F57454"/>
    <w:rsid w:val="00F575AB"/>
    <w:rsid w:val="00F57AC9"/>
    <w:rsid w:val="00F57F8F"/>
    <w:rsid w:val="00F60990"/>
    <w:rsid w:val="00F60E31"/>
    <w:rsid w:val="00F61845"/>
    <w:rsid w:val="00F62468"/>
    <w:rsid w:val="00F62A7F"/>
    <w:rsid w:val="00F62D76"/>
    <w:rsid w:val="00F62F4C"/>
    <w:rsid w:val="00F64253"/>
    <w:rsid w:val="00F64888"/>
    <w:rsid w:val="00F6503C"/>
    <w:rsid w:val="00F655B2"/>
    <w:rsid w:val="00F6642A"/>
    <w:rsid w:val="00F66AA5"/>
    <w:rsid w:val="00F66E9A"/>
    <w:rsid w:val="00F675B7"/>
    <w:rsid w:val="00F6788A"/>
    <w:rsid w:val="00F67955"/>
    <w:rsid w:val="00F67AD5"/>
    <w:rsid w:val="00F70082"/>
    <w:rsid w:val="00F706C0"/>
    <w:rsid w:val="00F70E61"/>
    <w:rsid w:val="00F711DE"/>
    <w:rsid w:val="00F7142F"/>
    <w:rsid w:val="00F71CB1"/>
    <w:rsid w:val="00F71DE2"/>
    <w:rsid w:val="00F72195"/>
    <w:rsid w:val="00F72241"/>
    <w:rsid w:val="00F72C2F"/>
    <w:rsid w:val="00F72E54"/>
    <w:rsid w:val="00F73208"/>
    <w:rsid w:val="00F736BC"/>
    <w:rsid w:val="00F74742"/>
    <w:rsid w:val="00F749D9"/>
    <w:rsid w:val="00F74B13"/>
    <w:rsid w:val="00F74BC4"/>
    <w:rsid w:val="00F7531B"/>
    <w:rsid w:val="00F75A10"/>
    <w:rsid w:val="00F75C8C"/>
    <w:rsid w:val="00F75F09"/>
    <w:rsid w:val="00F76ABF"/>
    <w:rsid w:val="00F77825"/>
    <w:rsid w:val="00F77CE2"/>
    <w:rsid w:val="00F810C0"/>
    <w:rsid w:val="00F8164F"/>
    <w:rsid w:val="00F81756"/>
    <w:rsid w:val="00F81819"/>
    <w:rsid w:val="00F81E6E"/>
    <w:rsid w:val="00F81F98"/>
    <w:rsid w:val="00F82135"/>
    <w:rsid w:val="00F8275C"/>
    <w:rsid w:val="00F82A51"/>
    <w:rsid w:val="00F82AE5"/>
    <w:rsid w:val="00F83D9B"/>
    <w:rsid w:val="00F84732"/>
    <w:rsid w:val="00F848C8"/>
    <w:rsid w:val="00F84B54"/>
    <w:rsid w:val="00F84C8B"/>
    <w:rsid w:val="00F84F7D"/>
    <w:rsid w:val="00F85106"/>
    <w:rsid w:val="00F851AB"/>
    <w:rsid w:val="00F85514"/>
    <w:rsid w:val="00F855F5"/>
    <w:rsid w:val="00F860F7"/>
    <w:rsid w:val="00F87081"/>
    <w:rsid w:val="00F876EA"/>
    <w:rsid w:val="00F8777C"/>
    <w:rsid w:val="00F90009"/>
    <w:rsid w:val="00F90BCD"/>
    <w:rsid w:val="00F90CA8"/>
    <w:rsid w:val="00F91476"/>
    <w:rsid w:val="00F91496"/>
    <w:rsid w:val="00F9165E"/>
    <w:rsid w:val="00F91D7C"/>
    <w:rsid w:val="00F92B6B"/>
    <w:rsid w:val="00F92D6D"/>
    <w:rsid w:val="00F93309"/>
    <w:rsid w:val="00F94367"/>
    <w:rsid w:val="00F950A2"/>
    <w:rsid w:val="00F95BDB"/>
    <w:rsid w:val="00F96E44"/>
    <w:rsid w:val="00F97632"/>
    <w:rsid w:val="00F9782F"/>
    <w:rsid w:val="00F97FE7"/>
    <w:rsid w:val="00FA01F9"/>
    <w:rsid w:val="00FA0F77"/>
    <w:rsid w:val="00FA1344"/>
    <w:rsid w:val="00FA1F8C"/>
    <w:rsid w:val="00FA2296"/>
    <w:rsid w:val="00FA26F6"/>
    <w:rsid w:val="00FA2B7B"/>
    <w:rsid w:val="00FA2BF8"/>
    <w:rsid w:val="00FA2C63"/>
    <w:rsid w:val="00FA37C9"/>
    <w:rsid w:val="00FA398E"/>
    <w:rsid w:val="00FA404A"/>
    <w:rsid w:val="00FA4613"/>
    <w:rsid w:val="00FA521A"/>
    <w:rsid w:val="00FA526F"/>
    <w:rsid w:val="00FA5F95"/>
    <w:rsid w:val="00FA74AF"/>
    <w:rsid w:val="00FB00F4"/>
    <w:rsid w:val="00FB0173"/>
    <w:rsid w:val="00FB0223"/>
    <w:rsid w:val="00FB053E"/>
    <w:rsid w:val="00FB0B18"/>
    <w:rsid w:val="00FB1707"/>
    <w:rsid w:val="00FB199C"/>
    <w:rsid w:val="00FB1B8E"/>
    <w:rsid w:val="00FB1EFC"/>
    <w:rsid w:val="00FB3068"/>
    <w:rsid w:val="00FB3353"/>
    <w:rsid w:val="00FB348D"/>
    <w:rsid w:val="00FB389A"/>
    <w:rsid w:val="00FB3F08"/>
    <w:rsid w:val="00FB454B"/>
    <w:rsid w:val="00FB47C0"/>
    <w:rsid w:val="00FB4991"/>
    <w:rsid w:val="00FB4E54"/>
    <w:rsid w:val="00FB5103"/>
    <w:rsid w:val="00FB6A70"/>
    <w:rsid w:val="00FB6AD2"/>
    <w:rsid w:val="00FB6DF2"/>
    <w:rsid w:val="00FB7933"/>
    <w:rsid w:val="00FC02A9"/>
    <w:rsid w:val="00FC06D1"/>
    <w:rsid w:val="00FC0B45"/>
    <w:rsid w:val="00FC14ED"/>
    <w:rsid w:val="00FC1E3F"/>
    <w:rsid w:val="00FC270A"/>
    <w:rsid w:val="00FC27E4"/>
    <w:rsid w:val="00FC2B36"/>
    <w:rsid w:val="00FC2C3E"/>
    <w:rsid w:val="00FC31C6"/>
    <w:rsid w:val="00FC326A"/>
    <w:rsid w:val="00FC3C66"/>
    <w:rsid w:val="00FC3D9A"/>
    <w:rsid w:val="00FC3F40"/>
    <w:rsid w:val="00FC4139"/>
    <w:rsid w:val="00FC434B"/>
    <w:rsid w:val="00FC440E"/>
    <w:rsid w:val="00FC4845"/>
    <w:rsid w:val="00FC48BC"/>
    <w:rsid w:val="00FC5539"/>
    <w:rsid w:val="00FC5DDC"/>
    <w:rsid w:val="00FC5DE7"/>
    <w:rsid w:val="00FC63C4"/>
    <w:rsid w:val="00FC65FE"/>
    <w:rsid w:val="00FC66AB"/>
    <w:rsid w:val="00FC6CBF"/>
    <w:rsid w:val="00FC7071"/>
    <w:rsid w:val="00FC716F"/>
    <w:rsid w:val="00FC755F"/>
    <w:rsid w:val="00FC76D7"/>
    <w:rsid w:val="00FD0315"/>
    <w:rsid w:val="00FD07AB"/>
    <w:rsid w:val="00FD0EF3"/>
    <w:rsid w:val="00FD13AA"/>
    <w:rsid w:val="00FD19CC"/>
    <w:rsid w:val="00FD3944"/>
    <w:rsid w:val="00FD3A52"/>
    <w:rsid w:val="00FD3AD6"/>
    <w:rsid w:val="00FD411B"/>
    <w:rsid w:val="00FD413B"/>
    <w:rsid w:val="00FD52B2"/>
    <w:rsid w:val="00FD6006"/>
    <w:rsid w:val="00FD6057"/>
    <w:rsid w:val="00FD675A"/>
    <w:rsid w:val="00FD78FD"/>
    <w:rsid w:val="00FD7984"/>
    <w:rsid w:val="00FE0907"/>
    <w:rsid w:val="00FE09C9"/>
    <w:rsid w:val="00FE0EE6"/>
    <w:rsid w:val="00FE0FD0"/>
    <w:rsid w:val="00FE137A"/>
    <w:rsid w:val="00FE1D33"/>
    <w:rsid w:val="00FE1EC1"/>
    <w:rsid w:val="00FE261A"/>
    <w:rsid w:val="00FE2825"/>
    <w:rsid w:val="00FE320D"/>
    <w:rsid w:val="00FE3B22"/>
    <w:rsid w:val="00FE3F64"/>
    <w:rsid w:val="00FE4149"/>
    <w:rsid w:val="00FE4EC8"/>
    <w:rsid w:val="00FE76D3"/>
    <w:rsid w:val="00FF032B"/>
    <w:rsid w:val="00FF0A33"/>
    <w:rsid w:val="00FF1664"/>
    <w:rsid w:val="00FF20E3"/>
    <w:rsid w:val="00FF2343"/>
    <w:rsid w:val="00FF2A4E"/>
    <w:rsid w:val="00FF2E83"/>
    <w:rsid w:val="00FF2ED1"/>
    <w:rsid w:val="00FF31FA"/>
    <w:rsid w:val="00FF3F21"/>
    <w:rsid w:val="00FF4775"/>
    <w:rsid w:val="00FF4C6A"/>
    <w:rsid w:val="00FF63C9"/>
    <w:rsid w:val="00FF6F84"/>
    <w:rsid w:val="00FF7006"/>
    <w:rsid w:val="00FF79DD"/>
    <w:rsid w:val="012EE3E0"/>
    <w:rsid w:val="02311E88"/>
    <w:rsid w:val="026DD566"/>
    <w:rsid w:val="033F9D03"/>
    <w:rsid w:val="0342F985"/>
    <w:rsid w:val="0447C884"/>
    <w:rsid w:val="04BAA40C"/>
    <w:rsid w:val="04F241A5"/>
    <w:rsid w:val="05385AA3"/>
    <w:rsid w:val="054C4F76"/>
    <w:rsid w:val="05954600"/>
    <w:rsid w:val="05962243"/>
    <w:rsid w:val="0646D7A8"/>
    <w:rsid w:val="064C88BB"/>
    <w:rsid w:val="069F4A6E"/>
    <w:rsid w:val="06E24F19"/>
    <w:rsid w:val="06E2D303"/>
    <w:rsid w:val="074420C4"/>
    <w:rsid w:val="0772CF54"/>
    <w:rsid w:val="077E10B6"/>
    <w:rsid w:val="07A36CEA"/>
    <w:rsid w:val="07BC4544"/>
    <w:rsid w:val="07DED624"/>
    <w:rsid w:val="07F2012A"/>
    <w:rsid w:val="08066EC1"/>
    <w:rsid w:val="08D71F8D"/>
    <w:rsid w:val="08DC6482"/>
    <w:rsid w:val="08E32AAF"/>
    <w:rsid w:val="091A01DC"/>
    <w:rsid w:val="097790E6"/>
    <w:rsid w:val="09BED8FE"/>
    <w:rsid w:val="09E63399"/>
    <w:rsid w:val="0A07A428"/>
    <w:rsid w:val="0A305374"/>
    <w:rsid w:val="0A6973F2"/>
    <w:rsid w:val="0B3E0467"/>
    <w:rsid w:val="0B5B8EBC"/>
    <w:rsid w:val="0BBBCE5F"/>
    <w:rsid w:val="0BF98636"/>
    <w:rsid w:val="0D3BF93B"/>
    <w:rsid w:val="0D61E791"/>
    <w:rsid w:val="0E2316F2"/>
    <w:rsid w:val="0E590178"/>
    <w:rsid w:val="0E80D499"/>
    <w:rsid w:val="0EBE390E"/>
    <w:rsid w:val="0ED8ED83"/>
    <w:rsid w:val="0F1B01B1"/>
    <w:rsid w:val="0F420BFE"/>
    <w:rsid w:val="0F580FAB"/>
    <w:rsid w:val="0FFE64E8"/>
    <w:rsid w:val="102682F3"/>
    <w:rsid w:val="103410E8"/>
    <w:rsid w:val="115A1D8A"/>
    <w:rsid w:val="11E92FB4"/>
    <w:rsid w:val="1229CE00"/>
    <w:rsid w:val="123E32D4"/>
    <w:rsid w:val="12779C1C"/>
    <w:rsid w:val="12DF947C"/>
    <w:rsid w:val="131D3D00"/>
    <w:rsid w:val="1333CF97"/>
    <w:rsid w:val="13487F35"/>
    <w:rsid w:val="134BBCDC"/>
    <w:rsid w:val="13A4967A"/>
    <w:rsid w:val="13B79126"/>
    <w:rsid w:val="143FA44E"/>
    <w:rsid w:val="145DE0D8"/>
    <w:rsid w:val="14E2EC95"/>
    <w:rsid w:val="15A5E993"/>
    <w:rsid w:val="16327E3D"/>
    <w:rsid w:val="167B7EC2"/>
    <w:rsid w:val="16D98EF1"/>
    <w:rsid w:val="17055593"/>
    <w:rsid w:val="1724A106"/>
    <w:rsid w:val="174615A0"/>
    <w:rsid w:val="17BD61B7"/>
    <w:rsid w:val="17EB2531"/>
    <w:rsid w:val="18071652"/>
    <w:rsid w:val="18647229"/>
    <w:rsid w:val="18BF9A30"/>
    <w:rsid w:val="1903259B"/>
    <w:rsid w:val="1905E455"/>
    <w:rsid w:val="1917B733"/>
    <w:rsid w:val="1942E583"/>
    <w:rsid w:val="197D4B39"/>
    <w:rsid w:val="19A15B75"/>
    <w:rsid w:val="19BE8860"/>
    <w:rsid w:val="19ED2E5C"/>
    <w:rsid w:val="1A28399E"/>
    <w:rsid w:val="1A81AC72"/>
    <w:rsid w:val="1AD52A6E"/>
    <w:rsid w:val="1AFACCB4"/>
    <w:rsid w:val="1B29F7EB"/>
    <w:rsid w:val="1B3770D1"/>
    <w:rsid w:val="1B9F91AC"/>
    <w:rsid w:val="1BA5A18C"/>
    <w:rsid w:val="1BBC41EB"/>
    <w:rsid w:val="1C2D2722"/>
    <w:rsid w:val="1C3DDF40"/>
    <w:rsid w:val="1C5C2D5E"/>
    <w:rsid w:val="1C622EB4"/>
    <w:rsid w:val="1C83D6A0"/>
    <w:rsid w:val="1CD2543E"/>
    <w:rsid w:val="1CE18A48"/>
    <w:rsid w:val="1D5D7F09"/>
    <w:rsid w:val="1DACAFB2"/>
    <w:rsid w:val="1DCC470E"/>
    <w:rsid w:val="1E13BF9C"/>
    <w:rsid w:val="1E655E1F"/>
    <w:rsid w:val="1EC32CA5"/>
    <w:rsid w:val="1F08FDF2"/>
    <w:rsid w:val="1F96949C"/>
    <w:rsid w:val="1FBD7313"/>
    <w:rsid w:val="1FE4C62B"/>
    <w:rsid w:val="200BB14D"/>
    <w:rsid w:val="201C6F5D"/>
    <w:rsid w:val="20669200"/>
    <w:rsid w:val="20BA6C8A"/>
    <w:rsid w:val="211D5DD0"/>
    <w:rsid w:val="229D44A5"/>
    <w:rsid w:val="2333F97E"/>
    <w:rsid w:val="2381D93B"/>
    <w:rsid w:val="2386F3D3"/>
    <w:rsid w:val="2390B70A"/>
    <w:rsid w:val="2392A65C"/>
    <w:rsid w:val="23B4E0C8"/>
    <w:rsid w:val="23C429A4"/>
    <w:rsid w:val="250B1BA7"/>
    <w:rsid w:val="253A00C4"/>
    <w:rsid w:val="25413B97"/>
    <w:rsid w:val="259DFB6E"/>
    <w:rsid w:val="26675DE2"/>
    <w:rsid w:val="26867F9C"/>
    <w:rsid w:val="26C0F3FA"/>
    <w:rsid w:val="2718856C"/>
    <w:rsid w:val="2730EA70"/>
    <w:rsid w:val="2768AF0C"/>
    <w:rsid w:val="279A41AB"/>
    <w:rsid w:val="27C95528"/>
    <w:rsid w:val="28725F28"/>
    <w:rsid w:val="287C07D0"/>
    <w:rsid w:val="28A29081"/>
    <w:rsid w:val="290C3962"/>
    <w:rsid w:val="29AB980E"/>
    <w:rsid w:val="2A00F1D0"/>
    <w:rsid w:val="2A0C4B35"/>
    <w:rsid w:val="2A312C40"/>
    <w:rsid w:val="2A3581D0"/>
    <w:rsid w:val="2A6F5834"/>
    <w:rsid w:val="2A99ADC0"/>
    <w:rsid w:val="2AE9E4BB"/>
    <w:rsid w:val="2B74584E"/>
    <w:rsid w:val="2B8A9986"/>
    <w:rsid w:val="2B9AC360"/>
    <w:rsid w:val="2BE7DC75"/>
    <w:rsid w:val="2BF578BB"/>
    <w:rsid w:val="2C072AA9"/>
    <w:rsid w:val="2C413EF5"/>
    <w:rsid w:val="2C45256E"/>
    <w:rsid w:val="2C8D210C"/>
    <w:rsid w:val="2CC67ED4"/>
    <w:rsid w:val="2CD9720C"/>
    <w:rsid w:val="2D0805F4"/>
    <w:rsid w:val="2E07B1D9"/>
    <w:rsid w:val="2F0FE3B3"/>
    <w:rsid w:val="2F402709"/>
    <w:rsid w:val="2F52EDCC"/>
    <w:rsid w:val="2F7B92C4"/>
    <w:rsid w:val="2F9C2B3C"/>
    <w:rsid w:val="2FC22298"/>
    <w:rsid w:val="3009A2F2"/>
    <w:rsid w:val="30219143"/>
    <w:rsid w:val="30EB0D80"/>
    <w:rsid w:val="3137FFDA"/>
    <w:rsid w:val="313CC04F"/>
    <w:rsid w:val="31751326"/>
    <w:rsid w:val="31DC55CE"/>
    <w:rsid w:val="31F3CD8D"/>
    <w:rsid w:val="3224897A"/>
    <w:rsid w:val="3225D1BF"/>
    <w:rsid w:val="3242035B"/>
    <w:rsid w:val="32ADF044"/>
    <w:rsid w:val="32CC795A"/>
    <w:rsid w:val="33049EBD"/>
    <w:rsid w:val="33181233"/>
    <w:rsid w:val="331980EB"/>
    <w:rsid w:val="3336D570"/>
    <w:rsid w:val="33525977"/>
    <w:rsid w:val="335497C5"/>
    <w:rsid w:val="33624020"/>
    <w:rsid w:val="3391F5C6"/>
    <w:rsid w:val="33A26EA9"/>
    <w:rsid w:val="33FDC558"/>
    <w:rsid w:val="343ECC02"/>
    <w:rsid w:val="347F833A"/>
    <w:rsid w:val="347FA467"/>
    <w:rsid w:val="35603855"/>
    <w:rsid w:val="35852E02"/>
    <w:rsid w:val="36350B46"/>
    <w:rsid w:val="36CBF2CD"/>
    <w:rsid w:val="36FE9F2A"/>
    <w:rsid w:val="37061C0D"/>
    <w:rsid w:val="37EB0829"/>
    <w:rsid w:val="3850348F"/>
    <w:rsid w:val="38B4F16B"/>
    <w:rsid w:val="38EF7D26"/>
    <w:rsid w:val="390B7B4A"/>
    <w:rsid w:val="395745ED"/>
    <w:rsid w:val="39FBD74D"/>
    <w:rsid w:val="3A49E8B2"/>
    <w:rsid w:val="3A6CFF64"/>
    <w:rsid w:val="3A7A476B"/>
    <w:rsid w:val="3A846053"/>
    <w:rsid w:val="3AF99922"/>
    <w:rsid w:val="3B4EBB7F"/>
    <w:rsid w:val="3B8D0119"/>
    <w:rsid w:val="3C08F659"/>
    <w:rsid w:val="3C2EA369"/>
    <w:rsid w:val="3C9E34C1"/>
    <w:rsid w:val="3CBDA912"/>
    <w:rsid w:val="3D05B51B"/>
    <w:rsid w:val="3D1C687F"/>
    <w:rsid w:val="3D358186"/>
    <w:rsid w:val="3D7F9ECF"/>
    <w:rsid w:val="3E0FD510"/>
    <w:rsid w:val="3E281D49"/>
    <w:rsid w:val="3E338CD7"/>
    <w:rsid w:val="3E5FA425"/>
    <w:rsid w:val="3EE1FB5C"/>
    <w:rsid w:val="3EE4EFC0"/>
    <w:rsid w:val="3F3162E7"/>
    <w:rsid w:val="3F8687C4"/>
    <w:rsid w:val="3FB384CE"/>
    <w:rsid w:val="3FB8B451"/>
    <w:rsid w:val="4000E1B6"/>
    <w:rsid w:val="40371BAE"/>
    <w:rsid w:val="4046F6FA"/>
    <w:rsid w:val="40A2C6A8"/>
    <w:rsid w:val="41618953"/>
    <w:rsid w:val="41B27462"/>
    <w:rsid w:val="41D57C2D"/>
    <w:rsid w:val="41F41101"/>
    <w:rsid w:val="4234BCD4"/>
    <w:rsid w:val="4276B30C"/>
    <w:rsid w:val="42B87798"/>
    <w:rsid w:val="43327C50"/>
    <w:rsid w:val="4342A799"/>
    <w:rsid w:val="43558AC9"/>
    <w:rsid w:val="43781E25"/>
    <w:rsid w:val="438B64F8"/>
    <w:rsid w:val="43A6D762"/>
    <w:rsid w:val="43B7F088"/>
    <w:rsid w:val="4417F13D"/>
    <w:rsid w:val="442D147C"/>
    <w:rsid w:val="444C7397"/>
    <w:rsid w:val="447D2446"/>
    <w:rsid w:val="44A9C5A7"/>
    <w:rsid w:val="44D3298B"/>
    <w:rsid w:val="44D96A0E"/>
    <w:rsid w:val="45417B3B"/>
    <w:rsid w:val="45A21354"/>
    <w:rsid w:val="45BB794E"/>
    <w:rsid w:val="45E7B5A9"/>
    <w:rsid w:val="45FA0022"/>
    <w:rsid w:val="46094256"/>
    <w:rsid w:val="46263B00"/>
    <w:rsid w:val="4647E3B4"/>
    <w:rsid w:val="4727FEB5"/>
    <w:rsid w:val="47421434"/>
    <w:rsid w:val="47579D9A"/>
    <w:rsid w:val="47891B49"/>
    <w:rsid w:val="47BE2579"/>
    <w:rsid w:val="47CEEB12"/>
    <w:rsid w:val="47E53A54"/>
    <w:rsid w:val="48B518D7"/>
    <w:rsid w:val="48C0EF29"/>
    <w:rsid w:val="4934EFF2"/>
    <w:rsid w:val="496B9917"/>
    <w:rsid w:val="49A0273F"/>
    <w:rsid w:val="49D4222F"/>
    <w:rsid w:val="4AF672EB"/>
    <w:rsid w:val="4B5B0BEB"/>
    <w:rsid w:val="4BA15C28"/>
    <w:rsid w:val="4C4AC7E1"/>
    <w:rsid w:val="4C4D7639"/>
    <w:rsid w:val="4CC94C8B"/>
    <w:rsid w:val="4D0861BC"/>
    <w:rsid w:val="4D3BE396"/>
    <w:rsid w:val="4D402DDC"/>
    <w:rsid w:val="4D4154AC"/>
    <w:rsid w:val="4D5D3A9D"/>
    <w:rsid w:val="4DA6AAE5"/>
    <w:rsid w:val="4DAA3AEB"/>
    <w:rsid w:val="4DCC15B9"/>
    <w:rsid w:val="4E2F3AC4"/>
    <w:rsid w:val="4E688BF4"/>
    <w:rsid w:val="4E8F137F"/>
    <w:rsid w:val="4EE2928C"/>
    <w:rsid w:val="4EEF71F1"/>
    <w:rsid w:val="4F6EC837"/>
    <w:rsid w:val="4FB0E8BD"/>
    <w:rsid w:val="4FB9C208"/>
    <w:rsid w:val="4FC78915"/>
    <w:rsid w:val="50009DB1"/>
    <w:rsid w:val="50079FA9"/>
    <w:rsid w:val="51027239"/>
    <w:rsid w:val="518BB7FA"/>
    <w:rsid w:val="51AFCBD7"/>
    <w:rsid w:val="52F05191"/>
    <w:rsid w:val="533ADF33"/>
    <w:rsid w:val="5380327A"/>
    <w:rsid w:val="5399F6D6"/>
    <w:rsid w:val="539BA444"/>
    <w:rsid w:val="53E1BAC4"/>
    <w:rsid w:val="53ED346D"/>
    <w:rsid w:val="53FA7067"/>
    <w:rsid w:val="5407A560"/>
    <w:rsid w:val="54363284"/>
    <w:rsid w:val="545A39D6"/>
    <w:rsid w:val="54C4A431"/>
    <w:rsid w:val="54CF94DD"/>
    <w:rsid w:val="551A094F"/>
    <w:rsid w:val="55B0AB8A"/>
    <w:rsid w:val="55C29AD7"/>
    <w:rsid w:val="55F4B0D0"/>
    <w:rsid w:val="56268B69"/>
    <w:rsid w:val="5683C9B8"/>
    <w:rsid w:val="5688CEF4"/>
    <w:rsid w:val="56D6F3D8"/>
    <w:rsid w:val="576178FE"/>
    <w:rsid w:val="576668A3"/>
    <w:rsid w:val="576C536F"/>
    <w:rsid w:val="57E33388"/>
    <w:rsid w:val="5854CA20"/>
    <w:rsid w:val="58EA6D61"/>
    <w:rsid w:val="58F08168"/>
    <w:rsid w:val="5944A7BB"/>
    <w:rsid w:val="596BECF1"/>
    <w:rsid w:val="596F15C3"/>
    <w:rsid w:val="5A4D3C7B"/>
    <w:rsid w:val="5A5C657C"/>
    <w:rsid w:val="5A94F27B"/>
    <w:rsid w:val="5AB4690F"/>
    <w:rsid w:val="5ACBBB86"/>
    <w:rsid w:val="5B2EEB30"/>
    <w:rsid w:val="5BD4E17C"/>
    <w:rsid w:val="5C0D51B1"/>
    <w:rsid w:val="5C837027"/>
    <w:rsid w:val="5CCDC12D"/>
    <w:rsid w:val="5D37B18F"/>
    <w:rsid w:val="5D723899"/>
    <w:rsid w:val="5D9E7539"/>
    <w:rsid w:val="5DA4F01A"/>
    <w:rsid w:val="5DD69489"/>
    <w:rsid w:val="5DDDF151"/>
    <w:rsid w:val="5DE401DB"/>
    <w:rsid w:val="5DEA289F"/>
    <w:rsid w:val="5DEACD6E"/>
    <w:rsid w:val="5E563D93"/>
    <w:rsid w:val="5E6537A4"/>
    <w:rsid w:val="5E6EB734"/>
    <w:rsid w:val="5EBAF61C"/>
    <w:rsid w:val="5EDA2BBD"/>
    <w:rsid w:val="5EF60A1F"/>
    <w:rsid w:val="5FC54DA5"/>
    <w:rsid w:val="607B83C4"/>
    <w:rsid w:val="607EFC1C"/>
    <w:rsid w:val="607FB9B8"/>
    <w:rsid w:val="608995E7"/>
    <w:rsid w:val="611FAC9C"/>
    <w:rsid w:val="612E7A9F"/>
    <w:rsid w:val="6141CCFC"/>
    <w:rsid w:val="614E96B8"/>
    <w:rsid w:val="61CC6926"/>
    <w:rsid w:val="6231A331"/>
    <w:rsid w:val="63120608"/>
    <w:rsid w:val="6376E109"/>
    <w:rsid w:val="639A8D47"/>
    <w:rsid w:val="63B0C24A"/>
    <w:rsid w:val="63CE2FC2"/>
    <w:rsid w:val="63E2EC96"/>
    <w:rsid w:val="644AC77F"/>
    <w:rsid w:val="64603D3B"/>
    <w:rsid w:val="6480219C"/>
    <w:rsid w:val="6480B842"/>
    <w:rsid w:val="64ADE574"/>
    <w:rsid w:val="64B835D6"/>
    <w:rsid w:val="64D6FEE6"/>
    <w:rsid w:val="64D8021A"/>
    <w:rsid w:val="64F5D61D"/>
    <w:rsid w:val="64F76CE9"/>
    <w:rsid w:val="65833C6A"/>
    <w:rsid w:val="65AF8083"/>
    <w:rsid w:val="65CDA894"/>
    <w:rsid w:val="661B9BD7"/>
    <w:rsid w:val="664688AF"/>
    <w:rsid w:val="665C2843"/>
    <w:rsid w:val="672415E1"/>
    <w:rsid w:val="67268272"/>
    <w:rsid w:val="67C2C8DE"/>
    <w:rsid w:val="67EE5DDD"/>
    <w:rsid w:val="67FC1323"/>
    <w:rsid w:val="68781B99"/>
    <w:rsid w:val="68A4052A"/>
    <w:rsid w:val="68DA9861"/>
    <w:rsid w:val="68F42BF1"/>
    <w:rsid w:val="68F66453"/>
    <w:rsid w:val="69E90F2A"/>
    <w:rsid w:val="6A0C9B93"/>
    <w:rsid w:val="6A247D49"/>
    <w:rsid w:val="6AA2BBDD"/>
    <w:rsid w:val="6AAD4C77"/>
    <w:rsid w:val="6AECC6C4"/>
    <w:rsid w:val="6AF4CF08"/>
    <w:rsid w:val="6B2A2DA4"/>
    <w:rsid w:val="6B47F5E1"/>
    <w:rsid w:val="6B7B207C"/>
    <w:rsid w:val="6BC2A428"/>
    <w:rsid w:val="6BEFEB7A"/>
    <w:rsid w:val="6C1588F2"/>
    <w:rsid w:val="6C1903B2"/>
    <w:rsid w:val="6D3CAD75"/>
    <w:rsid w:val="6D4DE6BA"/>
    <w:rsid w:val="6D6F9566"/>
    <w:rsid w:val="6DC9E06F"/>
    <w:rsid w:val="6DCC126B"/>
    <w:rsid w:val="6DCFE9F7"/>
    <w:rsid w:val="6DD82161"/>
    <w:rsid w:val="6E5EAC69"/>
    <w:rsid w:val="6F0C7E0B"/>
    <w:rsid w:val="6F8A039A"/>
    <w:rsid w:val="6FCDB057"/>
    <w:rsid w:val="6FF56176"/>
    <w:rsid w:val="708F82F1"/>
    <w:rsid w:val="70C5A9FA"/>
    <w:rsid w:val="70E0A426"/>
    <w:rsid w:val="712317A5"/>
    <w:rsid w:val="712D1458"/>
    <w:rsid w:val="714B3639"/>
    <w:rsid w:val="71790DB2"/>
    <w:rsid w:val="71A8E826"/>
    <w:rsid w:val="72CA4B8E"/>
    <w:rsid w:val="73268A2C"/>
    <w:rsid w:val="735570FF"/>
    <w:rsid w:val="739434D7"/>
    <w:rsid w:val="73B8047F"/>
    <w:rsid w:val="74017EA4"/>
    <w:rsid w:val="7409FB84"/>
    <w:rsid w:val="7439B5CB"/>
    <w:rsid w:val="743EC040"/>
    <w:rsid w:val="74444C96"/>
    <w:rsid w:val="7473C07F"/>
    <w:rsid w:val="749AAB6A"/>
    <w:rsid w:val="74EA6141"/>
    <w:rsid w:val="761E2ECE"/>
    <w:rsid w:val="7654E064"/>
    <w:rsid w:val="77587720"/>
    <w:rsid w:val="778F1DE5"/>
    <w:rsid w:val="77DF057E"/>
    <w:rsid w:val="77E06621"/>
    <w:rsid w:val="77E1B1CE"/>
    <w:rsid w:val="77EEBCAA"/>
    <w:rsid w:val="781C6076"/>
    <w:rsid w:val="7824EE40"/>
    <w:rsid w:val="78B957EC"/>
    <w:rsid w:val="78D0A4B3"/>
    <w:rsid w:val="78DDA443"/>
    <w:rsid w:val="78DFDD35"/>
    <w:rsid w:val="78E868F3"/>
    <w:rsid w:val="78F878E3"/>
    <w:rsid w:val="7A02A0AB"/>
    <w:rsid w:val="7A3C41F8"/>
    <w:rsid w:val="7A964D1E"/>
    <w:rsid w:val="7ABE00E7"/>
    <w:rsid w:val="7AEFCFAA"/>
    <w:rsid w:val="7AF864FB"/>
    <w:rsid w:val="7B64E807"/>
    <w:rsid w:val="7B8A99BF"/>
    <w:rsid w:val="7B9EF9C6"/>
    <w:rsid w:val="7BBCBD8A"/>
    <w:rsid w:val="7BDBFB2D"/>
    <w:rsid w:val="7C3451E5"/>
    <w:rsid w:val="7C3E0A8A"/>
    <w:rsid w:val="7C618683"/>
    <w:rsid w:val="7CCCE072"/>
    <w:rsid w:val="7CF89FFF"/>
    <w:rsid w:val="7D36CDFF"/>
    <w:rsid w:val="7D75F350"/>
    <w:rsid w:val="7D7C80A0"/>
    <w:rsid w:val="7D8F2C44"/>
    <w:rsid w:val="7E3432E9"/>
    <w:rsid w:val="7E4D5CF9"/>
    <w:rsid w:val="7E733A11"/>
    <w:rsid w:val="7FDDEF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1761"/>
  <w15:chartTrackingRefBased/>
  <w15:docId w15:val="{F0BC1E16-0011-4FDE-AB96-494AD9A5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B1F"/>
  </w:style>
  <w:style w:type="paragraph" w:styleId="Heading1">
    <w:name w:val="heading 1"/>
    <w:basedOn w:val="Normal"/>
    <w:next w:val="Normal"/>
    <w:link w:val="Heading1Char"/>
    <w:uiPriority w:val="9"/>
    <w:qFormat/>
    <w:rsid w:val="002D1B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68F3"/>
    <w:pPr>
      <w:keepNext/>
      <w:keepLines/>
      <w:spacing w:before="160" w:after="80"/>
      <w:outlineLvl w:val="1"/>
    </w:pPr>
    <w:rPr>
      <w:rFonts w:ascii="Arial" w:eastAsiaTheme="majorEastAsia" w:hAnsi="Arial" w:cs="Arial"/>
      <w:b/>
      <w:color w:val="11846A"/>
      <w:sz w:val="32"/>
      <w:szCs w:val="32"/>
      <w:lang w:eastAsia="en-GB"/>
    </w:rPr>
  </w:style>
  <w:style w:type="paragraph" w:styleId="Heading3">
    <w:name w:val="heading 3"/>
    <w:basedOn w:val="Normal"/>
    <w:next w:val="Normal"/>
    <w:link w:val="Heading3Char"/>
    <w:uiPriority w:val="9"/>
    <w:unhideWhenUsed/>
    <w:qFormat/>
    <w:rsid w:val="00B568F3"/>
    <w:pPr>
      <w:keepNext/>
      <w:keepLines/>
      <w:spacing w:before="160" w:after="80"/>
      <w:outlineLvl w:val="2"/>
    </w:pPr>
    <w:rPr>
      <w:rFonts w:ascii="Arial" w:eastAsiaTheme="majorEastAsia" w:hAnsi="Arial" w:cs="Arial"/>
      <w:b/>
      <w:color w:val="000000" w:themeColor="text1"/>
      <w:sz w:val="28"/>
      <w:szCs w:val="28"/>
    </w:rPr>
  </w:style>
  <w:style w:type="paragraph" w:styleId="Heading4">
    <w:name w:val="heading 4"/>
    <w:basedOn w:val="Normal"/>
    <w:next w:val="Normal"/>
    <w:link w:val="Heading4Char"/>
    <w:uiPriority w:val="9"/>
    <w:semiHidden/>
    <w:unhideWhenUsed/>
    <w:qFormat/>
    <w:rsid w:val="002D1B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B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B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B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B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B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B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568F3"/>
    <w:rPr>
      <w:rFonts w:ascii="Arial" w:eastAsiaTheme="majorEastAsia" w:hAnsi="Arial" w:cs="Arial"/>
      <w:b/>
      <w:color w:val="11846A"/>
      <w:sz w:val="32"/>
      <w:szCs w:val="32"/>
      <w:lang w:eastAsia="en-GB"/>
    </w:rPr>
  </w:style>
  <w:style w:type="character" w:customStyle="1" w:styleId="Heading3Char">
    <w:name w:val="Heading 3 Char"/>
    <w:basedOn w:val="DefaultParagraphFont"/>
    <w:link w:val="Heading3"/>
    <w:uiPriority w:val="9"/>
    <w:rsid w:val="00B568F3"/>
    <w:rPr>
      <w:rFonts w:ascii="Arial" w:eastAsiaTheme="majorEastAsia" w:hAnsi="Arial" w:cs="Arial"/>
      <w:b/>
      <w:color w:val="000000" w:themeColor="text1"/>
      <w:sz w:val="28"/>
      <w:szCs w:val="28"/>
    </w:rPr>
  </w:style>
  <w:style w:type="character" w:customStyle="1" w:styleId="Heading4Char">
    <w:name w:val="Heading 4 Char"/>
    <w:basedOn w:val="DefaultParagraphFont"/>
    <w:link w:val="Heading4"/>
    <w:uiPriority w:val="9"/>
    <w:semiHidden/>
    <w:rsid w:val="002D1B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B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B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B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B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B1F"/>
    <w:rPr>
      <w:rFonts w:eastAsiaTheme="majorEastAsia" w:cstheme="majorBidi"/>
      <w:color w:val="272727" w:themeColor="text1" w:themeTint="D8"/>
    </w:rPr>
  </w:style>
  <w:style w:type="paragraph" w:styleId="Title">
    <w:name w:val="Title"/>
    <w:basedOn w:val="Normal"/>
    <w:next w:val="Normal"/>
    <w:link w:val="TitleChar"/>
    <w:uiPriority w:val="10"/>
    <w:qFormat/>
    <w:rsid w:val="002D1B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B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B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B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B1F"/>
    <w:pPr>
      <w:spacing w:before="160"/>
      <w:jc w:val="center"/>
    </w:pPr>
    <w:rPr>
      <w:i/>
      <w:iCs/>
      <w:color w:val="404040" w:themeColor="text1" w:themeTint="BF"/>
    </w:rPr>
  </w:style>
  <w:style w:type="character" w:customStyle="1" w:styleId="QuoteChar">
    <w:name w:val="Quote Char"/>
    <w:basedOn w:val="DefaultParagraphFont"/>
    <w:link w:val="Quote"/>
    <w:uiPriority w:val="29"/>
    <w:rsid w:val="002D1B1F"/>
    <w:rPr>
      <w:i/>
      <w:iCs/>
      <w:color w:val="404040" w:themeColor="text1" w:themeTint="BF"/>
    </w:rPr>
  </w:style>
  <w:style w:type="paragraph" w:styleId="ListParagraph">
    <w:name w:val="List Paragraph"/>
    <w:aliases w:val="F5 List Paragraph,List Paragraph1,List Paragraph3,OBC Bullet,L,B,Dot pt,No Spacing1,List Paragraph Char Char Char,Indicator Text,Numbered Para 1,Bullet Points,MAIN CONTENT,Bullet 1,List Paragraph11,List Paragraph12,Colorful List - Accent"/>
    <w:basedOn w:val="Normal"/>
    <w:link w:val="ListParagraphChar"/>
    <w:uiPriority w:val="34"/>
    <w:qFormat/>
    <w:rsid w:val="002D1B1F"/>
    <w:pPr>
      <w:ind w:left="720"/>
      <w:contextualSpacing/>
    </w:pPr>
  </w:style>
  <w:style w:type="character" w:styleId="IntenseEmphasis">
    <w:name w:val="Intense Emphasis"/>
    <w:basedOn w:val="DefaultParagraphFont"/>
    <w:uiPriority w:val="21"/>
    <w:qFormat/>
    <w:rsid w:val="002D1B1F"/>
    <w:rPr>
      <w:i/>
      <w:iCs/>
      <w:color w:val="0F4761" w:themeColor="accent1" w:themeShade="BF"/>
    </w:rPr>
  </w:style>
  <w:style w:type="paragraph" w:styleId="IntenseQuote">
    <w:name w:val="Intense Quote"/>
    <w:basedOn w:val="Normal"/>
    <w:next w:val="Normal"/>
    <w:link w:val="IntenseQuoteChar"/>
    <w:uiPriority w:val="30"/>
    <w:qFormat/>
    <w:rsid w:val="002D1B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B1F"/>
    <w:rPr>
      <w:i/>
      <w:iCs/>
      <w:color w:val="0F4761" w:themeColor="accent1" w:themeShade="BF"/>
    </w:rPr>
  </w:style>
  <w:style w:type="character" w:styleId="IntenseReference">
    <w:name w:val="Intense Reference"/>
    <w:basedOn w:val="DefaultParagraphFont"/>
    <w:uiPriority w:val="32"/>
    <w:qFormat/>
    <w:rsid w:val="002D1B1F"/>
    <w:rPr>
      <w:b/>
      <w:bCs/>
      <w:smallCaps/>
      <w:color w:val="0F4761" w:themeColor="accent1" w:themeShade="BF"/>
      <w:spacing w:val="5"/>
    </w:rPr>
  </w:style>
  <w:style w:type="table" w:styleId="TableGrid">
    <w:name w:val="Table Grid"/>
    <w:basedOn w:val="TableNormal"/>
    <w:uiPriority w:val="39"/>
    <w:rsid w:val="002D1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1B1F"/>
    <w:rPr>
      <w:sz w:val="16"/>
      <w:szCs w:val="16"/>
    </w:rPr>
  </w:style>
  <w:style w:type="paragraph" w:styleId="CommentText">
    <w:name w:val="annotation text"/>
    <w:basedOn w:val="Normal"/>
    <w:link w:val="CommentTextChar"/>
    <w:uiPriority w:val="99"/>
    <w:unhideWhenUsed/>
    <w:rsid w:val="002D1B1F"/>
    <w:pPr>
      <w:spacing w:line="240" w:lineRule="auto"/>
    </w:pPr>
    <w:rPr>
      <w:sz w:val="20"/>
      <w:szCs w:val="20"/>
    </w:rPr>
  </w:style>
  <w:style w:type="character" w:customStyle="1" w:styleId="CommentTextChar">
    <w:name w:val="Comment Text Char"/>
    <w:basedOn w:val="DefaultParagraphFont"/>
    <w:link w:val="CommentText"/>
    <w:uiPriority w:val="99"/>
    <w:rsid w:val="002D1B1F"/>
    <w:rPr>
      <w:sz w:val="20"/>
      <w:szCs w:val="20"/>
    </w:rPr>
  </w:style>
  <w:style w:type="paragraph" w:styleId="CommentSubject">
    <w:name w:val="annotation subject"/>
    <w:basedOn w:val="CommentText"/>
    <w:next w:val="CommentText"/>
    <w:link w:val="CommentSubjectChar"/>
    <w:uiPriority w:val="99"/>
    <w:semiHidden/>
    <w:unhideWhenUsed/>
    <w:rsid w:val="002D1B1F"/>
    <w:rPr>
      <w:b/>
      <w:bCs/>
    </w:rPr>
  </w:style>
  <w:style w:type="character" w:customStyle="1" w:styleId="CommentSubjectChar">
    <w:name w:val="Comment Subject Char"/>
    <w:basedOn w:val="CommentTextChar"/>
    <w:link w:val="CommentSubject"/>
    <w:uiPriority w:val="99"/>
    <w:semiHidden/>
    <w:rsid w:val="002D1B1F"/>
    <w:rPr>
      <w:b/>
      <w:bCs/>
      <w:sz w:val="20"/>
      <w:szCs w:val="20"/>
    </w:rPr>
  </w:style>
  <w:style w:type="paragraph" w:styleId="BalloonText">
    <w:name w:val="Balloon Text"/>
    <w:basedOn w:val="Normal"/>
    <w:link w:val="BalloonTextChar"/>
    <w:uiPriority w:val="99"/>
    <w:semiHidden/>
    <w:unhideWhenUsed/>
    <w:rsid w:val="002D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B1F"/>
    <w:rPr>
      <w:rFonts w:ascii="Segoe UI" w:hAnsi="Segoe UI" w:cs="Segoe UI"/>
      <w:sz w:val="18"/>
      <w:szCs w:val="18"/>
    </w:rPr>
  </w:style>
  <w:style w:type="paragraph" w:customStyle="1" w:styleId="paragraph">
    <w:name w:val="paragraph"/>
    <w:basedOn w:val="Normal"/>
    <w:rsid w:val="002D1B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1B1F"/>
  </w:style>
  <w:style w:type="character" w:customStyle="1" w:styleId="eop">
    <w:name w:val="eop"/>
    <w:basedOn w:val="DefaultParagraphFont"/>
    <w:rsid w:val="002D1B1F"/>
  </w:style>
  <w:style w:type="paragraph" w:styleId="Header">
    <w:name w:val="header"/>
    <w:basedOn w:val="Normal"/>
    <w:link w:val="HeaderChar"/>
    <w:uiPriority w:val="99"/>
    <w:unhideWhenUsed/>
    <w:rsid w:val="002D1B1F"/>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2D1B1F"/>
    <w:rPr>
      <w:kern w:val="2"/>
      <w14:ligatures w14:val="standardContextual"/>
    </w:rPr>
  </w:style>
  <w:style w:type="paragraph" w:styleId="Footer">
    <w:name w:val="footer"/>
    <w:basedOn w:val="Normal"/>
    <w:link w:val="FooterChar"/>
    <w:uiPriority w:val="99"/>
    <w:unhideWhenUsed/>
    <w:rsid w:val="002D1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B1F"/>
  </w:style>
  <w:style w:type="character" w:styleId="Hyperlink">
    <w:name w:val="Hyperlink"/>
    <w:basedOn w:val="DefaultParagraphFont"/>
    <w:uiPriority w:val="99"/>
    <w:unhideWhenUsed/>
    <w:rsid w:val="002D1B1F"/>
    <w:rPr>
      <w:color w:val="467886" w:themeColor="hyperlink"/>
      <w:u w:val="single"/>
    </w:rPr>
  </w:style>
  <w:style w:type="character" w:customStyle="1" w:styleId="ListParagraphChar">
    <w:name w:val="List Paragraph Char"/>
    <w:aliases w:val="F5 List Paragraph Char,List Paragraph1 Char,List Paragraph3 Char,OBC Bullet Char,L Char,B Char,Dot pt Char,No Spacing1 Char,List Paragraph Char Char Char Char,Indicator Text Char,Numbered Para 1 Char,Bullet Points Char,Bullet 1 Char"/>
    <w:link w:val="ListParagraph"/>
    <w:uiPriority w:val="34"/>
    <w:qFormat/>
    <w:locked/>
    <w:rsid w:val="002D1B1F"/>
  </w:style>
  <w:style w:type="character" w:styleId="FollowedHyperlink">
    <w:name w:val="FollowedHyperlink"/>
    <w:basedOn w:val="DefaultParagraphFont"/>
    <w:uiPriority w:val="99"/>
    <w:semiHidden/>
    <w:unhideWhenUsed/>
    <w:rsid w:val="002D1B1F"/>
    <w:rPr>
      <w:color w:val="96607D" w:themeColor="followedHyperlink"/>
      <w:u w:val="single"/>
    </w:rPr>
  </w:style>
  <w:style w:type="paragraph" w:styleId="NormalWeb">
    <w:name w:val="Normal (Web)"/>
    <w:basedOn w:val="Normal"/>
    <w:uiPriority w:val="99"/>
    <w:semiHidden/>
    <w:unhideWhenUsed/>
    <w:rsid w:val="002D1B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2D1B1F"/>
    <w:pPr>
      <w:spacing w:after="120"/>
    </w:pPr>
  </w:style>
  <w:style w:type="character" w:customStyle="1" w:styleId="BodyTextChar">
    <w:name w:val="Body Text Char"/>
    <w:basedOn w:val="DefaultParagraphFont"/>
    <w:link w:val="BodyText"/>
    <w:uiPriority w:val="99"/>
    <w:semiHidden/>
    <w:rsid w:val="002D1B1F"/>
  </w:style>
  <w:style w:type="paragraph" w:styleId="BodyTextFirstIndent">
    <w:name w:val="Body Text First Indent"/>
    <w:basedOn w:val="BodyText"/>
    <w:link w:val="BodyTextFirstIndentChar"/>
    <w:rsid w:val="002D1B1F"/>
    <w:pPr>
      <w:spacing w:line="240" w:lineRule="auto"/>
      <w:ind w:left="576"/>
    </w:pPr>
    <w:rPr>
      <w:rFonts w:ascii="Arial" w:eastAsia="Times New Roman" w:hAnsi="Arial" w:cs="Times New Roman"/>
      <w:sz w:val="24"/>
      <w:szCs w:val="20"/>
      <w:lang w:val="en-US" w:eastAsia="en-GB"/>
    </w:rPr>
  </w:style>
  <w:style w:type="character" w:customStyle="1" w:styleId="BodyTextFirstIndentChar">
    <w:name w:val="Body Text First Indent Char"/>
    <w:basedOn w:val="BodyTextChar"/>
    <w:link w:val="BodyTextFirstIndent"/>
    <w:rsid w:val="002D1B1F"/>
    <w:rPr>
      <w:rFonts w:ascii="Arial" w:eastAsia="Times New Roman" w:hAnsi="Arial" w:cs="Times New Roman"/>
      <w:sz w:val="24"/>
      <w:szCs w:val="20"/>
      <w:lang w:val="en-US" w:eastAsia="en-GB"/>
    </w:rPr>
  </w:style>
  <w:style w:type="character" w:styleId="Strong">
    <w:name w:val="Strong"/>
    <w:basedOn w:val="DefaultParagraphFont"/>
    <w:uiPriority w:val="22"/>
    <w:qFormat/>
    <w:rsid w:val="002D1B1F"/>
    <w:rPr>
      <w:b/>
      <w:bCs/>
    </w:rPr>
  </w:style>
  <w:style w:type="character" w:customStyle="1" w:styleId="fontsizelarge">
    <w:name w:val="fontsizelarge"/>
    <w:basedOn w:val="DefaultParagraphFont"/>
    <w:rsid w:val="002D1B1F"/>
  </w:style>
  <w:style w:type="paragraph" w:styleId="NoSpacing">
    <w:name w:val="No Spacing"/>
    <w:uiPriority w:val="1"/>
    <w:qFormat/>
    <w:rsid w:val="002D1B1F"/>
    <w:pPr>
      <w:spacing w:after="0" w:line="240" w:lineRule="auto"/>
    </w:pPr>
  </w:style>
  <w:style w:type="paragraph" w:styleId="FootnoteText">
    <w:name w:val="footnote text"/>
    <w:basedOn w:val="Normal"/>
    <w:link w:val="FootnoteTextChar"/>
    <w:uiPriority w:val="99"/>
    <w:semiHidden/>
    <w:unhideWhenUsed/>
    <w:rsid w:val="002D1B1F"/>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2D1B1F"/>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2D1B1F"/>
    <w:rPr>
      <w:vertAlign w:val="superscript"/>
    </w:rPr>
  </w:style>
  <w:style w:type="character" w:styleId="UnresolvedMention">
    <w:name w:val="Unresolved Mention"/>
    <w:basedOn w:val="DefaultParagraphFont"/>
    <w:uiPriority w:val="99"/>
    <w:semiHidden/>
    <w:unhideWhenUsed/>
    <w:rsid w:val="002D1B1F"/>
    <w:rPr>
      <w:color w:val="605E5C"/>
      <w:shd w:val="clear" w:color="auto" w:fill="E1DFDD"/>
    </w:rPr>
  </w:style>
  <w:style w:type="paragraph" w:styleId="TOCHeading">
    <w:name w:val="TOC Heading"/>
    <w:basedOn w:val="Heading1"/>
    <w:next w:val="Normal"/>
    <w:uiPriority w:val="39"/>
    <w:unhideWhenUsed/>
    <w:qFormat/>
    <w:rsid w:val="002D1B1F"/>
    <w:pPr>
      <w:spacing w:before="240" w:after="0"/>
      <w:outlineLvl w:val="9"/>
    </w:pPr>
    <w:rPr>
      <w:sz w:val="32"/>
      <w:szCs w:val="32"/>
      <w:lang w:val="en-US"/>
    </w:rPr>
  </w:style>
  <w:style w:type="paragraph" w:styleId="TOC1">
    <w:name w:val="toc 1"/>
    <w:basedOn w:val="Normal"/>
    <w:next w:val="Normal"/>
    <w:autoRedefine/>
    <w:uiPriority w:val="39"/>
    <w:unhideWhenUsed/>
    <w:rsid w:val="002D1B1F"/>
    <w:pPr>
      <w:spacing w:after="100"/>
    </w:pPr>
  </w:style>
  <w:style w:type="paragraph" w:styleId="TOC2">
    <w:name w:val="toc 2"/>
    <w:basedOn w:val="Normal"/>
    <w:next w:val="Normal"/>
    <w:autoRedefine/>
    <w:uiPriority w:val="39"/>
    <w:unhideWhenUsed/>
    <w:rsid w:val="002D1B1F"/>
    <w:pPr>
      <w:spacing w:after="100"/>
      <w:ind w:left="220"/>
    </w:pPr>
  </w:style>
  <w:style w:type="character" w:styleId="Mention">
    <w:name w:val="Mention"/>
    <w:basedOn w:val="DefaultParagraphFont"/>
    <w:uiPriority w:val="99"/>
    <w:unhideWhenUsed/>
    <w:rsid w:val="007D1B75"/>
    <w:rPr>
      <w:color w:val="2B579A"/>
      <w:shd w:val="clear" w:color="auto" w:fill="E1DFDD"/>
    </w:rPr>
  </w:style>
  <w:style w:type="table" w:styleId="TableGridLight">
    <w:name w:val="Grid Table Light"/>
    <w:basedOn w:val="TableNormal"/>
    <w:uiPriority w:val="40"/>
    <w:rsid w:val="006F1F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500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14706">
      <w:bodyDiv w:val="1"/>
      <w:marLeft w:val="0"/>
      <w:marRight w:val="0"/>
      <w:marTop w:val="0"/>
      <w:marBottom w:val="0"/>
      <w:divBdr>
        <w:top w:val="none" w:sz="0" w:space="0" w:color="auto"/>
        <w:left w:val="none" w:sz="0" w:space="0" w:color="auto"/>
        <w:bottom w:val="none" w:sz="0" w:space="0" w:color="auto"/>
        <w:right w:val="none" w:sz="0" w:space="0" w:color="auto"/>
      </w:divBdr>
      <w:divsChild>
        <w:div w:id="1140267824">
          <w:marLeft w:val="0"/>
          <w:marRight w:val="0"/>
          <w:marTop w:val="0"/>
          <w:marBottom w:val="0"/>
          <w:divBdr>
            <w:top w:val="none" w:sz="0" w:space="0" w:color="auto"/>
            <w:left w:val="none" w:sz="0" w:space="0" w:color="auto"/>
            <w:bottom w:val="none" w:sz="0" w:space="0" w:color="auto"/>
            <w:right w:val="none" w:sz="0" w:space="0" w:color="auto"/>
          </w:divBdr>
        </w:div>
      </w:divsChild>
    </w:div>
    <w:div w:id="380978882">
      <w:bodyDiv w:val="1"/>
      <w:marLeft w:val="0"/>
      <w:marRight w:val="0"/>
      <w:marTop w:val="0"/>
      <w:marBottom w:val="0"/>
      <w:divBdr>
        <w:top w:val="none" w:sz="0" w:space="0" w:color="auto"/>
        <w:left w:val="none" w:sz="0" w:space="0" w:color="auto"/>
        <w:bottom w:val="none" w:sz="0" w:space="0" w:color="auto"/>
        <w:right w:val="none" w:sz="0" w:space="0" w:color="auto"/>
      </w:divBdr>
    </w:div>
    <w:div w:id="576861591">
      <w:bodyDiv w:val="1"/>
      <w:marLeft w:val="0"/>
      <w:marRight w:val="0"/>
      <w:marTop w:val="0"/>
      <w:marBottom w:val="0"/>
      <w:divBdr>
        <w:top w:val="none" w:sz="0" w:space="0" w:color="auto"/>
        <w:left w:val="none" w:sz="0" w:space="0" w:color="auto"/>
        <w:bottom w:val="none" w:sz="0" w:space="0" w:color="auto"/>
        <w:right w:val="none" w:sz="0" w:space="0" w:color="auto"/>
      </w:divBdr>
    </w:div>
    <w:div w:id="596672228">
      <w:bodyDiv w:val="1"/>
      <w:marLeft w:val="0"/>
      <w:marRight w:val="0"/>
      <w:marTop w:val="0"/>
      <w:marBottom w:val="0"/>
      <w:divBdr>
        <w:top w:val="none" w:sz="0" w:space="0" w:color="auto"/>
        <w:left w:val="none" w:sz="0" w:space="0" w:color="auto"/>
        <w:bottom w:val="none" w:sz="0" w:space="0" w:color="auto"/>
        <w:right w:val="none" w:sz="0" w:space="0" w:color="auto"/>
      </w:divBdr>
    </w:div>
    <w:div w:id="843781680">
      <w:bodyDiv w:val="1"/>
      <w:marLeft w:val="0"/>
      <w:marRight w:val="0"/>
      <w:marTop w:val="0"/>
      <w:marBottom w:val="0"/>
      <w:divBdr>
        <w:top w:val="none" w:sz="0" w:space="0" w:color="auto"/>
        <w:left w:val="none" w:sz="0" w:space="0" w:color="auto"/>
        <w:bottom w:val="none" w:sz="0" w:space="0" w:color="auto"/>
        <w:right w:val="none" w:sz="0" w:space="0" w:color="auto"/>
      </w:divBdr>
    </w:div>
    <w:div w:id="1208298122">
      <w:bodyDiv w:val="1"/>
      <w:marLeft w:val="0"/>
      <w:marRight w:val="0"/>
      <w:marTop w:val="0"/>
      <w:marBottom w:val="0"/>
      <w:divBdr>
        <w:top w:val="none" w:sz="0" w:space="0" w:color="auto"/>
        <w:left w:val="none" w:sz="0" w:space="0" w:color="auto"/>
        <w:bottom w:val="none" w:sz="0" w:space="0" w:color="auto"/>
        <w:right w:val="none" w:sz="0" w:space="0" w:color="auto"/>
      </w:divBdr>
    </w:div>
    <w:div w:id="1235117702">
      <w:bodyDiv w:val="1"/>
      <w:marLeft w:val="0"/>
      <w:marRight w:val="0"/>
      <w:marTop w:val="0"/>
      <w:marBottom w:val="0"/>
      <w:divBdr>
        <w:top w:val="none" w:sz="0" w:space="0" w:color="auto"/>
        <w:left w:val="none" w:sz="0" w:space="0" w:color="auto"/>
        <w:bottom w:val="none" w:sz="0" w:space="0" w:color="auto"/>
        <w:right w:val="none" w:sz="0" w:space="0" w:color="auto"/>
      </w:divBdr>
    </w:div>
    <w:div w:id="1435321507">
      <w:bodyDiv w:val="1"/>
      <w:marLeft w:val="0"/>
      <w:marRight w:val="0"/>
      <w:marTop w:val="0"/>
      <w:marBottom w:val="0"/>
      <w:divBdr>
        <w:top w:val="none" w:sz="0" w:space="0" w:color="auto"/>
        <w:left w:val="none" w:sz="0" w:space="0" w:color="auto"/>
        <w:bottom w:val="none" w:sz="0" w:space="0" w:color="auto"/>
        <w:right w:val="none" w:sz="0" w:space="0" w:color="auto"/>
      </w:divBdr>
    </w:div>
    <w:div w:id="1439251876">
      <w:bodyDiv w:val="1"/>
      <w:marLeft w:val="0"/>
      <w:marRight w:val="0"/>
      <w:marTop w:val="0"/>
      <w:marBottom w:val="0"/>
      <w:divBdr>
        <w:top w:val="none" w:sz="0" w:space="0" w:color="auto"/>
        <w:left w:val="none" w:sz="0" w:space="0" w:color="auto"/>
        <w:bottom w:val="none" w:sz="0" w:space="0" w:color="auto"/>
        <w:right w:val="none" w:sz="0" w:space="0" w:color="auto"/>
      </w:divBdr>
    </w:div>
    <w:div w:id="1721513683">
      <w:bodyDiv w:val="1"/>
      <w:marLeft w:val="0"/>
      <w:marRight w:val="0"/>
      <w:marTop w:val="0"/>
      <w:marBottom w:val="0"/>
      <w:divBdr>
        <w:top w:val="none" w:sz="0" w:space="0" w:color="auto"/>
        <w:left w:val="none" w:sz="0" w:space="0" w:color="auto"/>
        <w:bottom w:val="none" w:sz="0" w:space="0" w:color="auto"/>
        <w:right w:val="none" w:sz="0" w:space="0" w:color="auto"/>
      </w:divBdr>
    </w:div>
    <w:div w:id="1811511889">
      <w:bodyDiv w:val="1"/>
      <w:marLeft w:val="0"/>
      <w:marRight w:val="0"/>
      <w:marTop w:val="0"/>
      <w:marBottom w:val="0"/>
      <w:divBdr>
        <w:top w:val="none" w:sz="0" w:space="0" w:color="auto"/>
        <w:left w:val="none" w:sz="0" w:space="0" w:color="auto"/>
        <w:bottom w:val="none" w:sz="0" w:space="0" w:color="auto"/>
        <w:right w:val="none" w:sz="0" w:space="0" w:color="auto"/>
      </w:divBdr>
    </w:div>
    <w:div w:id="1950039646">
      <w:bodyDiv w:val="1"/>
      <w:marLeft w:val="0"/>
      <w:marRight w:val="0"/>
      <w:marTop w:val="0"/>
      <w:marBottom w:val="0"/>
      <w:divBdr>
        <w:top w:val="none" w:sz="0" w:space="0" w:color="auto"/>
        <w:left w:val="none" w:sz="0" w:space="0" w:color="auto"/>
        <w:bottom w:val="none" w:sz="0" w:space="0" w:color="auto"/>
        <w:right w:val="none" w:sz="0" w:space="0" w:color="auto"/>
      </w:divBdr>
    </w:div>
    <w:div w:id="21356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insightcollective.socialcare.wales/our-work/coaching-and-advice/developing-evidence-enriched-practice-deep" TargetMode="External"/><Relationship Id="rId39" Type="http://schemas.microsoft.com/office/2020/10/relationships/intelligence" Target="intelligence2.xml"/><Relationship Id="rId21" Type="http://schemas.openxmlformats.org/officeDocument/2006/relationships/image" Target="media/image11.png"/><Relationship Id="rId34" Type="http://schemas.openxmlformats.org/officeDocument/2006/relationships/hyperlink" Target="https://socialcare.wales/about-us/workforce-strategy/social-care-delivery-plan-2024-to-2027?_gl=1*1t95r7n*_ga*MTUwNTkxMjU5OC4xNzM5NDQyNDk5*_ga_NZV6WMW0HJ*MTczOTQ0MjQ5OC4xLjAuMTczOTQ0MjUwNy4wLjAuMA.."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s://socialcare.wales/cms-assets/documents/Workforce-strategy-ambitions-2024-to-2027.pdf" TargetMode="External"/><Relationship Id="rId38"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hyperlink" Target="https://socialcare.wales/about-us/workforce-strategy/social-care-delivery-plan-2024-to-2027?_gl=1*1t95r7n*_ga*MTUwNTkxMjU5OC4xNzM5NDQyNDk5*_ga_NZV6WMW0HJ*MTczOTQ0MjQ5OC4xLjAuMTczOTQ0MjUwNy4wLjAuMA.." TargetMode="External"/><Relationship Id="rId20" Type="http://schemas.openxmlformats.org/officeDocument/2006/relationships/image" Target="media/image10.png"/><Relationship Id="rId29" Type="http://schemas.openxmlformats.org/officeDocument/2006/relationships/hyperlink" Target="https://socialcare.wales/about-us/workforce-strategy/strategic-mental-health-workforce-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hyperlink" Target="https://www.careinspectorate.wal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hyperlink" Target="https://socialcare.wales/about-us/workforce-strategy/social-work-workforce-plan-2022-to-2025"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hyperlink" Target="https://socialcare.wales/news-stories/workforce-planning-report" TargetMode="External"/><Relationship Id="rId4" Type="http://schemas.openxmlformats.org/officeDocument/2006/relationships/settings" Target="settings.xml"/><Relationship Id="rId9" Type="http://schemas.openxmlformats.org/officeDocument/2006/relationships/hyperlink" Target="https://socialcare.wales/about-us/workforce-strategy/social-work-workforce-plan-2022-to-2025"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hyperlink" Target="https://www.medr.cymru/en/" TargetMode="External"/><Relationship Id="rId30" Type="http://schemas.openxmlformats.org/officeDocument/2006/relationships/hyperlink" Target="https://socialcare.wales/cms-assets/documents/Workforce-Report-2023-PDF_2025-02-03-160149_qyyf.pdf" TargetMode="External"/><Relationship Id="rId35" Type="http://schemas.openxmlformats.org/officeDocument/2006/relationships/footer" Target="footer1.xml"/><Relationship Id="rId8" Type="http://schemas.openxmlformats.org/officeDocument/2006/relationships/hyperlink" Target="https://socialcare.wales/about-us/workforce-strategy" TargetMode="External"/><Relationship Id="rId3"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EBE95A93-09A0-470B-803E-85BAB41F5ACC}">
    <t:Anchor>
      <t:Comment id="1668985563"/>
    </t:Anchor>
    <t:History>
      <t:Event id="{E929B416-D75A-4159-A5E7-326866AD860B}" time="2024-10-08T20:02:38.418Z">
        <t:Attribution userId="S::lisa.trigg@socialcare.wales::7033e36b-da3d-418e-8aa1-a243891800bb" userProvider="AD" userName="Lisa Trigg"/>
        <t:Anchor>
          <t:Comment id="1668985563"/>
        </t:Anchor>
        <t:Create/>
      </t:Event>
      <t:Event id="{7EBE53EA-D0E2-4C3F-96D2-98EFAAB44271}" time="2024-10-08T20:02:38.418Z">
        <t:Attribution userId="S::lisa.trigg@socialcare.wales::7033e36b-da3d-418e-8aa1-a243891800bb" userProvider="AD" userName="Lisa Trigg"/>
        <t:Anchor>
          <t:Comment id="1668985563"/>
        </t:Anchor>
        <t:Assign userId="S::erin.jones@socialcare.wales::4940aa6f-db69-4476-b739-37fe96bec683" userProvider="AD" userName="Erin Jones"/>
      </t:Event>
      <t:Event id="{ADD2E676-D629-486E-AE6A-78F4D518E6E2}" time="2024-10-08T20:02:38.418Z">
        <t:Attribution userId="S::lisa.trigg@socialcare.wales::7033e36b-da3d-418e-8aa1-a243891800bb" userProvider="AD" userName="Lisa Trigg"/>
        <t:Anchor>
          <t:Comment id="1668985563"/>
        </t:Anchor>
        <t:SetTitle title="Would you be able to pull these figures out for Rachel S @Erin Jones "/>
      </t:Event>
      <t:Event id="{017C7FF2-4EB3-4A7D-ABDD-C51532B5C6D3}" time="2024-10-11T13:08:24.158Z">
        <t:Attribution userId="S::erin.jones@socialcare.wales::4940aa6f-db69-4476-b739-37fe96bec683" userProvider="AD" userName="Erin Jon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5D475-E8EE-4DC3-9E2F-DF04DB6E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Pages>
  <Words>13696</Words>
  <Characters>78068</Characters>
  <Application>Microsoft Office Word</Application>
  <DocSecurity>4</DocSecurity>
  <Lines>650</Lines>
  <Paragraphs>183</Paragraphs>
  <ScaleCrop>false</ScaleCrop>
  <Company/>
  <LinksUpToDate>false</LinksUpToDate>
  <CharactersWithSpaces>91581</CharactersWithSpaces>
  <SharedDoc>false</SharedDoc>
  <HLinks>
    <vt:vector size="168" baseType="variant">
      <vt:variant>
        <vt:i4>4718661</vt:i4>
      </vt:variant>
      <vt:variant>
        <vt:i4>132</vt:i4>
      </vt:variant>
      <vt:variant>
        <vt:i4>0</vt:i4>
      </vt:variant>
      <vt:variant>
        <vt:i4>5</vt:i4>
      </vt:variant>
      <vt:variant>
        <vt:lpwstr>https://socialcare.wales/about-us/workforce-strategy/social-care-delivery-plan-2024-to-2027?_gl=1*1t95r7n*_ga*MTUwNTkxMjU5OC4xNzM5NDQyNDk5*_ga_NZV6WMW0HJ*MTczOTQ0MjQ5OC4xLjAuMTczOTQ0MjUwNy4wLjAuMA..</vt:lpwstr>
      </vt:variant>
      <vt:variant>
        <vt:lpwstr/>
      </vt:variant>
      <vt:variant>
        <vt:i4>2424888</vt:i4>
      </vt:variant>
      <vt:variant>
        <vt:i4>129</vt:i4>
      </vt:variant>
      <vt:variant>
        <vt:i4>0</vt:i4>
      </vt:variant>
      <vt:variant>
        <vt:i4>5</vt:i4>
      </vt:variant>
      <vt:variant>
        <vt:lpwstr>https://socialcare.wales/cms-assets/documents/Workforce-strategy-ambitions-2024-to-2027.pdf</vt:lpwstr>
      </vt:variant>
      <vt:variant>
        <vt:lpwstr/>
      </vt:variant>
      <vt:variant>
        <vt:i4>3276918</vt:i4>
      </vt:variant>
      <vt:variant>
        <vt:i4>126</vt:i4>
      </vt:variant>
      <vt:variant>
        <vt:i4>0</vt:i4>
      </vt:variant>
      <vt:variant>
        <vt:i4>5</vt:i4>
      </vt:variant>
      <vt:variant>
        <vt:lpwstr>https://www.careinspectorate.wales/</vt:lpwstr>
      </vt:variant>
      <vt:variant>
        <vt:lpwstr/>
      </vt:variant>
      <vt:variant>
        <vt:i4>3539063</vt:i4>
      </vt:variant>
      <vt:variant>
        <vt:i4>123</vt:i4>
      </vt:variant>
      <vt:variant>
        <vt:i4>0</vt:i4>
      </vt:variant>
      <vt:variant>
        <vt:i4>5</vt:i4>
      </vt:variant>
      <vt:variant>
        <vt:lpwstr>https://socialcare.wales/news-stories/workforce-planning-report</vt:lpwstr>
      </vt:variant>
      <vt:variant>
        <vt:lpwstr/>
      </vt:variant>
      <vt:variant>
        <vt:i4>7274549</vt:i4>
      </vt:variant>
      <vt:variant>
        <vt:i4>120</vt:i4>
      </vt:variant>
      <vt:variant>
        <vt:i4>0</vt:i4>
      </vt:variant>
      <vt:variant>
        <vt:i4>5</vt:i4>
      </vt:variant>
      <vt:variant>
        <vt:lpwstr>https://socialcare.wales/cms-assets/documents/Workforce-Report-2023-PDF_2025-02-03-160149_qyyf.pdf</vt:lpwstr>
      </vt:variant>
      <vt:variant>
        <vt:lpwstr/>
      </vt:variant>
      <vt:variant>
        <vt:i4>2162805</vt:i4>
      </vt:variant>
      <vt:variant>
        <vt:i4>117</vt:i4>
      </vt:variant>
      <vt:variant>
        <vt:i4>0</vt:i4>
      </vt:variant>
      <vt:variant>
        <vt:i4>5</vt:i4>
      </vt:variant>
      <vt:variant>
        <vt:lpwstr>https://socialcare.wales/about-us/workforce-strategy/strategic-mental-health-workforce-plan</vt:lpwstr>
      </vt:variant>
      <vt:variant>
        <vt:lpwstr/>
      </vt:variant>
      <vt:variant>
        <vt:i4>5570562</vt:i4>
      </vt:variant>
      <vt:variant>
        <vt:i4>114</vt:i4>
      </vt:variant>
      <vt:variant>
        <vt:i4>0</vt:i4>
      </vt:variant>
      <vt:variant>
        <vt:i4>5</vt:i4>
      </vt:variant>
      <vt:variant>
        <vt:lpwstr>https://socialcare.wales/about-us/workforce-strategy/social-work-workforce-plan-2022-to-2025</vt:lpwstr>
      </vt:variant>
      <vt:variant>
        <vt:lpwstr/>
      </vt:variant>
      <vt:variant>
        <vt:i4>7209005</vt:i4>
      </vt:variant>
      <vt:variant>
        <vt:i4>111</vt:i4>
      </vt:variant>
      <vt:variant>
        <vt:i4>0</vt:i4>
      </vt:variant>
      <vt:variant>
        <vt:i4>5</vt:i4>
      </vt:variant>
      <vt:variant>
        <vt:lpwstr>https://www.medr.cymru/en/</vt:lpwstr>
      </vt:variant>
      <vt:variant>
        <vt:lpwstr/>
      </vt:variant>
      <vt:variant>
        <vt:i4>2490474</vt:i4>
      </vt:variant>
      <vt:variant>
        <vt:i4>108</vt:i4>
      </vt:variant>
      <vt:variant>
        <vt:i4>0</vt:i4>
      </vt:variant>
      <vt:variant>
        <vt:i4>5</vt:i4>
      </vt:variant>
      <vt:variant>
        <vt:lpwstr>https://insightcollective.socialcare.wales/our-work/coaching-and-advice/developing-evidence-enriched-practice-deep</vt:lpwstr>
      </vt:variant>
      <vt:variant>
        <vt:lpwstr/>
      </vt:variant>
      <vt:variant>
        <vt:i4>4718661</vt:i4>
      </vt:variant>
      <vt:variant>
        <vt:i4>105</vt:i4>
      </vt:variant>
      <vt:variant>
        <vt:i4>0</vt:i4>
      </vt:variant>
      <vt:variant>
        <vt:i4>5</vt:i4>
      </vt:variant>
      <vt:variant>
        <vt:lpwstr>https://socialcare.wales/about-us/workforce-strategy/social-care-delivery-plan-2024-to-2027?_gl=1*1t95r7n*_ga*MTUwNTkxMjU5OC4xNzM5NDQyNDk5*_ga_NZV6WMW0HJ*MTczOTQ0MjQ5OC4xLjAuMTczOTQ0MjUwNy4wLjAuMA..</vt:lpwstr>
      </vt:variant>
      <vt:variant>
        <vt:lpwstr/>
      </vt:variant>
      <vt:variant>
        <vt:i4>5570562</vt:i4>
      </vt:variant>
      <vt:variant>
        <vt:i4>102</vt:i4>
      </vt:variant>
      <vt:variant>
        <vt:i4>0</vt:i4>
      </vt:variant>
      <vt:variant>
        <vt:i4>5</vt:i4>
      </vt:variant>
      <vt:variant>
        <vt:lpwstr>https://socialcare.wales/about-us/workforce-strategy/social-work-workforce-plan-2022-to-2025</vt:lpwstr>
      </vt:variant>
      <vt:variant>
        <vt:lpwstr/>
      </vt:variant>
      <vt:variant>
        <vt:i4>1769482</vt:i4>
      </vt:variant>
      <vt:variant>
        <vt:i4>99</vt:i4>
      </vt:variant>
      <vt:variant>
        <vt:i4>0</vt:i4>
      </vt:variant>
      <vt:variant>
        <vt:i4>5</vt:i4>
      </vt:variant>
      <vt:variant>
        <vt:lpwstr>https://socialcare.wales/about-us/workforce-strategy</vt:lpwstr>
      </vt:variant>
      <vt:variant>
        <vt:lpwstr/>
      </vt:variant>
      <vt:variant>
        <vt:i4>1114166</vt:i4>
      </vt:variant>
      <vt:variant>
        <vt:i4>92</vt:i4>
      </vt:variant>
      <vt:variant>
        <vt:i4>0</vt:i4>
      </vt:variant>
      <vt:variant>
        <vt:i4>5</vt:i4>
      </vt:variant>
      <vt:variant>
        <vt:lpwstr/>
      </vt:variant>
      <vt:variant>
        <vt:lpwstr>_Toc179481642</vt:lpwstr>
      </vt:variant>
      <vt:variant>
        <vt:i4>1114166</vt:i4>
      </vt:variant>
      <vt:variant>
        <vt:i4>86</vt:i4>
      </vt:variant>
      <vt:variant>
        <vt:i4>0</vt:i4>
      </vt:variant>
      <vt:variant>
        <vt:i4>5</vt:i4>
      </vt:variant>
      <vt:variant>
        <vt:lpwstr/>
      </vt:variant>
      <vt:variant>
        <vt:lpwstr>_Toc179481641</vt:lpwstr>
      </vt:variant>
      <vt:variant>
        <vt:i4>1114166</vt:i4>
      </vt:variant>
      <vt:variant>
        <vt:i4>80</vt:i4>
      </vt:variant>
      <vt:variant>
        <vt:i4>0</vt:i4>
      </vt:variant>
      <vt:variant>
        <vt:i4>5</vt:i4>
      </vt:variant>
      <vt:variant>
        <vt:lpwstr/>
      </vt:variant>
      <vt:variant>
        <vt:lpwstr>_Toc179481640</vt:lpwstr>
      </vt:variant>
      <vt:variant>
        <vt:i4>1441846</vt:i4>
      </vt:variant>
      <vt:variant>
        <vt:i4>74</vt:i4>
      </vt:variant>
      <vt:variant>
        <vt:i4>0</vt:i4>
      </vt:variant>
      <vt:variant>
        <vt:i4>5</vt:i4>
      </vt:variant>
      <vt:variant>
        <vt:lpwstr/>
      </vt:variant>
      <vt:variant>
        <vt:lpwstr>_Toc179481639</vt:lpwstr>
      </vt:variant>
      <vt:variant>
        <vt:i4>1441846</vt:i4>
      </vt:variant>
      <vt:variant>
        <vt:i4>68</vt:i4>
      </vt:variant>
      <vt:variant>
        <vt:i4>0</vt:i4>
      </vt:variant>
      <vt:variant>
        <vt:i4>5</vt:i4>
      </vt:variant>
      <vt:variant>
        <vt:lpwstr/>
      </vt:variant>
      <vt:variant>
        <vt:lpwstr>_Toc179481638</vt:lpwstr>
      </vt:variant>
      <vt:variant>
        <vt:i4>1441846</vt:i4>
      </vt:variant>
      <vt:variant>
        <vt:i4>62</vt:i4>
      </vt:variant>
      <vt:variant>
        <vt:i4>0</vt:i4>
      </vt:variant>
      <vt:variant>
        <vt:i4>5</vt:i4>
      </vt:variant>
      <vt:variant>
        <vt:lpwstr/>
      </vt:variant>
      <vt:variant>
        <vt:lpwstr>_Toc179481637</vt:lpwstr>
      </vt:variant>
      <vt:variant>
        <vt:i4>1441846</vt:i4>
      </vt:variant>
      <vt:variant>
        <vt:i4>56</vt:i4>
      </vt:variant>
      <vt:variant>
        <vt:i4>0</vt:i4>
      </vt:variant>
      <vt:variant>
        <vt:i4>5</vt:i4>
      </vt:variant>
      <vt:variant>
        <vt:lpwstr/>
      </vt:variant>
      <vt:variant>
        <vt:lpwstr>_Toc179481636</vt:lpwstr>
      </vt:variant>
      <vt:variant>
        <vt:i4>1441846</vt:i4>
      </vt:variant>
      <vt:variant>
        <vt:i4>50</vt:i4>
      </vt:variant>
      <vt:variant>
        <vt:i4>0</vt:i4>
      </vt:variant>
      <vt:variant>
        <vt:i4>5</vt:i4>
      </vt:variant>
      <vt:variant>
        <vt:lpwstr/>
      </vt:variant>
      <vt:variant>
        <vt:lpwstr>_Toc179481635</vt:lpwstr>
      </vt:variant>
      <vt:variant>
        <vt:i4>1441846</vt:i4>
      </vt:variant>
      <vt:variant>
        <vt:i4>44</vt:i4>
      </vt:variant>
      <vt:variant>
        <vt:i4>0</vt:i4>
      </vt:variant>
      <vt:variant>
        <vt:i4>5</vt:i4>
      </vt:variant>
      <vt:variant>
        <vt:lpwstr/>
      </vt:variant>
      <vt:variant>
        <vt:lpwstr>_Toc179481634</vt:lpwstr>
      </vt:variant>
      <vt:variant>
        <vt:i4>1441846</vt:i4>
      </vt:variant>
      <vt:variant>
        <vt:i4>38</vt:i4>
      </vt:variant>
      <vt:variant>
        <vt:i4>0</vt:i4>
      </vt:variant>
      <vt:variant>
        <vt:i4>5</vt:i4>
      </vt:variant>
      <vt:variant>
        <vt:lpwstr/>
      </vt:variant>
      <vt:variant>
        <vt:lpwstr>_Toc179481633</vt:lpwstr>
      </vt:variant>
      <vt:variant>
        <vt:i4>1441846</vt:i4>
      </vt:variant>
      <vt:variant>
        <vt:i4>32</vt:i4>
      </vt:variant>
      <vt:variant>
        <vt:i4>0</vt:i4>
      </vt:variant>
      <vt:variant>
        <vt:i4>5</vt:i4>
      </vt:variant>
      <vt:variant>
        <vt:lpwstr/>
      </vt:variant>
      <vt:variant>
        <vt:lpwstr>_Toc179481632</vt:lpwstr>
      </vt:variant>
      <vt:variant>
        <vt:i4>1441846</vt:i4>
      </vt:variant>
      <vt:variant>
        <vt:i4>26</vt:i4>
      </vt:variant>
      <vt:variant>
        <vt:i4>0</vt:i4>
      </vt:variant>
      <vt:variant>
        <vt:i4>5</vt:i4>
      </vt:variant>
      <vt:variant>
        <vt:lpwstr/>
      </vt:variant>
      <vt:variant>
        <vt:lpwstr>_Toc179481631</vt:lpwstr>
      </vt:variant>
      <vt:variant>
        <vt:i4>1441846</vt:i4>
      </vt:variant>
      <vt:variant>
        <vt:i4>20</vt:i4>
      </vt:variant>
      <vt:variant>
        <vt:i4>0</vt:i4>
      </vt:variant>
      <vt:variant>
        <vt:i4>5</vt:i4>
      </vt:variant>
      <vt:variant>
        <vt:lpwstr/>
      </vt:variant>
      <vt:variant>
        <vt:lpwstr>_Toc179481630</vt:lpwstr>
      </vt:variant>
      <vt:variant>
        <vt:i4>1507382</vt:i4>
      </vt:variant>
      <vt:variant>
        <vt:i4>14</vt:i4>
      </vt:variant>
      <vt:variant>
        <vt:i4>0</vt:i4>
      </vt:variant>
      <vt:variant>
        <vt:i4>5</vt:i4>
      </vt:variant>
      <vt:variant>
        <vt:lpwstr/>
      </vt:variant>
      <vt:variant>
        <vt:lpwstr>_Toc179481625</vt:lpwstr>
      </vt:variant>
      <vt:variant>
        <vt:i4>1507382</vt:i4>
      </vt:variant>
      <vt:variant>
        <vt:i4>8</vt:i4>
      </vt:variant>
      <vt:variant>
        <vt:i4>0</vt:i4>
      </vt:variant>
      <vt:variant>
        <vt:i4>5</vt:i4>
      </vt:variant>
      <vt:variant>
        <vt:lpwstr/>
      </vt:variant>
      <vt:variant>
        <vt:lpwstr>_Toc179481622</vt:lpwstr>
      </vt:variant>
      <vt:variant>
        <vt:i4>1507382</vt:i4>
      </vt:variant>
      <vt:variant>
        <vt:i4>2</vt:i4>
      </vt:variant>
      <vt:variant>
        <vt:i4>0</vt:i4>
      </vt:variant>
      <vt:variant>
        <vt:i4>5</vt:i4>
      </vt:variant>
      <vt:variant>
        <vt:lpwstr/>
      </vt:variant>
      <vt:variant>
        <vt:lpwstr>_Toc179481621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Jones</dc:creator>
  <cp:keywords/>
  <dc:description/>
  <cp:lastModifiedBy>Emma Pritchard</cp:lastModifiedBy>
  <cp:revision>84</cp:revision>
  <dcterms:created xsi:type="dcterms:W3CDTF">2025-02-17T21:35:00Z</dcterms:created>
  <dcterms:modified xsi:type="dcterms:W3CDTF">2025-03-25T08:53:00Z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2024-09-06T08:32:40Z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c7bf4477-bf6b-4e75-8b40-c19a596f771f</vt:lpwstr>
  </property>
  <property fmtid="{D5CDD505-2E9C-101B-9397-08002B2CF9AE}" pid="8" name="MSIP_Label_d3f1612d-fb9f-4910-9745-3218a93e4acc_ContentBits">
    <vt:lpwstr>0</vt:lpwstr>
  </property>
</Properties>
</file>