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272E" w14:textId="77777777" w:rsidR="00034336" w:rsidRDefault="00034336" w:rsidP="00034336">
      <w:pPr>
        <w:pStyle w:val="NoSpacing"/>
        <w:rPr>
          <w:rFonts w:eastAsia="Calibri"/>
          <w:sz w:val="36"/>
          <w:szCs w:val="36"/>
        </w:rPr>
      </w:pPr>
      <w:bookmarkStart w:id="0" w:name="_Toc163657819"/>
      <w:r>
        <w:rPr>
          <w:noProof/>
        </w:rPr>
        <w:drawing>
          <wp:anchor distT="0" distB="0" distL="114300" distR="114300" simplePos="0" relativeHeight="251658241" behindDoc="0" locked="0" layoutInCell="1" allowOverlap="1" wp14:anchorId="3DFAF6E3" wp14:editId="17A03B1B">
            <wp:simplePos x="0" y="0"/>
            <wp:positionH relativeFrom="column">
              <wp:posOffset>19830</wp:posOffset>
            </wp:positionH>
            <wp:positionV relativeFrom="paragraph">
              <wp:posOffset>213995</wp:posOffset>
            </wp:positionV>
            <wp:extent cx="2879725" cy="575945"/>
            <wp:effectExtent l="0" t="0" r="0" b="0"/>
            <wp:wrapSquare wrapText="bothSides"/>
            <wp:docPr id="12129884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88426"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57594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6C6BA61E" wp14:editId="78D0B771">
            <wp:simplePos x="0" y="0"/>
            <wp:positionH relativeFrom="column">
              <wp:posOffset>3330575</wp:posOffset>
            </wp:positionH>
            <wp:positionV relativeFrom="paragraph">
              <wp:posOffset>543</wp:posOffset>
            </wp:positionV>
            <wp:extent cx="2390775" cy="1024255"/>
            <wp:effectExtent l="0" t="0" r="9525" b="0"/>
            <wp:wrapSquare wrapText="bothSides"/>
            <wp:docPr id="5059366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36605"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1024255"/>
                    </a:xfrm>
                    <a:prstGeom prst="rect">
                      <a:avLst/>
                    </a:prstGeom>
                    <a:noFill/>
                    <a:ln>
                      <a:noFill/>
                    </a:ln>
                  </pic:spPr>
                </pic:pic>
              </a:graphicData>
            </a:graphic>
          </wp:anchor>
        </w:drawing>
      </w:r>
      <w:bookmarkEnd w:id="0"/>
      <w:r>
        <w:rPr>
          <w:noProof/>
        </w:rPr>
        <w:t xml:space="preserve">     </w:t>
      </w:r>
      <w:r w:rsidRPr="000B583E">
        <w:rPr>
          <w:noProof/>
        </w:rPr>
        <w:t xml:space="preserve"> </w:t>
      </w:r>
    </w:p>
    <w:p w14:paraId="4DCF1EEB" w14:textId="63B88117" w:rsidR="009B2649" w:rsidRPr="00B568F3" w:rsidRDefault="009B2649" w:rsidP="004E5952">
      <w:pPr>
        <w:widowControl w:val="0"/>
        <w:suppressAutoHyphens/>
        <w:spacing w:after="0" w:line="240" w:lineRule="auto"/>
        <w:jc w:val="center"/>
        <w:rPr>
          <w:rFonts w:ascii="Arial" w:eastAsia="Calibri" w:hAnsi="Arial" w:cs="Arial"/>
          <w:b/>
          <w:sz w:val="32"/>
          <w:szCs w:val="32"/>
        </w:rPr>
      </w:pPr>
    </w:p>
    <w:p w14:paraId="5D9D2199" w14:textId="70CB9756" w:rsidR="002D1B1F" w:rsidRDefault="00AC3D35" w:rsidP="000C06A7">
      <w:pPr>
        <w:pStyle w:val="Heading1"/>
        <w:rPr>
          <w:rFonts w:ascii="Arial" w:hAnsi="Arial" w:cs="Arial"/>
          <w:b/>
          <w:bCs/>
          <w:color w:val="11846A"/>
          <w:sz w:val="52"/>
          <w:szCs w:val="52"/>
        </w:rPr>
      </w:pPr>
      <w:bookmarkStart w:id="1" w:name="_Toc210987756"/>
      <w:bookmarkStart w:id="2" w:name="_Toc211279609"/>
      <w:r>
        <w:rPr>
          <w:rFonts w:ascii="Arial" w:hAnsi="Arial" w:cs="Arial"/>
          <w:b/>
          <w:bCs/>
          <w:color w:val="11846A"/>
          <w:sz w:val="52"/>
          <w:szCs w:val="52"/>
        </w:rPr>
        <w:t xml:space="preserve">Social Care Wales Workforce Development Programme (SCWWDP) </w:t>
      </w:r>
      <w:r w:rsidR="00721D92">
        <w:rPr>
          <w:rFonts w:ascii="Arial" w:hAnsi="Arial" w:cs="Arial"/>
          <w:b/>
          <w:bCs/>
          <w:color w:val="11846A"/>
          <w:sz w:val="52"/>
          <w:szCs w:val="52"/>
        </w:rPr>
        <w:t>e</w:t>
      </w:r>
      <w:r w:rsidR="069F4A6E" w:rsidRPr="000C06A7">
        <w:rPr>
          <w:rFonts w:ascii="Arial" w:hAnsi="Arial" w:cs="Arial"/>
          <w:b/>
          <w:bCs/>
          <w:color w:val="11846A"/>
          <w:sz w:val="52"/>
          <w:szCs w:val="52"/>
        </w:rPr>
        <w:t xml:space="preserve">nd of year monitoring for </w:t>
      </w:r>
      <w:r w:rsidR="009B322B" w:rsidRPr="000C06A7">
        <w:rPr>
          <w:rFonts w:ascii="Arial" w:hAnsi="Arial" w:cs="Arial"/>
          <w:b/>
          <w:bCs/>
          <w:color w:val="11846A"/>
          <w:sz w:val="52"/>
          <w:szCs w:val="52"/>
        </w:rPr>
        <w:t>202</w:t>
      </w:r>
      <w:r w:rsidR="009B322B">
        <w:rPr>
          <w:rFonts w:ascii="Arial" w:hAnsi="Arial" w:cs="Arial"/>
          <w:b/>
          <w:bCs/>
          <w:color w:val="11846A"/>
          <w:sz w:val="52"/>
          <w:szCs w:val="52"/>
        </w:rPr>
        <w:t>4</w:t>
      </w:r>
      <w:r w:rsidR="009B322B" w:rsidRPr="000C06A7">
        <w:rPr>
          <w:rFonts w:ascii="Arial" w:hAnsi="Arial" w:cs="Arial"/>
          <w:b/>
          <w:bCs/>
          <w:color w:val="11846A"/>
          <w:sz w:val="52"/>
          <w:szCs w:val="52"/>
        </w:rPr>
        <w:t xml:space="preserve"> </w:t>
      </w:r>
      <w:r w:rsidR="0090613E" w:rsidRPr="000C06A7">
        <w:rPr>
          <w:rFonts w:ascii="Arial" w:hAnsi="Arial" w:cs="Arial"/>
          <w:b/>
          <w:bCs/>
          <w:color w:val="11846A"/>
          <w:sz w:val="52"/>
          <w:szCs w:val="52"/>
        </w:rPr>
        <w:t xml:space="preserve">to </w:t>
      </w:r>
      <w:r w:rsidR="009B322B" w:rsidRPr="000C06A7">
        <w:rPr>
          <w:rFonts w:ascii="Arial" w:hAnsi="Arial" w:cs="Arial"/>
          <w:b/>
          <w:bCs/>
          <w:color w:val="11846A"/>
          <w:sz w:val="52"/>
          <w:szCs w:val="52"/>
        </w:rPr>
        <w:t>202</w:t>
      </w:r>
      <w:r w:rsidR="009B322B">
        <w:rPr>
          <w:rFonts w:ascii="Arial" w:hAnsi="Arial" w:cs="Arial"/>
          <w:b/>
          <w:bCs/>
          <w:color w:val="11846A"/>
          <w:sz w:val="52"/>
          <w:szCs w:val="52"/>
        </w:rPr>
        <w:t>5</w:t>
      </w:r>
      <w:r w:rsidR="069F4A6E" w:rsidRPr="000C06A7">
        <w:rPr>
          <w:rFonts w:ascii="Arial" w:hAnsi="Arial" w:cs="Arial"/>
          <w:b/>
          <w:bCs/>
          <w:color w:val="11846A"/>
          <w:sz w:val="52"/>
          <w:szCs w:val="52"/>
        </w:rPr>
        <w:t xml:space="preserve">: </w:t>
      </w:r>
      <w:r w:rsidR="00454731" w:rsidRPr="000C06A7">
        <w:rPr>
          <w:rFonts w:ascii="Arial" w:hAnsi="Arial" w:cs="Arial"/>
          <w:b/>
          <w:bCs/>
          <w:color w:val="11846A"/>
          <w:sz w:val="52"/>
          <w:szCs w:val="52"/>
        </w:rPr>
        <w:t>Summary of themes and findings</w:t>
      </w:r>
      <w:bookmarkEnd w:id="1"/>
      <w:bookmarkEnd w:id="2"/>
    </w:p>
    <w:p w14:paraId="7B0C6CA0" w14:textId="77777777" w:rsidR="003F3DE1" w:rsidRDefault="003F3DE1" w:rsidP="003F3DE1"/>
    <w:p w14:paraId="736970F3" w14:textId="77777777" w:rsidR="003F3DE1" w:rsidRDefault="003F3DE1" w:rsidP="003F3DE1"/>
    <w:p w14:paraId="44F41586" w14:textId="77777777" w:rsidR="00706B99" w:rsidRDefault="00706B99" w:rsidP="003F3DE1"/>
    <w:p w14:paraId="2132FF77" w14:textId="691F649E" w:rsidR="003F3DE1" w:rsidRDefault="00706B99" w:rsidP="003F3DE1">
      <w:pPr>
        <w:rPr>
          <w:rFonts w:asciiTheme="minorBidi" w:hAnsiTheme="minorBidi"/>
          <w:b/>
          <w:bCs/>
          <w:color w:val="11846A"/>
          <w:sz w:val="56"/>
          <w:szCs w:val="56"/>
        </w:rPr>
      </w:pPr>
      <w:r>
        <w:rPr>
          <w:rFonts w:asciiTheme="minorBidi" w:hAnsiTheme="minorBidi"/>
          <w:b/>
          <w:bCs/>
          <w:color w:val="11846A"/>
          <w:sz w:val="56"/>
          <w:szCs w:val="56"/>
        </w:rPr>
        <w:t>October</w:t>
      </w:r>
      <w:r w:rsidR="003F3DE1" w:rsidRPr="00427DBE">
        <w:rPr>
          <w:rFonts w:asciiTheme="minorBidi" w:hAnsiTheme="minorBidi"/>
          <w:b/>
          <w:bCs/>
          <w:color w:val="11846A"/>
          <w:sz w:val="56"/>
          <w:szCs w:val="56"/>
        </w:rPr>
        <w:t xml:space="preserve"> 2025</w:t>
      </w:r>
    </w:p>
    <w:p w14:paraId="7D7BDD7C" w14:textId="77777777" w:rsidR="00706B99" w:rsidRDefault="00706B99" w:rsidP="003F3DE1">
      <w:pPr>
        <w:rPr>
          <w:rFonts w:asciiTheme="minorBidi" w:hAnsiTheme="minorBidi"/>
          <w:b/>
          <w:bCs/>
          <w:color w:val="11846A"/>
          <w:sz w:val="56"/>
          <w:szCs w:val="56"/>
        </w:rPr>
      </w:pPr>
    </w:p>
    <w:p w14:paraId="4415910C" w14:textId="77777777" w:rsidR="00706B99" w:rsidRDefault="00706B99" w:rsidP="003F3DE1">
      <w:pPr>
        <w:rPr>
          <w:rFonts w:asciiTheme="minorBidi" w:hAnsiTheme="minorBidi"/>
          <w:b/>
          <w:bCs/>
          <w:color w:val="11846A"/>
          <w:sz w:val="56"/>
          <w:szCs w:val="56"/>
        </w:rPr>
      </w:pPr>
    </w:p>
    <w:p w14:paraId="3976C3FD" w14:textId="77777777" w:rsidR="00706B99" w:rsidRDefault="00706B99" w:rsidP="003F3DE1">
      <w:pPr>
        <w:rPr>
          <w:rFonts w:asciiTheme="minorBidi" w:hAnsiTheme="minorBidi"/>
          <w:b/>
          <w:bCs/>
          <w:color w:val="11846A"/>
          <w:sz w:val="56"/>
          <w:szCs w:val="56"/>
        </w:rPr>
      </w:pPr>
    </w:p>
    <w:p w14:paraId="63885D98" w14:textId="77777777" w:rsidR="00706B99" w:rsidRDefault="00706B99" w:rsidP="003F3DE1">
      <w:pPr>
        <w:rPr>
          <w:rFonts w:asciiTheme="minorBidi" w:hAnsiTheme="minorBidi"/>
          <w:b/>
          <w:bCs/>
          <w:color w:val="11846A"/>
          <w:sz w:val="56"/>
          <w:szCs w:val="56"/>
        </w:rPr>
      </w:pPr>
    </w:p>
    <w:p w14:paraId="66CECCC9" w14:textId="77777777" w:rsidR="00942815" w:rsidRDefault="00942815" w:rsidP="003F3DE1">
      <w:pPr>
        <w:rPr>
          <w:rFonts w:asciiTheme="minorBidi" w:hAnsiTheme="minorBidi"/>
          <w:b/>
          <w:bCs/>
          <w:color w:val="11846A"/>
          <w:sz w:val="56"/>
          <w:szCs w:val="56"/>
        </w:rPr>
      </w:pPr>
    </w:p>
    <w:p w14:paraId="7654DB60" w14:textId="77777777" w:rsidR="00942815" w:rsidRDefault="00942815" w:rsidP="003F3DE1">
      <w:pPr>
        <w:rPr>
          <w:rFonts w:asciiTheme="minorBidi" w:hAnsiTheme="minorBidi"/>
          <w:b/>
          <w:bCs/>
          <w:color w:val="11846A"/>
          <w:sz w:val="56"/>
          <w:szCs w:val="56"/>
        </w:rPr>
      </w:pPr>
    </w:p>
    <w:p w14:paraId="1249C202" w14:textId="77777777" w:rsidR="00706B99" w:rsidRPr="00427DBE" w:rsidRDefault="00706B99" w:rsidP="00706B99">
      <w:pPr>
        <w:rPr>
          <w:rFonts w:asciiTheme="minorBidi" w:hAnsiTheme="minorBidi"/>
        </w:rPr>
      </w:pPr>
      <w:hyperlink r:id="rId13" w:history="1">
        <w:proofErr w:type="spellStart"/>
        <w:r w:rsidRPr="00427DBE">
          <w:rPr>
            <w:rStyle w:val="Hyperlink"/>
            <w:rFonts w:asciiTheme="minorBidi" w:hAnsiTheme="minorBidi"/>
          </w:rPr>
          <w:t>Mae’r</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ddogfen</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yma</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hefyd</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ar</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gael</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yn</w:t>
        </w:r>
        <w:proofErr w:type="spellEnd"/>
        <w:r w:rsidRPr="00427DBE">
          <w:rPr>
            <w:rStyle w:val="Hyperlink"/>
            <w:rFonts w:asciiTheme="minorBidi" w:hAnsiTheme="minorBidi"/>
          </w:rPr>
          <w:t xml:space="preserve"> </w:t>
        </w:r>
        <w:proofErr w:type="spellStart"/>
        <w:r w:rsidRPr="00427DBE">
          <w:rPr>
            <w:rStyle w:val="Hyperlink"/>
            <w:rFonts w:asciiTheme="minorBidi" w:hAnsiTheme="minorBidi"/>
          </w:rPr>
          <w:t>Gymraeg</w:t>
        </w:r>
        <w:proofErr w:type="spellEnd"/>
        <w:r w:rsidRPr="00427DBE">
          <w:rPr>
            <w:rStyle w:val="Hyperlink"/>
            <w:rFonts w:asciiTheme="minorBidi" w:hAnsiTheme="minorBidi"/>
          </w:rPr>
          <w:t>. This document is also available in Welsh.</w:t>
        </w:r>
      </w:hyperlink>
      <w:r w:rsidRPr="00427DBE">
        <w:rPr>
          <w:rFonts w:asciiTheme="minorBidi" w:hAnsiTheme="minorBidi"/>
        </w:rPr>
        <w:t xml:space="preserve"> </w:t>
      </w:r>
    </w:p>
    <w:p w14:paraId="11B1B47D" w14:textId="77777777" w:rsidR="00AC79FA" w:rsidRDefault="00AC79FA" w:rsidP="002D1B1F">
      <w:pPr>
        <w:spacing w:after="0" w:line="240" w:lineRule="auto"/>
        <w:rPr>
          <w:rFonts w:ascii="Arial" w:eastAsia="Calibri" w:hAnsi="Arial" w:cs="Arial"/>
          <w:b/>
          <w:color w:val="FF0000"/>
          <w:sz w:val="24"/>
          <w:szCs w:val="24"/>
        </w:rPr>
      </w:pPr>
    </w:p>
    <w:sdt>
      <w:sdtPr>
        <w:rPr>
          <w:rFonts w:ascii="Arial" w:eastAsiaTheme="minorEastAsia" w:hAnsi="Arial" w:cs="Arial"/>
          <w:color w:val="auto"/>
          <w:sz w:val="22"/>
          <w:szCs w:val="22"/>
          <w:lang w:val="en-GB"/>
        </w:rPr>
        <w:id w:val="-1091155775"/>
        <w:docPartObj>
          <w:docPartGallery w:val="Table of Contents"/>
          <w:docPartUnique/>
        </w:docPartObj>
      </w:sdtPr>
      <w:sdtEndPr>
        <w:rPr>
          <w:rFonts w:asciiTheme="minorHAnsi" w:hAnsiTheme="minorHAnsi" w:cstheme="minorBidi"/>
          <w:b/>
          <w:bCs/>
        </w:rPr>
      </w:sdtEndPr>
      <w:sdtContent>
        <w:p w14:paraId="6627D746" w14:textId="0662BDCD" w:rsidR="002D1B1F" w:rsidRPr="000C06A7" w:rsidRDefault="002D1B1F" w:rsidP="002D1B1F">
          <w:pPr>
            <w:pStyle w:val="TOCHeading"/>
            <w:rPr>
              <w:rFonts w:ascii="Arial" w:hAnsi="Arial" w:cs="Arial"/>
              <w:b/>
              <w:color w:val="auto"/>
              <w:sz w:val="28"/>
              <w:szCs w:val="28"/>
              <w:lang w:val="en-GB" w:eastAsia="en-GB"/>
            </w:rPr>
          </w:pPr>
          <w:r w:rsidRPr="000C06A7">
            <w:rPr>
              <w:rFonts w:ascii="Arial" w:hAnsi="Arial" w:cs="Arial"/>
              <w:b/>
              <w:color w:val="auto"/>
              <w:sz w:val="28"/>
              <w:szCs w:val="28"/>
              <w:lang w:val="en-GB" w:eastAsia="en-GB"/>
            </w:rPr>
            <w:t>Contents</w:t>
          </w:r>
        </w:p>
        <w:p w14:paraId="38B9B3B9" w14:textId="297C8E70" w:rsidR="00BA21B8" w:rsidRPr="00D301CA" w:rsidRDefault="002D1B1F" w:rsidP="00BA21B8">
          <w:pPr>
            <w:pStyle w:val="TOC1"/>
            <w:tabs>
              <w:tab w:val="right" w:leader="dot" w:pos="9016"/>
            </w:tabs>
            <w:rPr>
              <w:rFonts w:asciiTheme="minorBidi" w:eastAsiaTheme="minorEastAsia" w:hAnsiTheme="minorBidi"/>
              <w:noProof/>
              <w:kern w:val="2"/>
              <w:sz w:val="24"/>
              <w:szCs w:val="24"/>
              <w:lang w:eastAsia="en-GB"/>
              <w14:ligatures w14:val="standardContextual"/>
            </w:rPr>
          </w:pPr>
          <w:r w:rsidRPr="000C06A7">
            <w:rPr>
              <w:rFonts w:ascii="Arial" w:hAnsi="Arial" w:cs="Arial"/>
              <w:sz w:val="24"/>
              <w:szCs w:val="24"/>
            </w:rPr>
            <w:fldChar w:fldCharType="begin"/>
          </w:r>
          <w:r w:rsidRPr="000C06A7">
            <w:rPr>
              <w:rFonts w:ascii="Arial" w:hAnsi="Arial" w:cs="Arial"/>
              <w:sz w:val="24"/>
              <w:szCs w:val="24"/>
            </w:rPr>
            <w:instrText xml:space="preserve"> TOC \o "1-3" \h \z \u </w:instrText>
          </w:r>
          <w:r w:rsidRPr="000C06A7">
            <w:rPr>
              <w:rFonts w:ascii="Arial" w:hAnsi="Arial" w:cs="Arial"/>
              <w:sz w:val="24"/>
              <w:szCs w:val="24"/>
            </w:rPr>
            <w:fldChar w:fldCharType="separate"/>
          </w:r>
        </w:p>
        <w:p w14:paraId="47308CA2" w14:textId="610FED44"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10" w:history="1">
            <w:r w:rsidRPr="00D301CA">
              <w:rPr>
                <w:rStyle w:val="Hyperlink"/>
                <w:rFonts w:asciiTheme="minorBidi" w:hAnsiTheme="minorBidi"/>
                <w:noProof/>
                <w:sz w:val="24"/>
                <w:szCs w:val="24"/>
              </w:rPr>
              <w:t>1.</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Introduction</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_Toc211279610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3</w:t>
            </w:r>
            <w:r w:rsidRPr="00D301CA">
              <w:rPr>
                <w:rFonts w:asciiTheme="minorBidi" w:hAnsiTheme="minorBidi"/>
                <w:noProof/>
                <w:webHidden/>
                <w:sz w:val="24"/>
                <w:szCs w:val="24"/>
              </w:rPr>
              <w:fldChar w:fldCharType="end"/>
            </w:r>
          </w:hyperlink>
        </w:p>
        <w:p w14:paraId="2C7051DE" w14:textId="2BC936E4"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12" w:history="1">
            <w:r w:rsidRPr="00D301CA">
              <w:rPr>
                <w:rStyle w:val="Hyperlink"/>
                <w:rFonts w:asciiTheme="minorBidi" w:hAnsiTheme="minorBidi"/>
                <w:noProof/>
                <w:sz w:val="24"/>
                <w:szCs w:val="24"/>
              </w:rPr>
              <w:t>2.</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Main findings</w:t>
            </w:r>
            <w:r w:rsidR="00C43F96">
              <w:rPr>
                <w:rStyle w:val="Hyperlink"/>
                <w:rFonts w:asciiTheme="minorBidi" w:hAnsiTheme="minorBidi"/>
                <w:noProof/>
                <w:sz w:val="24"/>
                <w:szCs w:val="24"/>
              </w:rPr>
              <w:t xml:space="preserve"> and future developments</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_Toc211279612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6</w:t>
            </w:r>
            <w:r w:rsidRPr="00D301CA">
              <w:rPr>
                <w:rFonts w:asciiTheme="minorBidi" w:hAnsiTheme="minorBidi"/>
                <w:noProof/>
                <w:webHidden/>
                <w:sz w:val="24"/>
                <w:szCs w:val="24"/>
              </w:rPr>
              <w:fldChar w:fldCharType="end"/>
            </w:r>
          </w:hyperlink>
        </w:p>
        <w:p w14:paraId="12064F73" w14:textId="29064156"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14" w:history="1">
            <w:r w:rsidRPr="00D301CA">
              <w:rPr>
                <w:rStyle w:val="Hyperlink"/>
                <w:rFonts w:asciiTheme="minorBidi" w:hAnsiTheme="minorBidi"/>
                <w:noProof/>
                <w:sz w:val="24"/>
                <w:szCs w:val="24"/>
              </w:rPr>
              <w:t>3.</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Spend analysis</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_Toc211279614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8</w:t>
            </w:r>
            <w:r w:rsidRPr="00D301CA">
              <w:rPr>
                <w:rFonts w:asciiTheme="minorBidi" w:hAnsiTheme="minorBidi"/>
                <w:noProof/>
                <w:webHidden/>
                <w:sz w:val="24"/>
                <w:szCs w:val="24"/>
              </w:rPr>
              <w:fldChar w:fldCharType="end"/>
            </w:r>
          </w:hyperlink>
        </w:p>
        <w:p w14:paraId="2ECD1829" w14:textId="15444CFF"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18" w:history="1">
            <w:r w:rsidRPr="00D301CA">
              <w:rPr>
                <w:rStyle w:val="Hyperlink"/>
                <w:rFonts w:asciiTheme="minorBidi" w:hAnsiTheme="minorBidi"/>
                <w:noProof/>
                <w:sz w:val="24"/>
                <w:szCs w:val="24"/>
              </w:rPr>
              <w:t>4.</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National priorities</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_Toc211279618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17</w:t>
            </w:r>
            <w:r w:rsidRPr="00D301CA">
              <w:rPr>
                <w:rFonts w:asciiTheme="minorBidi" w:hAnsiTheme="minorBidi"/>
                <w:noProof/>
                <w:webHidden/>
                <w:sz w:val="24"/>
                <w:szCs w:val="24"/>
              </w:rPr>
              <w:fldChar w:fldCharType="end"/>
            </w:r>
          </w:hyperlink>
        </w:p>
        <w:p w14:paraId="52AE1DF2" w14:textId="61B6ADC9" w:rsidR="00BA21B8" w:rsidRPr="00D301CA" w:rsidRDefault="00BA21B8" w:rsidP="00D301CA">
          <w:pPr>
            <w:pStyle w:val="TOC2"/>
            <w:ind w:left="720"/>
            <w:rPr>
              <w:rFonts w:asciiTheme="minorBidi" w:eastAsiaTheme="minorEastAsia" w:hAnsiTheme="minorBidi"/>
              <w:noProof/>
              <w:kern w:val="2"/>
              <w:sz w:val="24"/>
              <w:szCs w:val="24"/>
              <w:lang w:eastAsia="en-GB"/>
              <w14:ligatures w14:val="standardContextual"/>
            </w:rPr>
          </w:pPr>
          <w:hyperlink w:anchor="_Toc211279623" w:history="1">
            <w:r w:rsidRPr="00D301CA">
              <w:rPr>
                <w:rStyle w:val="Hyperlink"/>
                <w:rFonts w:asciiTheme="minorBidi" w:hAnsiTheme="minorBidi"/>
                <w:noProof/>
                <w:sz w:val="24"/>
                <w:szCs w:val="24"/>
              </w:rPr>
              <w:t>Priority 1: Building a digitally ready workforce</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_Toc211279623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34</w:t>
            </w:r>
            <w:r w:rsidRPr="00D301CA">
              <w:rPr>
                <w:rFonts w:asciiTheme="minorBidi" w:hAnsiTheme="minorBidi"/>
                <w:noProof/>
                <w:webHidden/>
                <w:sz w:val="24"/>
                <w:szCs w:val="24"/>
              </w:rPr>
              <w:fldChar w:fldCharType="end"/>
            </w:r>
          </w:hyperlink>
        </w:p>
        <w:p w14:paraId="7CBFB12A" w14:textId="081C046B" w:rsidR="00BA21B8" w:rsidRPr="00D301CA" w:rsidRDefault="00BA21B8" w:rsidP="00D301CA">
          <w:pPr>
            <w:pStyle w:val="TOC2"/>
            <w:ind w:left="720"/>
            <w:rPr>
              <w:rFonts w:asciiTheme="minorBidi" w:eastAsiaTheme="minorEastAsia" w:hAnsiTheme="minorBidi"/>
              <w:noProof/>
              <w:kern w:val="2"/>
              <w:sz w:val="24"/>
              <w:szCs w:val="24"/>
              <w:lang w:eastAsia="en-GB"/>
              <w14:ligatures w14:val="standardContextual"/>
            </w:rPr>
          </w:pPr>
          <w:hyperlink w:anchor="_Toc211279624" w:history="1">
            <w:r w:rsidRPr="00D301CA">
              <w:rPr>
                <w:rStyle w:val="Hyperlink"/>
                <w:rFonts w:asciiTheme="minorBidi" w:hAnsiTheme="minorBidi"/>
                <w:noProof/>
                <w:sz w:val="24"/>
                <w:szCs w:val="24"/>
              </w:rPr>
              <w:t>Priority 2: Excellent education and learning</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_Toc211279624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38</w:t>
            </w:r>
            <w:r w:rsidRPr="00D301CA">
              <w:rPr>
                <w:rFonts w:asciiTheme="minorBidi" w:hAnsiTheme="minorBidi"/>
                <w:noProof/>
                <w:webHidden/>
                <w:sz w:val="24"/>
                <w:szCs w:val="24"/>
              </w:rPr>
              <w:fldChar w:fldCharType="end"/>
            </w:r>
          </w:hyperlink>
        </w:p>
        <w:p w14:paraId="55A57649" w14:textId="432BC392" w:rsidR="00BA21B8" w:rsidRPr="00D301CA" w:rsidRDefault="00BA21B8" w:rsidP="00D301CA">
          <w:pPr>
            <w:pStyle w:val="TOC2"/>
            <w:ind w:left="720"/>
            <w:rPr>
              <w:rFonts w:asciiTheme="minorBidi" w:eastAsiaTheme="minorEastAsia" w:hAnsiTheme="minorBidi"/>
              <w:noProof/>
              <w:kern w:val="2"/>
              <w:sz w:val="24"/>
              <w:szCs w:val="24"/>
              <w:lang w:eastAsia="en-GB"/>
              <w14:ligatures w14:val="standardContextual"/>
            </w:rPr>
          </w:pPr>
          <w:hyperlink w:anchor="_Toc211279626" w:history="1">
            <w:r w:rsidRPr="00D301CA">
              <w:rPr>
                <w:rStyle w:val="Hyperlink"/>
                <w:rFonts w:asciiTheme="minorBidi" w:hAnsiTheme="minorBidi"/>
                <w:noProof/>
                <w:sz w:val="24"/>
                <w:szCs w:val="24"/>
              </w:rPr>
              <w:t>Priority 3: Qualifying and post qualifying programmes for social work</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_Toc211279626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45</w:t>
            </w:r>
            <w:r w:rsidRPr="00D301CA">
              <w:rPr>
                <w:rFonts w:asciiTheme="minorBidi" w:hAnsiTheme="minorBidi"/>
                <w:noProof/>
                <w:webHidden/>
                <w:sz w:val="24"/>
                <w:szCs w:val="24"/>
              </w:rPr>
              <w:fldChar w:fldCharType="end"/>
            </w:r>
          </w:hyperlink>
        </w:p>
        <w:p w14:paraId="6D1E7371" w14:textId="27D23561" w:rsidR="00BA21B8" w:rsidRPr="00D301CA" w:rsidRDefault="00BA21B8" w:rsidP="00D301CA">
          <w:pPr>
            <w:pStyle w:val="TOC2"/>
            <w:ind w:left="720"/>
            <w:rPr>
              <w:rFonts w:asciiTheme="minorBidi" w:eastAsiaTheme="minorEastAsia" w:hAnsiTheme="minorBidi"/>
              <w:noProof/>
              <w:kern w:val="2"/>
              <w:sz w:val="24"/>
              <w:szCs w:val="24"/>
              <w:lang w:eastAsia="en-GB"/>
              <w14:ligatures w14:val="standardContextual"/>
            </w:rPr>
          </w:pPr>
          <w:hyperlink w:anchor="_Toc211279628" w:history="1">
            <w:r w:rsidRPr="00D301CA">
              <w:rPr>
                <w:rStyle w:val="Hyperlink"/>
                <w:rFonts w:asciiTheme="minorBidi" w:hAnsiTheme="minorBidi"/>
                <w:noProof/>
                <w:sz w:val="24"/>
                <w:szCs w:val="24"/>
              </w:rPr>
              <w:t>Priority 4: Leadership and succession</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_Toc211279628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51</w:t>
            </w:r>
            <w:r w:rsidRPr="00D301CA">
              <w:rPr>
                <w:rFonts w:asciiTheme="minorBidi" w:hAnsiTheme="minorBidi"/>
                <w:noProof/>
                <w:webHidden/>
                <w:sz w:val="24"/>
                <w:szCs w:val="24"/>
              </w:rPr>
              <w:fldChar w:fldCharType="end"/>
            </w:r>
          </w:hyperlink>
        </w:p>
        <w:p w14:paraId="443FB5E1" w14:textId="7FDF6A1D" w:rsidR="00BA21B8" w:rsidRPr="00D301CA" w:rsidRDefault="00BA21B8" w:rsidP="00D301CA">
          <w:pPr>
            <w:pStyle w:val="TOC2"/>
            <w:ind w:left="720"/>
            <w:rPr>
              <w:rFonts w:asciiTheme="minorBidi" w:eastAsiaTheme="minorEastAsia" w:hAnsiTheme="minorBidi"/>
              <w:noProof/>
              <w:kern w:val="2"/>
              <w:sz w:val="24"/>
              <w:szCs w:val="24"/>
              <w:lang w:eastAsia="en-GB"/>
              <w14:ligatures w14:val="standardContextual"/>
            </w:rPr>
          </w:pPr>
          <w:hyperlink w:anchor="_Toc211279629" w:history="1">
            <w:r w:rsidRPr="00D301CA">
              <w:rPr>
                <w:rStyle w:val="Hyperlink"/>
                <w:rFonts w:asciiTheme="minorBidi" w:hAnsiTheme="minorBidi"/>
                <w:noProof/>
                <w:sz w:val="24"/>
                <w:szCs w:val="24"/>
              </w:rPr>
              <w:t>Priority 5: Workforce shape and supply</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_Toc211279629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53</w:t>
            </w:r>
            <w:r w:rsidRPr="00D301CA">
              <w:rPr>
                <w:rFonts w:asciiTheme="minorBidi" w:hAnsiTheme="minorBidi"/>
                <w:noProof/>
                <w:webHidden/>
                <w:sz w:val="24"/>
                <w:szCs w:val="24"/>
              </w:rPr>
              <w:fldChar w:fldCharType="end"/>
            </w:r>
          </w:hyperlink>
        </w:p>
        <w:p w14:paraId="0D8D5133" w14:textId="72CD63FC"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31" w:history="1">
            <w:r w:rsidRPr="00D301CA">
              <w:rPr>
                <w:rStyle w:val="Hyperlink"/>
                <w:rFonts w:asciiTheme="minorBidi" w:hAnsiTheme="minorBidi"/>
                <w:noProof/>
                <w:sz w:val="24"/>
                <w:szCs w:val="24"/>
              </w:rPr>
              <w:t>5.</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Regional facilitation grant</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_Toc211279631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57</w:t>
            </w:r>
            <w:r w:rsidRPr="00D301CA">
              <w:rPr>
                <w:rFonts w:asciiTheme="minorBidi" w:hAnsiTheme="minorBidi"/>
                <w:noProof/>
                <w:webHidden/>
                <w:sz w:val="24"/>
                <w:szCs w:val="24"/>
              </w:rPr>
              <w:fldChar w:fldCharType="end"/>
            </w:r>
          </w:hyperlink>
        </w:p>
        <w:p w14:paraId="60C0AC53" w14:textId="27D7CA38"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33" w:history="1">
            <w:r w:rsidRPr="00D301CA">
              <w:rPr>
                <w:rStyle w:val="Hyperlink"/>
                <w:rFonts w:asciiTheme="minorBidi" w:hAnsiTheme="minorBidi"/>
                <w:noProof/>
                <w:sz w:val="24"/>
                <w:szCs w:val="24"/>
              </w:rPr>
              <w:t>6.</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Fundamental principles: Well-being, Welsh language and inclusion</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_Toc211279633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58</w:t>
            </w:r>
            <w:r w:rsidRPr="00D301CA">
              <w:rPr>
                <w:rFonts w:asciiTheme="minorBidi" w:hAnsiTheme="minorBidi"/>
                <w:noProof/>
                <w:webHidden/>
                <w:sz w:val="24"/>
                <w:szCs w:val="24"/>
              </w:rPr>
              <w:fldChar w:fldCharType="end"/>
            </w:r>
          </w:hyperlink>
        </w:p>
        <w:p w14:paraId="5BE0616E" w14:textId="348624B2"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37" w:history="1">
            <w:r w:rsidRPr="00D301CA">
              <w:rPr>
                <w:rStyle w:val="Hyperlink"/>
                <w:rFonts w:asciiTheme="minorBidi" w:hAnsiTheme="minorBidi"/>
                <w:noProof/>
                <w:sz w:val="24"/>
                <w:szCs w:val="24"/>
              </w:rPr>
              <w:t>7.</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Unmet need</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_Toc211279637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62</w:t>
            </w:r>
            <w:r w:rsidRPr="00D301CA">
              <w:rPr>
                <w:rFonts w:asciiTheme="minorBidi" w:hAnsiTheme="minorBidi"/>
                <w:noProof/>
                <w:webHidden/>
                <w:sz w:val="24"/>
                <w:szCs w:val="24"/>
              </w:rPr>
              <w:fldChar w:fldCharType="end"/>
            </w:r>
          </w:hyperlink>
        </w:p>
        <w:p w14:paraId="4A06A6A8" w14:textId="193A9171" w:rsidR="00BA21B8" w:rsidRPr="00D301CA" w:rsidRDefault="00BA21B8">
          <w:pPr>
            <w:pStyle w:val="TOC2"/>
            <w:tabs>
              <w:tab w:val="left" w:pos="440"/>
            </w:tabs>
            <w:rPr>
              <w:rFonts w:asciiTheme="minorBidi" w:eastAsiaTheme="minorEastAsia" w:hAnsiTheme="minorBidi"/>
              <w:noProof/>
              <w:kern w:val="2"/>
              <w:sz w:val="24"/>
              <w:szCs w:val="24"/>
              <w:lang w:eastAsia="en-GB"/>
              <w14:ligatures w14:val="standardContextual"/>
            </w:rPr>
          </w:pPr>
          <w:hyperlink w:anchor="_Toc211279638" w:history="1">
            <w:r w:rsidRPr="00D301CA">
              <w:rPr>
                <w:rStyle w:val="Hyperlink"/>
                <w:rFonts w:asciiTheme="minorBidi" w:hAnsiTheme="minorBidi"/>
                <w:noProof/>
                <w:sz w:val="24"/>
                <w:szCs w:val="24"/>
              </w:rPr>
              <w:t>8.</w:t>
            </w:r>
            <w:r w:rsidRPr="00D301CA">
              <w:rPr>
                <w:rFonts w:asciiTheme="minorBidi" w:eastAsiaTheme="minorEastAsia" w:hAnsiTheme="minorBidi"/>
                <w:noProof/>
                <w:kern w:val="2"/>
                <w:sz w:val="24"/>
                <w:szCs w:val="24"/>
                <w:lang w:eastAsia="en-GB"/>
                <w14:ligatures w14:val="standardContextual"/>
              </w:rPr>
              <w:tab/>
            </w:r>
            <w:r w:rsidRPr="00D301CA">
              <w:rPr>
                <w:rStyle w:val="Hyperlink"/>
                <w:rFonts w:asciiTheme="minorBidi" w:hAnsiTheme="minorBidi"/>
                <w:noProof/>
                <w:sz w:val="24"/>
                <w:szCs w:val="24"/>
              </w:rPr>
              <w:t>Developmental areas in future years</w:t>
            </w:r>
            <w:r w:rsidRPr="00D301CA">
              <w:rPr>
                <w:rFonts w:asciiTheme="minorBidi" w:hAnsiTheme="minorBidi"/>
                <w:noProof/>
                <w:webHidden/>
                <w:sz w:val="24"/>
                <w:szCs w:val="24"/>
              </w:rPr>
              <w:tab/>
            </w:r>
            <w:r w:rsidRPr="00D301CA">
              <w:rPr>
                <w:rFonts w:asciiTheme="minorBidi" w:hAnsiTheme="minorBidi"/>
                <w:noProof/>
                <w:webHidden/>
                <w:sz w:val="24"/>
                <w:szCs w:val="24"/>
              </w:rPr>
              <w:fldChar w:fldCharType="begin"/>
            </w:r>
            <w:r w:rsidRPr="00D301CA">
              <w:rPr>
                <w:rFonts w:asciiTheme="minorBidi" w:hAnsiTheme="minorBidi"/>
                <w:noProof/>
                <w:webHidden/>
                <w:sz w:val="24"/>
                <w:szCs w:val="24"/>
              </w:rPr>
              <w:instrText xml:space="preserve"> PAGEREF _Toc211279638 \h </w:instrText>
            </w:r>
            <w:r w:rsidRPr="00D301CA">
              <w:rPr>
                <w:rFonts w:asciiTheme="minorBidi" w:hAnsiTheme="minorBidi"/>
                <w:noProof/>
                <w:webHidden/>
                <w:sz w:val="24"/>
                <w:szCs w:val="24"/>
              </w:rPr>
            </w:r>
            <w:r w:rsidRPr="00D301CA">
              <w:rPr>
                <w:rFonts w:asciiTheme="minorBidi" w:hAnsiTheme="minorBidi"/>
                <w:noProof/>
                <w:webHidden/>
                <w:sz w:val="24"/>
                <w:szCs w:val="24"/>
              </w:rPr>
              <w:fldChar w:fldCharType="separate"/>
            </w:r>
            <w:r w:rsidR="00E758AF">
              <w:rPr>
                <w:rFonts w:asciiTheme="minorBidi" w:hAnsiTheme="minorBidi"/>
                <w:noProof/>
                <w:webHidden/>
                <w:sz w:val="24"/>
                <w:szCs w:val="24"/>
              </w:rPr>
              <w:t>63</w:t>
            </w:r>
            <w:r w:rsidRPr="00D301CA">
              <w:rPr>
                <w:rFonts w:asciiTheme="minorBidi" w:hAnsiTheme="minorBidi"/>
                <w:noProof/>
                <w:webHidden/>
                <w:sz w:val="24"/>
                <w:szCs w:val="24"/>
              </w:rPr>
              <w:fldChar w:fldCharType="end"/>
            </w:r>
          </w:hyperlink>
        </w:p>
        <w:p w14:paraId="725AD319" w14:textId="6466658A" w:rsidR="00D301CA" w:rsidRPr="00D301CA" w:rsidDel="00BA21B8" w:rsidRDefault="00D301CA" w:rsidP="00D301CA">
          <w:pPr>
            <w:pStyle w:val="TOC2"/>
            <w:rPr>
              <w:rFonts w:asciiTheme="minorBidi" w:hAnsiTheme="minorBidi"/>
              <w:noProof/>
              <w:sz w:val="24"/>
              <w:szCs w:val="24"/>
            </w:rPr>
          </w:pPr>
        </w:p>
        <w:p w14:paraId="67D819F0" w14:textId="555C6785" w:rsidR="00D301CA" w:rsidRPr="00335ADC" w:rsidDel="00BA21B8" w:rsidRDefault="00D301CA" w:rsidP="00D301CA">
          <w:pPr>
            <w:pStyle w:val="TOC2"/>
            <w:rPr>
              <w:rFonts w:asciiTheme="minorBidi" w:hAnsiTheme="minorBidi"/>
              <w:noProof/>
              <w:sz w:val="24"/>
              <w:szCs w:val="24"/>
            </w:rPr>
          </w:pPr>
        </w:p>
        <w:p w14:paraId="65017707" w14:textId="56AA7C64" w:rsidR="002D1B1F" w:rsidRPr="000C06A7" w:rsidRDefault="002D1B1F" w:rsidP="003B6900">
          <w:pPr>
            <w:pStyle w:val="TOC2"/>
          </w:pPr>
          <w:r w:rsidRPr="000C06A7">
            <w:rPr>
              <w:noProof/>
              <w:sz w:val="24"/>
              <w:szCs w:val="24"/>
            </w:rPr>
            <w:fldChar w:fldCharType="end"/>
          </w:r>
        </w:p>
      </w:sdtContent>
    </w:sdt>
    <w:p w14:paraId="093AD48A" w14:textId="77777777" w:rsidR="006048EB" w:rsidRDefault="006048EB" w:rsidP="006048EB">
      <w:pPr>
        <w:rPr>
          <w:rFonts w:ascii="Arial" w:hAnsi="Arial" w:cs="Arial"/>
          <w:lang w:eastAsia="en-GB"/>
        </w:rPr>
      </w:pPr>
    </w:p>
    <w:p w14:paraId="4F14D109" w14:textId="77777777" w:rsidR="00B31D49" w:rsidRDefault="00B31D49" w:rsidP="006048EB">
      <w:pPr>
        <w:rPr>
          <w:rFonts w:ascii="Arial" w:hAnsi="Arial" w:cs="Arial"/>
          <w:lang w:eastAsia="en-GB"/>
        </w:rPr>
      </w:pPr>
    </w:p>
    <w:p w14:paraId="68419D82" w14:textId="77777777" w:rsidR="00B31D49" w:rsidRDefault="00B31D49" w:rsidP="006048EB">
      <w:pPr>
        <w:rPr>
          <w:rFonts w:ascii="Arial" w:hAnsi="Arial" w:cs="Arial"/>
          <w:lang w:eastAsia="en-GB"/>
        </w:rPr>
      </w:pPr>
    </w:p>
    <w:p w14:paraId="06169304" w14:textId="77777777" w:rsidR="00B31D49" w:rsidRDefault="00B31D49" w:rsidP="006048EB">
      <w:pPr>
        <w:rPr>
          <w:rFonts w:ascii="Arial" w:hAnsi="Arial" w:cs="Arial"/>
          <w:lang w:eastAsia="en-GB"/>
        </w:rPr>
      </w:pPr>
    </w:p>
    <w:p w14:paraId="27CC8CA6" w14:textId="77777777" w:rsidR="00B31D49" w:rsidRDefault="00B31D49" w:rsidP="006048EB">
      <w:pPr>
        <w:rPr>
          <w:rFonts w:ascii="Arial" w:hAnsi="Arial" w:cs="Arial"/>
          <w:lang w:eastAsia="en-GB"/>
        </w:rPr>
      </w:pPr>
    </w:p>
    <w:p w14:paraId="727E5895" w14:textId="77777777" w:rsidR="003B6900" w:rsidRDefault="003B6900" w:rsidP="006048EB">
      <w:pPr>
        <w:rPr>
          <w:rFonts w:ascii="Arial" w:hAnsi="Arial" w:cs="Arial"/>
          <w:lang w:eastAsia="en-GB"/>
        </w:rPr>
      </w:pPr>
    </w:p>
    <w:p w14:paraId="5803B2E0" w14:textId="77777777" w:rsidR="003B6900" w:rsidRDefault="003B6900" w:rsidP="006048EB">
      <w:pPr>
        <w:rPr>
          <w:rFonts w:ascii="Arial" w:hAnsi="Arial" w:cs="Arial"/>
          <w:lang w:eastAsia="en-GB"/>
        </w:rPr>
      </w:pPr>
    </w:p>
    <w:p w14:paraId="6E6E4E92" w14:textId="77777777" w:rsidR="003B6900" w:rsidRDefault="003B6900" w:rsidP="006048EB">
      <w:pPr>
        <w:rPr>
          <w:rFonts w:ascii="Arial" w:hAnsi="Arial" w:cs="Arial"/>
          <w:lang w:eastAsia="en-GB"/>
        </w:rPr>
      </w:pPr>
    </w:p>
    <w:p w14:paraId="652FA621" w14:textId="77777777" w:rsidR="00B31D49" w:rsidRDefault="00B31D49" w:rsidP="006048EB">
      <w:pPr>
        <w:rPr>
          <w:rFonts w:ascii="Arial" w:hAnsi="Arial" w:cs="Arial"/>
          <w:lang w:eastAsia="en-GB"/>
        </w:rPr>
      </w:pPr>
    </w:p>
    <w:p w14:paraId="3F177391" w14:textId="77777777" w:rsidR="00B31D49" w:rsidRDefault="00B31D49" w:rsidP="006048EB">
      <w:pPr>
        <w:rPr>
          <w:rFonts w:ascii="Arial" w:hAnsi="Arial" w:cs="Arial"/>
          <w:lang w:eastAsia="en-GB"/>
        </w:rPr>
      </w:pPr>
    </w:p>
    <w:p w14:paraId="21090963" w14:textId="77777777" w:rsidR="00B31D49" w:rsidRDefault="00B31D49" w:rsidP="006048EB">
      <w:pPr>
        <w:rPr>
          <w:rFonts w:ascii="Arial" w:hAnsi="Arial" w:cs="Arial"/>
          <w:lang w:eastAsia="en-GB"/>
        </w:rPr>
      </w:pPr>
    </w:p>
    <w:p w14:paraId="3336A5E8" w14:textId="77777777" w:rsidR="00B31D49" w:rsidRDefault="00B31D49" w:rsidP="006048EB">
      <w:pPr>
        <w:rPr>
          <w:rFonts w:ascii="Arial" w:hAnsi="Arial" w:cs="Arial"/>
          <w:lang w:eastAsia="en-GB"/>
        </w:rPr>
      </w:pPr>
    </w:p>
    <w:p w14:paraId="4617B185" w14:textId="77777777" w:rsidR="000701A3" w:rsidRDefault="000701A3" w:rsidP="006048EB">
      <w:pPr>
        <w:rPr>
          <w:rFonts w:ascii="Arial" w:hAnsi="Arial" w:cs="Arial"/>
          <w:lang w:eastAsia="en-GB"/>
        </w:rPr>
      </w:pPr>
    </w:p>
    <w:p w14:paraId="60A1D28C" w14:textId="77777777" w:rsidR="00B31D49" w:rsidRDefault="00B31D49" w:rsidP="006048EB">
      <w:pPr>
        <w:rPr>
          <w:rFonts w:ascii="Arial" w:hAnsi="Arial" w:cs="Arial"/>
          <w:lang w:eastAsia="en-GB"/>
        </w:rPr>
      </w:pPr>
    </w:p>
    <w:p w14:paraId="34D39A44" w14:textId="77777777" w:rsidR="00B31D49" w:rsidRDefault="00B31D49" w:rsidP="006048EB">
      <w:pPr>
        <w:rPr>
          <w:rFonts w:ascii="Arial" w:hAnsi="Arial" w:cs="Arial"/>
          <w:lang w:eastAsia="en-GB"/>
        </w:rPr>
      </w:pPr>
    </w:p>
    <w:p w14:paraId="193FFACB" w14:textId="77777777" w:rsidR="00B31D49" w:rsidRDefault="00B31D49" w:rsidP="006048EB">
      <w:pPr>
        <w:rPr>
          <w:rFonts w:ascii="Arial" w:hAnsi="Arial" w:cs="Arial"/>
          <w:lang w:eastAsia="en-GB"/>
        </w:rPr>
      </w:pPr>
    </w:p>
    <w:p w14:paraId="2CDA2C6E" w14:textId="22C55FD0" w:rsidR="002D1B1F" w:rsidRPr="00C43F96" w:rsidRDefault="002D1B1F" w:rsidP="00C43F96">
      <w:pPr>
        <w:pStyle w:val="Heading2"/>
        <w:numPr>
          <w:ilvl w:val="0"/>
          <w:numId w:val="119"/>
        </w:numPr>
      </w:pPr>
      <w:bookmarkStart w:id="3" w:name="_Toc211279610"/>
      <w:r w:rsidRPr="000C06A7">
        <w:lastRenderedPageBreak/>
        <w:t>Introduction</w:t>
      </w:r>
      <w:bookmarkEnd w:id="3"/>
    </w:p>
    <w:p w14:paraId="54D6A5A4" w14:textId="77777777" w:rsidR="002A12C5" w:rsidRPr="000C06A7" w:rsidRDefault="002A12C5" w:rsidP="00F706C0">
      <w:pPr>
        <w:spacing w:after="0"/>
        <w:rPr>
          <w:rFonts w:ascii="Arial" w:hAnsi="Arial" w:cs="Arial"/>
          <w:sz w:val="24"/>
          <w:szCs w:val="24"/>
          <w:lang w:eastAsia="en-GB"/>
        </w:rPr>
      </w:pPr>
    </w:p>
    <w:p w14:paraId="6F6B94B9" w14:textId="38A57598" w:rsidR="008377C7" w:rsidRPr="00B568F3" w:rsidRDefault="069F4A6E" w:rsidP="007C6EF0">
      <w:pPr>
        <w:spacing w:after="0" w:line="276" w:lineRule="auto"/>
        <w:rPr>
          <w:rFonts w:ascii="Arial" w:eastAsia="Calibri" w:hAnsi="Arial" w:cs="Arial"/>
          <w:color w:val="FF0000"/>
          <w:sz w:val="24"/>
          <w:szCs w:val="24"/>
        </w:rPr>
      </w:pPr>
      <w:r w:rsidRPr="00B568F3">
        <w:rPr>
          <w:rFonts w:ascii="Arial" w:eastAsia="Calibri" w:hAnsi="Arial" w:cs="Arial"/>
          <w:sz w:val="24"/>
          <w:szCs w:val="24"/>
        </w:rPr>
        <w:t xml:space="preserve">This report sets out how the </w:t>
      </w:r>
      <w:r w:rsidRPr="000C06A7">
        <w:rPr>
          <w:rFonts w:ascii="Arial" w:hAnsi="Arial" w:cs="Arial"/>
          <w:sz w:val="24"/>
          <w:szCs w:val="24"/>
          <w:lang w:eastAsia="en-GB"/>
        </w:rPr>
        <w:t xml:space="preserve">Social Care Wales Workforce Development Programme (SCWWDP) grant was invested by local authorities in </w:t>
      </w:r>
      <w:r w:rsidR="009B322B" w:rsidRPr="000C06A7">
        <w:rPr>
          <w:rFonts w:ascii="Arial" w:hAnsi="Arial" w:cs="Arial"/>
          <w:sz w:val="24"/>
          <w:szCs w:val="24"/>
          <w:lang w:eastAsia="en-GB"/>
        </w:rPr>
        <w:t>202</w:t>
      </w:r>
      <w:r w:rsidR="009B322B">
        <w:rPr>
          <w:rFonts w:ascii="Arial" w:hAnsi="Arial" w:cs="Arial"/>
          <w:sz w:val="24"/>
          <w:szCs w:val="24"/>
          <w:lang w:eastAsia="en-GB"/>
        </w:rPr>
        <w:t>4</w:t>
      </w:r>
      <w:r w:rsidR="009B322B" w:rsidRPr="000C06A7">
        <w:rPr>
          <w:rFonts w:ascii="Arial" w:hAnsi="Arial" w:cs="Arial"/>
          <w:sz w:val="24"/>
          <w:szCs w:val="24"/>
          <w:lang w:eastAsia="en-GB"/>
        </w:rPr>
        <w:t xml:space="preserve"> </w:t>
      </w:r>
      <w:r w:rsidR="0090613E" w:rsidRPr="000C06A7">
        <w:rPr>
          <w:rFonts w:ascii="Arial" w:hAnsi="Arial" w:cs="Arial"/>
          <w:sz w:val="24"/>
          <w:szCs w:val="24"/>
          <w:lang w:eastAsia="en-GB"/>
        </w:rPr>
        <w:t xml:space="preserve">to </w:t>
      </w:r>
      <w:r w:rsidR="009B322B" w:rsidRPr="000C06A7">
        <w:rPr>
          <w:rFonts w:ascii="Arial" w:hAnsi="Arial" w:cs="Arial"/>
          <w:sz w:val="24"/>
          <w:szCs w:val="24"/>
          <w:lang w:eastAsia="en-GB"/>
        </w:rPr>
        <w:t>202</w:t>
      </w:r>
      <w:r w:rsidR="009B322B">
        <w:rPr>
          <w:rFonts w:ascii="Arial" w:hAnsi="Arial" w:cs="Arial"/>
          <w:sz w:val="24"/>
          <w:szCs w:val="24"/>
          <w:lang w:eastAsia="en-GB"/>
        </w:rPr>
        <w:t>5</w:t>
      </w:r>
      <w:r w:rsidRPr="000C06A7">
        <w:rPr>
          <w:rFonts w:ascii="Arial" w:hAnsi="Arial" w:cs="Arial"/>
          <w:sz w:val="24"/>
          <w:szCs w:val="24"/>
          <w:lang w:eastAsia="en-GB"/>
        </w:rPr>
        <w:t>.</w:t>
      </w:r>
    </w:p>
    <w:p w14:paraId="6132703A" w14:textId="77777777" w:rsidR="008377C7" w:rsidRPr="000C06A7" w:rsidRDefault="008377C7" w:rsidP="002A12C5">
      <w:pPr>
        <w:rPr>
          <w:rFonts w:ascii="Arial" w:hAnsi="Arial" w:cs="Arial"/>
          <w:sz w:val="24"/>
          <w:szCs w:val="24"/>
          <w:lang w:eastAsia="en-GB"/>
        </w:rPr>
      </w:pPr>
    </w:p>
    <w:p w14:paraId="12565D78" w14:textId="2BCF503E" w:rsidR="1F08FDF2" w:rsidRPr="000C06A7" w:rsidRDefault="1F08FDF2" w:rsidP="7BBCBD8A">
      <w:pPr>
        <w:rPr>
          <w:rFonts w:ascii="Arial" w:hAnsi="Arial" w:cs="Arial"/>
          <w:b/>
          <w:bCs/>
          <w:sz w:val="24"/>
          <w:szCs w:val="24"/>
          <w:lang w:eastAsia="en-GB"/>
        </w:rPr>
      </w:pPr>
      <w:r w:rsidRPr="000C06A7">
        <w:rPr>
          <w:rFonts w:ascii="Arial" w:hAnsi="Arial" w:cs="Arial"/>
          <w:b/>
          <w:bCs/>
          <w:sz w:val="24"/>
          <w:szCs w:val="24"/>
          <w:lang w:eastAsia="en-GB"/>
        </w:rPr>
        <w:t>What is the SCWWDP grant?</w:t>
      </w:r>
    </w:p>
    <w:p w14:paraId="6B2283B9" w14:textId="10E27B6F" w:rsidR="002A12C5" w:rsidRPr="000C06A7" w:rsidRDefault="00CC710A" w:rsidP="00A24AE9">
      <w:pPr>
        <w:rPr>
          <w:rFonts w:ascii="Arial" w:hAnsi="Arial" w:cs="Arial"/>
          <w:sz w:val="24"/>
          <w:szCs w:val="24"/>
          <w:lang w:eastAsia="en-GB"/>
        </w:rPr>
      </w:pPr>
      <w:r w:rsidRPr="000C06A7">
        <w:rPr>
          <w:rFonts w:ascii="Arial" w:hAnsi="Arial" w:cs="Arial"/>
          <w:sz w:val="24"/>
          <w:szCs w:val="24"/>
          <w:lang w:eastAsia="en-GB"/>
        </w:rPr>
        <w:t>SCWWDP is a long-</w:t>
      </w:r>
      <w:r w:rsidR="00A53D06" w:rsidRPr="000C06A7">
        <w:rPr>
          <w:rFonts w:ascii="Arial" w:hAnsi="Arial" w:cs="Arial"/>
          <w:sz w:val="24"/>
          <w:szCs w:val="24"/>
          <w:lang w:eastAsia="en-GB"/>
        </w:rPr>
        <w:t xml:space="preserve">established </w:t>
      </w:r>
      <w:r w:rsidR="00A24AE9" w:rsidRPr="000C06A7">
        <w:rPr>
          <w:rFonts w:ascii="Arial" w:hAnsi="Arial" w:cs="Arial"/>
          <w:sz w:val="24"/>
          <w:szCs w:val="24"/>
          <w:lang w:eastAsia="en-GB"/>
        </w:rPr>
        <w:t xml:space="preserve">grant </w:t>
      </w:r>
      <w:r w:rsidR="007631C4" w:rsidRPr="000C06A7">
        <w:rPr>
          <w:rFonts w:ascii="Arial" w:hAnsi="Arial" w:cs="Arial"/>
          <w:sz w:val="24"/>
          <w:szCs w:val="24"/>
          <w:lang w:eastAsia="en-GB"/>
        </w:rPr>
        <w:t xml:space="preserve">programme </w:t>
      </w:r>
      <w:r w:rsidRPr="000C06A7">
        <w:rPr>
          <w:rFonts w:ascii="Arial" w:hAnsi="Arial" w:cs="Arial"/>
          <w:sz w:val="24"/>
          <w:szCs w:val="24"/>
          <w:lang w:eastAsia="en-GB"/>
        </w:rPr>
        <w:t>to support training and workforce development across social care in Wales</w:t>
      </w:r>
      <w:r w:rsidR="00080E51" w:rsidRPr="000C06A7">
        <w:rPr>
          <w:rFonts w:ascii="Arial" w:hAnsi="Arial" w:cs="Arial"/>
          <w:sz w:val="24"/>
          <w:szCs w:val="24"/>
          <w:lang w:eastAsia="en-GB"/>
        </w:rPr>
        <w:t xml:space="preserve">. </w:t>
      </w:r>
      <w:r w:rsidR="002A77E0" w:rsidRPr="000C06A7">
        <w:rPr>
          <w:rFonts w:ascii="Arial" w:hAnsi="Arial" w:cs="Arial"/>
          <w:sz w:val="24"/>
          <w:szCs w:val="24"/>
          <w:lang w:eastAsia="en-GB"/>
        </w:rPr>
        <w:t xml:space="preserve">The </w:t>
      </w:r>
      <w:r w:rsidR="00506130" w:rsidRPr="000C06A7">
        <w:rPr>
          <w:rFonts w:ascii="Arial" w:hAnsi="Arial" w:cs="Arial"/>
          <w:sz w:val="24"/>
          <w:szCs w:val="24"/>
          <w:lang w:eastAsia="en-GB"/>
        </w:rPr>
        <w:t>annual grant from Social Care Wales</w:t>
      </w:r>
      <w:r w:rsidR="002A77E0" w:rsidRPr="000C06A7">
        <w:rPr>
          <w:rFonts w:ascii="Arial" w:hAnsi="Arial" w:cs="Arial"/>
          <w:sz w:val="24"/>
          <w:szCs w:val="24"/>
          <w:lang w:eastAsia="en-GB"/>
        </w:rPr>
        <w:t xml:space="preserve"> is </w:t>
      </w:r>
      <w:r w:rsidRPr="000C06A7">
        <w:rPr>
          <w:rFonts w:ascii="Arial" w:hAnsi="Arial" w:cs="Arial"/>
          <w:sz w:val="24"/>
          <w:szCs w:val="24"/>
          <w:lang w:eastAsia="en-GB"/>
        </w:rPr>
        <w:t xml:space="preserve">distributed </w:t>
      </w:r>
      <w:r w:rsidR="00C23476" w:rsidRPr="000C06A7">
        <w:rPr>
          <w:rFonts w:ascii="Arial" w:hAnsi="Arial" w:cs="Arial"/>
          <w:sz w:val="24"/>
          <w:szCs w:val="24"/>
          <w:lang w:eastAsia="en-GB"/>
        </w:rPr>
        <w:t xml:space="preserve">regionally </w:t>
      </w:r>
      <w:r w:rsidR="00152426" w:rsidRPr="000C06A7">
        <w:rPr>
          <w:rFonts w:ascii="Arial" w:hAnsi="Arial" w:cs="Arial"/>
          <w:sz w:val="24"/>
          <w:szCs w:val="24"/>
          <w:lang w:eastAsia="en-GB"/>
        </w:rPr>
        <w:t xml:space="preserve">and </w:t>
      </w:r>
      <w:r w:rsidR="009A3ADE" w:rsidRPr="000C06A7">
        <w:rPr>
          <w:rFonts w:ascii="Arial" w:hAnsi="Arial" w:cs="Arial"/>
          <w:sz w:val="24"/>
          <w:szCs w:val="24"/>
          <w:lang w:eastAsia="en-GB"/>
        </w:rPr>
        <w:t xml:space="preserve">is used by </w:t>
      </w:r>
      <w:r w:rsidRPr="000C06A7">
        <w:rPr>
          <w:rFonts w:ascii="Arial" w:hAnsi="Arial" w:cs="Arial"/>
          <w:sz w:val="24"/>
          <w:szCs w:val="24"/>
          <w:lang w:eastAsia="en-GB"/>
        </w:rPr>
        <w:t xml:space="preserve">local authorities to support training and workforce development </w:t>
      </w:r>
      <w:r w:rsidR="00323BD0" w:rsidRPr="000C06A7">
        <w:rPr>
          <w:rFonts w:ascii="Arial" w:hAnsi="Arial" w:cs="Arial"/>
          <w:sz w:val="24"/>
          <w:szCs w:val="24"/>
          <w:lang w:eastAsia="en-GB"/>
        </w:rPr>
        <w:t xml:space="preserve">activity </w:t>
      </w:r>
      <w:r w:rsidRPr="000C06A7">
        <w:rPr>
          <w:rFonts w:ascii="Arial" w:hAnsi="Arial" w:cs="Arial"/>
          <w:sz w:val="24"/>
          <w:szCs w:val="24"/>
          <w:lang w:eastAsia="en-GB"/>
        </w:rPr>
        <w:t xml:space="preserve">in both </w:t>
      </w:r>
      <w:r w:rsidR="00323BD0" w:rsidRPr="000C06A7">
        <w:rPr>
          <w:rFonts w:ascii="Arial" w:hAnsi="Arial" w:cs="Arial"/>
          <w:sz w:val="24"/>
          <w:szCs w:val="24"/>
          <w:lang w:eastAsia="en-GB"/>
        </w:rPr>
        <w:t xml:space="preserve">their own organisations </w:t>
      </w:r>
      <w:r w:rsidRPr="000C06A7">
        <w:rPr>
          <w:rFonts w:ascii="Arial" w:hAnsi="Arial" w:cs="Arial"/>
          <w:sz w:val="24"/>
          <w:szCs w:val="24"/>
          <w:lang w:eastAsia="en-GB"/>
        </w:rPr>
        <w:t xml:space="preserve">and </w:t>
      </w:r>
      <w:r w:rsidR="00323BD0" w:rsidRPr="000C06A7">
        <w:rPr>
          <w:rFonts w:ascii="Arial" w:hAnsi="Arial" w:cs="Arial"/>
          <w:sz w:val="24"/>
          <w:szCs w:val="24"/>
          <w:lang w:eastAsia="en-GB"/>
        </w:rPr>
        <w:t xml:space="preserve">for </w:t>
      </w:r>
      <w:r w:rsidR="37EB0829" w:rsidRPr="000C06A7">
        <w:rPr>
          <w:rFonts w:ascii="Arial" w:hAnsi="Arial" w:cs="Arial"/>
          <w:sz w:val="24"/>
          <w:szCs w:val="24"/>
          <w:lang w:eastAsia="en-GB"/>
        </w:rPr>
        <w:t xml:space="preserve">providers in </w:t>
      </w:r>
      <w:r w:rsidRPr="000C06A7">
        <w:rPr>
          <w:rFonts w:ascii="Arial" w:hAnsi="Arial" w:cs="Arial"/>
          <w:sz w:val="24"/>
          <w:szCs w:val="24"/>
          <w:lang w:eastAsia="en-GB"/>
        </w:rPr>
        <w:t xml:space="preserve">the independent </w:t>
      </w:r>
      <w:r w:rsidR="00C23476" w:rsidRPr="000C06A7">
        <w:rPr>
          <w:rFonts w:ascii="Arial" w:hAnsi="Arial" w:cs="Arial"/>
          <w:sz w:val="24"/>
          <w:szCs w:val="24"/>
          <w:lang w:eastAsia="en-GB"/>
        </w:rPr>
        <w:t xml:space="preserve">and voluntary </w:t>
      </w:r>
      <w:r w:rsidRPr="000C06A7">
        <w:rPr>
          <w:rFonts w:ascii="Arial" w:hAnsi="Arial" w:cs="Arial"/>
          <w:sz w:val="24"/>
          <w:szCs w:val="24"/>
          <w:lang w:eastAsia="en-GB"/>
        </w:rPr>
        <w:t>sector</w:t>
      </w:r>
      <w:r w:rsidR="006021CB" w:rsidRPr="000C06A7">
        <w:rPr>
          <w:rFonts w:ascii="Arial" w:hAnsi="Arial" w:cs="Arial"/>
          <w:sz w:val="24"/>
          <w:szCs w:val="24"/>
          <w:lang w:eastAsia="en-GB"/>
        </w:rPr>
        <w:t xml:space="preserve">. </w:t>
      </w:r>
    </w:p>
    <w:p w14:paraId="658F235A" w14:textId="2A98AFBC" w:rsidR="0003755A" w:rsidRPr="000C06A7" w:rsidRDefault="069F4A6E" w:rsidP="069F4A6E">
      <w:pPr>
        <w:rPr>
          <w:rFonts w:ascii="Arial" w:hAnsi="Arial" w:cs="Arial"/>
          <w:sz w:val="24"/>
          <w:szCs w:val="24"/>
          <w:lang w:eastAsia="en-GB"/>
        </w:rPr>
      </w:pPr>
      <w:r w:rsidRPr="000C06A7">
        <w:rPr>
          <w:rFonts w:ascii="Arial" w:hAnsi="Arial" w:cs="Arial"/>
          <w:sz w:val="24"/>
          <w:szCs w:val="24"/>
          <w:lang w:eastAsia="en-GB"/>
        </w:rPr>
        <w:t xml:space="preserve">Local authorities are required to provide match funding for SCWWDP, </w:t>
      </w:r>
      <w:r w:rsidRPr="000C06A7" w:rsidDel="002D7BE9">
        <w:rPr>
          <w:rFonts w:ascii="Arial" w:hAnsi="Arial" w:cs="Arial"/>
          <w:sz w:val="24"/>
          <w:szCs w:val="24"/>
          <w:lang w:eastAsia="en-GB"/>
        </w:rPr>
        <w:t>the same as</w:t>
      </w:r>
      <w:r w:rsidRPr="000C06A7">
        <w:rPr>
          <w:rFonts w:ascii="Arial" w:hAnsi="Arial" w:cs="Arial"/>
          <w:sz w:val="24"/>
          <w:szCs w:val="24"/>
          <w:lang w:eastAsia="en-GB"/>
        </w:rPr>
        <w:t xml:space="preserve"> 30</w:t>
      </w:r>
      <w:r w:rsidR="0090613E" w:rsidRPr="000C06A7">
        <w:rPr>
          <w:rFonts w:ascii="Arial" w:hAnsi="Arial" w:cs="Arial"/>
          <w:sz w:val="24"/>
          <w:szCs w:val="24"/>
          <w:lang w:eastAsia="en-GB"/>
        </w:rPr>
        <w:t xml:space="preserve"> per cent </w:t>
      </w:r>
      <w:r w:rsidRPr="000C06A7">
        <w:rPr>
          <w:rFonts w:ascii="Arial" w:hAnsi="Arial" w:cs="Arial"/>
          <w:sz w:val="24"/>
          <w:szCs w:val="24"/>
          <w:lang w:eastAsia="en-GB"/>
        </w:rPr>
        <w:t xml:space="preserve">of the funding provided by Social Care Wales. </w:t>
      </w:r>
    </w:p>
    <w:p w14:paraId="48E731BB" w14:textId="77777777" w:rsidR="002D1B1F" w:rsidRPr="00B568F3" w:rsidRDefault="002D1B1F" w:rsidP="002D1B1F">
      <w:pPr>
        <w:spacing w:after="0" w:line="240" w:lineRule="auto"/>
        <w:rPr>
          <w:rFonts w:ascii="Arial" w:eastAsia="Calibri" w:hAnsi="Arial" w:cs="Arial"/>
          <w:color w:val="FF0000"/>
          <w:sz w:val="24"/>
          <w:szCs w:val="24"/>
        </w:rPr>
      </w:pPr>
    </w:p>
    <w:p w14:paraId="3C6F187F" w14:textId="1BD4BD6D" w:rsidR="00137D16" w:rsidRPr="00B568F3" w:rsidRDefault="00137D16" w:rsidP="002D1B1F">
      <w:pPr>
        <w:spacing w:after="0" w:line="240" w:lineRule="auto"/>
        <w:rPr>
          <w:rFonts w:ascii="Arial" w:eastAsia="Calibri" w:hAnsi="Arial" w:cs="Arial"/>
          <w:b/>
          <w:bCs/>
          <w:sz w:val="24"/>
          <w:szCs w:val="24"/>
        </w:rPr>
      </w:pPr>
      <w:r w:rsidRPr="00B568F3">
        <w:rPr>
          <w:rFonts w:ascii="Arial" w:eastAsia="Calibri" w:hAnsi="Arial" w:cs="Arial"/>
          <w:b/>
          <w:bCs/>
          <w:sz w:val="24"/>
          <w:szCs w:val="24"/>
        </w:rPr>
        <w:t>How is the grant managed?</w:t>
      </w:r>
    </w:p>
    <w:p w14:paraId="1F1EF7E3" w14:textId="77777777" w:rsidR="00137D16" w:rsidRPr="00B568F3" w:rsidRDefault="00137D16" w:rsidP="002D1B1F">
      <w:pPr>
        <w:spacing w:after="0" w:line="240" w:lineRule="auto"/>
        <w:rPr>
          <w:rFonts w:ascii="Arial" w:eastAsia="Calibri" w:hAnsi="Arial" w:cs="Arial"/>
          <w:b/>
          <w:bCs/>
          <w:sz w:val="24"/>
          <w:szCs w:val="24"/>
        </w:rPr>
      </w:pPr>
    </w:p>
    <w:p w14:paraId="72211E52" w14:textId="5BA60C4B" w:rsidR="00323BD0" w:rsidRPr="00B568F3" w:rsidRDefault="00A271C3" w:rsidP="069F4A6E">
      <w:pPr>
        <w:spacing w:after="0" w:line="240" w:lineRule="auto"/>
        <w:rPr>
          <w:rFonts w:ascii="Arial" w:eastAsia="Calibri" w:hAnsi="Arial" w:cs="Arial"/>
          <w:sz w:val="24"/>
          <w:szCs w:val="24"/>
        </w:rPr>
      </w:pPr>
      <w:r w:rsidRPr="00B568F3">
        <w:rPr>
          <w:rFonts w:ascii="Arial" w:eastAsia="Calibri" w:hAnsi="Arial" w:cs="Arial"/>
          <w:sz w:val="24"/>
          <w:szCs w:val="24"/>
        </w:rPr>
        <w:t>We issue</w:t>
      </w:r>
      <w:r w:rsidR="069F4A6E" w:rsidRPr="00B568F3">
        <w:rPr>
          <w:rFonts w:ascii="Arial" w:eastAsia="Calibri" w:hAnsi="Arial" w:cs="Arial"/>
          <w:sz w:val="24"/>
          <w:szCs w:val="24"/>
        </w:rPr>
        <w:t xml:space="preserve"> the requirements of the grant to regions each year through the ‘grant circular</w:t>
      </w:r>
      <w:r w:rsidR="005A60F9" w:rsidRPr="00B568F3">
        <w:rPr>
          <w:rFonts w:ascii="Arial" w:eastAsia="Calibri" w:hAnsi="Arial" w:cs="Arial"/>
          <w:sz w:val="24"/>
          <w:szCs w:val="24"/>
        </w:rPr>
        <w:t>.’</w:t>
      </w:r>
      <w:r w:rsidR="069F4A6E" w:rsidRPr="00B568F3">
        <w:rPr>
          <w:rFonts w:ascii="Arial" w:eastAsia="Calibri" w:hAnsi="Arial" w:cs="Arial"/>
          <w:sz w:val="24"/>
          <w:szCs w:val="24"/>
        </w:rPr>
        <w:t xml:space="preserve"> The grant circular is approved by </w:t>
      </w:r>
      <w:r w:rsidRPr="00B568F3">
        <w:rPr>
          <w:rFonts w:ascii="Arial" w:eastAsia="Calibri" w:hAnsi="Arial" w:cs="Arial"/>
          <w:sz w:val="24"/>
          <w:szCs w:val="24"/>
        </w:rPr>
        <w:t>our</w:t>
      </w:r>
      <w:r w:rsidR="069F4A6E" w:rsidRPr="00B568F3">
        <w:rPr>
          <w:rFonts w:ascii="Arial" w:eastAsia="Calibri" w:hAnsi="Arial" w:cs="Arial"/>
          <w:sz w:val="24"/>
          <w:szCs w:val="24"/>
        </w:rPr>
        <w:t xml:space="preserve"> Board, and includes</w:t>
      </w:r>
      <w:r w:rsidR="00323BD0" w:rsidRPr="00B568F3" w:rsidDel="069F4A6E">
        <w:rPr>
          <w:rFonts w:ascii="Arial" w:eastAsia="Calibri" w:hAnsi="Arial" w:cs="Arial"/>
          <w:sz w:val="24"/>
          <w:szCs w:val="24"/>
        </w:rPr>
        <w:t xml:space="preserve"> </w:t>
      </w:r>
      <w:r w:rsidR="069F4A6E" w:rsidRPr="00B568F3">
        <w:rPr>
          <w:rFonts w:ascii="Arial" w:eastAsia="Calibri" w:hAnsi="Arial" w:cs="Arial"/>
          <w:sz w:val="24"/>
          <w:szCs w:val="24"/>
        </w:rPr>
        <w:t xml:space="preserve">information </w:t>
      </w:r>
      <w:r w:rsidRPr="00B568F3">
        <w:rPr>
          <w:rFonts w:ascii="Arial" w:eastAsia="Calibri" w:hAnsi="Arial" w:cs="Arial"/>
          <w:sz w:val="24"/>
          <w:szCs w:val="24"/>
        </w:rPr>
        <w:t>about</w:t>
      </w:r>
      <w:r w:rsidR="069F4A6E" w:rsidRPr="00B568F3">
        <w:rPr>
          <w:rFonts w:ascii="Arial" w:eastAsia="Calibri" w:hAnsi="Arial" w:cs="Arial"/>
          <w:sz w:val="24"/>
          <w:szCs w:val="24"/>
        </w:rPr>
        <w:t>:</w:t>
      </w:r>
    </w:p>
    <w:p w14:paraId="653A3293" w14:textId="4699369B" w:rsidR="00323BD0" w:rsidRPr="00B568F3" w:rsidRDefault="069F4A6E" w:rsidP="00163D3F">
      <w:pPr>
        <w:pStyle w:val="ListParagraph"/>
        <w:numPr>
          <w:ilvl w:val="0"/>
          <w:numId w:val="5"/>
        </w:numPr>
        <w:spacing w:after="0" w:line="240" w:lineRule="auto"/>
        <w:rPr>
          <w:rFonts w:ascii="Arial" w:eastAsia="Calibri" w:hAnsi="Arial" w:cs="Arial"/>
          <w:sz w:val="24"/>
          <w:szCs w:val="24"/>
        </w:rPr>
      </w:pPr>
      <w:r w:rsidRPr="00B568F3">
        <w:rPr>
          <w:rFonts w:ascii="Arial" w:eastAsia="Calibri" w:hAnsi="Arial" w:cs="Arial"/>
          <w:sz w:val="24"/>
          <w:szCs w:val="24"/>
        </w:rPr>
        <w:t>the amount of the grant</w:t>
      </w:r>
    </w:p>
    <w:p w14:paraId="342AD479" w14:textId="7E174D64" w:rsidR="00323BD0" w:rsidRPr="00B568F3" w:rsidRDefault="069F4A6E" w:rsidP="00163D3F">
      <w:pPr>
        <w:pStyle w:val="ListParagraph"/>
        <w:numPr>
          <w:ilvl w:val="0"/>
          <w:numId w:val="5"/>
        </w:numPr>
        <w:spacing w:after="0" w:line="240" w:lineRule="auto"/>
        <w:rPr>
          <w:rFonts w:ascii="Arial" w:eastAsia="Calibri" w:hAnsi="Arial" w:cs="Arial"/>
          <w:sz w:val="24"/>
          <w:szCs w:val="24"/>
        </w:rPr>
      </w:pPr>
      <w:r w:rsidRPr="00B568F3">
        <w:rPr>
          <w:rFonts w:ascii="Arial" w:eastAsia="Calibri" w:hAnsi="Arial" w:cs="Arial"/>
          <w:sz w:val="24"/>
          <w:szCs w:val="24"/>
        </w:rPr>
        <w:t xml:space="preserve">what it can be used for that year </w:t>
      </w:r>
    </w:p>
    <w:p w14:paraId="5F8ACA91" w14:textId="5F00FC7F" w:rsidR="00323BD0" w:rsidRPr="00B568F3" w:rsidRDefault="069F4A6E" w:rsidP="00163D3F">
      <w:pPr>
        <w:pStyle w:val="ListParagraph"/>
        <w:numPr>
          <w:ilvl w:val="0"/>
          <w:numId w:val="5"/>
        </w:numPr>
        <w:spacing w:after="0" w:line="240" w:lineRule="auto"/>
        <w:rPr>
          <w:rFonts w:ascii="Arial" w:eastAsia="Calibri" w:hAnsi="Arial" w:cs="Arial"/>
          <w:sz w:val="24"/>
          <w:szCs w:val="24"/>
        </w:rPr>
      </w:pPr>
      <w:r w:rsidRPr="00B568F3">
        <w:rPr>
          <w:rFonts w:ascii="Arial" w:eastAsia="Calibri" w:hAnsi="Arial" w:cs="Arial"/>
          <w:sz w:val="24"/>
          <w:szCs w:val="24"/>
        </w:rPr>
        <w:t xml:space="preserve">how to apply for the money </w:t>
      </w:r>
    </w:p>
    <w:p w14:paraId="7B6B744C" w14:textId="25836BC9" w:rsidR="00323BD0" w:rsidRPr="00B568F3" w:rsidRDefault="069F4A6E" w:rsidP="00163D3F">
      <w:pPr>
        <w:pStyle w:val="ListParagraph"/>
        <w:numPr>
          <w:ilvl w:val="0"/>
          <w:numId w:val="5"/>
        </w:numPr>
        <w:spacing w:after="0" w:line="240" w:lineRule="auto"/>
        <w:rPr>
          <w:rFonts w:ascii="Arial" w:eastAsia="Calibri" w:hAnsi="Arial" w:cs="Arial"/>
          <w:sz w:val="24"/>
          <w:szCs w:val="24"/>
        </w:rPr>
      </w:pPr>
      <w:r w:rsidRPr="00B568F3">
        <w:rPr>
          <w:rFonts w:ascii="Arial" w:eastAsia="Calibri" w:hAnsi="Arial" w:cs="Arial"/>
          <w:sz w:val="24"/>
          <w:szCs w:val="24"/>
        </w:rPr>
        <w:t>how the grant should be managed</w:t>
      </w:r>
    </w:p>
    <w:p w14:paraId="2471F229" w14:textId="43E3880D" w:rsidR="00323BD0" w:rsidRPr="00B568F3" w:rsidRDefault="069F4A6E" w:rsidP="00163D3F">
      <w:pPr>
        <w:pStyle w:val="ListParagraph"/>
        <w:numPr>
          <w:ilvl w:val="0"/>
          <w:numId w:val="5"/>
        </w:numPr>
        <w:spacing w:after="0" w:line="240" w:lineRule="auto"/>
        <w:rPr>
          <w:rFonts w:ascii="Arial" w:eastAsia="Calibri" w:hAnsi="Arial" w:cs="Arial"/>
          <w:sz w:val="24"/>
          <w:szCs w:val="24"/>
        </w:rPr>
      </w:pPr>
      <w:r w:rsidRPr="00B568F3">
        <w:rPr>
          <w:rFonts w:ascii="Arial" w:eastAsia="Calibri" w:hAnsi="Arial" w:cs="Arial"/>
          <w:sz w:val="24"/>
          <w:szCs w:val="24"/>
        </w:rPr>
        <w:t>what our expectations are for reporting and monitoring.</w:t>
      </w:r>
    </w:p>
    <w:p w14:paraId="1C3DE7B8" w14:textId="77777777" w:rsidR="00AD6C88" w:rsidRPr="00B568F3" w:rsidRDefault="00AD6C88" w:rsidP="00D4406A">
      <w:pPr>
        <w:spacing w:after="0" w:line="240" w:lineRule="auto"/>
        <w:rPr>
          <w:rFonts w:ascii="Arial" w:eastAsia="Calibri" w:hAnsi="Arial" w:cs="Arial"/>
          <w:sz w:val="24"/>
          <w:szCs w:val="24"/>
        </w:rPr>
      </w:pPr>
    </w:p>
    <w:p w14:paraId="74D9EFE2" w14:textId="1955507B" w:rsidR="00AD6C88" w:rsidRPr="00B568F3" w:rsidRDefault="069F4A6E" w:rsidP="00AD6C88">
      <w:pPr>
        <w:spacing w:after="0" w:line="240" w:lineRule="auto"/>
        <w:rPr>
          <w:rFonts w:ascii="Arial" w:eastAsia="Calibri" w:hAnsi="Arial" w:cs="Arial"/>
          <w:sz w:val="24"/>
          <w:szCs w:val="24"/>
        </w:rPr>
      </w:pPr>
      <w:r w:rsidRPr="00B568F3">
        <w:rPr>
          <w:rFonts w:ascii="Arial" w:eastAsia="Calibri" w:hAnsi="Arial" w:cs="Arial"/>
          <w:sz w:val="24"/>
          <w:szCs w:val="24"/>
        </w:rPr>
        <w:t>The SCWWDP programme also includes</w:t>
      </w:r>
      <w:r w:rsidR="00AD6C88" w:rsidRPr="00B568F3" w:rsidDel="069F4A6E">
        <w:rPr>
          <w:rFonts w:ascii="Arial" w:eastAsia="Calibri" w:hAnsi="Arial" w:cs="Arial"/>
          <w:sz w:val="24"/>
          <w:szCs w:val="24"/>
        </w:rPr>
        <w:t xml:space="preserve"> </w:t>
      </w:r>
      <w:r w:rsidRPr="00B568F3">
        <w:rPr>
          <w:rFonts w:ascii="Arial" w:eastAsia="Calibri" w:hAnsi="Arial" w:cs="Arial"/>
          <w:sz w:val="24"/>
          <w:szCs w:val="24"/>
        </w:rPr>
        <w:t xml:space="preserve">the Regional Facilitation Grant. This funding </w:t>
      </w:r>
      <w:r w:rsidR="00FC65FE" w:rsidRPr="00B568F3">
        <w:rPr>
          <w:rFonts w:ascii="Arial" w:eastAsia="Calibri" w:hAnsi="Arial" w:cs="Arial"/>
          <w:sz w:val="24"/>
          <w:szCs w:val="24"/>
        </w:rPr>
        <w:t>doesn’t</w:t>
      </w:r>
      <w:r w:rsidRPr="00B568F3">
        <w:rPr>
          <w:rFonts w:ascii="Arial" w:eastAsia="Calibri" w:hAnsi="Arial" w:cs="Arial"/>
          <w:sz w:val="24"/>
          <w:szCs w:val="24"/>
        </w:rPr>
        <w:t xml:space="preserve"> need to be match funded by local authorities but must be used on specific priorities to support sector wide engagement within the regions.</w:t>
      </w:r>
    </w:p>
    <w:p w14:paraId="7AB63890" w14:textId="77777777" w:rsidR="004B37ED" w:rsidRPr="00B568F3" w:rsidRDefault="004B37ED" w:rsidP="00AD6C88">
      <w:pPr>
        <w:spacing w:after="0" w:line="240" w:lineRule="auto"/>
        <w:rPr>
          <w:rFonts w:ascii="Arial" w:eastAsia="Calibri" w:hAnsi="Arial" w:cs="Arial"/>
          <w:sz w:val="24"/>
          <w:szCs w:val="24"/>
        </w:rPr>
      </w:pPr>
    </w:p>
    <w:p w14:paraId="12E8B71F" w14:textId="77777777" w:rsidR="00A54908" w:rsidRPr="00B568F3" w:rsidRDefault="00A54908" w:rsidP="00AD6C88">
      <w:pPr>
        <w:spacing w:after="0" w:line="240" w:lineRule="auto"/>
        <w:rPr>
          <w:rFonts w:ascii="Arial" w:eastAsia="Calibri" w:hAnsi="Arial" w:cs="Arial"/>
          <w:sz w:val="24"/>
          <w:szCs w:val="24"/>
          <w:u w:val="single"/>
        </w:rPr>
      </w:pPr>
    </w:p>
    <w:p w14:paraId="3A128A4F" w14:textId="29FA7282" w:rsidR="00E87CB7" w:rsidRPr="00B568F3" w:rsidRDefault="00E87CB7" w:rsidP="002D1B1F">
      <w:pPr>
        <w:spacing w:after="0" w:line="240" w:lineRule="auto"/>
        <w:rPr>
          <w:rFonts w:ascii="Arial" w:eastAsia="Calibri" w:hAnsi="Arial" w:cs="Arial"/>
          <w:b/>
          <w:bCs/>
          <w:sz w:val="24"/>
          <w:szCs w:val="24"/>
        </w:rPr>
      </w:pPr>
      <w:r w:rsidRPr="00B568F3">
        <w:rPr>
          <w:rFonts w:ascii="Arial" w:eastAsia="Calibri" w:hAnsi="Arial" w:cs="Arial"/>
          <w:b/>
          <w:bCs/>
          <w:sz w:val="24"/>
          <w:szCs w:val="24"/>
        </w:rPr>
        <w:t xml:space="preserve">What’s in this report? </w:t>
      </w:r>
    </w:p>
    <w:p w14:paraId="5E2BC3BA" w14:textId="77777777" w:rsidR="00137D16" w:rsidRPr="00B568F3" w:rsidRDefault="00137D16" w:rsidP="002D1B1F">
      <w:pPr>
        <w:spacing w:after="0" w:line="240" w:lineRule="auto"/>
        <w:rPr>
          <w:rFonts w:ascii="Arial" w:eastAsia="Calibri" w:hAnsi="Arial" w:cs="Arial"/>
          <w:b/>
          <w:bCs/>
          <w:sz w:val="24"/>
          <w:szCs w:val="24"/>
        </w:rPr>
      </w:pPr>
    </w:p>
    <w:p w14:paraId="363ACD9A" w14:textId="0C327137" w:rsidR="00E87CB7" w:rsidRPr="00B568F3" w:rsidRDefault="00760530" w:rsidP="00B66246">
      <w:pPr>
        <w:spacing w:after="0" w:line="240" w:lineRule="auto"/>
        <w:rPr>
          <w:rFonts w:ascii="Arial" w:eastAsia="Calibri" w:hAnsi="Arial" w:cs="Arial"/>
          <w:sz w:val="24"/>
          <w:szCs w:val="24"/>
        </w:rPr>
      </w:pPr>
      <w:r w:rsidRPr="00B568F3">
        <w:rPr>
          <w:rFonts w:ascii="Arial" w:eastAsia="Calibri" w:hAnsi="Arial" w:cs="Arial"/>
          <w:sz w:val="24"/>
          <w:szCs w:val="24"/>
        </w:rPr>
        <w:t>As p</w:t>
      </w:r>
      <w:r w:rsidR="069F4A6E" w:rsidRPr="00B568F3">
        <w:rPr>
          <w:rFonts w:ascii="Arial" w:eastAsia="Calibri" w:hAnsi="Arial" w:cs="Arial"/>
          <w:sz w:val="24"/>
          <w:szCs w:val="24"/>
        </w:rPr>
        <w:t xml:space="preserve">art of </w:t>
      </w:r>
      <w:r w:rsidR="004C1644" w:rsidRPr="00B568F3">
        <w:rPr>
          <w:rFonts w:ascii="Arial" w:eastAsia="Calibri" w:hAnsi="Arial" w:cs="Arial"/>
          <w:sz w:val="24"/>
          <w:szCs w:val="24"/>
        </w:rPr>
        <w:t>our</w:t>
      </w:r>
      <w:r w:rsidR="069F4A6E" w:rsidRPr="00B568F3">
        <w:rPr>
          <w:rFonts w:ascii="Arial" w:eastAsia="Calibri" w:hAnsi="Arial" w:cs="Arial"/>
          <w:sz w:val="24"/>
          <w:szCs w:val="24"/>
        </w:rPr>
        <w:t xml:space="preserve"> requirements for receiving the SCWWDP grant</w:t>
      </w:r>
      <w:r w:rsidR="00FE261A" w:rsidRPr="00B568F3">
        <w:rPr>
          <w:rFonts w:ascii="Arial" w:eastAsia="Calibri" w:hAnsi="Arial" w:cs="Arial"/>
          <w:sz w:val="24"/>
          <w:szCs w:val="24"/>
        </w:rPr>
        <w:t>,</w:t>
      </w:r>
      <w:r w:rsidR="069F4A6E" w:rsidRPr="00B568F3">
        <w:rPr>
          <w:rFonts w:ascii="Arial" w:eastAsia="Calibri" w:hAnsi="Arial" w:cs="Arial"/>
          <w:sz w:val="24"/>
          <w:szCs w:val="24"/>
        </w:rPr>
        <w:t xml:space="preserve"> regions must report on how they’ve invested the SCWWDP funds. This includes the money </w:t>
      </w:r>
      <w:r w:rsidR="0003710E" w:rsidRPr="00B568F3">
        <w:rPr>
          <w:rFonts w:ascii="Arial" w:eastAsia="Calibri" w:hAnsi="Arial" w:cs="Arial"/>
          <w:sz w:val="24"/>
          <w:szCs w:val="24"/>
        </w:rPr>
        <w:t>we’ve issued</w:t>
      </w:r>
      <w:r w:rsidR="069F4A6E" w:rsidRPr="00B568F3">
        <w:rPr>
          <w:rFonts w:ascii="Arial" w:eastAsia="Calibri" w:hAnsi="Arial" w:cs="Arial"/>
          <w:sz w:val="24"/>
          <w:szCs w:val="24"/>
        </w:rPr>
        <w:t xml:space="preserve"> and the 30</w:t>
      </w:r>
      <w:r w:rsidRPr="00B568F3">
        <w:rPr>
          <w:rFonts w:ascii="Arial" w:eastAsia="Calibri" w:hAnsi="Arial" w:cs="Arial"/>
          <w:sz w:val="24"/>
          <w:szCs w:val="24"/>
        </w:rPr>
        <w:t xml:space="preserve"> per cent</w:t>
      </w:r>
      <w:r w:rsidR="069F4A6E" w:rsidRPr="00B568F3">
        <w:rPr>
          <w:rFonts w:ascii="Arial" w:eastAsia="Calibri" w:hAnsi="Arial" w:cs="Arial"/>
          <w:sz w:val="24"/>
          <w:szCs w:val="24"/>
        </w:rPr>
        <w:t xml:space="preserve"> match funding contributed by each local authority.</w:t>
      </w:r>
    </w:p>
    <w:p w14:paraId="1C10568D" w14:textId="77777777" w:rsidR="00625C6C" w:rsidRPr="00B568F3" w:rsidRDefault="00625C6C" w:rsidP="00B66246">
      <w:pPr>
        <w:spacing w:after="0" w:line="240" w:lineRule="auto"/>
        <w:rPr>
          <w:rFonts w:ascii="Arial" w:eastAsia="Calibri" w:hAnsi="Arial" w:cs="Arial"/>
          <w:sz w:val="24"/>
          <w:szCs w:val="24"/>
        </w:rPr>
      </w:pPr>
    </w:p>
    <w:p w14:paraId="5EDEFBF2" w14:textId="6A8D0D40" w:rsidR="00625C6C" w:rsidRPr="00B568F3" w:rsidRDefault="069F4A6E" w:rsidP="008E48CB">
      <w:pPr>
        <w:spacing w:after="0" w:line="240" w:lineRule="auto"/>
        <w:rPr>
          <w:rFonts w:ascii="Arial" w:eastAsia="Calibri" w:hAnsi="Arial" w:cs="Arial"/>
          <w:sz w:val="24"/>
          <w:szCs w:val="24"/>
        </w:rPr>
      </w:pPr>
      <w:r w:rsidRPr="00B568F3">
        <w:rPr>
          <w:rFonts w:ascii="Arial" w:eastAsia="Calibri" w:hAnsi="Arial" w:cs="Arial"/>
          <w:sz w:val="24"/>
          <w:szCs w:val="24"/>
        </w:rPr>
        <w:t>Each region is audited every year by Audit Wales to make sure</w:t>
      </w:r>
      <w:r w:rsidRPr="00B568F3" w:rsidDel="0003710E">
        <w:rPr>
          <w:rFonts w:ascii="Arial" w:eastAsia="Calibri" w:hAnsi="Arial" w:cs="Arial"/>
          <w:sz w:val="24"/>
          <w:szCs w:val="24"/>
        </w:rPr>
        <w:t xml:space="preserve"> </w:t>
      </w:r>
      <w:r w:rsidRPr="00B568F3">
        <w:rPr>
          <w:rFonts w:ascii="Arial" w:eastAsia="Calibri" w:hAnsi="Arial" w:cs="Arial"/>
          <w:sz w:val="24"/>
          <w:szCs w:val="24"/>
        </w:rPr>
        <w:t>all the public money invested in SCWWDP is accounted for</w:t>
      </w:r>
      <w:r w:rsidR="008E48CB">
        <w:rPr>
          <w:rFonts w:ascii="Arial" w:eastAsia="Calibri" w:hAnsi="Arial" w:cs="Arial"/>
          <w:sz w:val="24"/>
          <w:szCs w:val="24"/>
        </w:rPr>
        <w:t xml:space="preserve"> </w:t>
      </w:r>
      <w:r w:rsidR="008E48CB" w:rsidRPr="7E0B86C0">
        <w:rPr>
          <w:rFonts w:ascii="Arial" w:eastAsia="Calibri" w:hAnsi="Arial" w:cs="Arial"/>
          <w:sz w:val="24"/>
          <w:szCs w:val="24"/>
        </w:rPr>
        <w:t xml:space="preserve">and is </w:t>
      </w:r>
      <w:r w:rsidR="008E48CB">
        <w:rPr>
          <w:rFonts w:ascii="Arial" w:eastAsia="Calibri" w:hAnsi="Arial" w:cs="Arial"/>
          <w:sz w:val="24"/>
          <w:szCs w:val="24"/>
        </w:rPr>
        <w:t xml:space="preserve">used </w:t>
      </w:r>
      <w:r w:rsidR="008E48CB" w:rsidRPr="7E0B86C0">
        <w:rPr>
          <w:rFonts w:ascii="Arial" w:eastAsia="Calibri" w:hAnsi="Arial" w:cs="Arial"/>
          <w:sz w:val="24"/>
          <w:szCs w:val="24"/>
        </w:rPr>
        <w:t>in line with the requirements of the grant circular</w:t>
      </w:r>
      <w:r w:rsidRPr="00B568F3">
        <w:rPr>
          <w:rFonts w:ascii="Arial" w:eastAsia="Calibri" w:hAnsi="Arial" w:cs="Arial"/>
          <w:sz w:val="24"/>
          <w:szCs w:val="24"/>
        </w:rPr>
        <w:t>.</w:t>
      </w:r>
    </w:p>
    <w:p w14:paraId="6CE0E314" w14:textId="77777777" w:rsidR="0068759D" w:rsidRPr="00B568F3" w:rsidRDefault="0068759D" w:rsidP="00B66246">
      <w:pPr>
        <w:spacing w:after="0" w:line="240" w:lineRule="auto"/>
        <w:rPr>
          <w:rFonts w:ascii="Arial" w:eastAsia="Calibri" w:hAnsi="Arial" w:cs="Arial"/>
          <w:sz w:val="24"/>
          <w:szCs w:val="24"/>
        </w:rPr>
      </w:pPr>
    </w:p>
    <w:p w14:paraId="5D8495FC" w14:textId="694FDD00" w:rsidR="007C1349" w:rsidRPr="00F80846" w:rsidRDefault="069F4A6E" w:rsidP="007C1349">
      <w:pPr>
        <w:rPr>
          <w:rFonts w:ascii="Arial" w:hAnsi="Arial" w:cs="Arial"/>
          <w:sz w:val="24"/>
          <w:szCs w:val="24"/>
        </w:rPr>
      </w:pPr>
      <w:r w:rsidRPr="00B568F3">
        <w:rPr>
          <w:rFonts w:ascii="Arial" w:eastAsia="Calibri" w:hAnsi="Arial" w:cs="Arial"/>
          <w:sz w:val="24"/>
          <w:szCs w:val="24"/>
        </w:rPr>
        <w:t>As well as the SCWWDP funding and 30</w:t>
      </w:r>
      <w:r w:rsidR="0003710E" w:rsidRPr="00B568F3">
        <w:rPr>
          <w:rFonts w:ascii="Arial" w:eastAsia="Calibri" w:hAnsi="Arial" w:cs="Arial"/>
          <w:sz w:val="24"/>
          <w:szCs w:val="24"/>
        </w:rPr>
        <w:t xml:space="preserve"> per cent</w:t>
      </w:r>
      <w:r w:rsidRPr="00B568F3">
        <w:rPr>
          <w:rFonts w:ascii="Arial" w:eastAsia="Calibri" w:hAnsi="Arial" w:cs="Arial"/>
          <w:sz w:val="24"/>
          <w:szCs w:val="24"/>
        </w:rPr>
        <w:t xml:space="preserve"> match funding, some local authorities give more information </w:t>
      </w:r>
      <w:r w:rsidR="0003710E" w:rsidRPr="00B568F3">
        <w:rPr>
          <w:rFonts w:ascii="Arial" w:eastAsia="Calibri" w:hAnsi="Arial" w:cs="Arial"/>
          <w:sz w:val="24"/>
          <w:szCs w:val="24"/>
        </w:rPr>
        <w:t>about</w:t>
      </w:r>
      <w:r w:rsidRPr="00B568F3">
        <w:rPr>
          <w:rFonts w:ascii="Arial" w:eastAsia="Calibri" w:hAnsi="Arial" w:cs="Arial"/>
          <w:sz w:val="24"/>
          <w:szCs w:val="24"/>
        </w:rPr>
        <w:t xml:space="preserve"> the additional funding they spend on training and workforce development</w:t>
      </w:r>
      <w:r w:rsidR="185030F5" w:rsidRPr="5E7DC569">
        <w:rPr>
          <w:rFonts w:ascii="Arial" w:eastAsia="Calibri" w:hAnsi="Arial" w:cs="Arial"/>
          <w:sz w:val="24"/>
          <w:szCs w:val="24"/>
        </w:rPr>
        <w:t>.</w:t>
      </w:r>
      <w:r w:rsidRPr="00B568F3">
        <w:rPr>
          <w:rFonts w:ascii="Arial" w:eastAsia="Calibri" w:hAnsi="Arial" w:cs="Arial"/>
          <w:sz w:val="24"/>
          <w:szCs w:val="24"/>
        </w:rPr>
        <w:t xml:space="preserve"> </w:t>
      </w:r>
      <w:r w:rsidR="007C1349" w:rsidRPr="00F80846">
        <w:rPr>
          <w:rFonts w:ascii="Arial" w:hAnsi="Arial" w:cs="Arial"/>
          <w:sz w:val="24"/>
          <w:szCs w:val="24"/>
        </w:rPr>
        <w:t>L</w:t>
      </w:r>
      <w:r w:rsidR="007C1349">
        <w:rPr>
          <w:rFonts w:ascii="Arial" w:hAnsi="Arial" w:cs="Arial"/>
          <w:sz w:val="24"/>
          <w:szCs w:val="24"/>
        </w:rPr>
        <w:t xml:space="preserve">ocal authority </w:t>
      </w:r>
      <w:r w:rsidR="007C1349" w:rsidRPr="00F80846">
        <w:rPr>
          <w:rFonts w:ascii="Arial" w:hAnsi="Arial" w:cs="Arial"/>
          <w:sz w:val="24"/>
          <w:szCs w:val="24"/>
        </w:rPr>
        <w:t>additional funding is not mandatory information as part of the SCWWDP grant reporting</w:t>
      </w:r>
      <w:r w:rsidR="005B0CB5">
        <w:rPr>
          <w:rFonts w:ascii="Arial" w:hAnsi="Arial" w:cs="Arial"/>
          <w:sz w:val="24"/>
          <w:szCs w:val="24"/>
        </w:rPr>
        <w:t>. T</w:t>
      </w:r>
      <w:r w:rsidR="007C1349" w:rsidRPr="00F80846">
        <w:rPr>
          <w:rFonts w:ascii="Arial" w:hAnsi="Arial" w:cs="Arial"/>
          <w:sz w:val="24"/>
          <w:szCs w:val="24"/>
        </w:rPr>
        <w:t>his information is</w:t>
      </w:r>
      <w:r w:rsidR="0059733B">
        <w:rPr>
          <w:rFonts w:ascii="Arial" w:hAnsi="Arial" w:cs="Arial"/>
          <w:sz w:val="24"/>
          <w:szCs w:val="24"/>
        </w:rPr>
        <w:t>n’t</w:t>
      </w:r>
      <w:r w:rsidR="007C1349" w:rsidRPr="00F80846">
        <w:rPr>
          <w:rFonts w:ascii="Arial" w:hAnsi="Arial" w:cs="Arial"/>
          <w:sz w:val="24"/>
          <w:szCs w:val="24"/>
        </w:rPr>
        <w:t xml:space="preserve"> always provided for </w:t>
      </w:r>
      <w:r w:rsidR="00580571">
        <w:rPr>
          <w:rFonts w:ascii="Arial" w:hAnsi="Arial" w:cs="Arial"/>
          <w:sz w:val="24"/>
          <w:szCs w:val="24"/>
        </w:rPr>
        <w:t>many</w:t>
      </w:r>
      <w:r w:rsidR="007C1349" w:rsidRPr="00F80846">
        <w:rPr>
          <w:rFonts w:ascii="Arial" w:hAnsi="Arial" w:cs="Arial"/>
          <w:sz w:val="24"/>
          <w:szCs w:val="24"/>
        </w:rPr>
        <w:t xml:space="preserve"> reasons</w:t>
      </w:r>
      <w:r w:rsidR="005B0CB5">
        <w:rPr>
          <w:rFonts w:ascii="Arial" w:hAnsi="Arial" w:cs="Arial"/>
          <w:sz w:val="24"/>
          <w:szCs w:val="24"/>
        </w:rPr>
        <w:t>,</w:t>
      </w:r>
      <w:r w:rsidR="007C1349" w:rsidRPr="00F80846">
        <w:rPr>
          <w:rFonts w:ascii="Arial" w:hAnsi="Arial" w:cs="Arial"/>
          <w:sz w:val="24"/>
          <w:szCs w:val="24"/>
        </w:rPr>
        <w:t xml:space="preserve"> as </w:t>
      </w:r>
      <w:r w:rsidR="00E23FB4">
        <w:rPr>
          <w:rFonts w:ascii="Arial" w:hAnsi="Arial" w:cs="Arial"/>
          <w:sz w:val="24"/>
          <w:szCs w:val="24"/>
        </w:rPr>
        <w:t>noted</w:t>
      </w:r>
      <w:r w:rsidR="007C1349" w:rsidRPr="00F80846">
        <w:rPr>
          <w:rFonts w:ascii="Arial" w:hAnsi="Arial" w:cs="Arial"/>
          <w:sz w:val="24"/>
          <w:szCs w:val="24"/>
        </w:rPr>
        <w:t xml:space="preserve"> </w:t>
      </w:r>
      <w:r w:rsidR="00EB40D4">
        <w:rPr>
          <w:rFonts w:ascii="Arial" w:hAnsi="Arial" w:cs="Arial"/>
          <w:sz w:val="24"/>
          <w:szCs w:val="24"/>
        </w:rPr>
        <w:t>later in this report</w:t>
      </w:r>
      <w:r w:rsidR="007C1349" w:rsidRPr="00F80846">
        <w:rPr>
          <w:rFonts w:ascii="Arial" w:hAnsi="Arial" w:cs="Arial"/>
          <w:sz w:val="24"/>
          <w:szCs w:val="24"/>
        </w:rPr>
        <w:t xml:space="preserve">. </w:t>
      </w:r>
    </w:p>
    <w:p w14:paraId="2519365C" w14:textId="1B4BD003" w:rsidR="0068759D" w:rsidRDefault="0075572F" w:rsidP="00B66246">
      <w:pPr>
        <w:spacing w:after="0" w:line="240" w:lineRule="auto"/>
        <w:rPr>
          <w:rFonts w:ascii="Arial" w:eastAsia="Calibri" w:hAnsi="Arial" w:cs="Arial"/>
          <w:sz w:val="24"/>
          <w:szCs w:val="24"/>
        </w:rPr>
      </w:pPr>
      <w:r w:rsidRPr="00B568F3">
        <w:rPr>
          <w:rFonts w:ascii="Arial" w:eastAsia="Calibri" w:hAnsi="Arial" w:cs="Arial"/>
          <w:sz w:val="24"/>
          <w:szCs w:val="24"/>
        </w:rPr>
        <w:lastRenderedPageBreak/>
        <w:t>We don’t have to include t</w:t>
      </w:r>
      <w:r w:rsidR="069F4A6E" w:rsidRPr="00B568F3">
        <w:rPr>
          <w:rFonts w:ascii="Arial" w:eastAsia="Calibri" w:hAnsi="Arial" w:cs="Arial"/>
          <w:sz w:val="24"/>
          <w:szCs w:val="24"/>
        </w:rPr>
        <w:t>his additional local authority spending information, but we include</w:t>
      </w:r>
      <w:r w:rsidRPr="00B568F3">
        <w:rPr>
          <w:rFonts w:ascii="Arial" w:eastAsia="Calibri" w:hAnsi="Arial" w:cs="Arial"/>
          <w:sz w:val="24"/>
          <w:szCs w:val="24"/>
        </w:rPr>
        <w:t xml:space="preserve"> it</w:t>
      </w:r>
      <w:r w:rsidR="00EC6BAE" w:rsidRPr="00B568F3">
        <w:rPr>
          <w:rFonts w:ascii="Arial" w:eastAsia="Calibri" w:hAnsi="Arial" w:cs="Arial"/>
          <w:sz w:val="24"/>
          <w:szCs w:val="24"/>
        </w:rPr>
        <w:t xml:space="preserve"> if a local authority has provided it</w:t>
      </w:r>
      <w:r w:rsidR="00250E8E" w:rsidRPr="00B568F3">
        <w:rPr>
          <w:rFonts w:ascii="Arial" w:eastAsia="Calibri" w:hAnsi="Arial" w:cs="Arial"/>
          <w:sz w:val="24"/>
          <w:szCs w:val="24"/>
        </w:rPr>
        <w:t>.</w:t>
      </w:r>
      <w:r w:rsidR="069F4A6E" w:rsidRPr="00B568F3" w:rsidDel="00EC6BAE">
        <w:rPr>
          <w:rFonts w:ascii="Arial" w:eastAsia="Calibri" w:hAnsi="Arial" w:cs="Arial"/>
          <w:sz w:val="24"/>
          <w:szCs w:val="24"/>
        </w:rPr>
        <w:t xml:space="preserve"> </w:t>
      </w:r>
      <w:r w:rsidR="003C06F4" w:rsidRPr="00B568F3">
        <w:rPr>
          <w:rFonts w:ascii="Arial" w:eastAsia="Calibri" w:hAnsi="Arial" w:cs="Arial"/>
          <w:sz w:val="24"/>
          <w:szCs w:val="24"/>
        </w:rPr>
        <w:t xml:space="preserve">Because of </w:t>
      </w:r>
      <w:r w:rsidR="006E12C9" w:rsidRPr="00B568F3">
        <w:rPr>
          <w:rFonts w:ascii="Arial" w:eastAsia="Calibri" w:hAnsi="Arial" w:cs="Arial"/>
          <w:sz w:val="24"/>
          <w:szCs w:val="24"/>
        </w:rPr>
        <w:t xml:space="preserve">this, </w:t>
      </w:r>
      <w:r w:rsidR="006E12C9" w:rsidRPr="00B568F3" w:rsidDel="00EC6BAE">
        <w:rPr>
          <w:rFonts w:ascii="Arial" w:eastAsia="Calibri" w:hAnsi="Arial" w:cs="Arial"/>
          <w:sz w:val="24"/>
          <w:szCs w:val="24"/>
        </w:rPr>
        <w:t>we</w:t>
      </w:r>
      <w:r w:rsidR="069F4A6E" w:rsidRPr="00B568F3">
        <w:rPr>
          <w:rFonts w:ascii="Arial" w:eastAsia="Calibri" w:hAnsi="Arial" w:cs="Arial"/>
          <w:sz w:val="24"/>
          <w:szCs w:val="24"/>
        </w:rPr>
        <w:t xml:space="preserve"> have two figures for spend. One figure is referred to as the </w:t>
      </w:r>
      <w:r w:rsidR="007E7CC9" w:rsidRPr="00B568F3">
        <w:rPr>
          <w:rFonts w:ascii="Arial" w:eastAsia="Calibri" w:hAnsi="Arial" w:cs="Arial"/>
          <w:sz w:val="24"/>
          <w:szCs w:val="24"/>
        </w:rPr>
        <w:t>core</w:t>
      </w:r>
      <w:r w:rsidR="069F4A6E" w:rsidRPr="00B568F3">
        <w:rPr>
          <w:rFonts w:ascii="Arial" w:eastAsia="Calibri" w:hAnsi="Arial" w:cs="Arial"/>
          <w:sz w:val="24"/>
          <w:szCs w:val="24"/>
        </w:rPr>
        <w:t xml:space="preserve"> SCWWDP funding,</w:t>
      </w:r>
      <w:r w:rsidR="0067442E" w:rsidRPr="00B568F3">
        <w:rPr>
          <w:rFonts w:ascii="Arial" w:eastAsia="Calibri" w:hAnsi="Arial" w:cs="Arial"/>
          <w:sz w:val="24"/>
          <w:szCs w:val="24"/>
        </w:rPr>
        <w:t xml:space="preserve"> and</w:t>
      </w:r>
      <w:r w:rsidR="069F4A6E" w:rsidRPr="00B568F3">
        <w:rPr>
          <w:rFonts w:ascii="Arial" w:eastAsia="Calibri" w:hAnsi="Arial" w:cs="Arial"/>
          <w:sz w:val="24"/>
          <w:szCs w:val="24"/>
        </w:rPr>
        <w:t xml:space="preserve"> the other is referred to as additional local authority spend. Both figures combined are referred to as ‘total’ or ‘overall</w:t>
      </w:r>
      <w:r w:rsidR="0041706A" w:rsidRPr="00B568F3">
        <w:rPr>
          <w:rFonts w:ascii="Arial" w:eastAsia="Calibri" w:hAnsi="Arial" w:cs="Arial"/>
          <w:sz w:val="24"/>
          <w:szCs w:val="24"/>
        </w:rPr>
        <w:t>’</w:t>
      </w:r>
      <w:r w:rsidR="069F4A6E" w:rsidRPr="00B568F3">
        <w:rPr>
          <w:rFonts w:ascii="Arial" w:eastAsia="Calibri" w:hAnsi="Arial" w:cs="Arial"/>
          <w:sz w:val="24"/>
          <w:szCs w:val="24"/>
        </w:rPr>
        <w:t xml:space="preserve"> spend.</w:t>
      </w:r>
    </w:p>
    <w:p w14:paraId="57BD53B6" w14:textId="77777777" w:rsidR="00922523" w:rsidRDefault="00922523" w:rsidP="00B66246">
      <w:pPr>
        <w:spacing w:after="0" w:line="240" w:lineRule="auto"/>
        <w:rPr>
          <w:rFonts w:ascii="Arial" w:eastAsia="Calibri" w:hAnsi="Arial" w:cs="Arial"/>
          <w:sz w:val="24"/>
          <w:szCs w:val="24"/>
        </w:rPr>
      </w:pPr>
    </w:p>
    <w:p w14:paraId="6BC0D6C1" w14:textId="5863D22D" w:rsidR="007C1349" w:rsidRPr="00F80846" w:rsidRDefault="0065532A" w:rsidP="007C1349">
      <w:pPr>
        <w:rPr>
          <w:rFonts w:ascii="Arial" w:hAnsi="Arial" w:cs="Arial"/>
          <w:sz w:val="24"/>
          <w:szCs w:val="24"/>
        </w:rPr>
      </w:pPr>
      <w:r>
        <w:rPr>
          <w:rFonts w:ascii="Arial" w:hAnsi="Arial" w:cs="Arial"/>
          <w:sz w:val="24"/>
          <w:szCs w:val="24"/>
        </w:rPr>
        <w:t>L</w:t>
      </w:r>
      <w:r w:rsidR="007C1349" w:rsidRPr="00F80846">
        <w:rPr>
          <w:rFonts w:ascii="Arial" w:hAnsi="Arial" w:cs="Arial"/>
          <w:sz w:val="24"/>
          <w:szCs w:val="24"/>
        </w:rPr>
        <w:t xml:space="preserve">ocal authorities </w:t>
      </w:r>
      <w:r>
        <w:rPr>
          <w:rFonts w:ascii="Arial" w:hAnsi="Arial" w:cs="Arial"/>
          <w:sz w:val="24"/>
          <w:szCs w:val="24"/>
        </w:rPr>
        <w:t>have told us informally</w:t>
      </w:r>
      <w:r w:rsidR="007C1349" w:rsidRPr="00F80846">
        <w:rPr>
          <w:rFonts w:ascii="Arial" w:hAnsi="Arial" w:cs="Arial"/>
          <w:sz w:val="24"/>
          <w:szCs w:val="24"/>
        </w:rPr>
        <w:t xml:space="preserve"> </w:t>
      </w:r>
      <w:r w:rsidR="0035469E" w:rsidRPr="00F80846">
        <w:rPr>
          <w:rFonts w:ascii="Arial" w:hAnsi="Arial" w:cs="Arial"/>
          <w:sz w:val="24"/>
          <w:szCs w:val="24"/>
        </w:rPr>
        <w:t>that they’re</w:t>
      </w:r>
      <w:r w:rsidR="007C1349" w:rsidRPr="00F80846">
        <w:rPr>
          <w:rFonts w:ascii="Arial" w:hAnsi="Arial" w:cs="Arial"/>
          <w:sz w:val="24"/>
          <w:szCs w:val="24"/>
        </w:rPr>
        <w:t xml:space="preserve"> contributing over and above the expected 30</w:t>
      </w:r>
      <w:r w:rsidR="00C9286E">
        <w:rPr>
          <w:rFonts w:ascii="Arial" w:hAnsi="Arial" w:cs="Arial"/>
          <w:sz w:val="24"/>
          <w:szCs w:val="24"/>
        </w:rPr>
        <w:t xml:space="preserve"> per cent</w:t>
      </w:r>
      <w:r w:rsidR="007C1349" w:rsidRPr="00F80846">
        <w:rPr>
          <w:rFonts w:ascii="Arial" w:hAnsi="Arial" w:cs="Arial"/>
          <w:sz w:val="24"/>
          <w:szCs w:val="24"/>
        </w:rPr>
        <w:t xml:space="preserve"> match funding</w:t>
      </w:r>
      <w:r w:rsidR="004B00C9">
        <w:rPr>
          <w:rFonts w:ascii="Arial" w:hAnsi="Arial" w:cs="Arial"/>
          <w:sz w:val="24"/>
          <w:szCs w:val="24"/>
        </w:rPr>
        <w:t xml:space="preserve"> but</w:t>
      </w:r>
      <w:r w:rsidR="007C1349" w:rsidRPr="00F80846">
        <w:rPr>
          <w:rFonts w:ascii="Arial" w:hAnsi="Arial" w:cs="Arial"/>
          <w:sz w:val="24"/>
          <w:szCs w:val="24"/>
        </w:rPr>
        <w:t xml:space="preserve"> without this information we </w:t>
      </w:r>
      <w:r w:rsidR="007062A9">
        <w:rPr>
          <w:rFonts w:ascii="Arial" w:hAnsi="Arial" w:cs="Arial"/>
          <w:sz w:val="24"/>
          <w:szCs w:val="24"/>
        </w:rPr>
        <w:t>can’t get</w:t>
      </w:r>
      <w:r w:rsidR="007C1349" w:rsidRPr="00F80846">
        <w:rPr>
          <w:rFonts w:ascii="Arial" w:hAnsi="Arial" w:cs="Arial"/>
          <w:sz w:val="24"/>
          <w:szCs w:val="24"/>
        </w:rPr>
        <w:t xml:space="preserve"> the full picture </w:t>
      </w:r>
      <w:r w:rsidR="000348A0">
        <w:rPr>
          <w:rFonts w:ascii="Arial" w:hAnsi="Arial" w:cs="Arial"/>
          <w:sz w:val="24"/>
          <w:szCs w:val="24"/>
        </w:rPr>
        <w:t xml:space="preserve">of </w:t>
      </w:r>
      <w:r w:rsidR="007C1349" w:rsidRPr="00F80846">
        <w:rPr>
          <w:rFonts w:ascii="Arial" w:hAnsi="Arial" w:cs="Arial"/>
          <w:sz w:val="24"/>
          <w:szCs w:val="24"/>
        </w:rPr>
        <w:t xml:space="preserve">the workforce development outputs, outcomes or trends for the social care sector in Wales. This reporting </w:t>
      </w:r>
      <w:r w:rsidR="00FB27F9" w:rsidRPr="00FB27F9">
        <w:rPr>
          <w:rFonts w:ascii="Arial" w:hAnsi="Arial" w:cs="Arial"/>
          <w:sz w:val="24"/>
          <w:szCs w:val="24"/>
        </w:rPr>
        <w:t>also doesn’t include workforce investment from private and third sector providers.</w:t>
      </w:r>
      <w:r w:rsidR="007C1349" w:rsidRPr="00F80846">
        <w:rPr>
          <w:rFonts w:ascii="Arial" w:hAnsi="Arial" w:cs="Arial"/>
          <w:sz w:val="24"/>
          <w:szCs w:val="24"/>
        </w:rPr>
        <w:t xml:space="preserve"> </w:t>
      </w:r>
    </w:p>
    <w:p w14:paraId="52A54F7C" w14:textId="7B5793CC" w:rsidR="007C1349" w:rsidRPr="00F80846" w:rsidRDefault="007C1349" w:rsidP="007C1349">
      <w:pPr>
        <w:contextualSpacing/>
        <w:rPr>
          <w:rFonts w:ascii="Arial" w:eastAsia="Calibri" w:hAnsi="Arial" w:cs="Arial"/>
          <w:sz w:val="24"/>
          <w:szCs w:val="24"/>
        </w:rPr>
      </w:pPr>
      <w:r w:rsidRPr="00F80846">
        <w:rPr>
          <w:rFonts w:ascii="Arial" w:eastAsia="Calibri" w:hAnsi="Arial" w:cs="Arial"/>
          <w:sz w:val="24"/>
          <w:szCs w:val="24"/>
        </w:rPr>
        <w:t xml:space="preserve">Welsh Government </w:t>
      </w:r>
      <w:r w:rsidR="006800DB">
        <w:rPr>
          <w:rFonts w:ascii="Arial" w:eastAsia="Calibri" w:hAnsi="Arial" w:cs="Arial"/>
          <w:sz w:val="24"/>
          <w:szCs w:val="24"/>
        </w:rPr>
        <w:t xml:space="preserve">also </w:t>
      </w:r>
      <w:r w:rsidRPr="00F80846">
        <w:rPr>
          <w:rFonts w:ascii="Arial" w:eastAsia="Calibri" w:hAnsi="Arial" w:cs="Arial"/>
          <w:sz w:val="24"/>
          <w:szCs w:val="24"/>
        </w:rPr>
        <w:t>provides a social care workforce grant to local authorities, which was £45m in 2024</w:t>
      </w:r>
      <w:r w:rsidR="00E675FC">
        <w:rPr>
          <w:rFonts w:ascii="Arial" w:eastAsia="Calibri" w:hAnsi="Arial" w:cs="Arial"/>
          <w:sz w:val="24"/>
          <w:szCs w:val="24"/>
        </w:rPr>
        <w:t xml:space="preserve"> to </w:t>
      </w:r>
      <w:r w:rsidRPr="00F80846">
        <w:rPr>
          <w:rFonts w:ascii="Arial" w:eastAsia="Calibri" w:hAnsi="Arial" w:cs="Arial"/>
          <w:sz w:val="24"/>
          <w:szCs w:val="24"/>
        </w:rPr>
        <w:t xml:space="preserve">2025. Any workforce development activities from this grant will not be captured in SCWWDP reporting.     </w:t>
      </w:r>
    </w:p>
    <w:p w14:paraId="02255AF5" w14:textId="77777777" w:rsidR="007C1349" w:rsidRDefault="007C1349" w:rsidP="007C1349">
      <w:pPr>
        <w:contextualSpacing/>
        <w:rPr>
          <w:rFonts w:ascii="Arial" w:eastAsia="Calibri" w:hAnsi="Arial" w:cs="Arial"/>
          <w:sz w:val="24"/>
          <w:szCs w:val="24"/>
        </w:rPr>
      </w:pPr>
    </w:p>
    <w:p w14:paraId="6E1F18A8" w14:textId="1A72AB63" w:rsidR="007C1349" w:rsidRPr="00F80846" w:rsidRDefault="00B21272" w:rsidP="007C1349">
      <w:pPr>
        <w:contextualSpacing/>
        <w:rPr>
          <w:rFonts w:ascii="Arial" w:eastAsia="Calibri" w:hAnsi="Arial" w:cs="Arial"/>
          <w:sz w:val="24"/>
          <w:szCs w:val="24"/>
        </w:rPr>
      </w:pPr>
      <w:r>
        <w:rPr>
          <w:rFonts w:ascii="Arial" w:eastAsia="Calibri" w:hAnsi="Arial" w:cs="Arial"/>
          <w:sz w:val="24"/>
          <w:szCs w:val="24"/>
        </w:rPr>
        <w:t>W</w:t>
      </w:r>
      <w:r w:rsidR="003C3142">
        <w:rPr>
          <w:rFonts w:ascii="Arial" w:eastAsia="Calibri" w:hAnsi="Arial" w:cs="Arial"/>
          <w:sz w:val="24"/>
          <w:szCs w:val="24"/>
        </w:rPr>
        <w:t>e</w:t>
      </w:r>
      <w:r w:rsidR="003B3993">
        <w:rPr>
          <w:rFonts w:ascii="Arial" w:eastAsia="Calibri" w:hAnsi="Arial" w:cs="Arial"/>
          <w:sz w:val="24"/>
          <w:szCs w:val="24"/>
        </w:rPr>
        <w:t>’ll</w:t>
      </w:r>
      <w:r>
        <w:rPr>
          <w:rFonts w:ascii="Arial" w:eastAsia="Calibri" w:hAnsi="Arial" w:cs="Arial"/>
          <w:sz w:val="24"/>
          <w:szCs w:val="24"/>
        </w:rPr>
        <w:t xml:space="preserve"> be </w:t>
      </w:r>
      <w:r w:rsidR="007C1349" w:rsidRPr="00F80846">
        <w:rPr>
          <w:rFonts w:ascii="Arial" w:eastAsia="Calibri" w:hAnsi="Arial" w:cs="Arial"/>
          <w:sz w:val="24"/>
          <w:szCs w:val="24"/>
        </w:rPr>
        <w:t>explor</w:t>
      </w:r>
      <w:r>
        <w:rPr>
          <w:rFonts w:ascii="Arial" w:eastAsia="Calibri" w:hAnsi="Arial" w:cs="Arial"/>
          <w:sz w:val="24"/>
          <w:szCs w:val="24"/>
        </w:rPr>
        <w:t>ing</w:t>
      </w:r>
      <w:r w:rsidR="007C1349" w:rsidRPr="00F80846">
        <w:rPr>
          <w:rFonts w:ascii="Arial" w:eastAsia="Calibri" w:hAnsi="Arial" w:cs="Arial"/>
          <w:sz w:val="24"/>
          <w:szCs w:val="24"/>
        </w:rPr>
        <w:t xml:space="preserve"> </w:t>
      </w:r>
      <w:r w:rsidRPr="00F80846">
        <w:rPr>
          <w:rFonts w:ascii="Arial" w:eastAsia="Calibri" w:hAnsi="Arial" w:cs="Arial"/>
          <w:sz w:val="24"/>
          <w:szCs w:val="24"/>
        </w:rPr>
        <w:t>how we can build a more comprehensive and fuller picture in the future</w:t>
      </w:r>
      <w:r w:rsidR="007C1349" w:rsidRPr="00F80846">
        <w:rPr>
          <w:rFonts w:ascii="Arial" w:eastAsia="Calibri" w:hAnsi="Arial" w:cs="Arial"/>
          <w:sz w:val="24"/>
          <w:szCs w:val="24"/>
        </w:rPr>
        <w:t xml:space="preserve"> with local authorities, regions and Welsh Government. </w:t>
      </w:r>
    </w:p>
    <w:p w14:paraId="6517CDE9" w14:textId="77777777" w:rsidR="00922523" w:rsidRPr="00B568F3" w:rsidRDefault="00922523" w:rsidP="00B66246">
      <w:pPr>
        <w:spacing w:after="0" w:line="240" w:lineRule="auto"/>
        <w:rPr>
          <w:rFonts w:ascii="Arial" w:eastAsia="Calibri" w:hAnsi="Arial" w:cs="Arial"/>
          <w:sz w:val="24"/>
          <w:szCs w:val="24"/>
        </w:rPr>
      </w:pPr>
    </w:p>
    <w:p w14:paraId="3FC4C36F" w14:textId="77777777" w:rsidR="00916F25" w:rsidRDefault="00916F25" w:rsidP="002C6553">
      <w:pPr>
        <w:spacing w:after="0" w:line="240" w:lineRule="auto"/>
        <w:rPr>
          <w:rFonts w:ascii="Arial" w:eastAsia="Calibri" w:hAnsi="Arial" w:cs="Arial"/>
          <w:b/>
          <w:bCs/>
          <w:sz w:val="24"/>
          <w:szCs w:val="24"/>
        </w:rPr>
      </w:pPr>
    </w:p>
    <w:p w14:paraId="05BCE892" w14:textId="4156F368" w:rsidR="00555530" w:rsidRPr="00B568F3" w:rsidRDefault="00DA0A9E" w:rsidP="002C6553">
      <w:pPr>
        <w:spacing w:after="0" w:line="240" w:lineRule="auto"/>
        <w:rPr>
          <w:rFonts w:ascii="Arial" w:eastAsia="Calibri" w:hAnsi="Arial" w:cs="Arial"/>
          <w:b/>
          <w:bCs/>
          <w:sz w:val="24"/>
          <w:szCs w:val="24"/>
        </w:rPr>
      </w:pPr>
      <w:r w:rsidRPr="00B568F3">
        <w:rPr>
          <w:rFonts w:ascii="Arial" w:eastAsia="Calibri" w:hAnsi="Arial" w:cs="Arial"/>
          <w:b/>
          <w:bCs/>
          <w:sz w:val="24"/>
          <w:szCs w:val="24"/>
        </w:rPr>
        <w:t>How is th</w:t>
      </w:r>
      <w:r w:rsidR="0041706A" w:rsidRPr="00B568F3">
        <w:rPr>
          <w:rFonts w:ascii="Arial" w:eastAsia="Calibri" w:hAnsi="Arial" w:cs="Arial"/>
          <w:b/>
          <w:bCs/>
          <w:sz w:val="24"/>
          <w:szCs w:val="24"/>
        </w:rPr>
        <w:t>is</w:t>
      </w:r>
      <w:r w:rsidRPr="00B568F3">
        <w:rPr>
          <w:rFonts w:ascii="Arial" w:eastAsia="Calibri" w:hAnsi="Arial" w:cs="Arial"/>
          <w:b/>
          <w:bCs/>
          <w:sz w:val="24"/>
          <w:szCs w:val="24"/>
        </w:rPr>
        <w:t xml:space="preserve"> report structured?</w:t>
      </w:r>
    </w:p>
    <w:p w14:paraId="69AD1EF6" w14:textId="77777777" w:rsidR="00DA0A9E" w:rsidRPr="00B568F3" w:rsidRDefault="00DA0A9E" w:rsidP="002C6553">
      <w:pPr>
        <w:spacing w:after="0" w:line="240" w:lineRule="auto"/>
        <w:rPr>
          <w:rFonts w:ascii="Arial" w:eastAsia="Calibri" w:hAnsi="Arial" w:cs="Arial"/>
          <w:sz w:val="24"/>
          <w:szCs w:val="24"/>
        </w:rPr>
      </w:pPr>
    </w:p>
    <w:p w14:paraId="3E1C7105" w14:textId="348C6CE5" w:rsidR="002D1B1F" w:rsidRPr="00B568F3" w:rsidRDefault="069F4A6E" w:rsidP="069F4A6E">
      <w:pPr>
        <w:spacing w:after="200" w:line="276" w:lineRule="auto"/>
        <w:contextualSpacing/>
        <w:rPr>
          <w:rFonts w:ascii="Arial" w:eastAsia="Calibri" w:hAnsi="Arial" w:cs="Arial"/>
          <w:sz w:val="24"/>
          <w:szCs w:val="24"/>
        </w:rPr>
      </w:pPr>
      <w:r w:rsidRPr="00B568F3">
        <w:rPr>
          <w:rFonts w:ascii="Arial" w:eastAsia="Calibri" w:hAnsi="Arial" w:cs="Arial"/>
          <w:sz w:val="24"/>
          <w:szCs w:val="24"/>
        </w:rPr>
        <w:t>The first part of the report shows:</w:t>
      </w:r>
    </w:p>
    <w:p w14:paraId="3DAFF2D3" w14:textId="11162ACC" w:rsidR="002D1B1F" w:rsidRPr="00B568F3" w:rsidRDefault="069F4A6E" w:rsidP="00163D3F">
      <w:pPr>
        <w:pStyle w:val="ListParagraph"/>
        <w:numPr>
          <w:ilvl w:val="0"/>
          <w:numId w:val="4"/>
        </w:numPr>
        <w:spacing w:after="200" w:line="276" w:lineRule="auto"/>
        <w:rPr>
          <w:rFonts w:ascii="Arial" w:eastAsia="Calibri" w:hAnsi="Arial" w:cs="Arial"/>
          <w:sz w:val="24"/>
          <w:szCs w:val="24"/>
        </w:rPr>
      </w:pPr>
      <w:r w:rsidRPr="00B568F3">
        <w:rPr>
          <w:rFonts w:ascii="Arial" w:eastAsia="Calibri" w:hAnsi="Arial" w:cs="Arial"/>
          <w:sz w:val="24"/>
          <w:szCs w:val="24"/>
        </w:rPr>
        <w:t xml:space="preserve">the financial data on how the SCWWDP money has been invested in </w:t>
      </w:r>
      <w:r w:rsidR="0014423A" w:rsidRPr="00B568F3">
        <w:rPr>
          <w:rFonts w:ascii="Arial" w:eastAsia="Calibri" w:hAnsi="Arial" w:cs="Arial"/>
          <w:sz w:val="24"/>
          <w:szCs w:val="24"/>
        </w:rPr>
        <w:t>202</w:t>
      </w:r>
      <w:r w:rsidR="0014423A">
        <w:rPr>
          <w:rFonts w:ascii="Arial" w:eastAsia="Calibri" w:hAnsi="Arial" w:cs="Arial"/>
          <w:sz w:val="24"/>
          <w:szCs w:val="24"/>
        </w:rPr>
        <w:t>4</w:t>
      </w:r>
      <w:r w:rsidR="0014423A" w:rsidRPr="00B568F3">
        <w:rPr>
          <w:rFonts w:ascii="Arial" w:eastAsia="Calibri" w:hAnsi="Arial" w:cs="Arial"/>
          <w:sz w:val="24"/>
          <w:szCs w:val="24"/>
        </w:rPr>
        <w:t xml:space="preserve"> </w:t>
      </w:r>
      <w:r w:rsidR="0041706A" w:rsidRPr="00B568F3">
        <w:rPr>
          <w:rFonts w:ascii="Arial" w:eastAsia="Calibri" w:hAnsi="Arial" w:cs="Arial"/>
          <w:sz w:val="24"/>
          <w:szCs w:val="24"/>
        </w:rPr>
        <w:t xml:space="preserve">to </w:t>
      </w:r>
      <w:r w:rsidR="0014423A" w:rsidRPr="00B568F3">
        <w:rPr>
          <w:rFonts w:ascii="Arial" w:eastAsia="Calibri" w:hAnsi="Arial" w:cs="Arial"/>
          <w:sz w:val="24"/>
          <w:szCs w:val="24"/>
        </w:rPr>
        <w:t>202</w:t>
      </w:r>
      <w:r w:rsidR="0014423A">
        <w:rPr>
          <w:rFonts w:ascii="Arial" w:eastAsia="Calibri" w:hAnsi="Arial" w:cs="Arial"/>
          <w:sz w:val="24"/>
          <w:szCs w:val="24"/>
        </w:rPr>
        <w:t>5</w:t>
      </w:r>
    </w:p>
    <w:p w14:paraId="2BCA6633" w14:textId="2776FF04" w:rsidR="002D1B1F" w:rsidRPr="00B568F3" w:rsidRDefault="069F4A6E" w:rsidP="00163D3F">
      <w:pPr>
        <w:pStyle w:val="ListParagraph"/>
        <w:numPr>
          <w:ilvl w:val="0"/>
          <w:numId w:val="4"/>
        </w:numPr>
        <w:spacing w:after="200" w:line="276" w:lineRule="auto"/>
        <w:rPr>
          <w:rFonts w:ascii="Arial" w:eastAsia="Calibri" w:hAnsi="Arial" w:cs="Arial"/>
          <w:sz w:val="24"/>
          <w:szCs w:val="24"/>
        </w:rPr>
      </w:pPr>
      <w:r w:rsidRPr="00B568F3">
        <w:rPr>
          <w:rFonts w:ascii="Arial" w:eastAsia="Calibri" w:hAnsi="Arial" w:cs="Arial"/>
          <w:sz w:val="24"/>
          <w:szCs w:val="24"/>
        </w:rPr>
        <w:t>key figures such as training numbers and qualification activity</w:t>
      </w:r>
    </w:p>
    <w:p w14:paraId="56F35FE8" w14:textId="7D47B542" w:rsidR="002D1B1F" w:rsidRPr="00B568F3" w:rsidRDefault="069F4A6E" w:rsidP="00163D3F">
      <w:pPr>
        <w:pStyle w:val="ListParagraph"/>
        <w:numPr>
          <w:ilvl w:val="0"/>
          <w:numId w:val="4"/>
        </w:numPr>
        <w:spacing w:after="200" w:line="276" w:lineRule="auto"/>
        <w:rPr>
          <w:rFonts w:ascii="Arial" w:eastAsia="Calibri" w:hAnsi="Arial" w:cs="Arial"/>
          <w:sz w:val="24"/>
          <w:szCs w:val="24"/>
        </w:rPr>
      </w:pPr>
      <w:r w:rsidRPr="00B568F3">
        <w:rPr>
          <w:rFonts w:ascii="Arial" w:eastAsia="Calibri" w:hAnsi="Arial" w:cs="Arial"/>
          <w:sz w:val="24"/>
          <w:szCs w:val="24"/>
        </w:rPr>
        <w:t>comparisons for the last three financial years, where possible.</w:t>
      </w:r>
    </w:p>
    <w:p w14:paraId="44EFBAFB" w14:textId="50581905" w:rsidR="001E0DB6" w:rsidRPr="00B568F3" w:rsidRDefault="069F4A6E" w:rsidP="069F4A6E">
      <w:pPr>
        <w:spacing w:after="200" w:line="276" w:lineRule="auto"/>
        <w:contextualSpacing/>
        <w:rPr>
          <w:rFonts w:ascii="Arial" w:eastAsia="Calibri" w:hAnsi="Arial" w:cs="Arial"/>
          <w:sz w:val="24"/>
          <w:szCs w:val="24"/>
        </w:rPr>
      </w:pPr>
      <w:r w:rsidRPr="00B568F3">
        <w:rPr>
          <w:rFonts w:ascii="Arial" w:eastAsia="Calibri" w:hAnsi="Arial" w:cs="Arial"/>
          <w:sz w:val="24"/>
          <w:szCs w:val="24"/>
        </w:rPr>
        <w:t>The second part of the report:</w:t>
      </w:r>
    </w:p>
    <w:p w14:paraId="6957B872" w14:textId="354DA500" w:rsidR="001E0DB6" w:rsidRPr="00B568F3" w:rsidRDefault="069F4A6E" w:rsidP="00163D3F">
      <w:pPr>
        <w:pStyle w:val="ListParagraph"/>
        <w:numPr>
          <w:ilvl w:val="0"/>
          <w:numId w:val="3"/>
        </w:numPr>
        <w:spacing w:after="200" w:line="276" w:lineRule="auto"/>
        <w:rPr>
          <w:rFonts w:ascii="Arial" w:eastAsia="Calibri" w:hAnsi="Arial" w:cs="Arial"/>
          <w:sz w:val="24"/>
          <w:szCs w:val="24"/>
        </w:rPr>
      </w:pPr>
      <w:r w:rsidRPr="00B568F3">
        <w:rPr>
          <w:rFonts w:ascii="Arial" w:eastAsia="Calibri" w:hAnsi="Arial" w:cs="Arial"/>
          <w:sz w:val="24"/>
          <w:szCs w:val="24"/>
        </w:rPr>
        <w:t>highlights the activity against the key themes outlined in the SCWWDP grant circular</w:t>
      </w:r>
    </w:p>
    <w:p w14:paraId="25B33CCF" w14:textId="7EBFC3F1" w:rsidR="001E0DB6" w:rsidRPr="00B568F3" w:rsidRDefault="069F4A6E" w:rsidP="00163D3F">
      <w:pPr>
        <w:pStyle w:val="ListParagraph"/>
        <w:numPr>
          <w:ilvl w:val="0"/>
          <w:numId w:val="3"/>
        </w:numPr>
        <w:spacing w:after="200" w:line="276" w:lineRule="auto"/>
        <w:rPr>
          <w:rFonts w:ascii="Arial" w:eastAsia="Calibri" w:hAnsi="Arial" w:cs="Arial"/>
          <w:sz w:val="24"/>
          <w:szCs w:val="24"/>
        </w:rPr>
      </w:pPr>
      <w:r w:rsidRPr="00B568F3">
        <w:rPr>
          <w:rFonts w:ascii="Arial" w:eastAsia="Calibri" w:hAnsi="Arial" w:cs="Arial"/>
          <w:sz w:val="24"/>
          <w:szCs w:val="24"/>
        </w:rPr>
        <w:t>has information on outcomes and outputs for each region.</w:t>
      </w:r>
    </w:p>
    <w:p w14:paraId="03959FB4" w14:textId="77777777" w:rsidR="002D286F" w:rsidRPr="00B568F3" w:rsidRDefault="002D286F" w:rsidP="00F8777C">
      <w:pPr>
        <w:spacing w:after="200" w:line="276" w:lineRule="auto"/>
        <w:contextualSpacing/>
        <w:rPr>
          <w:rFonts w:ascii="Arial" w:eastAsia="Calibri" w:hAnsi="Arial" w:cs="Arial"/>
          <w:sz w:val="24"/>
          <w:szCs w:val="24"/>
        </w:rPr>
      </w:pPr>
    </w:p>
    <w:p w14:paraId="2C4A7909" w14:textId="1DCCF7AD" w:rsidR="00876CB5" w:rsidRDefault="069F4A6E" w:rsidP="002D286F">
      <w:pPr>
        <w:spacing w:after="200" w:line="276" w:lineRule="auto"/>
        <w:contextualSpacing/>
        <w:rPr>
          <w:rFonts w:ascii="Arial" w:eastAsia="Calibri" w:hAnsi="Arial" w:cs="Arial"/>
          <w:sz w:val="24"/>
          <w:szCs w:val="24"/>
        </w:rPr>
      </w:pPr>
      <w:r w:rsidRPr="00B568F3">
        <w:rPr>
          <w:rFonts w:ascii="Arial" w:eastAsia="Calibri" w:hAnsi="Arial" w:cs="Arial"/>
          <w:sz w:val="24"/>
          <w:szCs w:val="24"/>
          <w:lang w:eastAsia="en-GB"/>
        </w:rPr>
        <w:t xml:space="preserve">Following an independent review in 2021, the national priorities of the SCWWDP grant were aligned to selected themes in </w:t>
      </w:r>
      <w:hyperlink r:id="rId14">
        <w:r w:rsidRPr="00B568F3">
          <w:rPr>
            <w:rStyle w:val="Hyperlink"/>
            <w:rFonts w:ascii="Arial" w:eastAsia="Calibri" w:hAnsi="Arial" w:cs="Arial"/>
            <w:sz w:val="24"/>
            <w:szCs w:val="24"/>
          </w:rPr>
          <w:t>A Healthier Wales: Our Workforce Strategy for Health and Social Care.</w:t>
        </w:r>
      </w:hyperlink>
      <w:r w:rsidRPr="00B568F3">
        <w:rPr>
          <w:rFonts w:ascii="Arial" w:eastAsia="Calibri" w:hAnsi="Arial" w:cs="Arial"/>
          <w:sz w:val="24"/>
          <w:szCs w:val="24"/>
        </w:rPr>
        <w:t xml:space="preserve"> </w:t>
      </w:r>
      <w:r w:rsidR="496B9917" w:rsidRPr="00B568F3">
        <w:rPr>
          <w:rFonts w:ascii="Arial" w:eastAsia="Calibri" w:hAnsi="Arial" w:cs="Arial"/>
          <w:sz w:val="24"/>
          <w:szCs w:val="24"/>
        </w:rPr>
        <w:t>We</w:t>
      </w:r>
      <w:r w:rsidRPr="00B568F3">
        <w:rPr>
          <w:rFonts w:ascii="Arial" w:eastAsia="Calibri" w:hAnsi="Arial" w:cs="Arial"/>
          <w:sz w:val="24"/>
          <w:szCs w:val="24"/>
        </w:rPr>
        <w:t xml:space="preserve"> developed and published the </w:t>
      </w:r>
      <w:r w:rsidR="00EB7A30" w:rsidRPr="00B568F3">
        <w:rPr>
          <w:rFonts w:ascii="Arial" w:eastAsia="Calibri" w:hAnsi="Arial" w:cs="Arial"/>
          <w:sz w:val="24"/>
          <w:szCs w:val="24"/>
        </w:rPr>
        <w:t xml:space="preserve">joint </w:t>
      </w:r>
      <w:r w:rsidRPr="00B568F3">
        <w:rPr>
          <w:rFonts w:ascii="Arial" w:eastAsia="Calibri" w:hAnsi="Arial" w:cs="Arial"/>
          <w:sz w:val="24"/>
          <w:szCs w:val="24"/>
        </w:rPr>
        <w:t xml:space="preserve">workforce strategy with Health Education and Improvement Wales in October 2020. </w:t>
      </w:r>
    </w:p>
    <w:p w14:paraId="5B0D9ADD" w14:textId="77777777" w:rsidR="00B2058D" w:rsidRDefault="00B2058D" w:rsidP="002D286F">
      <w:pPr>
        <w:spacing w:after="200" w:line="276" w:lineRule="auto"/>
        <w:contextualSpacing/>
        <w:rPr>
          <w:rFonts w:ascii="Arial" w:eastAsia="Calibri" w:hAnsi="Arial" w:cs="Arial"/>
          <w:sz w:val="24"/>
          <w:szCs w:val="24"/>
        </w:rPr>
      </w:pPr>
    </w:p>
    <w:p w14:paraId="1C0EC019" w14:textId="311CF5F9" w:rsidR="00B2058D" w:rsidRPr="00B568F3" w:rsidRDefault="00783DCE" w:rsidP="000E1132">
      <w:pPr>
        <w:spacing w:after="200" w:line="276" w:lineRule="auto"/>
        <w:contextualSpacing/>
        <w:rPr>
          <w:rFonts w:ascii="Arial" w:eastAsia="Calibri" w:hAnsi="Arial" w:cs="Arial"/>
          <w:sz w:val="24"/>
          <w:szCs w:val="24"/>
          <w:lang w:eastAsia="en-GB"/>
        </w:rPr>
      </w:pPr>
      <w:r>
        <w:rPr>
          <w:rFonts w:ascii="Arial" w:eastAsia="Calibri" w:hAnsi="Arial" w:cs="Arial"/>
          <w:sz w:val="24"/>
          <w:szCs w:val="24"/>
          <w:lang w:eastAsia="en-GB"/>
        </w:rPr>
        <w:t xml:space="preserve">After </w:t>
      </w:r>
      <w:r w:rsidR="00B2058D" w:rsidRPr="00B2058D">
        <w:rPr>
          <w:rFonts w:ascii="Arial" w:eastAsia="Calibri" w:hAnsi="Arial" w:cs="Arial"/>
          <w:sz w:val="24"/>
          <w:szCs w:val="24"/>
          <w:lang w:eastAsia="en-GB"/>
        </w:rPr>
        <w:t xml:space="preserve">three years, </w:t>
      </w:r>
      <w:r w:rsidR="00B2058D">
        <w:rPr>
          <w:rFonts w:ascii="Arial" w:eastAsia="Calibri" w:hAnsi="Arial" w:cs="Arial"/>
          <w:sz w:val="24"/>
          <w:szCs w:val="24"/>
          <w:lang w:eastAsia="en-GB"/>
        </w:rPr>
        <w:t xml:space="preserve">we </w:t>
      </w:r>
      <w:r w:rsidR="00B2058D" w:rsidRPr="00B2058D">
        <w:rPr>
          <w:rFonts w:ascii="Arial" w:eastAsia="Calibri" w:hAnsi="Arial" w:cs="Arial"/>
          <w:sz w:val="24"/>
          <w:szCs w:val="24"/>
          <w:lang w:eastAsia="en-GB"/>
        </w:rPr>
        <w:t>review</w:t>
      </w:r>
      <w:r w:rsidR="00430546">
        <w:rPr>
          <w:rFonts w:ascii="Arial" w:eastAsia="Calibri" w:hAnsi="Arial" w:cs="Arial"/>
          <w:sz w:val="24"/>
          <w:szCs w:val="24"/>
          <w:lang w:eastAsia="en-GB"/>
        </w:rPr>
        <w:t>ed</w:t>
      </w:r>
      <w:r w:rsidR="00B2058D" w:rsidRPr="00B2058D">
        <w:rPr>
          <w:rFonts w:ascii="Arial" w:eastAsia="Calibri" w:hAnsi="Arial" w:cs="Arial"/>
          <w:sz w:val="24"/>
          <w:szCs w:val="24"/>
          <w:lang w:eastAsia="en-GB"/>
        </w:rPr>
        <w:t xml:space="preserve"> the workforce strategy </w:t>
      </w:r>
      <w:r w:rsidR="006D2537">
        <w:rPr>
          <w:rFonts w:ascii="Arial" w:eastAsia="Calibri" w:hAnsi="Arial" w:cs="Arial"/>
          <w:sz w:val="24"/>
          <w:szCs w:val="24"/>
          <w:lang w:eastAsia="en-GB"/>
        </w:rPr>
        <w:t xml:space="preserve">and published </w:t>
      </w:r>
      <w:r w:rsidR="00BD0739">
        <w:rPr>
          <w:rFonts w:ascii="Arial" w:eastAsia="Calibri" w:hAnsi="Arial" w:cs="Arial"/>
          <w:sz w:val="24"/>
          <w:szCs w:val="24"/>
          <w:lang w:eastAsia="en-GB"/>
        </w:rPr>
        <w:t xml:space="preserve">the </w:t>
      </w:r>
      <w:r w:rsidR="00BD0739" w:rsidRPr="00BD0739">
        <w:rPr>
          <w:rFonts w:ascii="Arial" w:eastAsia="Calibri" w:hAnsi="Arial" w:cs="Arial"/>
          <w:sz w:val="24"/>
          <w:szCs w:val="24"/>
          <w:lang w:eastAsia="en-GB"/>
        </w:rPr>
        <w:t>Social Care Workforce Delivery Plan 2024 to 2027 (</w:t>
      </w:r>
      <w:r w:rsidR="00363421">
        <w:rPr>
          <w:rFonts w:ascii="Arial" w:eastAsia="Calibri" w:hAnsi="Arial" w:cs="Arial"/>
          <w:sz w:val="24"/>
          <w:szCs w:val="24"/>
          <w:lang w:eastAsia="en-GB"/>
        </w:rPr>
        <w:t xml:space="preserve">referred to as </w:t>
      </w:r>
      <w:r w:rsidR="00BD0739" w:rsidRPr="00BD0739">
        <w:rPr>
          <w:rFonts w:ascii="Arial" w:eastAsia="Calibri" w:hAnsi="Arial" w:cs="Arial"/>
          <w:sz w:val="24"/>
          <w:szCs w:val="24"/>
          <w:lang w:eastAsia="en-GB"/>
        </w:rPr>
        <w:t xml:space="preserve">the </w:t>
      </w:r>
      <w:r w:rsidR="00363421">
        <w:rPr>
          <w:rFonts w:ascii="Arial" w:eastAsia="Calibri" w:hAnsi="Arial" w:cs="Arial"/>
          <w:sz w:val="24"/>
          <w:szCs w:val="24"/>
          <w:lang w:eastAsia="en-GB"/>
        </w:rPr>
        <w:t>‘</w:t>
      </w:r>
      <w:r w:rsidR="00BD0739" w:rsidRPr="00BD0739">
        <w:rPr>
          <w:rFonts w:ascii="Arial" w:eastAsia="Calibri" w:hAnsi="Arial" w:cs="Arial"/>
          <w:sz w:val="24"/>
          <w:szCs w:val="24"/>
          <w:lang w:eastAsia="en-GB"/>
        </w:rPr>
        <w:t>delivery plan</w:t>
      </w:r>
      <w:r w:rsidR="00363421">
        <w:rPr>
          <w:rFonts w:ascii="Arial" w:eastAsia="Calibri" w:hAnsi="Arial" w:cs="Arial"/>
          <w:sz w:val="24"/>
          <w:szCs w:val="24"/>
          <w:lang w:eastAsia="en-GB"/>
        </w:rPr>
        <w:t>’</w:t>
      </w:r>
      <w:r w:rsidR="00BD0739" w:rsidRPr="00BD0739">
        <w:rPr>
          <w:rFonts w:ascii="Arial" w:eastAsia="Calibri" w:hAnsi="Arial" w:cs="Arial"/>
          <w:sz w:val="24"/>
          <w:szCs w:val="24"/>
          <w:lang w:eastAsia="en-GB"/>
        </w:rPr>
        <w:t>) in June 2024</w:t>
      </w:r>
      <w:r w:rsidR="00C76069">
        <w:rPr>
          <w:rFonts w:ascii="Arial" w:eastAsia="Calibri" w:hAnsi="Arial" w:cs="Arial"/>
          <w:sz w:val="24"/>
          <w:szCs w:val="24"/>
          <w:lang w:eastAsia="en-GB"/>
        </w:rPr>
        <w:t>. The deliver</w:t>
      </w:r>
      <w:r w:rsidR="007E6102">
        <w:rPr>
          <w:rFonts w:ascii="Arial" w:eastAsia="Calibri" w:hAnsi="Arial" w:cs="Arial"/>
          <w:sz w:val="24"/>
          <w:szCs w:val="24"/>
          <w:lang w:eastAsia="en-GB"/>
        </w:rPr>
        <w:t>y</w:t>
      </w:r>
      <w:r w:rsidR="00C76069">
        <w:rPr>
          <w:rFonts w:ascii="Arial" w:eastAsia="Calibri" w:hAnsi="Arial" w:cs="Arial"/>
          <w:sz w:val="24"/>
          <w:szCs w:val="24"/>
          <w:lang w:eastAsia="en-GB"/>
        </w:rPr>
        <w:t xml:space="preserve"> plan </w:t>
      </w:r>
      <w:r w:rsidR="00BD0739" w:rsidRPr="00BD0739">
        <w:rPr>
          <w:rFonts w:ascii="Arial" w:eastAsia="Calibri" w:hAnsi="Arial" w:cs="Arial"/>
          <w:sz w:val="24"/>
          <w:szCs w:val="24"/>
          <w:lang w:eastAsia="en-GB"/>
        </w:rPr>
        <w:t xml:space="preserve">has been informed by the sector, with over 350 people attending and contributing to stakeholder events and over 70 responses to the formal consultation. It details the priorities for the second phase of the workforce strategy </w:t>
      </w:r>
      <w:r w:rsidR="00BD0739" w:rsidRPr="00BD0739">
        <w:rPr>
          <w:rFonts w:ascii="Arial" w:eastAsia="Calibri" w:hAnsi="Arial" w:cs="Arial"/>
          <w:sz w:val="24"/>
          <w:szCs w:val="24"/>
          <w:lang w:eastAsia="en-GB"/>
        </w:rPr>
        <w:lastRenderedPageBreak/>
        <w:t>implementation and includes the actions that will help to move the social care workforce forward over the next three years.</w:t>
      </w:r>
    </w:p>
    <w:p w14:paraId="7C321495" w14:textId="77777777" w:rsidR="00876CB5" w:rsidRPr="00B568F3" w:rsidRDefault="00876CB5" w:rsidP="002D286F">
      <w:pPr>
        <w:spacing w:after="200" w:line="276" w:lineRule="auto"/>
        <w:contextualSpacing/>
        <w:rPr>
          <w:rFonts w:ascii="Arial" w:eastAsia="Calibri" w:hAnsi="Arial" w:cs="Arial"/>
          <w:sz w:val="24"/>
          <w:szCs w:val="24"/>
          <w:lang w:eastAsia="en-GB"/>
        </w:rPr>
      </w:pPr>
    </w:p>
    <w:p w14:paraId="3D83080E" w14:textId="7FB349ED" w:rsidR="002D286F" w:rsidRPr="00B568F3" w:rsidRDefault="069F4A6E" w:rsidP="002D286F">
      <w:pPr>
        <w:spacing w:after="200" w:line="276" w:lineRule="auto"/>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Since SCWWDP can't fully fund the entire ambition of the workforce strategy, and to make sure the current funding is used </w:t>
      </w:r>
      <w:r w:rsidR="007214A5" w:rsidRPr="00B568F3">
        <w:rPr>
          <w:rFonts w:ascii="Arial" w:eastAsia="Calibri" w:hAnsi="Arial" w:cs="Arial"/>
          <w:sz w:val="24"/>
          <w:szCs w:val="24"/>
          <w:lang w:eastAsia="en-GB"/>
        </w:rPr>
        <w:t>proportionately,</w:t>
      </w:r>
      <w:r w:rsidR="007214A5">
        <w:rPr>
          <w:rFonts w:ascii="Arial" w:eastAsia="Calibri" w:hAnsi="Arial" w:cs="Arial"/>
          <w:sz w:val="24"/>
          <w:szCs w:val="24"/>
          <w:lang w:eastAsia="en-GB"/>
        </w:rPr>
        <w:t xml:space="preserve"> the</w:t>
      </w:r>
      <w:r w:rsidR="006336D5">
        <w:rPr>
          <w:rFonts w:ascii="Arial" w:eastAsia="Calibri" w:hAnsi="Arial" w:cs="Arial"/>
          <w:sz w:val="24"/>
          <w:szCs w:val="24"/>
          <w:lang w:eastAsia="en-GB"/>
        </w:rPr>
        <w:t xml:space="preserve"> grant focuses on the following key areas</w:t>
      </w:r>
      <w:r w:rsidR="002B6FC9">
        <w:rPr>
          <w:rFonts w:ascii="Arial" w:eastAsia="Calibri" w:hAnsi="Arial" w:cs="Arial"/>
          <w:sz w:val="24"/>
          <w:szCs w:val="24"/>
          <w:lang w:eastAsia="en-GB"/>
        </w:rPr>
        <w:t xml:space="preserve">: </w:t>
      </w:r>
    </w:p>
    <w:p w14:paraId="11E993BA" w14:textId="77777777" w:rsidR="00AE336D" w:rsidRPr="00B568F3" w:rsidRDefault="00AE336D" w:rsidP="002D286F">
      <w:pPr>
        <w:spacing w:after="200" w:line="276" w:lineRule="auto"/>
        <w:contextualSpacing/>
        <w:rPr>
          <w:rFonts w:ascii="Arial" w:eastAsia="Calibri" w:hAnsi="Arial" w:cs="Arial"/>
          <w:sz w:val="24"/>
          <w:szCs w:val="24"/>
          <w:lang w:eastAsia="en-GB"/>
        </w:rPr>
      </w:pPr>
    </w:p>
    <w:p w14:paraId="7D47FD59" w14:textId="27A2FFEB" w:rsidR="00AE336D" w:rsidRPr="00B568F3" w:rsidRDefault="069F4A6E" w:rsidP="00B2131D">
      <w:pPr>
        <w:spacing w:after="200" w:line="276" w:lineRule="auto"/>
        <w:ind w:left="360"/>
        <w:contextualSpacing/>
        <w:rPr>
          <w:rFonts w:ascii="Arial" w:eastAsia="Calibri" w:hAnsi="Arial" w:cs="Arial"/>
          <w:b/>
          <w:sz w:val="24"/>
          <w:szCs w:val="24"/>
          <w:lang w:eastAsia="en-GB"/>
        </w:rPr>
      </w:pPr>
      <w:r w:rsidRPr="00B568F3">
        <w:rPr>
          <w:rFonts w:ascii="Arial" w:eastAsia="Calibri" w:hAnsi="Arial" w:cs="Arial"/>
          <w:b/>
          <w:sz w:val="24"/>
          <w:szCs w:val="24"/>
          <w:lang w:eastAsia="en-GB"/>
        </w:rPr>
        <w:t>SCWWDP (match funded)</w:t>
      </w:r>
    </w:p>
    <w:p w14:paraId="66D8D010" w14:textId="67254578" w:rsidR="002D286F" w:rsidRPr="00B568F3" w:rsidRDefault="069F4A6E" w:rsidP="00B2131D">
      <w:pPr>
        <w:pStyle w:val="ListParagraph"/>
        <w:numPr>
          <w:ilvl w:val="0"/>
          <w:numId w:val="2"/>
        </w:numPr>
        <w:spacing w:after="0" w:line="240" w:lineRule="auto"/>
        <w:rPr>
          <w:rFonts w:ascii="Arial" w:eastAsia="Calibri" w:hAnsi="Arial" w:cs="Arial"/>
          <w:sz w:val="24"/>
          <w:szCs w:val="24"/>
          <w:lang w:eastAsia="en-GB"/>
        </w:rPr>
      </w:pPr>
      <w:r w:rsidRPr="00B568F3">
        <w:rPr>
          <w:rFonts w:ascii="Arial" w:eastAsia="Calibri" w:hAnsi="Arial" w:cs="Arial"/>
          <w:sz w:val="24"/>
          <w:szCs w:val="24"/>
          <w:lang w:eastAsia="en-GB"/>
        </w:rPr>
        <w:t>Building a digitally ready workforce </w:t>
      </w:r>
    </w:p>
    <w:p w14:paraId="26B2D187" w14:textId="77777777" w:rsidR="002D286F" w:rsidRPr="00B568F3" w:rsidRDefault="069F4A6E" w:rsidP="00B2131D">
      <w:pPr>
        <w:pStyle w:val="ListParagraph"/>
        <w:numPr>
          <w:ilvl w:val="0"/>
          <w:numId w:val="2"/>
        </w:numPr>
        <w:spacing w:after="0" w:line="240" w:lineRule="auto"/>
        <w:rPr>
          <w:rFonts w:ascii="Arial" w:eastAsia="Calibri" w:hAnsi="Arial" w:cs="Arial"/>
          <w:sz w:val="24"/>
          <w:szCs w:val="24"/>
          <w:lang w:eastAsia="en-GB"/>
        </w:rPr>
      </w:pPr>
      <w:r w:rsidRPr="00B568F3">
        <w:rPr>
          <w:rFonts w:ascii="Arial" w:eastAsia="Calibri" w:hAnsi="Arial" w:cs="Arial"/>
          <w:sz w:val="24"/>
          <w:szCs w:val="24"/>
          <w:lang w:eastAsia="en-GB"/>
        </w:rPr>
        <w:t>Excellent education and learning  </w:t>
      </w:r>
    </w:p>
    <w:p w14:paraId="31013943" w14:textId="77777777" w:rsidR="002D286F" w:rsidRPr="00B568F3" w:rsidRDefault="069F4A6E" w:rsidP="00B2131D">
      <w:pPr>
        <w:pStyle w:val="ListParagraph"/>
        <w:numPr>
          <w:ilvl w:val="0"/>
          <w:numId w:val="2"/>
        </w:numPr>
        <w:spacing w:after="0" w:line="240" w:lineRule="auto"/>
        <w:rPr>
          <w:rFonts w:ascii="Arial" w:eastAsia="Calibri" w:hAnsi="Arial" w:cs="Arial"/>
          <w:sz w:val="24"/>
          <w:szCs w:val="24"/>
          <w:lang w:eastAsia="en-GB"/>
        </w:rPr>
      </w:pPr>
      <w:r w:rsidRPr="00B568F3">
        <w:rPr>
          <w:rFonts w:ascii="Arial" w:eastAsia="Calibri" w:hAnsi="Arial" w:cs="Arial"/>
          <w:sz w:val="24"/>
          <w:szCs w:val="24"/>
          <w:lang w:eastAsia="en-GB"/>
        </w:rPr>
        <w:t>Leadership and succession  </w:t>
      </w:r>
    </w:p>
    <w:p w14:paraId="4DB198E2" w14:textId="77777777" w:rsidR="00571360" w:rsidRPr="00B568F3" w:rsidRDefault="069F4A6E" w:rsidP="00B2131D">
      <w:pPr>
        <w:pStyle w:val="ListParagraph"/>
        <w:numPr>
          <w:ilvl w:val="0"/>
          <w:numId w:val="2"/>
        </w:numPr>
        <w:spacing w:after="0" w:line="240" w:lineRule="auto"/>
        <w:rPr>
          <w:rFonts w:ascii="Arial" w:eastAsia="Calibri" w:hAnsi="Arial" w:cs="Arial"/>
          <w:sz w:val="24"/>
          <w:szCs w:val="24"/>
          <w:lang w:eastAsia="en-GB"/>
        </w:rPr>
      </w:pPr>
      <w:r w:rsidRPr="00B568F3">
        <w:rPr>
          <w:rFonts w:ascii="Arial" w:eastAsia="Calibri" w:hAnsi="Arial" w:cs="Arial"/>
          <w:sz w:val="24"/>
          <w:szCs w:val="24"/>
          <w:lang w:eastAsia="en-GB"/>
        </w:rPr>
        <w:t>Workforce shape and supply  </w:t>
      </w:r>
    </w:p>
    <w:p w14:paraId="0DB0812C" w14:textId="794598C3" w:rsidR="005B0F58" w:rsidRPr="00B568F3" w:rsidRDefault="069F4A6E" w:rsidP="00B2131D">
      <w:pPr>
        <w:pStyle w:val="ListParagraph"/>
        <w:numPr>
          <w:ilvl w:val="0"/>
          <w:numId w:val="2"/>
        </w:numPr>
        <w:spacing w:after="0" w:line="240" w:lineRule="auto"/>
        <w:rPr>
          <w:rFonts w:ascii="Arial" w:eastAsia="Calibri" w:hAnsi="Arial" w:cs="Arial"/>
          <w:sz w:val="24"/>
          <w:szCs w:val="24"/>
          <w:lang w:eastAsia="en-GB"/>
        </w:rPr>
      </w:pPr>
      <w:r w:rsidRPr="00B568F3">
        <w:rPr>
          <w:rFonts w:ascii="Arial" w:eastAsia="Calibri" w:hAnsi="Arial" w:cs="Arial"/>
          <w:sz w:val="24"/>
          <w:szCs w:val="24"/>
          <w:lang w:eastAsia="en-GB"/>
        </w:rPr>
        <w:t>Provision of qualifying and post qualifying social work training</w:t>
      </w:r>
      <w:r w:rsidR="0067423A" w:rsidRPr="00B568F3">
        <w:rPr>
          <w:rFonts w:ascii="Arial" w:eastAsia="Calibri" w:hAnsi="Arial" w:cs="Arial"/>
          <w:sz w:val="24"/>
          <w:szCs w:val="24"/>
          <w:lang w:eastAsia="en-GB"/>
        </w:rPr>
        <w:t xml:space="preserve"> (</w:t>
      </w:r>
      <w:r w:rsidR="00D957C3" w:rsidRPr="00B568F3">
        <w:rPr>
          <w:rFonts w:ascii="Arial" w:eastAsia="Calibri" w:hAnsi="Arial" w:cs="Arial"/>
          <w:sz w:val="24"/>
          <w:szCs w:val="24"/>
          <w:lang w:eastAsia="en-GB"/>
        </w:rPr>
        <w:t xml:space="preserve">This is a priority of the </w:t>
      </w:r>
      <w:hyperlink r:id="rId15" w:history="1">
        <w:r w:rsidRPr="00B568F3">
          <w:rPr>
            <w:rStyle w:val="Hyperlink"/>
            <w:rFonts w:ascii="Arial" w:eastAsia="Calibri" w:hAnsi="Arial" w:cs="Arial"/>
            <w:sz w:val="24"/>
            <w:szCs w:val="24"/>
            <w:lang w:eastAsia="en-GB"/>
          </w:rPr>
          <w:t>Social Work Workforce Plan</w:t>
        </w:r>
      </w:hyperlink>
      <w:r w:rsidRPr="00B568F3">
        <w:rPr>
          <w:rFonts w:ascii="Arial" w:eastAsia="Calibri" w:hAnsi="Arial" w:cs="Arial"/>
          <w:sz w:val="24"/>
          <w:szCs w:val="24"/>
          <w:lang w:eastAsia="en-GB"/>
        </w:rPr>
        <w:t>)</w:t>
      </w:r>
    </w:p>
    <w:p w14:paraId="66E0B6B5" w14:textId="77777777" w:rsidR="00192FC4" w:rsidRPr="00B568F3" w:rsidRDefault="00192FC4" w:rsidP="00192FC4">
      <w:pPr>
        <w:spacing w:after="0" w:line="240" w:lineRule="auto"/>
        <w:rPr>
          <w:rFonts w:ascii="Arial" w:eastAsia="Calibri" w:hAnsi="Arial" w:cs="Arial"/>
          <w:sz w:val="24"/>
          <w:szCs w:val="24"/>
          <w:lang w:eastAsia="en-GB"/>
        </w:rPr>
      </w:pPr>
    </w:p>
    <w:p w14:paraId="5643A855" w14:textId="3F7DA4A1" w:rsidR="00192FC4" w:rsidRPr="00B568F3" w:rsidRDefault="069F4A6E" w:rsidP="00B2131D">
      <w:pPr>
        <w:spacing w:after="200" w:line="276" w:lineRule="auto"/>
        <w:ind w:left="360"/>
        <w:contextualSpacing/>
        <w:rPr>
          <w:rFonts w:ascii="Arial" w:eastAsia="Calibri" w:hAnsi="Arial" w:cs="Arial"/>
          <w:b/>
          <w:sz w:val="24"/>
          <w:szCs w:val="24"/>
          <w:lang w:eastAsia="en-GB"/>
        </w:rPr>
      </w:pPr>
      <w:r w:rsidRPr="00B568F3">
        <w:rPr>
          <w:rFonts w:ascii="Arial" w:eastAsia="Calibri" w:hAnsi="Arial" w:cs="Arial"/>
          <w:b/>
          <w:sz w:val="24"/>
          <w:szCs w:val="24"/>
          <w:lang w:eastAsia="en-GB"/>
        </w:rPr>
        <w:t xml:space="preserve"> Regional Facilitation Grant (not match funded)</w:t>
      </w:r>
    </w:p>
    <w:p w14:paraId="2ED82577" w14:textId="111DB315" w:rsidR="009C4340" w:rsidRPr="00B568F3" w:rsidRDefault="069F4A6E" w:rsidP="00B2131D">
      <w:pPr>
        <w:pStyle w:val="ListParagraph"/>
        <w:numPr>
          <w:ilvl w:val="0"/>
          <w:numId w:val="1"/>
        </w:numPr>
        <w:spacing w:after="0" w:line="240" w:lineRule="auto"/>
        <w:rPr>
          <w:rFonts w:ascii="Arial" w:eastAsia="Calibri" w:hAnsi="Arial" w:cs="Arial"/>
          <w:sz w:val="24"/>
          <w:szCs w:val="24"/>
          <w:lang w:eastAsia="en-GB"/>
        </w:rPr>
      </w:pPr>
      <w:r w:rsidRPr="00B568F3">
        <w:rPr>
          <w:rFonts w:ascii="Arial" w:eastAsia="Calibri" w:hAnsi="Arial" w:cs="Arial"/>
          <w:sz w:val="24"/>
          <w:szCs w:val="24"/>
          <w:lang w:eastAsia="en-GB"/>
        </w:rPr>
        <w:t>Attraction, recruitment and retention</w:t>
      </w:r>
    </w:p>
    <w:p w14:paraId="6049DDA2" w14:textId="77777777" w:rsidR="00474043" w:rsidRPr="00B568F3" w:rsidRDefault="00474043" w:rsidP="005B3813">
      <w:pPr>
        <w:spacing w:after="0" w:line="240" w:lineRule="auto"/>
        <w:rPr>
          <w:rFonts w:ascii="Arial" w:eastAsia="Calibri" w:hAnsi="Arial" w:cs="Arial"/>
          <w:sz w:val="24"/>
          <w:szCs w:val="24"/>
          <w:lang w:eastAsia="en-GB"/>
        </w:rPr>
      </w:pPr>
    </w:p>
    <w:p w14:paraId="4F61A8EA" w14:textId="09F7316D" w:rsidR="00EA0DAF" w:rsidRDefault="00441398" w:rsidP="00865C75">
      <w:pPr>
        <w:spacing w:after="0" w:line="240" w:lineRule="auto"/>
        <w:rPr>
          <w:rFonts w:ascii="Arial" w:eastAsia="Calibri" w:hAnsi="Arial" w:cs="Arial"/>
          <w:sz w:val="24"/>
          <w:szCs w:val="24"/>
        </w:rPr>
      </w:pPr>
      <w:r w:rsidRPr="00B568F3">
        <w:rPr>
          <w:rFonts w:ascii="Arial" w:eastAsia="Calibri" w:hAnsi="Arial" w:cs="Arial"/>
          <w:sz w:val="24"/>
          <w:szCs w:val="24"/>
        </w:rPr>
        <w:t>202</w:t>
      </w:r>
      <w:r>
        <w:rPr>
          <w:rFonts w:ascii="Arial" w:eastAsia="Calibri" w:hAnsi="Arial" w:cs="Arial"/>
          <w:sz w:val="24"/>
          <w:szCs w:val="24"/>
        </w:rPr>
        <w:t>4</w:t>
      </w:r>
      <w:r w:rsidRPr="00B568F3">
        <w:rPr>
          <w:rFonts w:ascii="Arial" w:eastAsia="Calibri" w:hAnsi="Arial" w:cs="Arial"/>
          <w:sz w:val="24"/>
          <w:szCs w:val="24"/>
        </w:rPr>
        <w:t xml:space="preserve"> </w:t>
      </w:r>
      <w:r w:rsidR="00D957C3" w:rsidRPr="00B568F3">
        <w:rPr>
          <w:rFonts w:ascii="Arial" w:eastAsia="Calibri" w:hAnsi="Arial" w:cs="Arial"/>
          <w:sz w:val="24"/>
          <w:szCs w:val="24"/>
        </w:rPr>
        <w:t xml:space="preserve">to </w:t>
      </w:r>
      <w:r w:rsidRPr="00B568F3">
        <w:rPr>
          <w:rFonts w:ascii="Arial" w:eastAsia="Calibri" w:hAnsi="Arial" w:cs="Arial"/>
          <w:sz w:val="24"/>
          <w:szCs w:val="24"/>
        </w:rPr>
        <w:t>202</w:t>
      </w:r>
      <w:r>
        <w:rPr>
          <w:rFonts w:ascii="Arial" w:eastAsia="Calibri" w:hAnsi="Arial" w:cs="Arial"/>
          <w:sz w:val="24"/>
          <w:szCs w:val="24"/>
        </w:rPr>
        <w:t>5</w:t>
      </w:r>
      <w:r w:rsidRPr="00B568F3">
        <w:rPr>
          <w:rFonts w:ascii="Arial" w:eastAsia="Calibri" w:hAnsi="Arial" w:cs="Arial"/>
          <w:sz w:val="24"/>
          <w:szCs w:val="24"/>
        </w:rPr>
        <w:t xml:space="preserve"> </w:t>
      </w:r>
      <w:r w:rsidR="069F4A6E" w:rsidRPr="00B568F3">
        <w:rPr>
          <w:rFonts w:ascii="Arial" w:eastAsia="Calibri" w:hAnsi="Arial" w:cs="Arial"/>
          <w:sz w:val="24"/>
          <w:szCs w:val="24"/>
        </w:rPr>
        <w:t xml:space="preserve">is the </w:t>
      </w:r>
      <w:r>
        <w:rPr>
          <w:rFonts w:ascii="Arial" w:eastAsia="Calibri" w:hAnsi="Arial" w:cs="Arial"/>
          <w:sz w:val="24"/>
          <w:szCs w:val="24"/>
        </w:rPr>
        <w:t>third</w:t>
      </w:r>
      <w:r w:rsidR="069F4A6E" w:rsidRPr="00B568F3">
        <w:rPr>
          <w:rFonts w:ascii="Arial" w:eastAsia="Calibri" w:hAnsi="Arial" w:cs="Arial"/>
          <w:sz w:val="24"/>
          <w:szCs w:val="24"/>
        </w:rPr>
        <w:t xml:space="preserve"> year that the national priorities in the grant circular match</w:t>
      </w:r>
      <w:r w:rsidR="00DF7F3E">
        <w:rPr>
          <w:rFonts w:ascii="Arial" w:eastAsia="Calibri" w:hAnsi="Arial" w:cs="Arial"/>
          <w:sz w:val="24"/>
          <w:szCs w:val="24"/>
        </w:rPr>
        <w:t>es some of the</w:t>
      </w:r>
      <w:r w:rsidR="00D21834">
        <w:rPr>
          <w:rFonts w:ascii="Arial" w:eastAsia="Calibri" w:hAnsi="Arial" w:cs="Arial"/>
          <w:sz w:val="24"/>
          <w:szCs w:val="24"/>
        </w:rPr>
        <w:t xml:space="preserve"> </w:t>
      </w:r>
      <w:r w:rsidR="069F4A6E" w:rsidRPr="00B568F3">
        <w:rPr>
          <w:rFonts w:ascii="Arial" w:eastAsia="Calibri" w:hAnsi="Arial" w:cs="Arial"/>
          <w:sz w:val="24"/>
          <w:szCs w:val="24"/>
        </w:rPr>
        <w:t>themes of the workforce strategy.</w:t>
      </w:r>
    </w:p>
    <w:p w14:paraId="57509658" w14:textId="77777777" w:rsidR="008040C2" w:rsidRDefault="008040C2" w:rsidP="00865C75">
      <w:pPr>
        <w:spacing w:after="0" w:line="240" w:lineRule="auto"/>
        <w:rPr>
          <w:rFonts w:ascii="Arial" w:eastAsia="Calibri" w:hAnsi="Arial" w:cs="Arial"/>
          <w:sz w:val="24"/>
          <w:szCs w:val="24"/>
        </w:rPr>
      </w:pPr>
    </w:p>
    <w:p w14:paraId="098406CB" w14:textId="70043E0F" w:rsidR="008040C2" w:rsidRPr="008A1645" w:rsidRDefault="00FA7DAF" w:rsidP="008040C2">
      <w:pPr>
        <w:rPr>
          <w:rFonts w:asciiTheme="minorBidi" w:hAnsiTheme="minorBidi"/>
          <w:sz w:val="24"/>
          <w:szCs w:val="24"/>
          <w:lang w:eastAsia="en-GB"/>
        </w:rPr>
      </w:pPr>
      <w:r>
        <w:rPr>
          <w:rFonts w:asciiTheme="minorBidi" w:hAnsiTheme="minorBidi"/>
          <w:sz w:val="24"/>
          <w:szCs w:val="24"/>
          <w:lang w:eastAsia="en-GB"/>
        </w:rPr>
        <w:t>F</w:t>
      </w:r>
      <w:r w:rsidR="008040C2" w:rsidRPr="008A1645">
        <w:rPr>
          <w:rFonts w:asciiTheme="minorBidi" w:hAnsiTheme="minorBidi"/>
          <w:sz w:val="24"/>
          <w:szCs w:val="24"/>
          <w:lang w:eastAsia="en-GB"/>
        </w:rPr>
        <w:t>or the first time in 2024</w:t>
      </w:r>
      <w:r w:rsidR="008040C2">
        <w:rPr>
          <w:rFonts w:asciiTheme="minorBidi" w:hAnsiTheme="minorBidi"/>
          <w:sz w:val="24"/>
          <w:szCs w:val="24"/>
          <w:lang w:eastAsia="en-GB"/>
        </w:rPr>
        <w:t xml:space="preserve"> to </w:t>
      </w:r>
      <w:r w:rsidR="008040C2" w:rsidRPr="008A1645">
        <w:rPr>
          <w:rFonts w:asciiTheme="minorBidi" w:hAnsiTheme="minorBidi"/>
          <w:sz w:val="24"/>
          <w:szCs w:val="24"/>
          <w:lang w:eastAsia="en-GB"/>
        </w:rPr>
        <w:t xml:space="preserve">2025, as part of the SCWWDP application process, regions were asked to include information on unmet workforce development needs. </w:t>
      </w:r>
      <w:r>
        <w:rPr>
          <w:rFonts w:asciiTheme="minorBidi" w:hAnsiTheme="minorBidi"/>
          <w:sz w:val="24"/>
          <w:szCs w:val="24"/>
          <w:lang w:eastAsia="en-GB"/>
        </w:rPr>
        <w:t>Unmet needs</w:t>
      </w:r>
      <w:r w:rsidR="008040C2" w:rsidRPr="008A1645">
        <w:rPr>
          <w:rFonts w:asciiTheme="minorBidi" w:hAnsiTheme="minorBidi"/>
          <w:sz w:val="24"/>
          <w:szCs w:val="24"/>
          <w:lang w:eastAsia="en-GB"/>
        </w:rPr>
        <w:t xml:space="preserve"> were areas of work that could be supported if additional funding were available in the future.</w:t>
      </w:r>
    </w:p>
    <w:p w14:paraId="7D696E32" w14:textId="77777777" w:rsidR="008040C2" w:rsidRPr="00B568F3" w:rsidRDefault="008040C2" w:rsidP="00865C75">
      <w:pPr>
        <w:spacing w:after="0" w:line="240" w:lineRule="auto"/>
        <w:rPr>
          <w:rFonts w:ascii="Arial" w:eastAsia="Calibri" w:hAnsi="Arial" w:cs="Arial"/>
          <w:sz w:val="24"/>
          <w:szCs w:val="24"/>
        </w:rPr>
      </w:pPr>
    </w:p>
    <w:p w14:paraId="134BCCA7" w14:textId="052A5257" w:rsidR="00EA0DAF" w:rsidRDefault="00EA0DAF" w:rsidP="00865C75">
      <w:pPr>
        <w:spacing w:after="0" w:line="240" w:lineRule="auto"/>
        <w:rPr>
          <w:rFonts w:ascii="Arial" w:eastAsia="Calibri" w:hAnsi="Arial" w:cs="Arial"/>
          <w:sz w:val="24"/>
          <w:szCs w:val="24"/>
        </w:rPr>
      </w:pPr>
    </w:p>
    <w:p w14:paraId="4A2FBC27" w14:textId="77777777" w:rsidR="00F44C1C" w:rsidRDefault="00F44C1C" w:rsidP="00865C75">
      <w:pPr>
        <w:spacing w:after="0" w:line="240" w:lineRule="auto"/>
        <w:rPr>
          <w:rFonts w:ascii="Arial" w:eastAsia="Calibri" w:hAnsi="Arial" w:cs="Arial"/>
          <w:sz w:val="24"/>
          <w:szCs w:val="24"/>
        </w:rPr>
      </w:pPr>
    </w:p>
    <w:p w14:paraId="01FF1201" w14:textId="77777777" w:rsidR="00F44C1C" w:rsidRDefault="00F44C1C" w:rsidP="00865C75">
      <w:pPr>
        <w:spacing w:after="0" w:line="240" w:lineRule="auto"/>
        <w:rPr>
          <w:rFonts w:ascii="Arial" w:eastAsia="Calibri" w:hAnsi="Arial" w:cs="Arial"/>
          <w:sz w:val="24"/>
          <w:szCs w:val="24"/>
        </w:rPr>
      </w:pPr>
    </w:p>
    <w:p w14:paraId="762BFB0A" w14:textId="77777777" w:rsidR="00F44C1C" w:rsidRDefault="00F44C1C" w:rsidP="00865C75">
      <w:pPr>
        <w:spacing w:after="0" w:line="240" w:lineRule="auto"/>
        <w:rPr>
          <w:rFonts w:ascii="Arial" w:eastAsia="Calibri" w:hAnsi="Arial" w:cs="Arial"/>
          <w:sz w:val="24"/>
          <w:szCs w:val="24"/>
        </w:rPr>
      </w:pPr>
    </w:p>
    <w:p w14:paraId="2EC1F661" w14:textId="77777777" w:rsidR="00F44C1C" w:rsidRDefault="00F44C1C" w:rsidP="00865C75">
      <w:pPr>
        <w:spacing w:after="0" w:line="240" w:lineRule="auto"/>
        <w:rPr>
          <w:rFonts w:ascii="Arial" w:eastAsia="Calibri" w:hAnsi="Arial" w:cs="Arial"/>
          <w:sz w:val="24"/>
          <w:szCs w:val="24"/>
        </w:rPr>
      </w:pPr>
    </w:p>
    <w:p w14:paraId="4DFF2C82" w14:textId="77777777" w:rsidR="00F44C1C" w:rsidRDefault="00F44C1C" w:rsidP="00865C75">
      <w:pPr>
        <w:spacing w:after="0" w:line="240" w:lineRule="auto"/>
        <w:rPr>
          <w:rFonts w:ascii="Arial" w:eastAsia="Calibri" w:hAnsi="Arial" w:cs="Arial"/>
          <w:sz w:val="24"/>
          <w:szCs w:val="24"/>
        </w:rPr>
      </w:pPr>
    </w:p>
    <w:p w14:paraId="5FADDCE6" w14:textId="77777777" w:rsidR="00F44C1C" w:rsidRDefault="00F44C1C" w:rsidP="00865C75">
      <w:pPr>
        <w:spacing w:after="0" w:line="240" w:lineRule="auto"/>
        <w:rPr>
          <w:rFonts w:ascii="Arial" w:eastAsia="Calibri" w:hAnsi="Arial" w:cs="Arial"/>
          <w:sz w:val="24"/>
          <w:szCs w:val="24"/>
        </w:rPr>
      </w:pPr>
    </w:p>
    <w:p w14:paraId="54E74404" w14:textId="77777777" w:rsidR="00F44C1C" w:rsidRDefault="00F44C1C" w:rsidP="00865C75">
      <w:pPr>
        <w:spacing w:after="0" w:line="240" w:lineRule="auto"/>
        <w:rPr>
          <w:rFonts w:ascii="Arial" w:eastAsia="Calibri" w:hAnsi="Arial" w:cs="Arial"/>
          <w:sz w:val="24"/>
          <w:szCs w:val="24"/>
        </w:rPr>
      </w:pPr>
    </w:p>
    <w:p w14:paraId="6C2CE3F9" w14:textId="77777777" w:rsidR="00F44C1C" w:rsidRDefault="00F44C1C" w:rsidP="00865C75">
      <w:pPr>
        <w:spacing w:after="0" w:line="240" w:lineRule="auto"/>
        <w:rPr>
          <w:rFonts w:ascii="Arial" w:eastAsia="Calibri" w:hAnsi="Arial" w:cs="Arial"/>
          <w:sz w:val="24"/>
          <w:szCs w:val="24"/>
        </w:rPr>
      </w:pPr>
    </w:p>
    <w:p w14:paraId="0A82260F" w14:textId="77777777" w:rsidR="00F44C1C" w:rsidRDefault="00F44C1C" w:rsidP="00865C75">
      <w:pPr>
        <w:spacing w:after="0" w:line="240" w:lineRule="auto"/>
        <w:rPr>
          <w:rFonts w:ascii="Arial" w:eastAsia="Calibri" w:hAnsi="Arial" w:cs="Arial"/>
          <w:sz w:val="24"/>
          <w:szCs w:val="24"/>
        </w:rPr>
      </w:pPr>
    </w:p>
    <w:p w14:paraId="5E098C49" w14:textId="77777777" w:rsidR="00F44C1C" w:rsidRDefault="00F44C1C" w:rsidP="00865C75">
      <w:pPr>
        <w:spacing w:after="0" w:line="240" w:lineRule="auto"/>
        <w:rPr>
          <w:rFonts w:ascii="Arial" w:eastAsia="Calibri" w:hAnsi="Arial" w:cs="Arial"/>
          <w:sz w:val="24"/>
          <w:szCs w:val="24"/>
        </w:rPr>
      </w:pPr>
    </w:p>
    <w:p w14:paraId="6C3C662A" w14:textId="77777777" w:rsidR="00F44C1C" w:rsidRDefault="00F44C1C" w:rsidP="00865C75">
      <w:pPr>
        <w:spacing w:after="0" w:line="240" w:lineRule="auto"/>
        <w:rPr>
          <w:rFonts w:ascii="Arial" w:eastAsia="Calibri" w:hAnsi="Arial" w:cs="Arial"/>
          <w:sz w:val="24"/>
          <w:szCs w:val="24"/>
        </w:rPr>
      </w:pPr>
    </w:p>
    <w:p w14:paraId="308C0944" w14:textId="77777777" w:rsidR="00F44C1C" w:rsidRPr="00B568F3" w:rsidRDefault="00F44C1C" w:rsidP="00865C75">
      <w:pPr>
        <w:spacing w:after="0" w:line="240" w:lineRule="auto"/>
        <w:rPr>
          <w:rFonts w:ascii="Arial" w:eastAsia="Calibri" w:hAnsi="Arial" w:cs="Arial"/>
          <w:sz w:val="24"/>
          <w:szCs w:val="24"/>
        </w:rPr>
      </w:pPr>
    </w:p>
    <w:p w14:paraId="60B4A5AB" w14:textId="77777777" w:rsidR="00A17F10" w:rsidRPr="000C06A7" w:rsidRDefault="00A17F10" w:rsidP="006C587D">
      <w:pPr>
        <w:rPr>
          <w:rFonts w:ascii="Arial" w:hAnsi="Arial" w:cs="Arial"/>
        </w:rPr>
      </w:pPr>
    </w:p>
    <w:p w14:paraId="5EAAEE76" w14:textId="6C51660B" w:rsidR="00167583" w:rsidRPr="0019368B" w:rsidRDefault="00D83570" w:rsidP="0019368B">
      <w:pPr>
        <w:pStyle w:val="Heading2"/>
        <w:numPr>
          <w:ilvl w:val="0"/>
          <w:numId w:val="119"/>
        </w:numPr>
      </w:pPr>
      <w:bookmarkStart w:id="4" w:name="_Toc211279611"/>
      <w:r w:rsidRPr="000C06A7">
        <w:lastRenderedPageBreak/>
        <w:t>Main</w:t>
      </w:r>
      <w:r w:rsidR="069F4A6E" w:rsidRPr="000C06A7">
        <w:t xml:space="preserve"> findings and future developments</w:t>
      </w:r>
      <w:bookmarkEnd w:id="4"/>
    </w:p>
    <w:p w14:paraId="6BC03086" w14:textId="77777777" w:rsidR="002C3C40" w:rsidRDefault="002C3C40" w:rsidP="00C92ECE">
      <w:pPr>
        <w:pStyle w:val="Heading2"/>
        <w:spacing w:before="0" w:after="0"/>
        <w:rPr>
          <w:bCs/>
          <w:color w:val="auto"/>
          <w:sz w:val="28"/>
          <w:szCs w:val="28"/>
        </w:rPr>
      </w:pPr>
      <w:bookmarkStart w:id="5" w:name="_Toc179481623"/>
    </w:p>
    <w:p w14:paraId="15250181" w14:textId="542F50EA" w:rsidR="00A21C3F" w:rsidRPr="000C06A7" w:rsidRDefault="00D83570" w:rsidP="0019368B">
      <w:pPr>
        <w:pStyle w:val="Heading3"/>
        <w:rPr>
          <w:color w:val="auto"/>
        </w:rPr>
      </w:pPr>
      <w:bookmarkStart w:id="6" w:name="_Toc210987759"/>
      <w:bookmarkStart w:id="7" w:name="_Toc211279612"/>
      <w:r w:rsidRPr="0019368B">
        <w:t>Main</w:t>
      </w:r>
      <w:r w:rsidR="00A21C3F" w:rsidRPr="000C06A7">
        <w:rPr>
          <w:color w:val="auto"/>
        </w:rPr>
        <w:t xml:space="preserve"> findings</w:t>
      </w:r>
      <w:bookmarkEnd w:id="5"/>
      <w:bookmarkEnd w:id="6"/>
      <w:bookmarkEnd w:id="7"/>
    </w:p>
    <w:p w14:paraId="253560F3" w14:textId="15AE3D0C" w:rsidR="00D83570" w:rsidRPr="00B568F3" w:rsidRDefault="00D83570" w:rsidP="00D83570">
      <w:pPr>
        <w:rPr>
          <w:rFonts w:ascii="Arial" w:hAnsi="Arial" w:cs="Arial"/>
          <w:sz w:val="24"/>
          <w:szCs w:val="24"/>
        </w:rPr>
      </w:pPr>
      <w:r w:rsidRPr="00B568F3">
        <w:rPr>
          <w:rFonts w:ascii="Arial" w:hAnsi="Arial" w:cs="Arial"/>
          <w:sz w:val="24"/>
          <w:szCs w:val="24"/>
        </w:rPr>
        <w:t xml:space="preserve">The main findings from the SCWWDP end of year monitoring for </w:t>
      </w:r>
      <w:r w:rsidR="001C771F" w:rsidRPr="00B568F3">
        <w:rPr>
          <w:rFonts w:ascii="Arial" w:hAnsi="Arial" w:cs="Arial"/>
          <w:sz w:val="24"/>
          <w:szCs w:val="24"/>
        </w:rPr>
        <w:t>202</w:t>
      </w:r>
      <w:r w:rsidR="001C771F">
        <w:rPr>
          <w:rFonts w:ascii="Arial" w:hAnsi="Arial" w:cs="Arial"/>
          <w:sz w:val="24"/>
          <w:szCs w:val="24"/>
        </w:rPr>
        <w:t>4</w:t>
      </w:r>
      <w:r w:rsidR="001C771F" w:rsidRPr="00B568F3">
        <w:rPr>
          <w:rFonts w:ascii="Arial" w:hAnsi="Arial" w:cs="Arial"/>
          <w:sz w:val="24"/>
          <w:szCs w:val="24"/>
        </w:rPr>
        <w:t xml:space="preserve"> </w:t>
      </w:r>
      <w:r w:rsidRPr="00B568F3">
        <w:rPr>
          <w:rFonts w:ascii="Arial" w:hAnsi="Arial" w:cs="Arial"/>
          <w:sz w:val="24"/>
          <w:szCs w:val="24"/>
        </w:rPr>
        <w:t xml:space="preserve">to </w:t>
      </w:r>
      <w:r w:rsidR="001C771F" w:rsidRPr="00B568F3">
        <w:rPr>
          <w:rFonts w:ascii="Arial" w:hAnsi="Arial" w:cs="Arial"/>
          <w:sz w:val="24"/>
          <w:szCs w:val="24"/>
        </w:rPr>
        <w:t>202</w:t>
      </w:r>
      <w:r w:rsidR="001C771F">
        <w:rPr>
          <w:rFonts w:ascii="Arial" w:hAnsi="Arial" w:cs="Arial"/>
          <w:sz w:val="24"/>
          <w:szCs w:val="24"/>
        </w:rPr>
        <w:t>5</w:t>
      </w:r>
      <w:r w:rsidR="001C771F" w:rsidRPr="00B568F3">
        <w:rPr>
          <w:rFonts w:ascii="Arial" w:hAnsi="Arial" w:cs="Arial"/>
          <w:sz w:val="24"/>
          <w:szCs w:val="24"/>
        </w:rPr>
        <w:t xml:space="preserve"> </w:t>
      </w:r>
      <w:r w:rsidRPr="00B568F3">
        <w:rPr>
          <w:rFonts w:ascii="Arial" w:hAnsi="Arial" w:cs="Arial"/>
          <w:sz w:val="24"/>
          <w:szCs w:val="24"/>
        </w:rPr>
        <w:t>are:</w:t>
      </w:r>
    </w:p>
    <w:p w14:paraId="0BD517C2" w14:textId="30389754" w:rsidR="00D83570" w:rsidRPr="00B568F3" w:rsidRDefault="00D83570" w:rsidP="00632461">
      <w:pPr>
        <w:numPr>
          <w:ilvl w:val="0"/>
          <w:numId w:val="15"/>
        </w:numPr>
        <w:rPr>
          <w:rFonts w:ascii="Arial" w:hAnsi="Arial" w:cs="Arial"/>
          <w:sz w:val="24"/>
          <w:szCs w:val="24"/>
        </w:rPr>
      </w:pPr>
      <w:r w:rsidRPr="00B568F3">
        <w:rPr>
          <w:rFonts w:ascii="Arial" w:hAnsi="Arial" w:cs="Arial"/>
          <w:sz w:val="24"/>
          <w:szCs w:val="24"/>
        </w:rPr>
        <w:t xml:space="preserve">overall, total spend on SCWWDP has increased by </w:t>
      </w:r>
      <w:r w:rsidR="0086477F">
        <w:rPr>
          <w:rFonts w:ascii="Arial" w:hAnsi="Arial" w:cs="Arial"/>
          <w:sz w:val="24"/>
          <w:szCs w:val="24"/>
        </w:rPr>
        <w:t>0.5</w:t>
      </w:r>
      <w:r w:rsidRPr="00B568F3">
        <w:rPr>
          <w:rFonts w:ascii="Arial" w:hAnsi="Arial" w:cs="Arial"/>
          <w:sz w:val="24"/>
          <w:szCs w:val="24"/>
        </w:rPr>
        <w:t xml:space="preserve"> per cent (£</w:t>
      </w:r>
      <w:r w:rsidR="002B512F">
        <w:rPr>
          <w:rFonts w:ascii="Arial" w:hAnsi="Arial" w:cs="Arial"/>
          <w:sz w:val="24"/>
          <w:szCs w:val="24"/>
        </w:rPr>
        <w:t>61,542</w:t>
      </w:r>
      <w:r w:rsidRPr="00B568F3">
        <w:rPr>
          <w:rFonts w:ascii="Arial" w:hAnsi="Arial" w:cs="Arial"/>
          <w:sz w:val="24"/>
          <w:szCs w:val="24"/>
        </w:rPr>
        <w:t>)</w:t>
      </w:r>
      <w:r w:rsidR="00A657AB" w:rsidRPr="00B568F3">
        <w:rPr>
          <w:rFonts w:ascii="Arial" w:hAnsi="Arial" w:cs="Arial"/>
          <w:sz w:val="24"/>
          <w:szCs w:val="24"/>
        </w:rPr>
        <w:t>,</w:t>
      </w:r>
      <w:r w:rsidRPr="00B568F3">
        <w:rPr>
          <w:rFonts w:ascii="Arial" w:hAnsi="Arial" w:cs="Arial"/>
          <w:sz w:val="24"/>
          <w:szCs w:val="24"/>
        </w:rPr>
        <w:t xml:space="preserve"> from £12,694,344</w:t>
      </w:r>
      <w:r w:rsidR="00880519">
        <w:rPr>
          <w:rFonts w:ascii="Arial" w:hAnsi="Arial" w:cs="Arial"/>
          <w:sz w:val="24"/>
          <w:szCs w:val="24"/>
        </w:rPr>
        <w:t xml:space="preserve"> to £12,755,886</w:t>
      </w:r>
    </w:p>
    <w:p w14:paraId="08FD19EA" w14:textId="6DCDC606" w:rsidR="00D83570" w:rsidRPr="00B568F3" w:rsidRDefault="00D83570" w:rsidP="00632461">
      <w:pPr>
        <w:numPr>
          <w:ilvl w:val="0"/>
          <w:numId w:val="15"/>
        </w:numPr>
        <w:rPr>
          <w:rFonts w:ascii="Arial" w:hAnsi="Arial" w:cs="Arial"/>
          <w:sz w:val="24"/>
          <w:szCs w:val="24"/>
        </w:rPr>
      </w:pPr>
      <w:r w:rsidRPr="00B568F3">
        <w:rPr>
          <w:rFonts w:ascii="Arial" w:hAnsi="Arial" w:cs="Arial"/>
          <w:sz w:val="24"/>
          <w:szCs w:val="24"/>
        </w:rPr>
        <w:t xml:space="preserve">the additional investment </w:t>
      </w:r>
      <w:r w:rsidR="68C94886" w:rsidRPr="5E7DC569">
        <w:rPr>
          <w:rFonts w:ascii="Arial" w:hAnsi="Arial" w:cs="Arial"/>
          <w:sz w:val="24"/>
          <w:szCs w:val="24"/>
        </w:rPr>
        <w:t xml:space="preserve">reported </w:t>
      </w:r>
      <w:r w:rsidRPr="00B568F3">
        <w:rPr>
          <w:rFonts w:ascii="Arial" w:hAnsi="Arial" w:cs="Arial"/>
          <w:sz w:val="24"/>
          <w:szCs w:val="24"/>
        </w:rPr>
        <w:t xml:space="preserve">by local authorities (over and above their expected 30 per cent match funding) </w:t>
      </w:r>
      <w:r w:rsidR="00B4287E">
        <w:rPr>
          <w:rFonts w:ascii="Arial" w:hAnsi="Arial" w:cs="Arial"/>
          <w:sz w:val="24"/>
          <w:szCs w:val="24"/>
        </w:rPr>
        <w:t xml:space="preserve">increased </w:t>
      </w:r>
      <w:r w:rsidRPr="00B568F3">
        <w:rPr>
          <w:rFonts w:ascii="Arial" w:hAnsi="Arial" w:cs="Arial"/>
          <w:sz w:val="24"/>
          <w:szCs w:val="24"/>
        </w:rPr>
        <w:t xml:space="preserve">by </w:t>
      </w:r>
      <w:r w:rsidR="00B4287E">
        <w:rPr>
          <w:rFonts w:ascii="Arial" w:hAnsi="Arial" w:cs="Arial"/>
          <w:sz w:val="24"/>
          <w:szCs w:val="24"/>
        </w:rPr>
        <w:t>4.2</w:t>
      </w:r>
      <w:r w:rsidRPr="00B568F3">
        <w:rPr>
          <w:rFonts w:ascii="Arial" w:hAnsi="Arial" w:cs="Arial"/>
          <w:sz w:val="24"/>
          <w:szCs w:val="24"/>
        </w:rPr>
        <w:t xml:space="preserve"> per cent (compared to a</w:t>
      </w:r>
      <w:r w:rsidR="00271B82">
        <w:rPr>
          <w:rFonts w:ascii="Arial" w:hAnsi="Arial" w:cs="Arial"/>
          <w:sz w:val="24"/>
          <w:szCs w:val="24"/>
        </w:rPr>
        <w:t xml:space="preserve"> </w:t>
      </w:r>
      <w:r w:rsidR="0E96E4A8" w:rsidRPr="5E7DC569">
        <w:rPr>
          <w:rFonts w:ascii="Arial" w:hAnsi="Arial" w:cs="Arial"/>
          <w:sz w:val="24"/>
          <w:szCs w:val="24"/>
        </w:rPr>
        <w:t xml:space="preserve">reported </w:t>
      </w:r>
      <w:r w:rsidR="00271B82">
        <w:rPr>
          <w:rFonts w:ascii="Arial" w:hAnsi="Arial" w:cs="Arial"/>
          <w:sz w:val="24"/>
          <w:szCs w:val="24"/>
        </w:rPr>
        <w:t xml:space="preserve">decrease of 21.3 </w:t>
      </w:r>
      <w:r w:rsidRPr="00B568F3">
        <w:rPr>
          <w:rFonts w:ascii="Arial" w:hAnsi="Arial" w:cs="Arial"/>
          <w:sz w:val="24"/>
          <w:szCs w:val="24"/>
        </w:rPr>
        <w:t>per cent in 202</w:t>
      </w:r>
      <w:r w:rsidR="00271B82">
        <w:rPr>
          <w:rFonts w:ascii="Arial" w:hAnsi="Arial" w:cs="Arial"/>
          <w:sz w:val="24"/>
          <w:szCs w:val="24"/>
        </w:rPr>
        <w:t>3</w:t>
      </w:r>
      <w:r w:rsidRPr="00B568F3">
        <w:rPr>
          <w:rFonts w:ascii="Arial" w:hAnsi="Arial" w:cs="Arial"/>
          <w:sz w:val="24"/>
          <w:szCs w:val="24"/>
        </w:rPr>
        <w:t xml:space="preserve"> to 202</w:t>
      </w:r>
      <w:r w:rsidR="00271B82">
        <w:rPr>
          <w:rFonts w:ascii="Arial" w:hAnsi="Arial" w:cs="Arial"/>
          <w:sz w:val="24"/>
          <w:szCs w:val="24"/>
        </w:rPr>
        <w:t>4</w:t>
      </w:r>
      <w:r w:rsidRPr="00B568F3">
        <w:rPr>
          <w:rFonts w:ascii="Arial" w:hAnsi="Arial" w:cs="Arial"/>
          <w:sz w:val="24"/>
          <w:szCs w:val="24"/>
        </w:rPr>
        <w:t>)</w:t>
      </w:r>
      <w:r w:rsidR="00C16326">
        <w:rPr>
          <w:rFonts w:ascii="Arial" w:hAnsi="Arial" w:cs="Arial"/>
          <w:sz w:val="24"/>
          <w:szCs w:val="24"/>
        </w:rPr>
        <w:t xml:space="preserve">. </w:t>
      </w:r>
      <w:r w:rsidR="00564304" w:rsidRPr="00564304">
        <w:rPr>
          <w:rFonts w:ascii="Arial" w:hAnsi="Arial" w:cs="Arial"/>
          <w:sz w:val="24"/>
          <w:szCs w:val="24"/>
        </w:rPr>
        <w:t xml:space="preserve">This increase reflects fewer local authorities (seven compared to ten previously) reporting </w:t>
      </w:r>
      <w:r w:rsidR="002E6EA4">
        <w:rPr>
          <w:rFonts w:ascii="Arial" w:hAnsi="Arial" w:cs="Arial"/>
          <w:sz w:val="24"/>
          <w:szCs w:val="24"/>
        </w:rPr>
        <w:t xml:space="preserve">more additional investment </w:t>
      </w:r>
      <w:r w:rsidR="00564304" w:rsidRPr="00564304">
        <w:rPr>
          <w:rFonts w:ascii="Arial" w:hAnsi="Arial" w:cs="Arial"/>
          <w:sz w:val="24"/>
          <w:szCs w:val="24"/>
        </w:rPr>
        <w:t>above the required match funding</w:t>
      </w:r>
    </w:p>
    <w:p w14:paraId="70D7CE77" w14:textId="16990665" w:rsidR="00D83570" w:rsidRDefault="00D83570" w:rsidP="00632461">
      <w:pPr>
        <w:numPr>
          <w:ilvl w:val="0"/>
          <w:numId w:val="15"/>
        </w:numPr>
        <w:rPr>
          <w:rFonts w:ascii="Arial" w:hAnsi="Arial" w:cs="Arial"/>
          <w:sz w:val="24"/>
          <w:szCs w:val="24"/>
        </w:rPr>
      </w:pPr>
      <w:r w:rsidRPr="00B568F3">
        <w:rPr>
          <w:rFonts w:ascii="Arial" w:hAnsi="Arial" w:cs="Arial"/>
          <w:sz w:val="24"/>
          <w:szCs w:val="24"/>
        </w:rPr>
        <w:t>there was a</w:t>
      </w:r>
      <w:r w:rsidR="00D12EE8">
        <w:rPr>
          <w:rFonts w:ascii="Arial" w:hAnsi="Arial" w:cs="Arial"/>
          <w:sz w:val="24"/>
          <w:szCs w:val="24"/>
        </w:rPr>
        <w:t xml:space="preserve"> decrease of 0.7</w:t>
      </w:r>
      <w:r w:rsidRPr="00B568F3">
        <w:rPr>
          <w:rFonts w:ascii="Arial" w:hAnsi="Arial" w:cs="Arial"/>
          <w:sz w:val="24"/>
          <w:szCs w:val="24"/>
        </w:rPr>
        <w:t xml:space="preserve"> per cent in spend on staff who provide direct learning and development</w:t>
      </w:r>
    </w:p>
    <w:p w14:paraId="175ACD9D" w14:textId="0A32C8B2" w:rsidR="00BB0F52" w:rsidRPr="0098014A" w:rsidRDefault="00F60781" w:rsidP="00632461">
      <w:pPr>
        <w:numPr>
          <w:ilvl w:val="0"/>
          <w:numId w:val="15"/>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27.6</w:t>
      </w:r>
      <w:r w:rsidR="005C2842">
        <w:rPr>
          <w:rFonts w:ascii="Arial" w:eastAsia="Times New Roman" w:hAnsi="Arial" w:cs="Arial"/>
          <w:sz w:val="24"/>
          <w:szCs w:val="24"/>
          <w:lang w:eastAsia="en-GB"/>
        </w:rPr>
        <w:t xml:space="preserve"> per cent</w:t>
      </w:r>
      <w:r>
        <w:rPr>
          <w:rFonts w:ascii="Arial" w:eastAsia="Times New Roman" w:hAnsi="Arial" w:cs="Arial"/>
          <w:sz w:val="24"/>
          <w:szCs w:val="24"/>
          <w:lang w:eastAsia="en-GB"/>
        </w:rPr>
        <w:t xml:space="preserve"> (</w:t>
      </w:r>
      <w:r w:rsidRPr="00B568F3">
        <w:rPr>
          <w:rFonts w:ascii="Arial" w:eastAsia="Calibri" w:hAnsi="Arial" w:cs="Arial"/>
          <w:sz w:val="24"/>
          <w:szCs w:val="24"/>
          <w:lang w:eastAsia="en-GB"/>
        </w:rPr>
        <w:t>£3,</w:t>
      </w:r>
      <w:r>
        <w:rPr>
          <w:rFonts w:ascii="Arial" w:eastAsia="Calibri" w:hAnsi="Arial" w:cs="Arial"/>
          <w:sz w:val="24"/>
          <w:szCs w:val="24"/>
          <w:lang w:eastAsia="en-GB"/>
        </w:rPr>
        <w:t>013,763)</w:t>
      </w:r>
      <w:r w:rsidR="005C2842">
        <w:rPr>
          <w:rFonts w:ascii="Arial" w:eastAsia="Times New Roman" w:hAnsi="Arial" w:cs="Arial"/>
          <w:sz w:val="24"/>
          <w:szCs w:val="24"/>
          <w:lang w:eastAsia="en-GB"/>
        </w:rPr>
        <w:t xml:space="preserve"> of the grant is spent on national priorities</w:t>
      </w:r>
      <w:r w:rsidR="004A27AE">
        <w:rPr>
          <w:rFonts w:ascii="Arial" w:eastAsia="Times New Roman" w:hAnsi="Arial" w:cs="Arial"/>
          <w:sz w:val="24"/>
          <w:szCs w:val="24"/>
          <w:lang w:eastAsia="en-GB"/>
        </w:rPr>
        <w:t xml:space="preserve">, and </w:t>
      </w:r>
      <w:r w:rsidR="00BB0F52" w:rsidRPr="0098014A">
        <w:rPr>
          <w:rFonts w:ascii="Arial" w:eastAsia="Times New Roman" w:hAnsi="Arial" w:cs="Arial"/>
          <w:sz w:val="24"/>
          <w:szCs w:val="24"/>
          <w:lang w:eastAsia="en-GB"/>
        </w:rPr>
        <w:t>the two main areas of SCWWDP national priorities spending are:</w:t>
      </w:r>
    </w:p>
    <w:p w14:paraId="118EC57F" w14:textId="7CC32DB7" w:rsidR="00BB0F52" w:rsidRPr="00316A6A" w:rsidRDefault="00BB0F52" w:rsidP="00F521F9">
      <w:pPr>
        <w:numPr>
          <w:ilvl w:val="0"/>
          <w:numId w:val="16"/>
        </w:numPr>
        <w:spacing w:before="100" w:beforeAutospacing="1" w:after="240" w:line="240" w:lineRule="auto"/>
        <w:rPr>
          <w:rFonts w:ascii="Arial" w:eastAsia="Times New Roman" w:hAnsi="Arial" w:cs="Arial"/>
          <w:sz w:val="24"/>
          <w:szCs w:val="24"/>
          <w:lang w:eastAsia="en-GB"/>
        </w:rPr>
      </w:pPr>
      <w:r w:rsidRPr="00316A6A">
        <w:rPr>
          <w:rFonts w:ascii="Arial" w:eastAsia="Times New Roman" w:hAnsi="Arial" w:cs="Arial"/>
          <w:sz w:val="24"/>
          <w:szCs w:val="24"/>
          <w:lang w:eastAsia="en-GB"/>
        </w:rPr>
        <w:t>providing excellent education and learning, which includes vocational qualifications (</w:t>
      </w:r>
      <w:r w:rsidR="00FB07DC" w:rsidRPr="00C92ECE">
        <w:rPr>
          <w:rFonts w:ascii="Arial" w:eastAsia="Times New Roman" w:hAnsi="Arial" w:cs="Arial"/>
          <w:sz w:val="24"/>
          <w:szCs w:val="24"/>
          <w:lang w:eastAsia="en-GB"/>
        </w:rPr>
        <w:t>42</w:t>
      </w:r>
      <w:r w:rsidRPr="00316A6A">
        <w:rPr>
          <w:rFonts w:ascii="Arial" w:eastAsia="Times New Roman" w:hAnsi="Arial" w:cs="Arial"/>
          <w:sz w:val="24"/>
          <w:szCs w:val="24"/>
          <w:lang w:eastAsia="en-GB"/>
        </w:rPr>
        <w:t xml:space="preserve"> per cent, £1,</w:t>
      </w:r>
      <w:r w:rsidR="00316A6A" w:rsidRPr="00C92ECE">
        <w:rPr>
          <w:rFonts w:ascii="Arial" w:eastAsia="Times New Roman" w:hAnsi="Arial" w:cs="Arial"/>
          <w:sz w:val="24"/>
          <w:szCs w:val="24"/>
          <w:lang w:eastAsia="en-GB"/>
        </w:rPr>
        <w:t>266,534</w:t>
      </w:r>
      <w:r w:rsidRPr="00316A6A">
        <w:rPr>
          <w:rFonts w:ascii="Arial" w:eastAsia="Times New Roman" w:hAnsi="Arial" w:cs="Arial"/>
          <w:sz w:val="24"/>
          <w:szCs w:val="24"/>
          <w:lang w:eastAsia="en-GB"/>
        </w:rPr>
        <w:t>)</w:t>
      </w:r>
    </w:p>
    <w:p w14:paraId="2D3B5B3A" w14:textId="58F230CA" w:rsidR="00BB0F52" w:rsidRDefault="00BB0F52" w:rsidP="004D324F">
      <w:pPr>
        <w:numPr>
          <w:ilvl w:val="0"/>
          <w:numId w:val="16"/>
        </w:numPr>
        <w:spacing w:before="100" w:beforeAutospacing="1" w:after="100" w:afterAutospacing="1" w:line="240" w:lineRule="auto"/>
        <w:rPr>
          <w:rFonts w:ascii="Arial" w:eastAsia="Times New Roman" w:hAnsi="Arial" w:cs="Arial"/>
          <w:sz w:val="24"/>
          <w:szCs w:val="24"/>
          <w:lang w:eastAsia="en-GB"/>
        </w:rPr>
      </w:pPr>
      <w:r w:rsidRPr="00316A6A">
        <w:rPr>
          <w:rFonts w:ascii="Arial" w:eastAsia="Times New Roman" w:hAnsi="Arial" w:cs="Arial"/>
          <w:sz w:val="24"/>
          <w:szCs w:val="24"/>
          <w:lang w:eastAsia="en-GB"/>
        </w:rPr>
        <w:t>providing qualifying and post qualifying social work training (</w:t>
      </w:r>
      <w:r w:rsidR="00316A6A" w:rsidRPr="00C92ECE">
        <w:rPr>
          <w:rFonts w:ascii="Arial" w:eastAsia="Times New Roman" w:hAnsi="Arial" w:cs="Arial"/>
          <w:sz w:val="24"/>
          <w:szCs w:val="24"/>
          <w:lang w:eastAsia="en-GB"/>
        </w:rPr>
        <w:t>36.7</w:t>
      </w:r>
      <w:r w:rsidRPr="00316A6A">
        <w:rPr>
          <w:rFonts w:ascii="Arial" w:eastAsia="Times New Roman" w:hAnsi="Arial" w:cs="Arial"/>
          <w:sz w:val="24"/>
          <w:szCs w:val="24"/>
          <w:lang w:eastAsia="en-GB"/>
        </w:rPr>
        <w:t xml:space="preserve"> per cent, £1,</w:t>
      </w:r>
      <w:r w:rsidR="00316A6A" w:rsidRPr="00C92ECE">
        <w:rPr>
          <w:rFonts w:ascii="Arial" w:eastAsia="Times New Roman" w:hAnsi="Arial" w:cs="Arial"/>
          <w:sz w:val="24"/>
          <w:szCs w:val="24"/>
          <w:lang w:eastAsia="en-GB"/>
        </w:rPr>
        <w:t>104,637</w:t>
      </w:r>
      <w:r w:rsidRPr="00316A6A">
        <w:rPr>
          <w:rFonts w:ascii="Arial" w:eastAsia="Times New Roman" w:hAnsi="Arial" w:cs="Arial"/>
          <w:sz w:val="24"/>
          <w:szCs w:val="24"/>
          <w:lang w:eastAsia="en-GB"/>
        </w:rPr>
        <w:t>).</w:t>
      </w:r>
    </w:p>
    <w:p w14:paraId="23B6DC33" w14:textId="692A4F23" w:rsidR="00000EA3" w:rsidRPr="007566F3" w:rsidRDefault="00000EA3" w:rsidP="00D04E27">
      <w:pPr>
        <w:numPr>
          <w:ilvl w:val="0"/>
          <w:numId w:val="15"/>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D04E27">
        <w:rPr>
          <w:rFonts w:ascii="Arial" w:eastAsia="Times New Roman" w:hAnsi="Arial" w:cs="Arial"/>
          <w:sz w:val="24"/>
          <w:szCs w:val="24"/>
          <w:lang w:eastAsia="en-GB"/>
        </w:rPr>
        <w:t>he total value of unmet need reported by regions as part of the 2024 to 2025 application process amounted to over £2.7 million.</w:t>
      </w:r>
    </w:p>
    <w:p w14:paraId="72935F94" w14:textId="0AC200C0" w:rsidR="00D83570" w:rsidRPr="00316A6A" w:rsidDel="00424F2F" w:rsidRDefault="00E85B90" w:rsidP="00C92ECE">
      <w:pPr>
        <w:spacing w:after="0"/>
        <w:rPr>
          <w:rFonts w:ascii="Arial" w:hAnsi="Arial" w:cs="Arial"/>
          <w:sz w:val="24"/>
          <w:szCs w:val="24"/>
        </w:rPr>
      </w:pPr>
      <w:r w:rsidRPr="00316A6A">
        <w:rPr>
          <w:rFonts w:ascii="Arial" w:hAnsi="Arial" w:cs="Arial"/>
          <w:sz w:val="24"/>
          <w:szCs w:val="24"/>
        </w:rPr>
        <w:t>The SCWWDP grant</w:t>
      </w:r>
      <w:r w:rsidR="00C66760">
        <w:rPr>
          <w:rFonts w:ascii="Arial" w:hAnsi="Arial" w:cs="Arial"/>
          <w:sz w:val="24"/>
          <w:szCs w:val="24"/>
        </w:rPr>
        <w:t xml:space="preserve"> as reported by the regions in their end-of-year </w:t>
      </w:r>
      <w:r w:rsidR="00920FF9">
        <w:rPr>
          <w:rFonts w:ascii="Arial" w:hAnsi="Arial" w:cs="Arial"/>
          <w:sz w:val="24"/>
          <w:szCs w:val="24"/>
        </w:rPr>
        <w:t>submissions</w:t>
      </w:r>
      <w:r w:rsidR="00751170">
        <w:rPr>
          <w:rFonts w:ascii="Arial" w:hAnsi="Arial" w:cs="Arial"/>
          <w:sz w:val="24"/>
          <w:szCs w:val="24"/>
        </w:rPr>
        <w:t xml:space="preserve">, was used to support learning and development programmes across all seven regions of Wales. </w:t>
      </w:r>
      <w:r w:rsidR="00771BD5">
        <w:rPr>
          <w:rFonts w:ascii="Arial" w:hAnsi="Arial" w:cs="Arial"/>
          <w:sz w:val="24"/>
          <w:szCs w:val="24"/>
        </w:rPr>
        <w:t>The grant</w:t>
      </w:r>
      <w:r w:rsidRPr="00316A6A">
        <w:rPr>
          <w:rFonts w:ascii="Arial" w:hAnsi="Arial" w:cs="Arial"/>
          <w:sz w:val="24"/>
          <w:szCs w:val="24"/>
        </w:rPr>
        <w:t>:</w:t>
      </w:r>
    </w:p>
    <w:p w14:paraId="2D471235" w14:textId="77777777" w:rsidR="00FE137A" w:rsidRPr="00C92ECE" w:rsidRDefault="00FE137A" w:rsidP="002D1B1F">
      <w:pPr>
        <w:spacing w:after="0" w:line="240" w:lineRule="auto"/>
        <w:rPr>
          <w:rFonts w:ascii="Arial" w:hAnsi="Arial" w:cs="Arial"/>
          <w:b/>
          <w:bCs/>
          <w:sz w:val="28"/>
          <w:szCs w:val="28"/>
          <w:highlight w:val="yellow"/>
          <w:u w:val="single"/>
          <w:lang w:eastAsia="en-GB"/>
        </w:rPr>
      </w:pPr>
    </w:p>
    <w:p w14:paraId="4C4A85C7" w14:textId="21835FD0" w:rsidR="0084005F" w:rsidRPr="002C3C40" w:rsidRDefault="00424F2F" w:rsidP="00632461">
      <w:pPr>
        <w:pStyle w:val="ListParagraph"/>
        <w:numPr>
          <w:ilvl w:val="0"/>
          <w:numId w:val="6"/>
        </w:numPr>
        <w:spacing w:after="0" w:line="276" w:lineRule="auto"/>
        <w:ind w:left="360"/>
        <w:rPr>
          <w:rFonts w:ascii="Arial" w:eastAsia="Calibri" w:hAnsi="Arial" w:cs="Arial"/>
          <w:sz w:val="24"/>
          <w:szCs w:val="24"/>
        </w:rPr>
      </w:pPr>
      <w:r w:rsidRPr="002C3C40">
        <w:rPr>
          <w:rFonts w:ascii="Arial" w:eastAsia="Calibri" w:hAnsi="Arial" w:cs="Arial"/>
          <w:sz w:val="24"/>
          <w:szCs w:val="24"/>
        </w:rPr>
        <w:t xml:space="preserve">supported </w:t>
      </w:r>
      <w:r w:rsidR="00B67A8E" w:rsidRPr="00C92ECE">
        <w:rPr>
          <w:rFonts w:ascii="Arial" w:eastAsia="Calibri" w:hAnsi="Arial" w:cs="Arial"/>
          <w:sz w:val="24"/>
          <w:szCs w:val="24"/>
        </w:rPr>
        <w:t>2,4</w:t>
      </w:r>
      <w:r w:rsidR="00CB050D" w:rsidRPr="00C92ECE">
        <w:rPr>
          <w:rFonts w:ascii="Arial" w:eastAsia="Calibri" w:hAnsi="Arial" w:cs="Arial"/>
          <w:sz w:val="24"/>
          <w:szCs w:val="24"/>
        </w:rPr>
        <w:t>86</w:t>
      </w:r>
      <w:r w:rsidR="00B67A8E" w:rsidRPr="00C92ECE">
        <w:rPr>
          <w:rFonts w:ascii="Arial" w:eastAsia="Calibri" w:hAnsi="Arial" w:cs="Arial"/>
          <w:sz w:val="24"/>
          <w:szCs w:val="24"/>
        </w:rPr>
        <w:t xml:space="preserve"> </w:t>
      </w:r>
      <w:r w:rsidR="069F4A6E" w:rsidRPr="002C3C40">
        <w:rPr>
          <w:rFonts w:ascii="Arial" w:eastAsia="Calibri" w:hAnsi="Arial" w:cs="Arial"/>
          <w:sz w:val="24"/>
          <w:szCs w:val="24"/>
        </w:rPr>
        <w:t xml:space="preserve">vocational qualification learners, an increase of </w:t>
      </w:r>
      <w:r w:rsidR="0053490E" w:rsidRPr="00C92ECE">
        <w:rPr>
          <w:rFonts w:ascii="Arial" w:eastAsia="Calibri" w:hAnsi="Arial" w:cs="Arial"/>
          <w:sz w:val="24"/>
          <w:szCs w:val="24"/>
        </w:rPr>
        <w:t>31.6</w:t>
      </w:r>
      <w:r w:rsidR="347F833A" w:rsidRPr="002C3C40">
        <w:rPr>
          <w:rFonts w:ascii="Arial" w:eastAsia="Calibri" w:hAnsi="Arial" w:cs="Arial"/>
          <w:sz w:val="24"/>
          <w:szCs w:val="24"/>
        </w:rPr>
        <w:t xml:space="preserve"> per cent</w:t>
      </w:r>
      <w:r w:rsidR="069F4A6E" w:rsidRPr="002C3C40">
        <w:rPr>
          <w:rFonts w:ascii="Arial" w:eastAsia="Calibri" w:hAnsi="Arial" w:cs="Arial"/>
          <w:sz w:val="24"/>
          <w:szCs w:val="24"/>
        </w:rPr>
        <w:t xml:space="preserve"> on last year.</w:t>
      </w:r>
    </w:p>
    <w:p w14:paraId="61FB0885" w14:textId="77777777" w:rsidR="0084005F" w:rsidRPr="002C3C40" w:rsidRDefault="0084005F" w:rsidP="00B2131D">
      <w:pPr>
        <w:spacing w:after="0" w:line="276" w:lineRule="auto"/>
        <w:contextualSpacing/>
        <w:rPr>
          <w:rFonts w:ascii="Arial" w:eastAsia="Calibri" w:hAnsi="Arial" w:cs="Arial"/>
          <w:sz w:val="24"/>
          <w:szCs w:val="24"/>
        </w:rPr>
      </w:pPr>
    </w:p>
    <w:p w14:paraId="48CBDCF3" w14:textId="6127DEC2" w:rsidR="00CD4C67" w:rsidRPr="00DA257C" w:rsidRDefault="00A201AD" w:rsidP="00632461">
      <w:pPr>
        <w:pStyle w:val="ListParagraph"/>
        <w:numPr>
          <w:ilvl w:val="0"/>
          <w:numId w:val="6"/>
        </w:numPr>
        <w:spacing w:after="0" w:line="276" w:lineRule="auto"/>
        <w:ind w:left="360"/>
        <w:rPr>
          <w:rFonts w:ascii="Arial" w:eastAsia="Calibri" w:hAnsi="Arial" w:cs="Arial"/>
          <w:sz w:val="24"/>
          <w:szCs w:val="24"/>
        </w:rPr>
      </w:pPr>
      <w:r w:rsidRPr="00DA257C">
        <w:rPr>
          <w:rFonts w:ascii="Arial" w:eastAsia="Calibri" w:hAnsi="Arial" w:cs="Arial"/>
          <w:sz w:val="24"/>
          <w:szCs w:val="24"/>
        </w:rPr>
        <w:t xml:space="preserve">supported </w:t>
      </w:r>
      <w:r w:rsidR="000A3E2C" w:rsidRPr="00D04E27">
        <w:rPr>
          <w:rFonts w:ascii="Arial" w:eastAsia="Calibri" w:hAnsi="Arial" w:cs="Arial"/>
          <w:sz w:val="24"/>
          <w:szCs w:val="24"/>
        </w:rPr>
        <w:t>693</w:t>
      </w:r>
      <w:r w:rsidR="00C20C6C" w:rsidRPr="00DA257C">
        <w:rPr>
          <w:rFonts w:ascii="Arial" w:eastAsia="Calibri" w:hAnsi="Arial" w:cs="Arial"/>
          <w:sz w:val="24"/>
          <w:szCs w:val="24"/>
        </w:rPr>
        <w:t xml:space="preserve"> </w:t>
      </w:r>
      <w:r w:rsidR="069F4A6E" w:rsidRPr="00DA257C">
        <w:rPr>
          <w:rFonts w:ascii="Arial" w:eastAsia="Calibri" w:hAnsi="Arial" w:cs="Arial"/>
          <w:sz w:val="24"/>
          <w:szCs w:val="24"/>
        </w:rPr>
        <w:t>people</w:t>
      </w:r>
      <w:r w:rsidR="069F4A6E" w:rsidRPr="00DA257C" w:rsidDel="00A201AD">
        <w:rPr>
          <w:rFonts w:ascii="Arial" w:eastAsia="Calibri" w:hAnsi="Arial" w:cs="Arial"/>
          <w:sz w:val="24"/>
          <w:szCs w:val="24"/>
        </w:rPr>
        <w:t xml:space="preserve"> </w:t>
      </w:r>
      <w:r w:rsidR="069F4A6E" w:rsidRPr="00DA257C">
        <w:rPr>
          <w:rFonts w:ascii="Arial" w:eastAsia="Calibri" w:hAnsi="Arial" w:cs="Arial"/>
          <w:sz w:val="24"/>
          <w:szCs w:val="24"/>
        </w:rPr>
        <w:t xml:space="preserve">on social work qualifying training, an increase of </w:t>
      </w:r>
      <w:r w:rsidR="00DA257C" w:rsidRPr="00D04E27">
        <w:rPr>
          <w:rFonts w:ascii="Arial" w:eastAsia="Calibri" w:hAnsi="Arial" w:cs="Arial"/>
          <w:sz w:val="24"/>
          <w:szCs w:val="24"/>
        </w:rPr>
        <w:t>2.2</w:t>
      </w:r>
      <w:r w:rsidR="347F833A" w:rsidRPr="00DA257C">
        <w:rPr>
          <w:rFonts w:ascii="Arial" w:eastAsia="Calibri" w:hAnsi="Arial" w:cs="Arial"/>
          <w:sz w:val="24"/>
          <w:szCs w:val="24"/>
        </w:rPr>
        <w:t xml:space="preserve"> </w:t>
      </w:r>
      <w:r w:rsidR="006D4942" w:rsidRPr="00DA257C">
        <w:rPr>
          <w:rFonts w:ascii="Arial" w:eastAsia="Calibri" w:hAnsi="Arial" w:cs="Arial"/>
          <w:sz w:val="24"/>
          <w:szCs w:val="24"/>
        </w:rPr>
        <w:t>per</w:t>
      </w:r>
      <w:r w:rsidR="347F833A" w:rsidRPr="00DA257C">
        <w:rPr>
          <w:rFonts w:ascii="Arial" w:eastAsia="Calibri" w:hAnsi="Arial" w:cs="Arial"/>
          <w:sz w:val="24"/>
          <w:szCs w:val="24"/>
        </w:rPr>
        <w:t xml:space="preserve"> cent</w:t>
      </w:r>
      <w:r w:rsidR="069F4A6E" w:rsidRPr="00DA257C">
        <w:rPr>
          <w:rFonts w:ascii="Arial" w:eastAsia="Calibri" w:hAnsi="Arial" w:cs="Arial"/>
          <w:sz w:val="24"/>
          <w:szCs w:val="24"/>
        </w:rPr>
        <w:t xml:space="preserve"> on last year.</w:t>
      </w:r>
    </w:p>
    <w:p w14:paraId="4FE84505" w14:textId="77777777" w:rsidR="00CD4C67" w:rsidRPr="007566F3" w:rsidRDefault="00CD4C67" w:rsidP="00B2131D">
      <w:pPr>
        <w:spacing w:after="0" w:line="276" w:lineRule="auto"/>
        <w:contextualSpacing/>
        <w:rPr>
          <w:rFonts w:ascii="Arial" w:eastAsia="Calibri" w:hAnsi="Arial" w:cs="Arial"/>
          <w:sz w:val="24"/>
          <w:szCs w:val="24"/>
          <w:highlight w:val="yellow"/>
        </w:rPr>
      </w:pPr>
    </w:p>
    <w:p w14:paraId="318F7791" w14:textId="2A21B126" w:rsidR="004F3A95" w:rsidRPr="00E40F94" w:rsidRDefault="00A201AD" w:rsidP="00632461">
      <w:pPr>
        <w:pStyle w:val="ListParagraph"/>
        <w:numPr>
          <w:ilvl w:val="0"/>
          <w:numId w:val="6"/>
        </w:numPr>
        <w:spacing w:after="0" w:line="276" w:lineRule="auto"/>
        <w:ind w:left="360"/>
        <w:rPr>
          <w:rFonts w:ascii="Arial" w:eastAsia="Calibri" w:hAnsi="Arial" w:cs="Arial"/>
          <w:sz w:val="24"/>
          <w:szCs w:val="24"/>
        </w:rPr>
      </w:pPr>
      <w:r w:rsidRPr="00E40F94">
        <w:rPr>
          <w:rFonts w:ascii="Arial" w:eastAsia="Calibri" w:hAnsi="Arial" w:cs="Arial"/>
          <w:sz w:val="24"/>
          <w:szCs w:val="24"/>
        </w:rPr>
        <w:t xml:space="preserve">supported </w:t>
      </w:r>
      <w:r w:rsidR="006D0903" w:rsidRPr="00D04E27">
        <w:rPr>
          <w:rFonts w:ascii="Arial" w:eastAsia="Calibri" w:hAnsi="Arial" w:cs="Arial"/>
          <w:sz w:val="24"/>
          <w:szCs w:val="24"/>
        </w:rPr>
        <w:t>416</w:t>
      </w:r>
      <w:r w:rsidR="006D0903" w:rsidRPr="00E40F94">
        <w:rPr>
          <w:rFonts w:ascii="Arial" w:eastAsia="Calibri" w:hAnsi="Arial" w:cs="Arial"/>
          <w:sz w:val="24"/>
          <w:szCs w:val="24"/>
        </w:rPr>
        <w:t xml:space="preserve"> </w:t>
      </w:r>
      <w:r w:rsidR="069F4A6E" w:rsidRPr="00E40F94">
        <w:rPr>
          <w:rFonts w:ascii="Arial" w:eastAsia="Calibri" w:hAnsi="Arial" w:cs="Arial"/>
          <w:sz w:val="24"/>
          <w:szCs w:val="24"/>
        </w:rPr>
        <w:t>people with social work post qualifying training, a</w:t>
      </w:r>
      <w:r w:rsidR="00937BE3" w:rsidRPr="00E40F94">
        <w:rPr>
          <w:rFonts w:ascii="Arial" w:eastAsia="Calibri" w:hAnsi="Arial" w:cs="Arial"/>
          <w:sz w:val="24"/>
          <w:szCs w:val="24"/>
        </w:rPr>
        <w:t xml:space="preserve"> decrease of </w:t>
      </w:r>
      <w:r w:rsidR="00E40F94" w:rsidRPr="00D04E27">
        <w:rPr>
          <w:rFonts w:ascii="Arial" w:eastAsia="Calibri" w:hAnsi="Arial" w:cs="Arial"/>
          <w:sz w:val="24"/>
          <w:szCs w:val="24"/>
        </w:rPr>
        <w:t>3.7</w:t>
      </w:r>
      <w:r w:rsidR="5407A560" w:rsidRPr="00E40F94">
        <w:rPr>
          <w:rFonts w:ascii="Arial" w:eastAsia="Calibri" w:hAnsi="Arial" w:cs="Arial"/>
          <w:sz w:val="24"/>
          <w:szCs w:val="24"/>
        </w:rPr>
        <w:t xml:space="preserve"> per cent</w:t>
      </w:r>
      <w:r w:rsidR="069F4A6E" w:rsidRPr="00E40F94">
        <w:rPr>
          <w:rFonts w:ascii="Arial" w:eastAsia="Calibri" w:hAnsi="Arial" w:cs="Arial"/>
          <w:sz w:val="24"/>
          <w:szCs w:val="24"/>
        </w:rPr>
        <w:t xml:space="preserve"> on last year</w:t>
      </w:r>
      <w:r w:rsidR="0011279B">
        <w:rPr>
          <w:rFonts w:ascii="Arial" w:eastAsia="Calibri" w:hAnsi="Arial" w:cs="Arial"/>
          <w:sz w:val="24"/>
          <w:szCs w:val="24"/>
        </w:rPr>
        <w:t>.</w:t>
      </w:r>
    </w:p>
    <w:p w14:paraId="67EAB3F0" w14:textId="77777777" w:rsidR="004F3A95" w:rsidRPr="00E40F94" w:rsidRDefault="004F3A95" w:rsidP="00B2131D">
      <w:pPr>
        <w:spacing w:after="0" w:line="276" w:lineRule="auto"/>
        <w:contextualSpacing/>
        <w:rPr>
          <w:rFonts w:ascii="Arial" w:eastAsia="Calibri" w:hAnsi="Arial" w:cs="Arial"/>
          <w:sz w:val="24"/>
          <w:szCs w:val="24"/>
        </w:rPr>
      </w:pPr>
    </w:p>
    <w:p w14:paraId="38F95883" w14:textId="5C066F97" w:rsidR="00CD4C67" w:rsidRPr="00E40F94" w:rsidRDefault="00604C7A" w:rsidP="00632461">
      <w:pPr>
        <w:pStyle w:val="ListParagraph"/>
        <w:numPr>
          <w:ilvl w:val="0"/>
          <w:numId w:val="6"/>
        </w:numPr>
        <w:spacing w:after="0" w:line="276" w:lineRule="auto"/>
        <w:ind w:left="360"/>
        <w:rPr>
          <w:rFonts w:ascii="Arial" w:eastAsia="Calibri" w:hAnsi="Arial" w:cs="Arial"/>
          <w:sz w:val="24"/>
          <w:szCs w:val="24"/>
        </w:rPr>
      </w:pPr>
      <w:r w:rsidRPr="00E40F94">
        <w:rPr>
          <w:rFonts w:ascii="Arial" w:eastAsia="Calibri" w:hAnsi="Arial" w:cs="Arial"/>
          <w:sz w:val="24"/>
          <w:szCs w:val="24"/>
        </w:rPr>
        <w:t xml:space="preserve">supported </w:t>
      </w:r>
      <w:r w:rsidR="00E40F94" w:rsidRPr="00D04E27">
        <w:rPr>
          <w:rFonts w:ascii="Arial" w:eastAsia="Calibri" w:hAnsi="Arial" w:cs="Arial"/>
          <w:sz w:val="24"/>
          <w:szCs w:val="24"/>
        </w:rPr>
        <w:t>171</w:t>
      </w:r>
      <w:r w:rsidR="00E40F94" w:rsidRPr="00E40F94">
        <w:rPr>
          <w:rFonts w:ascii="Arial" w:eastAsia="Calibri" w:hAnsi="Arial" w:cs="Arial"/>
          <w:sz w:val="24"/>
          <w:szCs w:val="24"/>
        </w:rPr>
        <w:t xml:space="preserve"> </w:t>
      </w:r>
      <w:r w:rsidR="069F4A6E" w:rsidRPr="00E40F94">
        <w:rPr>
          <w:rFonts w:ascii="Arial" w:eastAsia="Calibri" w:hAnsi="Arial" w:cs="Arial"/>
          <w:sz w:val="24"/>
          <w:szCs w:val="24"/>
        </w:rPr>
        <w:t>people</w:t>
      </w:r>
      <w:r w:rsidR="069F4A6E" w:rsidRPr="00E40F94" w:rsidDel="00604C7A">
        <w:rPr>
          <w:rFonts w:ascii="Arial" w:eastAsia="Calibri" w:hAnsi="Arial" w:cs="Arial"/>
          <w:sz w:val="24"/>
          <w:szCs w:val="24"/>
        </w:rPr>
        <w:t xml:space="preserve"> </w:t>
      </w:r>
      <w:r w:rsidR="069F4A6E" w:rsidRPr="00E40F94">
        <w:rPr>
          <w:rFonts w:ascii="Arial" w:eastAsia="Calibri" w:hAnsi="Arial" w:cs="Arial"/>
          <w:sz w:val="24"/>
          <w:szCs w:val="24"/>
        </w:rPr>
        <w:t>with social work post qualifying specialist awards</w:t>
      </w:r>
      <w:r w:rsidRPr="00E40F94">
        <w:rPr>
          <w:rFonts w:ascii="Arial" w:eastAsia="Calibri" w:hAnsi="Arial" w:cs="Arial"/>
          <w:sz w:val="24"/>
          <w:szCs w:val="24"/>
        </w:rPr>
        <w:t>, for example</w:t>
      </w:r>
      <w:r w:rsidR="069F4A6E" w:rsidRPr="00E40F94" w:rsidDel="00604C7A">
        <w:rPr>
          <w:rFonts w:ascii="Arial" w:eastAsia="Calibri" w:hAnsi="Arial" w:cs="Arial"/>
          <w:sz w:val="24"/>
          <w:szCs w:val="24"/>
        </w:rPr>
        <w:t xml:space="preserve"> </w:t>
      </w:r>
      <w:r w:rsidR="069F4A6E" w:rsidRPr="00E40F94">
        <w:rPr>
          <w:rFonts w:ascii="Arial" w:eastAsia="Calibri" w:hAnsi="Arial" w:cs="Arial"/>
          <w:sz w:val="24"/>
          <w:szCs w:val="24"/>
        </w:rPr>
        <w:t xml:space="preserve">enabling practice, best interest assessor and </w:t>
      </w:r>
      <w:r w:rsidR="00D37BD7" w:rsidRPr="00E40F94">
        <w:rPr>
          <w:rFonts w:ascii="Arial" w:eastAsia="Calibri" w:hAnsi="Arial" w:cs="Arial"/>
          <w:sz w:val="24"/>
          <w:szCs w:val="24"/>
        </w:rPr>
        <w:t>Approved Mental Health Professional (</w:t>
      </w:r>
      <w:r w:rsidR="069F4A6E" w:rsidRPr="00E40F94">
        <w:rPr>
          <w:rFonts w:ascii="Arial" w:eastAsia="Calibri" w:hAnsi="Arial" w:cs="Arial"/>
          <w:sz w:val="24"/>
          <w:szCs w:val="24"/>
        </w:rPr>
        <w:t>AMHP</w:t>
      </w:r>
      <w:r w:rsidR="00D37BD7" w:rsidRPr="00E40F94">
        <w:rPr>
          <w:rFonts w:ascii="Arial" w:eastAsia="Calibri" w:hAnsi="Arial" w:cs="Arial"/>
          <w:sz w:val="24"/>
          <w:szCs w:val="24"/>
        </w:rPr>
        <w:t>)</w:t>
      </w:r>
      <w:r w:rsidR="069F4A6E" w:rsidRPr="00E40F94">
        <w:rPr>
          <w:rFonts w:ascii="Arial" w:eastAsia="Calibri" w:hAnsi="Arial" w:cs="Arial"/>
          <w:sz w:val="24"/>
          <w:szCs w:val="24"/>
        </w:rPr>
        <w:t>.</w:t>
      </w:r>
      <w:r w:rsidR="00922A09" w:rsidRPr="00E40F94">
        <w:rPr>
          <w:rFonts w:ascii="Arial" w:eastAsia="Calibri" w:hAnsi="Arial" w:cs="Arial"/>
          <w:sz w:val="24"/>
          <w:szCs w:val="24"/>
        </w:rPr>
        <w:t xml:space="preserve"> This was a</w:t>
      </w:r>
      <w:r w:rsidR="00153E19" w:rsidRPr="00E40F94">
        <w:rPr>
          <w:rFonts w:ascii="Arial" w:eastAsia="Calibri" w:hAnsi="Arial" w:cs="Arial"/>
          <w:sz w:val="24"/>
          <w:szCs w:val="24"/>
        </w:rPr>
        <w:t xml:space="preserve"> decrease of </w:t>
      </w:r>
      <w:r w:rsidR="00E40F94" w:rsidRPr="00D04E27">
        <w:rPr>
          <w:rFonts w:ascii="Arial" w:eastAsia="Calibri" w:hAnsi="Arial" w:cs="Arial"/>
          <w:sz w:val="24"/>
          <w:szCs w:val="24"/>
        </w:rPr>
        <w:t>8.6</w:t>
      </w:r>
      <w:r w:rsidR="004B6C4E" w:rsidRPr="00E40F94">
        <w:rPr>
          <w:rFonts w:ascii="Arial" w:eastAsia="Calibri" w:hAnsi="Arial" w:cs="Arial"/>
          <w:sz w:val="24"/>
          <w:szCs w:val="24"/>
        </w:rPr>
        <w:t xml:space="preserve"> </w:t>
      </w:r>
      <w:r w:rsidR="5407A560" w:rsidRPr="00E40F94">
        <w:rPr>
          <w:rFonts w:ascii="Arial" w:eastAsia="Calibri" w:hAnsi="Arial" w:cs="Arial"/>
          <w:sz w:val="24"/>
          <w:szCs w:val="24"/>
        </w:rPr>
        <w:t>per cent</w:t>
      </w:r>
      <w:r w:rsidR="069F4A6E" w:rsidRPr="00E40F94">
        <w:rPr>
          <w:rFonts w:ascii="Arial" w:eastAsia="Calibri" w:hAnsi="Arial" w:cs="Arial"/>
          <w:sz w:val="24"/>
          <w:szCs w:val="24"/>
        </w:rPr>
        <w:t xml:space="preserve"> on last year</w:t>
      </w:r>
      <w:r w:rsidR="009C6C48">
        <w:rPr>
          <w:rFonts w:ascii="Arial" w:eastAsia="Calibri" w:hAnsi="Arial" w:cs="Arial"/>
          <w:sz w:val="24"/>
          <w:szCs w:val="24"/>
        </w:rPr>
        <w:t>.</w:t>
      </w:r>
    </w:p>
    <w:p w14:paraId="3DEBE3A0" w14:textId="77777777" w:rsidR="003F7374" w:rsidRPr="00C92ECE" w:rsidRDefault="003F7374" w:rsidP="00B2131D">
      <w:pPr>
        <w:spacing w:after="0" w:line="276" w:lineRule="auto"/>
        <w:contextualSpacing/>
        <w:rPr>
          <w:rFonts w:ascii="Arial" w:eastAsia="Calibri" w:hAnsi="Arial" w:cs="Arial"/>
          <w:sz w:val="24"/>
          <w:szCs w:val="24"/>
          <w:highlight w:val="yellow"/>
        </w:rPr>
      </w:pPr>
    </w:p>
    <w:p w14:paraId="6E90A3E1" w14:textId="1772AC32" w:rsidR="003F7374" w:rsidRPr="0009268D" w:rsidRDefault="00922A09" w:rsidP="00632461">
      <w:pPr>
        <w:pStyle w:val="ListParagraph"/>
        <w:numPr>
          <w:ilvl w:val="0"/>
          <w:numId w:val="6"/>
        </w:numPr>
        <w:spacing w:after="0" w:line="276" w:lineRule="auto"/>
        <w:ind w:left="360"/>
        <w:rPr>
          <w:rFonts w:ascii="Arial" w:eastAsia="Calibri" w:hAnsi="Arial" w:cs="Arial"/>
          <w:sz w:val="24"/>
          <w:szCs w:val="24"/>
        </w:rPr>
      </w:pPr>
      <w:r w:rsidRPr="0009268D">
        <w:rPr>
          <w:rFonts w:ascii="Arial" w:eastAsia="Calibri" w:hAnsi="Arial" w:cs="Arial"/>
          <w:sz w:val="24"/>
          <w:szCs w:val="24"/>
        </w:rPr>
        <w:lastRenderedPageBreak/>
        <w:t xml:space="preserve">provided </w:t>
      </w:r>
      <w:r w:rsidR="00A10465" w:rsidRPr="00C92ECE">
        <w:rPr>
          <w:rFonts w:ascii="Arial" w:eastAsia="Calibri" w:hAnsi="Arial" w:cs="Arial"/>
          <w:sz w:val="24"/>
          <w:szCs w:val="24"/>
        </w:rPr>
        <w:t>134,526</w:t>
      </w:r>
      <w:r w:rsidR="069F4A6E" w:rsidRPr="0009268D">
        <w:rPr>
          <w:rFonts w:ascii="Arial" w:eastAsia="Calibri" w:hAnsi="Arial" w:cs="Arial"/>
          <w:sz w:val="24"/>
          <w:szCs w:val="24"/>
        </w:rPr>
        <w:t xml:space="preserve"> training places</w:t>
      </w:r>
      <w:r w:rsidRPr="0009268D">
        <w:rPr>
          <w:rFonts w:ascii="Arial" w:eastAsia="Calibri" w:hAnsi="Arial" w:cs="Arial"/>
          <w:sz w:val="24"/>
          <w:szCs w:val="24"/>
        </w:rPr>
        <w:t>,</w:t>
      </w:r>
      <w:r w:rsidR="069F4A6E" w:rsidRPr="0009268D" w:rsidDel="00922A09">
        <w:rPr>
          <w:rFonts w:ascii="Arial" w:eastAsia="Calibri" w:hAnsi="Arial" w:cs="Arial"/>
          <w:sz w:val="24"/>
          <w:szCs w:val="24"/>
        </w:rPr>
        <w:t xml:space="preserve"> </w:t>
      </w:r>
      <w:r w:rsidR="069F4A6E" w:rsidRPr="0009268D">
        <w:rPr>
          <w:rFonts w:ascii="Arial" w:eastAsia="Calibri" w:hAnsi="Arial" w:cs="Arial"/>
          <w:sz w:val="24"/>
          <w:szCs w:val="24"/>
        </w:rPr>
        <w:t xml:space="preserve">with </w:t>
      </w:r>
      <w:r w:rsidR="0009268D" w:rsidRPr="00C92ECE">
        <w:rPr>
          <w:rFonts w:ascii="Arial" w:eastAsia="Calibri" w:hAnsi="Arial" w:cs="Arial"/>
          <w:sz w:val="24"/>
          <w:szCs w:val="24"/>
        </w:rPr>
        <w:t>86.2</w:t>
      </w:r>
      <w:r w:rsidR="5407A560" w:rsidRPr="0009268D">
        <w:rPr>
          <w:rFonts w:ascii="Arial" w:eastAsia="Calibri" w:hAnsi="Arial" w:cs="Arial"/>
          <w:sz w:val="24"/>
          <w:szCs w:val="24"/>
        </w:rPr>
        <w:t xml:space="preserve"> per cent</w:t>
      </w:r>
      <w:r w:rsidR="069F4A6E" w:rsidRPr="0009268D">
        <w:rPr>
          <w:rFonts w:ascii="Arial" w:eastAsia="Calibri" w:hAnsi="Arial" w:cs="Arial"/>
          <w:sz w:val="24"/>
          <w:szCs w:val="24"/>
        </w:rPr>
        <w:t xml:space="preserve"> attendance</w:t>
      </w:r>
      <w:r w:rsidR="008C1ABA">
        <w:rPr>
          <w:rFonts w:ascii="Arial" w:eastAsia="Calibri" w:hAnsi="Arial" w:cs="Arial"/>
          <w:sz w:val="24"/>
          <w:szCs w:val="24"/>
        </w:rPr>
        <w:t>.</w:t>
      </w:r>
    </w:p>
    <w:p w14:paraId="1F00A57F" w14:textId="77777777" w:rsidR="0055741B" w:rsidRPr="00C92ECE" w:rsidRDefault="0055741B" w:rsidP="00B2131D">
      <w:pPr>
        <w:spacing w:after="0" w:line="276" w:lineRule="auto"/>
        <w:contextualSpacing/>
        <w:rPr>
          <w:rFonts w:ascii="Arial" w:eastAsia="Calibri" w:hAnsi="Arial" w:cs="Arial"/>
          <w:sz w:val="24"/>
          <w:szCs w:val="24"/>
          <w:highlight w:val="yellow"/>
        </w:rPr>
      </w:pPr>
    </w:p>
    <w:p w14:paraId="32B7ABDC" w14:textId="2367E5C0" w:rsidR="0055741B" w:rsidRDefault="00922A09" w:rsidP="00632461">
      <w:pPr>
        <w:pStyle w:val="ListParagraph"/>
        <w:numPr>
          <w:ilvl w:val="0"/>
          <w:numId w:val="6"/>
        </w:numPr>
        <w:spacing w:after="0" w:line="276" w:lineRule="auto"/>
        <w:ind w:left="360"/>
        <w:rPr>
          <w:rFonts w:ascii="Arial" w:eastAsia="Calibri" w:hAnsi="Arial" w:cs="Arial"/>
          <w:sz w:val="24"/>
          <w:szCs w:val="24"/>
        </w:rPr>
      </w:pPr>
      <w:r w:rsidRPr="009F7654">
        <w:rPr>
          <w:rFonts w:ascii="Arial" w:eastAsia="Calibri" w:hAnsi="Arial" w:cs="Arial"/>
          <w:sz w:val="24"/>
          <w:szCs w:val="24"/>
        </w:rPr>
        <w:t xml:space="preserve">helped increase </w:t>
      </w:r>
      <w:r w:rsidR="069F4A6E" w:rsidRPr="009F7654">
        <w:rPr>
          <w:rFonts w:ascii="Arial" w:eastAsia="Calibri" w:hAnsi="Arial" w:cs="Arial"/>
          <w:sz w:val="24"/>
          <w:szCs w:val="24"/>
        </w:rPr>
        <w:t xml:space="preserve">training </w:t>
      </w:r>
      <w:r w:rsidR="00FB3734" w:rsidRPr="00C92ECE">
        <w:rPr>
          <w:rFonts w:ascii="Arial" w:eastAsia="Calibri" w:hAnsi="Arial" w:cs="Arial"/>
          <w:sz w:val="24"/>
          <w:szCs w:val="24"/>
        </w:rPr>
        <w:t>take-up and attendance</w:t>
      </w:r>
      <w:r w:rsidR="00B703A8" w:rsidRPr="00C92ECE">
        <w:rPr>
          <w:rFonts w:ascii="Arial" w:eastAsia="Calibri" w:hAnsi="Arial" w:cs="Arial"/>
          <w:sz w:val="24"/>
          <w:szCs w:val="24"/>
        </w:rPr>
        <w:t xml:space="preserve"> by the voluntary</w:t>
      </w:r>
      <w:r w:rsidR="00F8488D" w:rsidRPr="00C92ECE">
        <w:rPr>
          <w:rFonts w:ascii="Arial" w:eastAsia="Calibri" w:hAnsi="Arial" w:cs="Arial"/>
          <w:sz w:val="24"/>
          <w:szCs w:val="24"/>
        </w:rPr>
        <w:t xml:space="preserve"> and private sector</w:t>
      </w:r>
      <w:r w:rsidR="069F4A6E" w:rsidRPr="009F7654">
        <w:rPr>
          <w:rFonts w:ascii="Arial" w:eastAsia="Calibri" w:hAnsi="Arial" w:cs="Arial"/>
          <w:sz w:val="24"/>
          <w:szCs w:val="24"/>
        </w:rPr>
        <w:t>.</w:t>
      </w:r>
    </w:p>
    <w:p w14:paraId="3178EE1C" w14:textId="77777777" w:rsidR="00907EE8" w:rsidRPr="00C92ECE" w:rsidRDefault="00907EE8" w:rsidP="00C92ECE">
      <w:pPr>
        <w:spacing w:after="0" w:line="276" w:lineRule="auto"/>
        <w:rPr>
          <w:rFonts w:ascii="Arial" w:eastAsia="Calibri" w:hAnsi="Arial" w:cs="Arial"/>
          <w:sz w:val="24"/>
          <w:szCs w:val="24"/>
          <w:highlight w:val="yellow"/>
        </w:rPr>
      </w:pPr>
    </w:p>
    <w:p w14:paraId="54C8C9D9" w14:textId="4FA37BC6" w:rsidR="00A21C3F" w:rsidRDefault="00CA3275" w:rsidP="000C06A7">
      <w:pPr>
        <w:pStyle w:val="Heading3"/>
      </w:pPr>
      <w:bookmarkStart w:id="8" w:name="_Toc210987760"/>
      <w:bookmarkStart w:id="9" w:name="_Toc211279613"/>
      <w:r>
        <w:t>Future developments</w:t>
      </w:r>
      <w:bookmarkEnd w:id="8"/>
    </w:p>
    <w:bookmarkEnd w:id="9"/>
    <w:p w14:paraId="6D22366D" w14:textId="77777777" w:rsidR="00EB237E" w:rsidRPr="00A978B2" w:rsidRDefault="00EB237E" w:rsidP="00C92ECE"/>
    <w:p w14:paraId="59307B98" w14:textId="3CB190E0" w:rsidR="00CF5C9A" w:rsidRPr="001D0296" w:rsidRDefault="009018B1" w:rsidP="002A3332">
      <w:pPr>
        <w:spacing w:after="0" w:line="240" w:lineRule="auto"/>
        <w:rPr>
          <w:rFonts w:ascii="Arial" w:hAnsi="Arial" w:cs="Arial"/>
          <w:sz w:val="24"/>
          <w:szCs w:val="24"/>
          <w:lang w:eastAsia="en-GB"/>
        </w:rPr>
      </w:pPr>
      <w:r>
        <w:rPr>
          <w:rFonts w:ascii="Arial" w:hAnsi="Arial" w:cs="Arial"/>
          <w:sz w:val="24"/>
          <w:szCs w:val="24"/>
          <w:lang w:eastAsia="en-GB"/>
        </w:rPr>
        <w:t>Through sector feedback and working with partners w</w:t>
      </w:r>
      <w:r w:rsidR="00F124B5" w:rsidRPr="001D0296">
        <w:rPr>
          <w:rFonts w:ascii="Arial" w:hAnsi="Arial" w:cs="Arial"/>
          <w:sz w:val="24"/>
          <w:szCs w:val="24"/>
          <w:lang w:eastAsia="en-GB"/>
        </w:rPr>
        <w:t>e’ve identified</w:t>
      </w:r>
      <w:r w:rsidR="069F4A6E" w:rsidRPr="001D0296">
        <w:rPr>
          <w:rFonts w:ascii="Arial" w:hAnsi="Arial" w:cs="Arial"/>
          <w:sz w:val="24"/>
          <w:szCs w:val="24"/>
          <w:lang w:eastAsia="en-GB"/>
        </w:rPr>
        <w:t xml:space="preserve"> </w:t>
      </w:r>
      <w:r w:rsidR="00CE265B" w:rsidRPr="00C92ECE">
        <w:rPr>
          <w:rFonts w:ascii="Arial" w:hAnsi="Arial" w:cs="Arial"/>
          <w:sz w:val="24"/>
          <w:szCs w:val="24"/>
          <w:lang w:eastAsia="en-GB"/>
        </w:rPr>
        <w:t xml:space="preserve">specific </w:t>
      </w:r>
      <w:r w:rsidR="002A3332">
        <w:rPr>
          <w:rFonts w:ascii="Arial" w:hAnsi="Arial" w:cs="Arial"/>
          <w:sz w:val="24"/>
          <w:szCs w:val="24"/>
          <w:lang w:eastAsia="en-GB"/>
        </w:rPr>
        <w:t>i</w:t>
      </w:r>
      <w:r w:rsidR="002A3332" w:rsidRPr="002A3332">
        <w:rPr>
          <w:rFonts w:ascii="Arial" w:hAnsi="Arial" w:cs="Arial"/>
          <w:sz w:val="24"/>
          <w:szCs w:val="24"/>
          <w:lang w:eastAsia="en-GB"/>
        </w:rPr>
        <w:t>mprovement or developmental areas</w:t>
      </w:r>
      <w:r w:rsidR="002A3332">
        <w:rPr>
          <w:rFonts w:ascii="Arial" w:hAnsi="Arial" w:cs="Arial"/>
          <w:sz w:val="24"/>
          <w:szCs w:val="24"/>
          <w:lang w:eastAsia="en-GB"/>
        </w:rPr>
        <w:t xml:space="preserve"> of </w:t>
      </w:r>
      <w:r w:rsidR="00E25E23">
        <w:rPr>
          <w:rFonts w:ascii="Arial" w:hAnsi="Arial" w:cs="Arial"/>
          <w:sz w:val="24"/>
          <w:szCs w:val="24"/>
          <w:lang w:eastAsia="en-GB"/>
        </w:rPr>
        <w:t>work</w:t>
      </w:r>
      <w:r w:rsidR="002A3332">
        <w:rPr>
          <w:rFonts w:ascii="Arial" w:hAnsi="Arial" w:cs="Arial"/>
          <w:sz w:val="24"/>
          <w:szCs w:val="24"/>
          <w:lang w:eastAsia="en-GB"/>
        </w:rPr>
        <w:t xml:space="preserve"> for </w:t>
      </w:r>
      <w:r w:rsidR="006B1436">
        <w:rPr>
          <w:rFonts w:ascii="Arial" w:hAnsi="Arial" w:cs="Arial"/>
          <w:sz w:val="24"/>
          <w:szCs w:val="24"/>
          <w:lang w:eastAsia="en-GB"/>
        </w:rPr>
        <w:t>future years</w:t>
      </w:r>
      <w:r w:rsidR="00F124B5" w:rsidRPr="001D0296">
        <w:rPr>
          <w:rFonts w:ascii="Arial" w:hAnsi="Arial" w:cs="Arial"/>
          <w:sz w:val="24"/>
          <w:szCs w:val="24"/>
          <w:lang w:eastAsia="en-GB"/>
        </w:rPr>
        <w:t>, which</w:t>
      </w:r>
      <w:r w:rsidR="069F4A6E" w:rsidRPr="001D0296">
        <w:rPr>
          <w:rFonts w:ascii="Arial" w:hAnsi="Arial" w:cs="Arial"/>
          <w:sz w:val="24"/>
          <w:szCs w:val="24"/>
          <w:lang w:eastAsia="en-GB"/>
        </w:rPr>
        <w:t xml:space="preserve"> are described in more detail in this report, including:</w:t>
      </w:r>
    </w:p>
    <w:p w14:paraId="23708469" w14:textId="77777777" w:rsidR="001C2C94" w:rsidRPr="001D0296" w:rsidRDefault="001C2C94" w:rsidP="00A21C3F">
      <w:pPr>
        <w:spacing w:after="0" w:line="240" w:lineRule="auto"/>
        <w:rPr>
          <w:rFonts w:ascii="Arial" w:hAnsi="Arial" w:cs="Arial"/>
          <w:sz w:val="24"/>
          <w:szCs w:val="24"/>
          <w:lang w:eastAsia="en-GB"/>
        </w:rPr>
      </w:pPr>
    </w:p>
    <w:p w14:paraId="55A41100" w14:textId="77777777" w:rsidR="00426773" w:rsidRPr="00C92ECE" w:rsidRDefault="069F4A6E" w:rsidP="00632461">
      <w:pPr>
        <w:numPr>
          <w:ilvl w:val="0"/>
          <w:numId w:val="6"/>
        </w:numPr>
        <w:spacing w:after="0" w:line="276" w:lineRule="auto"/>
        <w:ind w:left="567" w:hanging="425"/>
        <w:contextualSpacing/>
        <w:rPr>
          <w:rFonts w:ascii="Arial" w:eastAsia="Calibri" w:hAnsi="Arial" w:cs="Arial"/>
          <w:sz w:val="24"/>
          <w:szCs w:val="24"/>
        </w:rPr>
      </w:pPr>
      <w:r w:rsidRPr="001D0296">
        <w:rPr>
          <w:rFonts w:ascii="Arial" w:eastAsia="Calibri" w:hAnsi="Arial" w:cs="Arial"/>
          <w:sz w:val="24"/>
          <w:szCs w:val="24"/>
        </w:rPr>
        <w:t xml:space="preserve">building a </w:t>
      </w:r>
      <w:r w:rsidR="00426773" w:rsidRPr="00C92ECE">
        <w:rPr>
          <w:rFonts w:ascii="Arial" w:eastAsia="Calibri" w:hAnsi="Arial" w:cs="Arial"/>
          <w:sz w:val="24"/>
          <w:szCs w:val="24"/>
        </w:rPr>
        <w:t>digitally ready workforce</w:t>
      </w:r>
    </w:p>
    <w:p w14:paraId="307EFF6D" w14:textId="77777777" w:rsidR="00823365" w:rsidRPr="001D0296" w:rsidRDefault="00823365" w:rsidP="00632461">
      <w:pPr>
        <w:numPr>
          <w:ilvl w:val="0"/>
          <w:numId w:val="6"/>
        </w:numPr>
        <w:spacing w:after="0" w:line="276" w:lineRule="auto"/>
        <w:ind w:left="567" w:hanging="425"/>
        <w:contextualSpacing/>
        <w:rPr>
          <w:rFonts w:ascii="Arial" w:eastAsia="Calibri" w:hAnsi="Arial" w:cs="Arial"/>
          <w:sz w:val="24"/>
          <w:szCs w:val="24"/>
        </w:rPr>
      </w:pPr>
      <w:r w:rsidRPr="001D0296">
        <w:rPr>
          <w:rFonts w:ascii="Arial" w:eastAsia="Calibri" w:hAnsi="Arial" w:cs="Arial"/>
          <w:sz w:val="24"/>
          <w:szCs w:val="24"/>
        </w:rPr>
        <w:t>investigating and responding to qualification challenges</w:t>
      </w:r>
    </w:p>
    <w:p w14:paraId="478B6034" w14:textId="33D70AF0" w:rsidR="00A415F8" w:rsidRPr="001D0296" w:rsidRDefault="00A415F8" w:rsidP="00632461">
      <w:pPr>
        <w:numPr>
          <w:ilvl w:val="0"/>
          <w:numId w:val="6"/>
        </w:numPr>
        <w:spacing w:after="0" w:line="276" w:lineRule="auto"/>
        <w:ind w:left="567" w:hanging="425"/>
        <w:contextualSpacing/>
        <w:rPr>
          <w:rFonts w:ascii="Arial" w:eastAsia="Calibri" w:hAnsi="Arial" w:cs="Arial"/>
          <w:sz w:val="24"/>
          <w:szCs w:val="24"/>
        </w:rPr>
      </w:pPr>
      <w:r w:rsidRPr="001D0296">
        <w:rPr>
          <w:rFonts w:ascii="Arial" w:eastAsia="Calibri" w:hAnsi="Arial" w:cs="Arial"/>
          <w:sz w:val="24"/>
          <w:szCs w:val="24"/>
        </w:rPr>
        <w:t xml:space="preserve">improving </w:t>
      </w:r>
      <w:r w:rsidR="004C5F1A">
        <w:rPr>
          <w:rFonts w:ascii="Arial" w:eastAsia="Calibri" w:hAnsi="Arial" w:cs="Arial"/>
          <w:sz w:val="24"/>
          <w:szCs w:val="24"/>
        </w:rPr>
        <w:t xml:space="preserve">access </w:t>
      </w:r>
      <w:r w:rsidR="006F3871">
        <w:rPr>
          <w:rFonts w:ascii="Arial" w:eastAsia="Calibri" w:hAnsi="Arial" w:cs="Arial"/>
          <w:sz w:val="24"/>
          <w:szCs w:val="24"/>
        </w:rPr>
        <w:t xml:space="preserve">to </w:t>
      </w:r>
      <w:r w:rsidRPr="001D0296">
        <w:rPr>
          <w:rFonts w:ascii="Arial" w:eastAsia="Calibri" w:hAnsi="Arial" w:cs="Arial"/>
          <w:sz w:val="24"/>
          <w:szCs w:val="24"/>
        </w:rPr>
        <w:t xml:space="preserve">workforce data </w:t>
      </w:r>
    </w:p>
    <w:p w14:paraId="02F3F518" w14:textId="77777777" w:rsidR="001D0296" w:rsidRPr="00C92ECE" w:rsidRDefault="001D0296" w:rsidP="00632461">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 xml:space="preserve">social work </w:t>
      </w:r>
    </w:p>
    <w:p w14:paraId="1332062E" w14:textId="6DFA3CCE" w:rsidR="001C2C94" w:rsidRPr="001D0296" w:rsidRDefault="00B72B16" w:rsidP="00632461">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 xml:space="preserve">building a </w:t>
      </w:r>
      <w:r w:rsidR="069F4A6E" w:rsidRPr="001D0296">
        <w:rPr>
          <w:rFonts w:ascii="Arial" w:eastAsia="Calibri" w:hAnsi="Arial" w:cs="Arial"/>
          <w:sz w:val="24"/>
          <w:szCs w:val="24"/>
        </w:rPr>
        <w:t xml:space="preserve">fuller picture of social care workforce development across Wales </w:t>
      </w:r>
    </w:p>
    <w:p w14:paraId="512E094E" w14:textId="77777777" w:rsidR="00E27900" w:rsidRDefault="00E27900" w:rsidP="00E27900">
      <w:pPr>
        <w:rPr>
          <w:lang w:eastAsia="en-GB"/>
        </w:rPr>
      </w:pPr>
    </w:p>
    <w:p w14:paraId="1A05E14D" w14:textId="77777777" w:rsidR="00E27900" w:rsidRDefault="00E27900" w:rsidP="00E27900">
      <w:pPr>
        <w:rPr>
          <w:lang w:eastAsia="en-GB"/>
        </w:rPr>
      </w:pPr>
    </w:p>
    <w:p w14:paraId="40584D52" w14:textId="77777777" w:rsidR="00E27900" w:rsidRDefault="00E27900" w:rsidP="00E27900">
      <w:pPr>
        <w:rPr>
          <w:lang w:eastAsia="en-GB"/>
        </w:rPr>
      </w:pPr>
    </w:p>
    <w:p w14:paraId="40523747" w14:textId="77777777" w:rsidR="00E27900" w:rsidRDefault="00E27900" w:rsidP="00E27900">
      <w:pPr>
        <w:rPr>
          <w:lang w:eastAsia="en-GB"/>
        </w:rPr>
      </w:pPr>
    </w:p>
    <w:p w14:paraId="10053B2E" w14:textId="77777777" w:rsidR="00E27900" w:rsidRDefault="00E27900" w:rsidP="00E27900">
      <w:pPr>
        <w:rPr>
          <w:lang w:eastAsia="en-GB"/>
        </w:rPr>
      </w:pPr>
    </w:p>
    <w:p w14:paraId="52D1F8D6" w14:textId="77777777" w:rsidR="00E27900" w:rsidRDefault="00E27900" w:rsidP="00E27900">
      <w:pPr>
        <w:rPr>
          <w:lang w:eastAsia="en-GB"/>
        </w:rPr>
      </w:pPr>
    </w:p>
    <w:p w14:paraId="3022F675" w14:textId="77777777" w:rsidR="00E27900" w:rsidRDefault="00E27900" w:rsidP="00E27900">
      <w:pPr>
        <w:rPr>
          <w:lang w:eastAsia="en-GB"/>
        </w:rPr>
      </w:pPr>
    </w:p>
    <w:p w14:paraId="7A208D22" w14:textId="77777777" w:rsidR="00E27900" w:rsidRDefault="00E27900" w:rsidP="00E27900">
      <w:pPr>
        <w:rPr>
          <w:lang w:eastAsia="en-GB"/>
        </w:rPr>
      </w:pPr>
    </w:p>
    <w:p w14:paraId="6EF46DA6" w14:textId="77777777" w:rsidR="00E27900" w:rsidRDefault="00E27900" w:rsidP="00E27900">
      <w:pPr>
        <w:rPr>
          <w:lang w:eastAsia="en-GB"/>
        </w:rPr>
      </w:pPr>
    </w:p>
    <w:p w14:paraId="64A665DC" w14:textId="77777777" w:rsidR="00E27900" w:rsidRDefault="00E27900" w:rsidP="00E27900">
      <w:pPr>
        <w:rPr>
          <w:lang w:eastAsia="en-GB"/>
        </w:rPr>
      </w:pPr>
    </w:p>
    <w:p w14:paraId="3315BB36" w14:textId="77777777" w:rsidR="00E27900" w:rsidRDefault="00E27900" w:rsidP="00E27900">
      <w:pPr>
        <w:rPr>
          <w:lang w:eastAsia="en-GB"/>
        </w:rPr>
      </w:pPr>
    </w:p>
    <w:p w14:paraId="560312D5" w14:textId="77777777" w:rsidR="00E27900" w:rsidRDefault="00E27900" w:rsidP="00E27900">
      <w:pPr>
        <w:rPr>
          <w:lang w:eastAsia="en-GB"/>
        </w:rPr>
      </w:pPr>
    </w:p>
    <w:p w14:paraId="30B71964" w14:textId="77777777" w:rsidR="00E27900" w:rsidRDefault="00E27900" w:rsidP="00E27900">
      <w:pPr>
        <w:rPr>
          <w:lang w:eastAsia="en-GB"/>
        </w:rPr>
      </w:pPr>
    </w:p>
    <w:p w14:paraId="6F58D834" w14:textId="77777777" w:rsidR="00E27900" w:rsidRDefault="00E27900" w:rsidP="00E27900">
      <w:pPr>
        <w:rPr>
          <w:lang w:eastAsia="en-GB"/>
        </w:rPr>
      </w:pPr>
    </w:p>
    <w:p w14:paraId="00B0E04B" w14:textId="77777777" w:rsidR="00E27900" w:rsidRDefault="00E27900" w:rsidP="00E27900">
      <w:pPr>
        <w:rPr>
          <w:lang w:eastAsia="en-GB"/>
        </w:rPr>
      </w:pPr>
    </w:p>
    <w:p w14:paraId="74CB6CB2" w14:textId="77777777" w:rsidR="00E27900" w:rsidRDefault="00E27900" w:rsidP="00E27900">
      <w:pPr>
        <w:rPr>
          <w:lang w:eastAsia="en-GB"/>
        </w:rPr>
      </w:pPr>
    </w:p>
    <w:p w14:paraId="281CE130" w14:textId="77777777" w:rsidR="00E27900" w:rsidRDefault="00E27900" w:rsidP="00E27900">
      <w:pPr>
        <w:rPr>
          <w:lang w:eastAsia="en-GB"/>
        </w:rPr>
      </w:pPr>
    </w:p>
    <w:p w14:paraId="7A7BA2A6" w14:textId="77777777" w:rsidR="00E27900" w:rsidRDefault="00E27900" w:rsidP="00E27900">
      <w:pPr>
        <w:rPr>
          <w:lang w:eastAsia="en-GB"/>
        </w:rPr>
      </w:pPr>
    </w:p>
    <w:p w14:paraId="5CF3F689" w14:textId="77777777" w:rsidR="00E27900" w:rsidRDefault="00E27900" w:rsidP="00E27900">
      <w:pPr>
        <w:rPr>
          <w:lang w:eastAsia="en-GB"/>
        </w:rPr>
      </w:pPr>
    </w:p>
    <w:p w14:paraId="6BE27547" w14:textId="7CB38963" w:rsidR="00B853BA" w:rsidRDefault="0342F985" w:rsidP="0019368B">
      <w:pPr>
        <w:pStyle w:val="Heading2"/>
        <w:numPr>
          <w:ilvl w:val="0"/>
          <w:numId w:val="119"/>
        </w:numPr>
      </w:pPr>
      <w:bookmarkStart w:id="10" w:name="_Toc211279614"/>
      <w:r w:rsidRPr="000C06A7">
        <w:lastRenderedPageBreak/>
        <w:t>Spend analysis</w:t>
      </w:r>
      <w:bookmarkEnd w:id="10"/>
    </w:p>
    <w:p w14:paraId="121FE7CE" w14:textId="02EF445B" w:rsidR="001001AC" w:rsidRPr="00B568F3" w:rsidRDefault="000C06A7" w:rsidP="00B2131D">
      <w:pPr>
        <w:spacing w:after="200" w:line="276" w:lineRule="auto"/>
        <w:contextualSpacing/>
        <w:rPr>
          <w:rFonts w:ascii="Arial" w:eastAsia="Calibri" w:hAnsi="Arial" w:cs="Arial"/>
          <w:sz w:val="24"/>
          <w:szCs w:val="24"/>
        </w:rPr>
      </w:pPr>
      <w:r w:rsidRPr="00B568F3">
        <w:rPr>
          <w:rFonts w:ascii="Arial" w:eastAsia="Calibri" w:hAnsi="Arial" w:cs="Arial"/>
          <w:sz w:val="24"/>
          <w:szCs w:val="24"/>
        </w:rPr>
        <w:t>This section</w:t>
      </w:r>
      <w:r w:rsidR="069F4A6E" w:rsidRPr="00B568F3">
        <w:rPr>
          <w:rFonts w:ascii="Arial" w:eastAsia="Calibri" w:hAnsi="Arial" w:cs="Arial"/>
          <w:sz w:val="24"/>
          <w:szCs w:val="24"/>
        </w:rPr>
        <w:t xml:space="preserve"> gives an overview of the financial spend analysis of the core funding SCWWDP grant (70</w:t>
      </w:r>
      <w:r w:rsidR="65CDA894" w:rsidRPr="00B568F3">
        <w:rPr>
          <w:rFonts w:ascii="Arial" w:eastAsia="Calibri" w:hAnsi="Arial" w:cs="Arial"/>
          <w:sz w:val="24"/>
          <w:szCs w:val="24"/>
        </w:rPr>
        <w:t xml:space="preserve"> per cent</w:t>
      </w:r>
      <w:r w:rsidR="069F4A6E" w:rsidRPr="00B568F3">
        <w:rPr>
          <w:rFonts w:ascii="Arial" w:eastAsia="Calibri" w:hAnsi="Arial" w:cs="Arial"/>
          <w:sz w:val="24"/>
          <w:szCs w:val="24"/>
        </w:rPr>
        <w:t xml:space="preserve"> funding provided</w:t>
      </w:r>
      <w:r w:rsidR="001001AC" w:rsidRPr="00B568F3" w:rsidDel="069F4A6E">
        <w:rPr>
          <w:rFonts w:ascii="Arial" w:eastAsia="Calibri" w:hAnsi="Arial" w:cs="Arial"/>
          <w:sz w:val="24"/>
          <w:szCs w:val="24"/>
        </w:rPr>
        <w:t xml:space="preserve"> </w:t>
      </w:r>
      <w:r w:rsidR="069F4A6E" w:rsidRPr="00B568F3">
        <w:rPr>
          <w:rFonts w:ascii="Arial" w:eastAsia="Calibri" w:hAnsi="Arial" w:cs="Arial"/>
          <w:sz w:val="24"/>
          <w:szCs w:val="24"/>
        </w:rPr>
        <w:t xml:space="preserve">by </w:t>
      </w:r>
      <w:r w:rsidR="65CDA894" w:rsidRPr="00B568F3">
        <w:rPr>
          <w:rFonts w:ascii="Arial" w:eastAsia="Calibri" w:hAnsi="Arial" w:cs="Arial"/>
          <w:sz w:val="24"/>
          <w:szCs w:val="24"/>
        </w:rPr>
        <w:t>us</w:t>
      </w:r>
      <w:r w:rsidR="069F4A6E" w:rsidRPr="00B568F3">
        <w:rPr>
          <w:rFonts w:ascii="Arial" w:eastAsia="Calibri" w:hAnsi="Arial" w:cs="Arial"/>
          <w:sz w:val="24"/>
          <w:szCs w:val="24"/>
        </w:rPr>
        <w:t xml:space="preserve"> and 30 </w:t>
      </w:r>
      <w:r w:rsidR="65CDA894" w:rsidRPr="00B568F3">
        <w:rPr>
          <w:rFonts w:ascii="Arial" w:eastAsia="Calibri" w:hAnsi="Arial" w:cs="Arial"/>
          <w:sz w:val="24"/>
          <w:szCs w:val="24"/>
        </w:rPr>
        <w:t xml:space="preserve">per </w:t>
      </w:r>
      <w:r w:rsidR="06E24F19" w:rsidRPr="00B568F3">
        <w:rPr>
          <w:rFonts w:ascii="Arial" w:eastAsia="Calibri" w:hAnsi="Arial" w:cs="Arial"/>
          <w:sz w:val="24"/>
          <w:szCs w:val="24"/>
        </w:rPr>
        <w:t>cent</w:t>
      </w:r>
      <w:r w:rsidR="65CDA894" w:rsidRPr="00B568F3">
        <w:rPr>
          <w:rFonts w:ascii="Arial" w:eastAsia="Calibri" w:hAnsi="Arial" w:cs="Arial"/>
          <w:sz w:val="24"/>
          <w:szCs w:val="24"/>
        </w:rPr>
        <w:t xml:space="preserve"> </w:t>
      </w:r>
      <w:r w:rsidR="069F4A6E" w:rsidRPr="00B568F3">
        <w:rPr>
          <w:rFonts w:ascii="Arial" w:eastAsia="Calibri" w:hAnsi="Arial" w:cs="Arial"/>
          <w:sz w:val="24"/>
          <w:szCs w:val="24"/>
        </w:rPr>
        <w:t xml:space="preserve">match funding by local authorities) and the </w:t>
      </w:r>
      <w:r w:rsidR="00445BE9">
        <w:rPr>
          <w:rFonts w:ascii="Arial" w:eastAsia="Calibri" w:hAnsi="Arial" w:cs="Arial"/>
          <w:sz w:val="24"/>
          <w:szCs w:val="24"/>
        </w:rPr>
        <w:t xml:space="preserve">reported </w:t>
      </w:r>
      <w:r w:rsidR="069F4A6E" w:rsidRPr="00B568F3">
        <w:rPr>
          <w:rFonts w:ascii="Arial" w:eastAsia="Calibri" w:hAnsi="Arial" w:cs="Arial"/>
          <w:sz w:val="24"/>
          <w:szCs w:val="24"/>
        </w:rPr>
        <w:t>additional local authority funding (over and above their 30</w:t>
      </w:r>
      <w:r w:rsidR="6B2A2DA4" w:rsidRPr="00B568F3">
        <w:rPr>
          <w:rFonts w:ascii="Arial" w:eastAsia="Calibri" w:hAnsi="Arial" w:cs="Arial"/>
          <w:sz w:val="24"/>
          <w:szCs w:val="24"/>
        </w:rPr>
        <w:t xml:space="preserve"> per cent</w:t>
      </w:r>
      <w:r w:rsidR="069F4A6E" w:rsidRPr="00B568F3">
        <w:rPr>
          <w:rFonts w:ascii="Arial" w:eastAsia="Calibri" w:hAnsi="Arial" w:cs="Arial"/>
          <w:sz w:val="24"/>
          <w:szCs w:val="24"/>
        </w:rPr>
        <w:t xml:space="preserve"> match funding) against elements including staffing, health and safety</w:t>
      </w:r>
      <w:r w:rsidR="00D63DF5" w:rsidRPr="00B568F3">
        <w:rPr>
          <w:rFonts w:ascii="Arial" w:eastAsia="Calibri" w:hAnsi="Arial" w:cs="Arial"/>
          <w:sz w:val="24"/>
          <w:szCs w:val="24"/>
        </w:rPr>
        <w:t>,</w:t>
      </w:r>
      <w:r w:rsidR="069F4A6E" w:rsidRPr="00B568F3">
        <w:rPr>
          <w:rFonts w:ascii="Arial" w:eastAsia="Calibri" w:hAnsi="Arial" w:cs="Arial"/>
          <w:sz w:val="24"/>
          <w:szCs w:val="24"/>
        </w:rPr>
        <w:t xml:space="preserve"> and spend against the national priorities.</w:t>
      </w:r>
    </w:p>
    <w:p w14:paraId="7D1993D5" w14:textId="77777777" w:rsidR="00A755D1" w:rsidRPr="00B568F3" w:rsidRDefault="00A755D1" w:rsidP="007C0ED8">
      <w:pPr>
        <w:spacing w:after="200" w:line="276" w:lineRule="auto"/>
        <w:ind w:left="567"/>
        <w:contextualSpacing/>
        <w:rPr>
          <w:rFonts w:ascii="Arial" w:eastAsia="Calibri" w:hAnsi="Arial" w:cs="Arial"/>
          <w:sz w:val="24"/>
          <w:szCs w:val="24"/>
        </w:rPr>
      </w:pPr>
    </w:p>
    <w:p w14:paraId="148AD845" w14:textId="55B517C3" w:rsidR="00B57DA5" w:rsidRPr="00B568F3" w:rsidRDefault="069F4A6E" w:rsidP="00481020">
      <w:pPr>
        <w:spacing w:after="200" w:line="276" w:lineRule="auto"/>
        <w:contextualSpacing/>
        <w:rPr>
          <w:rFonts w:ascii="Arial" w:hAnsi="Arial" w:cs="Arial"/>
        </w:rPr>
      </w:pPr>
      <w:r w:rsidRPr="00B568F3">
        <w:rPr>
          <w:rFonts w:ascii="Arial" w:eastAsia="Calibri" w:hAnsi="Arial" w:cs="Arial"/>
          <w:sz w:val="24"/>
          <w:szCs w:val="24"/>
        </w:rPr>
        <w:t xml:space="preserve">Table 1 shows the total amount of spend across Wales for </w:t>
      </w:r>
      <w:r w:rsidR="00046E8F" w:rsidRPr="00B568F3">
        <w:rPr>
          <w:rFonts w:ascii="Arial" w:eastAsia="Calibri" w:hAnsi="Arial" w:cs="Arial"/>
          <w:sz w:val="24"/>
          <w:szCs w:val="24"/>
        </w:rPr>
        <w:t>202</w:t>
      </w:r>
      <w:r w:rsidR="00046E8F">
        <w:rPr>
          <w:rFonts w:ascii="Arial" w:eastAsia="Calibri" w:hAnsi="Arial" w:cs="Arial"/>
          <w:sz w:val="24"/>
          <w:szCs w:val="24"/>
        </w:rPr>
        <w:t>4</w:t>
      </w:r>
      <w:r w:rsidR="00046E8F" w:rsidRPr="00B568F3">
        <w:rPr>
          <w:rFonts w:ascii="Arial" w:eastAsia="Calibri" w:hAnsi="Arial" w:cs="Arial"/>
          <w:sz w:val="24"/>
          <w:szCs w:val="24"/>
        </w:rPr>
        <w:t xml:space="preserve"> </w:t>
      </w:r>
      <w:r w:rsidR="7D36CDFF" w:rsidRPr="00B568F3">
        <w:rPr>
          <w:rFonts w:ascii="Arial" w:eastAsia="Calibri" w:hAnsi="Arial" w:cs="Arial"/>
          <w:sz w:val="24"/>
          <w:szCs w:val="24"/>
        </w:rPr>
        <w:t xml:space="preserve">to </w:t>
      </w:r>
      <w:r w:rsidR="00046E8F" w:rsidRPr="00B568F3">
        <w:rPr>
          <w:rFonts w:ascii="Arial" w:eastAsia="Calibri" w:hAnsi="Arial" w:cs="Arial"/>
          <w:sz w:val="24"/>
          <w:szCs w:val="24"/>
        </w:rPr>
        <w:t>202</w:t>
      </w:r>
      <w:r w:rsidR="00046E8F">
        <w:rPr>
          <w:rFonts w:ascii="Arial" w:eastAsia="Calibri" w:hAnsi="Arial" w:cs="Arial"/>
          <w:sz w:val="24"/>
          <w:szCs w:val="24"/>
        </w:rPr>
        <w:t>5</w:t>
      </w:r>
      <w:r w:rsidR="00046E8F" w:rsidRPr="00B568F3">
        <w:rPr>
          <w:rFonts w:ascii="Arial" w:eastAsia="Calibri" w:hAnsi="Arial" w:cs="Arial"/>
          <w:sz w:val="24"/>
          <w:szCs w:val="24"/>
        </w:rPr>
        <w:t xml:space="preserve"> </w:t>
      </w:r>
      <w:r w:rsidRPr="00B568F3">
        <w:rPr>
          <w:rFonts w:ascii="Arial" w:eastAsia="Calibri" w:hAnsi="Arial" w:cs="Arial"/>
          <w:sz w:val="24"/>
          <w:szCs w:val="24"/>
        </w:rPr>
        <w:t xml:space="preserve">against </w:t>
      </w:r>
      <w:r w:rsidR="008E448D" w:rsidRPr="00B568F3">
        <w:rPr>
          <w:rFonts w:ascii="Arial" w:eastAsia="Calibri" w:hAnsi="Arial" w:cs="Arial"/>
          <w:sz w:val="24"/>
          <w:szCs w:val="24"/>
        </w:rPr>
        <w:t>each main</w:t>
      </w:r>
      <w:r w:rsidRPr="00B568F3">
        <w:rPr>
          <w:rFonts w:ascii="Arial" w:eastAsia="Calibri" w:hAnsi="Arial" w:cs="Arial"/>
          <w:sz w:val="24"/>
          <w:szCs w:val="24"/>
        </w:rPr>
        <w:t xml:space="preserve"> category of the SCWWDP grant circular, and </w:t>
      </w:r>
      <w:r w:rsidR="00D63DF5" w:rsidRPr="00B568F3">
        <w:rPr>
          <w:rFonts w:ascii="Arial" w:eastAsia="Calibri" w:hAnsi="Arial" w:cs="Arial"/>
          <w:sz w:val="24"/>
          <w:szCs w:val="24"/>
        </w:rPr>
        <w:t xml:space="preserve">the </w:t>
      </w:r>
      <w:r w:rsidRPr="00B568F3">
        <w:rPr>
          <w:rFonts w:ascii="Arial" w:eastAsia="Calibri" w:hAnsi="Arial" w:cs="Arial"/>
          <w:sz w:val="24"/>
          <w:szCs w:val="24"/>
        </w:rPr>
        <w:t xml:space="preserve">percentage change against </w:t>
      </w:r>
      <w:r w:rsidR="54C4A431" w:rsidRPr="00B568F3">
        <w:rPr>
          <w:rFonts w:ascii="Arial" w:eastAsia="Calibri" w:hAnsi="Arial" w:cs="Arial"/>
          <w:sz w:val="24"/>
          <w:szCs w:val="24"/>
        </w:rPr>
        <w:t xml:space="preserve">the </w:t>
      </w:r>
      <w:r w:rsidR="00046E8F" w:rsidRPr="00B568F3">
        <w:rPr>
          <w:rFonts w:ascii="Arial" w:eastAsia="Calibri" w:hAnsi="Arial" w:cs="Arial"/>
          <w:sz w:val="24"/>
          <w:szCs w:val="24"/>
        </w:rPr>
        <w:t>202</w:t>
      </w:r>
      <w:r w:rsidR="00046E8F">
        <w:rPr>
          <w:rFonts w:ascii="Arial" w:eastAsia="Calibri" w:hAnsi="Arial" w:cs="Arial"/>
          <w:sz w:val="24"/>
          <w:szCs w:val="24"/>
        </w:rPr>
        <w:t>3</w:t>
      </w:r>
      <w:r w:rsidR="00046E8F" w:rsidRPr="00B568F3">
        <w:rPr>
          <w:rFonts w:ascii="Arial" w:eastAsia="Calibri" w:hAnsi="Arial" w:cs="Arial"/>
          <w:sz w:val="24"/>
          <w:szCs w:val="24"/>
        </w:rPr>
        <w:t xml:space="preserve"> </w:t>
      </w:r>
      <w:r w:rsidR="7D36CDFF" w:rsidRPr="00B568F3">
        <w:rPr>
          <w:rFonts w:ascii="Arial" w:eastAsia="Calibri" w:hAnsi="Arial" w:cs="Arial"/>
          <w:sz w:val="24"/>
          <w:szCs w:val="24"/>
        </w:rPr>
        <w:t xml:space="preserve">to </w:t>
      </w:r>
      <w:r w:rsidR="00046E8F" w:rsidRPr="00B568F3">
        <w:rPr>
          <w:rFonts w:ascii="Arial" w:eastAsia="Calibri" w:hAnsi="Arial" w:cs="Arial"/>
          <w:sz w:val="24"/>
          <w:szCs w:val="24"/>
        </w:rPr>
        <w:t>202</w:t>
      </w:r>
      <w:r w:rsidR="00046E8F">
        <w:rPr>
          <w:rFonts w:ascii="Arial" w:eastAsia="Calibri" w:hAnsi="Arial" w:cs="Arial"/>
          <w:sz w:val="24"/>
          <w:szCs w:val="24"/>
        </w:rPr>
        <w:t>4</w:t>
      </w:r>
      <w:r w:rsidR="00046E8F" w:rsidRPr="00B568F3">
        <w:rPr>
          <w:rFonts w:ascii="Arial" w:eastAsia="Calibri" w:hAnsi="Arial" w:cs="Arial"/>
          <w:sz w:val="24"/>
          <w:szCs w:val="24"/>
        </w:rPr>
        <w:t xml:space="preserve"> </w:t>
      </w:r>
      <w:r w:rsidRPr="00B568F3">
        <w:rPr>
          <w:rFonts w:ascii="Arial" w:eastAsia="Calibri" w:hAnsi="Arial" w:cs="Arial"/>
          <w:sz w:val="24"/>
          <w:szCs w:val="24"/>
        </w:rPr>
        <w:t xml:space="preserve">spend. </w:t>
      </w:r>
    </w:p>
    <w:p w14:paraId="1E66F247" w14:textId="44D6B1EA" w:rsidR="000C06A7" w:rsidRDefault="000C06A7">
      <w:pPr>
        <w:rPr>
          <w:rFonts w:ascii="Arial" w:hAnsi="Arial" w:cs="Arial"/>
        </w:rPr>
      </w:pPr>
      <w:r>
        <w:rPr>
          <w:rFonts w:ascii="Arial" w:hAnsi="Arial" w:cs="Arial"/>
        </w:rPr>
        <w:br w:type="page"/>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3"/>
        <w:gridCol w:w="1261"/>
        <w:gridCol w:w="2235"/>
        <w:gridCol w:w="1261"/>
        <w:gridCol w:w="80"/>
      </w:tblGrid>
      <w:tr w:rsidR="00B57DA5" w:rsidRPr="00781663" w14:paraId="629D27A6" w14:textId="77777777" w:rsidTr="00635B5B">
        <w:trPr>
          <w:trHeight w:val="300"/>
        </w:trPr>
        <w:tc>
          <w:tcPr>
            <w:tcW w:w="9369" w:type="dxa"/>
            <w:gridSpan w:val="6"/>
            <w:tcBorders>
              <w:bottom w:val="single" w:sz="4" w:space="0" w:color="auto"/>
            </w:tcBorders>
          </w:tcPr>
          <w:p w14:paraId="0740F900" w14:textId="03DB270E" w:rsidR="00B57DA5" w:rsidRPr="00635B5B" w:rsidRDefault="00B57DA5" w:rsidP="00B57DA5">
            <w:pPr>
              <w:rPr>
                <w:rFonts w:ascii="Arial" w:eastAsia="Times New Roman" w:hAnsi="Arial" w:cs="Arial"/>
                <w:b/>
                <w:bCs/>
                <w:color w:val="000000"/>
                <w:sz w:val="24"/>
                <w:szCs w:val="24"/>
                <w:lang w:eastAsia="en-GB"/>
              </w:rPr>
            </w:pPr>
            <w:r w:rsidRPr="00635B5B">
              <w:rPr>
                <w:rFonts w:ascii="Arial" w:eastAsia="Times New Roman" w:hAnsi="Arial" w:cs="Arial"/>
                <w:b/>
                <w:color w:val="000000" w:themeColor="text1"/>
                <w:sz w:val="24"/>
                <w:szCs w:val="24"/>
                <w:lang w:eastAsia="en-GB"/>
              </w:rPr>
              <w:lastRenderedPageBreak/>
              <w:t xml:space="preserve">Table 1: Summary of spend, </w:t>
            </w:r>
            <w:r w:rsidR="00A56628" w:rsidRPr="00635B5B">
              <w:rPr>
                <w:rFonts w:ascii="Arial" w:eastAsia="Times New Roman" w:hAnsi="Arial" w:cs="Arial"/>
                <w:b/>
                <w:color w:val="000000" w:themeColor="text1"/>
                <w:sz w:val="24"/>
                <w:szCs w:val="24"/>
                <w:lang w:eastAsia="en-GB"/>
              </w:rPr>
              <w:t>2024</w:t>
            </w:r>
            <w:r w:rsidR="00A56628" w:rsidRPr="00635B5B">
              <w:rPr>
                <w:rFonts w:ascii="Arial" w:eastAsia="Times New Roman" w:hAnsi="Arial" w:cs="Arial"/>
                <w:b/>
                <w:bCs/>
                <w:color w:val="000000" w:themeColor="text1"/>
                <w:sz w:val="24"/>
                <w:szCs w:val="24"/>
                <w:lang w:eastAsia="en-GB"/>
              </w:rPr>
              <w:t xml:space="preserve"> </w:t>
            </w:r>
            <w:r w:rsidR="7D36CDFF" w:rsidRPr="00635B5B">
              <w:rPr>
                <w:rFonts w:ascii="Arial" w:eastAsia="Times New Roman" w:hAnsi="Arial" w:cs="Arial"/>
                <w:b/>
                <w:bCs/>
                <w:color w:val="000000" w:themeColor="text1"/>
                <w:sz w:val="24"/>
                <w:szCs w:val="24"/>
                <w:lang w:eastAsia="en-GB"/>
              </w:rPr>
              <w:t xml:space="preserve">to </w:t>
            </w:r>
            <w:r w:rsidRPr="00635B5B">
              <w:rPr>
                <w:rFonts w:ascii="Arial" w:eastAsia="Times New Roman" w:hAnsi="Arial" w:cs="Arial"/>
                <w:b/>
                <w:color w:val="000000" w:themeColor="text1"/>
                <w:sz w:val="24"/>
                <w:szCs w:val="24"/>
                <w:lang w:eastAsia="en-GB"/>
              </w:rPr>
              <w:t>202</w:t>
            </w:r>
            <w:r w:rsidR="00A56628" w:rsidRPr="00635B5B">
              <w:rPr>
                <w:rFonts w:ascii="Arial" w:eastAsia="Times New Roman" w:hAnsi="Arial" w:cs="Arial"/>
                <w:b/>
                <w:color w:val="000000" w:themeColor="text1"/>
                <w:sz w:val="24"/>
                <w:szCs w:val="24"/>
                <w:lang w:eastAsia="en-GB"/>
              </w:rPr>
              <w:t>5</w:t>
            </w:r>
          </w:p>
        </w:tc>
      </w:tr>
      <w:tr w:rsidR="001906F6" w:rsidRPr="00781663" w14:paraId="0191FF02" w14:textId="5B1C97A3" w:rsidTr="00635B5B">
        <w:trPr>
          <w:gridAfter w:val="1"/>
          <w:wAfter w:w="80" w:type="dxa"/>
          <w:trHeight w:val="300"/>
        </w:trPr>
        <w:tc>
          <w:tcPr>
            <w:tcW w:w="3119" w:type="dxa"/>
            <w:tcBorders>
              <w:bottom w:val="single" w:sz="4" w:space="0" w:color="auto"/>
            </w:tcBorders>
          </w:tcPr>
          <w:p w14:paraId="7C72E319" w14:textId="77777777" w:rsidR="00DD0644" w:rsidRPr="00781663" w:rsidRDefault="00DD0644" w:rsidP="00284C83">
            <w:pPr>
              <w:rPr>
                <w:rFonts w:ascii="Arial" w:hAnsi="Arial" w:cs="Arial"/>
                <w:color w:val="000000"/>
                <w:sz w:val="20"/>
                <w:szCs w:val="20"/>
              </w:rPr>
            </w:pPr>
          </w:p>
        </w:tc>
        <w:tc>
          <w:tcPr>
            <w:tcW w:w="1413" w:type="dxa"/>
            <w:tcBorders>
              <w:bottom w:val="single" w:sz="4" w:space="0" w:color="auto"/>
            </w:tcBorders>
            <w:noWrap/>
            <w:vAlign w:val="center"/>
          </w:tcPr>
          <w:p w14:paraId="5E7F3D2D" w14:textId="1FC39017" w:rsidR="00DD0644" w:rsidRPr="00781663" w:rsidRDefault="00DD0644" w:rsidP="00F31951">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SCWWDP</w:t>
            </w:r>
            <w:r w:rsidRPr="00781663" w:rsidDel="00865572">
              <w:rPr>
                <w:rFonts w:ascii="Arial" w:eastAsia="Times New Roman" w:hAnsi="Arial" w:cs="Arial"/>
                <w:b/>
                <w:bCs/>
                <w:color w:val="000000"/>
                <w:sz w:val="20"/>
                <w:szCs w:val="20"/>
                <w:lang w:eastAsia="en-GB"/>
              </w:rPr>
              <w:t xml:space="preserve"> </w:t>
            </w:r>
            <w:r w:rsidRPr="00781663">
              <w:rPr>
                <w:rFonts w:ascii="Arial" w:eastAsia="Times New Roman" w:hAnsi="Arial" w:cs="Arial"/>
                <w:b/>
                <w:bCs/>
                <w:color w:val="000000"/>
                <w:sz w:val="20"/>
                <w:szCs w:val="20"/>
                <w:lang w:eastAsia="en-GB"/>
              </w:rPr>
              <w:t>(70%+30%)</w:t>
            </w:r>
          </w:p>
        </w:tc>
        <w:tc>
          <w:tcPr>
            <w:tcW w:w="1261" w:type="dxa"/>
            <w:tcBorders>
              <w:bottom w:val="single" w:sz="4" w:space="0" w:color="auto"/>
            </w:tcBorders>
            <w:vAlign w:val="center"/>
          </w:tcPr>
          <w:p w14:paraId="24003989" w14:textId="48733D77" w:rsidR="00DD0644" w:rsidRPr="00781663" w:rsidRDefault="00DD0644" w:rsidP="00F31951">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 change</w:t>
            </w:r>
          </w:p>
        </w:tc>
        <w:tc>
          <w:tcPr>
            <w:tcW w:w="2235" w:type="dxa"/>
            <w:tcBorders>
              <w:bottom w:val="single" w:sz="4" w:space="0" w:color="auto"/>
            </w:tcBorders>
            <w:noWrap/>
            <w:vAlign w:val="center"/>
          </w:tcPr>
          <w:p w14:paraId="525AD45E" w14:textId="6F9841EE" w:rsidR="00DD0644" w:rsidRPr="00781663" w:rsidRDefault="00445BE9" w:rsidP="00F31951">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Reported a</w:t>
            </w:r>
            <w:r w:rsidR="00DD0644" w:rsidRPr="00781663">
              <w:rPr>
                <w:rFonts w:ascii="Arial" w:eastAsia="Times New Roman" w:hAnsi="Arial" w:cs="Arial"/>
                <w:b/>
                <w:bCs/>
                <w:color w:val="000000"/>
                <w:sz w:val="20"/>
                <w:szCs w:val="20"/>
                <w:lang w:eastAsia="en-GB"/>
              </w:rPr>
              <w:t xml:space="preserve">dditional </w:t>
            </w:r>
            <w:r w:rsidR="00594067" w:rsidRPr="00781663">
              <w:rPr>
                <w:rFonts w:ascii="Arial" w:eastAsia="Times New Roman" w:hAnsi="Arial" w:cs="Arial"/>
                <w:b/>
                <w:bCs/>
                <w:color w:val="000000"/>
                <w:sz w:val="20"/>
                <w:szCs w:val="20"/>
                <w:lang w:eastAsia="en-GB"/>
              </w:rPr>
              <w:t xml:space="preserve">local authority </w:t>
            </w:r>
            <w:r w:rsidR="00DD0644" w:rsidRPr="00781663">
              <w:rPr>
                <w:rFonts w:ascii="Arial" w:eastAsia="Times New Roman" w:hAnsi="Arial" w:cs="Arial"/>
                <w:b/>
                <w:bCs/>
                <w:color w:val="000000"/>
                <w:sz w:val="20"/>
                <w:szCs w:val="20"/>
                <w:lang w:eastAsia="en-GB"/>
              </w:rPr>
              <w:t>funding</w:t>
            </w:r>
          </w:p>
        </w:tc>
        <w:tc>
          <w:tcPr>
            <w:tcW w:w="1261" w:type="dxa"/>
            <w:tcBorders>
              <w:bottom w:val="single" w:sz="4" w:space="0" w:color="auto"/>
            </w:tcBorders>
            <w:vAlign w:val="center"/>
          </w:tcPr>
          <w:p w14:paraId="566E660D" w14:textId="67CC61F5" w:rsidR="00DD0644" w:rsidRPr="00781663" w:rsidRDefault="00DD0644" w:rsidP="00F31951">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 change</w:t>
            </w:r>
          </w:p>
        </w:tc>
      </w:tr>
      <w:tr w:rsidR="001906F6" w:rsidRPr="00781663" w14:paraId="3B5C2374" w14:textId="1F60287E" w:rsidTr="00635B5B">
        <w:trPr>
          <w:gridAfter w:val="1"/>
          <w:wAfter w:w="80" w:type="dxa"/>
          <w:trHeight w:val="300"/>
        </w:trPr>
        <w:tc>
          <w:tcPr>
            <w:tcW w:w="3119" w:type="dxa"/>
            <w:tcBorders>
              <w:top w:val="single" w:sz="4" w:space="0" w:color="auto"/>
            </w:tcBorders>
          </w:tcPr>
          <w:p w14:paraId="33F9B8BE" w14:textId="5B5F78B5" w:rsidR="00DD0644" w:rsidRPr="00781663" w:rsidRDefault="00DD0644" w:rsidP="00284C83">
            <w:pPr>
              <w:rPr>
                <w:rFonts w:ascii="Arial" w:eastAsia="Times New Roman" w:hAnsi="Arial" w:cs="Arial"/>
                <w:color w:val="000000"/>
                <w:sz w:val="20"/>
                <w:szCs w:val="20"/>
                <w:lang w:eastAsia="en-GB"/>
              </w:rPr>
            </w:pPr>
            <w:r w:rsidRPr="00781663">
              <w:rPr>
                <w:rFonts w:ascii="Arial" w:hAnsi="Arial" w:cs="Arial"/>
                <w:color w:val="000000"/>
                <w:sz w:val="20"/>
                <w:szCs w:val="20"/>
              </w:rPr>
              <w:t>SCWWDP grant (70%)</w:t>
            </w:r>
            <w:r w:rsidR="0046561C" w:rsidRPr="00781663">
              <w:rPr>
                <w:rStyle w:val="FootnoteReference"/>
                <w:rFonts w:ascii="Arial" w:hAnsi="Arial" w:cs="Arial"/>
                <w:color w:val="000000"/>
                <w:sz w:val="20"/>
                <w:szCs w:val="20"/>
              </w:rPr>
              <w:footnoteReference w:id="2"/>
            </w:r>
          </w:p>
        </w:tc>
        <w:tc>
          <w:tcPr>
            <w:tcW w:w="1413" w:type="dxa"/>
            <w:tcBorders>
              <w:top w:val="single" w:sz="4" w:space="0" w:color="auto"/>
            </w:tcBorders>
            <w:noWrap/>
            <w:hideMark/>
          </w:tcPr>
          <w:p w14:paraId="4E8A6A40" w14:textId="229E74F6"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7,640,051</w:t>
            </w:r>
          </w:p>
        </w:tc>
        <w:tc>
          <w:tcPr>
            <w:tcW w:w="1261" w:type="dxa"/>
            <w:tcBorders>
              <w:top w:val="single" w:sz="4" w:space="0" w:color="auto"/>
            </w:tcBorders>
          </w:tcPr>
          <w:p w14:paraId="6C5CBF54" w14:textId="3A903F12" w:rsidR="00DD0644" w:rsidRPr="00781663" w:rsidRDefault="004D1F78"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p>
        </w:tc>
        <w:tc>
          <w:tcPr>
            <w:tcW w:w="2235" w:type="dxa"/>
            <w:tcBorders>
              <w:top w:val="single" w:sz="4" w:space="0" w:color="auto"/>
            </w:tcBorders>
            <w:noWrap/>
            <w:hideMark/>
          </w:tcPr>
          <w:p w14:paraId="2F1B0A05" w14:textId="518B698A"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Borders>
              <w:top w:val="single" w:sz="4" w:space="0" w:color="auto"/>
            </w:tcBorders>
          </w:tcPr>
          <w:p w14:paraId="39F3E40B"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6FC47463" w14:textId="6B44B5A1" w:rsidTr="00635B5B">
        <w:trPr>
          <w:gridAfter w:val="1"/>
          <w:wAfter w:w="80" w:type="dxa"/>
          <w:trHeight w:val="300"/>
        </w:trPr>
        <w:tc>
          <w:tcPr>
            <w:tcW w:w="3119" w:type="dxa"/>
          </w:tcPr>
          <w:p w14:paraId="716405DB" w14:textId="14C8AFA3" w:rsidR="00DD0644" w:rsidRPr="00781663" w:rsidRDefault="00DD0644" w:rsidP="00284C83">
            <w:pPr>
              <w:rPr>
                <w:rFonts w:ascii="Arial" w:hAnsi="Arial" w:cs="Arial"/>
                <w:color w:val="000000"/>
                <w:sz w:val="20"/>
                <w:szCs w:val="20"/>
              </w:rPr>
            </w:pPr>
            <w:r w:rsidRPr="00781663">
              <w:rPr>
                <w:rFonts w:ascii="Arial" w:hAnsi="Arial" w:cs="Arial"/>
                <w:color w:val="000000"/>
                <w:sz w:val="20"/>
                <w:szCs w:val="20"/>
              </w:rPr>
              <w:t xml:space="preserve">30% </w:t>
            </w:r>
            <w:r w:rsidR="00594067" w:rsidRPr="00781663">
              <w:rPr>
                <w:rFonts w:ascii="Arial" w:hAnsi="Arial" w:cs="Arial"/>
                <w:color w:val="000000"/>
                <w:sz w:val="20"/>
                <w:szCs w:val="20"/>
              </w:rPr>
              <w:t xml:space="preserve">local authority </w:t>
            </w:r>
            <w:r w:rsidRPr="00781663">
              <w:rPr>
                <w:rFonts w:ascii="Arial" w:hAnsi="Arial" w:cs="Arial"/>
                <w:color w:val="000000"/>
                <w:sz w:val="20"/>
                <w:szCs w:val="20"/>
              </w:rPr>
              <w:t>contribution</w:t>
            </w:r>
            <w:r w:rsidR="00DF5B57" w:rsidRPr="00781663">
              <w:rPr>
                <w:rStyle w:val="FootnoteReference"/>
                <w:rFonts w:ascii="Arial" w:hAnsi="Arial" w:cs="Arial"/>
                <w:color w:val="000000"/>
                <w:sz w:val="20"/>
                <w:szCs w:val="20"/>
              </w:rPr>
              <w:footnoteReference w:id="3"/>
            </w:r>
          </w:p>
          <w:p w14:paraId="269F9A3B" w14:textId="020B5490" w:rsidR="00594067" w:rsidRPr="00781663" w:rsidRDefault="00594067" w:rsidP="00284C83">
            <w:pPr>
              <w:rPr>
                <w:rFonts w:ascii="Arial" w:eastAsia="Times New Roman" w:hAnsi="Arial" w:cs="Arial"/>
                <w:color w:val="000000"/>
                <w:sz w:val="20"/>
                <w:szCs w:val="20"/>
                <w:lang w:eastAsia="en-GB"/>
              </w:rPr>
            </w:pPr>
          </w:p>
        </w:tc>
        <w:tc>
          <w:tcPr>
            <w:tcW w:w="1413" w:type="dxa"/>
            <w:noWrap/>
            <w:hideMark/>
          </w:tcPr>
          <w:p w14:paraId="58C8F779" w14:textId="2C431256" w:rsidR="00DD0644" w:rsidRPr="00781663" w:rsidRDefault="0FFE64E8"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themeColor="text1"/>
                <w:sz w:val="20"/>
                <w:szCs w:val="20"/>
                <w:lang w:eastAsia="en-GB"/>
              </w:rPr>
              <w:t>3,</w:t>
            </w:r>
            <w:r w:rsidR="003A081A" w:rsidRPr="00781663">
              <w:rPr>
                <w:rFonts w:ascii="Arial" w:eastAsia="Times New Roman" w:hAnsi="Arial" w:cs="Arial"/>
                <w:color w:val="000000" w:themeColor="text1"/>
                <w:sz w:val="20"/>
                <w:szCs w:val="20"/>
                <w:lang w:eastAsia="en-GB"/>
              </w:rPr>
              <w:t>261,951</w:t>
            </w:r>
          </w:p>
        </w:tc>
        <w:tc>
          <w:tcPr>
            <w:tcW w:w="1261" w:type="dxa"/>
          </w:tcPr>
          <w:p w14:paraId="1B6A3C48" w14:textId="24F0CC49" w:rsidR="00DD0644" w:rsidRPr="00781663" w:rsidRDefault="00B114E6"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-0.4</w:t>
            </w:r>
            <w:r w:rsidR="006C14DB" w:rsidRPr="00781663">
              <w:rPr>
                <w:rFonts w:ascii="Arial" w:eastAsia="Times New Roman" w:hAnsi="Arial" w:cs="Arial"/>
                <w:color w:val="000000"/>
                <w:sz w:val="20"/>
                <w:szCs w:val="20"/>
                <w:lang w:eastAsia="en-GB"/>
              </w:rPr>
              <w:t>%</w:t>
            </w:r>
          </w:p>
        </w:tc>
        <w:tc>
          <w:tcPr>
            <w:tcW w:w="2235" w:type="dxa"/>
            <w:noWrap/>
            <w:hideMark/>
          </w:tcPr>
          <w:p w14:paraId="30CAD119" w14:textId="4065C603"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100956EA"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7B66E9C2" w14:textId="31C2DC54" w:rsidTr="00635B5B">
        <w:trPr>
          <w:gridAfter w:val="1"/>
          <w:wAfter w:w="80" w:type="dxa"/>
          <w:trHeight w:val="300"/>
        </w:trPr>
        <w:tc>
          <w:tcPr>
            <w:tcW w:w="3119" w:type="dxa"/>
          </w:tcPr>
          <w:p w14:paraId="727C6D66" w14:textId="21E00AFE" w:rsidR="00DD0644" w:rsidRPr="00781663" w:rsidRDefault="20D75238" w:rsidP="00284C83">
            <w:pPr>
              <w:rPr>
                <w:rFonts w:ascii="Arial" w:hAnsi="Arial" w:cs="Arial"/>
                <w:color w:val="000000"/>
                <w:sz w:val="20"/>
                <w:szCs w:val="20"/>
              </w:rPr>
            </w:pPr>
            <w:r w:rsidRPr="00781663">
              <w:rPr>
                <w:rFonts w:ascii="Arial" w:hAnsi="Arial" w:cs="Arial"/>
                <w:color w:val="000000" w:themeColor="text1"/>
                <w:sz w:val="20"/>
                <w:szCs w:val="20"/>
              </w:rPr>
              <w:t xml:space="preserve">Reported </w:t>
            </w:r>
            <w:r w:rsidR="23BA617E" w:rsidRPr="00781663">
              <w:rPr>
                <w:rFonts w:ascii="Arial" w:hAnsi="Arial" w:cs="Arial"/>
                <w:color w:val="000000" w:themeColor="text1"/>
                <w:sz w:val="20"/>
                <w:szCs w:val="20"/>
              </w:rPr>
              <w:t>a</w:t>
            </w:r>
            <w:r w:rsidR="5221EE5B" w:rsidRPr="00781663">
              <w:rPr>
                <w:rFonts w:ascii="Arial" w:hAnsi="Arial" w:cs="Arial"/>
                <w:color w:val="000000" w:themeColor="text1"/>
                <w:sz w:val="20"/>
                <w:szCs w:val="20"/>
              </w:rPr>
              <w:t>dditional</w:t>
            </w:r>
            <w:r w:rsidR="00DD0644" w:rsidRPr="00781663">
              <w:rPr>
                <w:rFonts w:ascii="Arial" w:hAnsi="Arial" w:cs="Arial"/>
                <w:color w:val="000000" w:themeColor="text1"/>
                <w:sz w:val="20"/>
                <w:szCs w:val="20"/>
              </w:rPr>
              <w:t xml:space="preserve"> </w:t>
            </w:r>
            <w:r w:rsidR="00594067" w:rsidRPr="00781663">
              <w:rPr>
                <w:rFonts w:ascii="Arial" w:hAnsi="Arial" w:cs="Arial"/>
                <w:color w:val="000000" w:themeColor="text1"/>
                <w:sz w:val="20"/>
                <w:szCs w:val="20"/>
              </w:rPr>
              <w:t>local authority</w:t>
            </w:r>
            <w:r w:rsidR="00DD0644" w:rsidRPr="00781663">
              <w:rPr>
                <w:rFonts w:ascii="Arial" w:hAnsi="Arial" w:cs="Arial"/>
                <w:color w:val="000000" w:themeColor="text1"/>
                <w:sz w:val="20"/>
                <w:szCs w:val="20"/>
              </w:rPr>
              <w:t xml:space="preserve"> funding</w:t>
            </w:r>
            <w:r w:rsidR="00BF0983" w:rsidRPr="00781663">
              <w:rPr>
                <w:rStyle w:val="FootnoteReference"/>
                <w:rFonts w:ascii="Arial" w:hAnsi="Arial" w:cs="Arial"/>
                <w:color w:val="000000" w:themeColor="text1"/>
                <w:sz w:val="20"/>
                <w:szCs w:val="20"/>
              </w:rPr>
              <w:footnoteReference w:id="4"/>
            </w:r>
          </w:p>
          <w:p w14:paraId="48A26DC1" w14:textId="3B58D9AF" w:rsidR="00594067" w:rsidRPr="00781663" w:rsidRDefault="00594067" w:rsidP="00284C83">
            <w:pPr>
              <w:rPr>
                <w:rFonts w:ascii="Arial" w:eastAsia="Times New Roman" w:hAnsi="Arial" w:cs="Arial"/>
                <w:color w:val="000000"/>
                <w:sz w:val="20"/>
                <w:szCs w:val="20"/>
                <w:lang w:eastAsia="en-GB"/>
              </w:rPr>
            </w:pPr>
          </w:p>
        </w:tc>
        <w:tc>
          <w:tcPr>
            <w:tcW w:w="1413" w:type="dxa"/>
            <w:noWrap/>
            <w:hideMark/>
          </w:tcPr>
          <w:p w14:paraId="5EB1DEAB" w14:textId="6F69CB20"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5BD351A5" w14:textId="77777777" w:rsidR="00DD0644" w:rsidRPr="00781663" w:rsidRDefault="00DD0644" w:rsidP="00284C83">
            <w:pPr>
              <w:jc w:val="center"/>
              <w:rPr>
                <w:rFonts w:ascii="Arial" w:eastAsia="Times New Roman" w:hAnsi="Arial" w:cs="Arial"/>
                <w:color w:val="000000"/>
                <w:sz w:val="20"/>
                <w:szCs w:val="20"/>
                <w:lang w:eastAsia="en-GB"/>
              </w:rPr>
            </w:pPr>
          </w:p>
        </w:tc>
        <w:tc>
          <w:tcPr>
            <w:tcW w:w="2235" w:type="dxa"/>
            <w:noWrap/>
            <w:hideMark/>
          </w:tcPr>
          <w:p w14:paraId="68B824C1" w14:textId="2BE8E2D8" w:rsidR="00DD0644" w:rsidRPr="00781663" w:rsidRDefault="00141558"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1,853,884</w:t>
            </w:r>
            <w:r w:rsidR="00DD0644" w:rsidRPr="00781663">
              <w:rPr>
                <w:rFonts w:ascii="Arial" w:eastAsia="Times New Roman" w:hAnsi="Arial" w:cs="Arial"/>
                <w:color w:val="000000"/>
                <w:sz w:val="20"/>
                <w:szCs w:val="20"/>
                <w:lang w:eastAsia="en-GB"/>
              </w:rPr>
              <w:t> </w:t>
            </w:r>
          </w:p>
        </w:tc>
        <w:tc>
          <w:tcPr>
            <w:tcW w:w="1261" w:type="dxa"/>
          </w:tcPr>
          <w:p w14:paraId="65A7A290" w14:textId="10F266C1" w:rsidR="00DD0644" w:rsidRPr="00781663" w:rsidRDefault="00DD0644" w:rsidP="00E47561">
            <w:pPr>
              <w:rPr>
                <w:rFonts w:ascii="Arial" w:eastAsia="Times New Roman" w:hAnsi="Arial" w:cs="Arial"/>
                <w:color w:val="000000"/>
                <w:sz w:val="20"/>
                <w:szCs w:val="20"/>
                <w:lang w:eastAsia="en-GB"/>
              </w:rPr>
            </w:pPr>
          </w:p>
        </w:tc>
      </w:tr>
      <w:tr w:rsidR="001906F6" w:rsidRPr="00781663" w14:paraId="657B1805" w14:textId="7BD0D045" w:rsidTr="00635B5B">
        <w:trPr>
          <w:gridAfter w:val="1"/>
          <w:wAfter w:w="80" w:type="dxa"/>
          <w:trHeight w:val="315"/>
        </w:trPr>
        <w:tc>
          <w:tcPr>
            <w:tcW w:w="3119" w:type="dxa"/>
          </w:tcPr>
          <w:p w14:paraId="6EE8D6E1" w14:textId="715534D1" w:rsidR="00DD0644" w:rsidRPr="00781663" w:rsidRDefault="069F4A6E" w:rsidP="00284C83">
            <w:pPr>
              <w:rPr>
                <w:rFonts w:ascii="Arial" w:eastAsia="Times New Roman" w:hAnsi="Arial" w:cs="Arial"/>
                <w:b/>
                <w:bCs/>
                <w:color w:val="000000"/>
                <w:sz w:val="20"/>
                <w:szCs w:val="20"/>
                <w:lang w:eastAsia="en-GB"/>
              </w:rPr>
            </w:pPr>
            <w:proofErr w:type="gramStart"/>
            <w:r w:rsidRPr="00781663">
              <w:rPr>
                <w:rFonts w:ascii="Arial" w:hAnsi="Arial" w:cs="Arial"/>
                <w:b/>
                <w:bCs/>
                <w:color w:val="000000" w:themeColor="text1"/>
                <w:sz w:val="20"/>
                <w:szCs w:val="20"/>
              </w:rPr>
              <w:t>Total</w:t>
            </w:r>
            <w:proofErr w:type="gramEnd"/>
            <w:r w:rsidRPr="00781663">
              <w:rPr>
                <w:rFonts w:ascii="Arial" w:hAnsi="Arial" w:cs="Arial"/>
                <w:b/>
                <w:bCs/>
                <w:color w:val="000000" w:themeColor="text1"/>
                <w:sz w:val="20"/>
                <w:szCs w:val="20"/>
              </w:rPr>
              <w:t xml:space="preserve"> </w:t>
            </w:r>
            <w:r w:rsidR="00A766AB" w:rsidRPr="00781663">
              <w:rPr>
                <w:rFonts w:ascii="Arial" w:hAnsi="Arial" w:cs="Arial"/>
                <w:b/>
                <w:bCs/>
                <w:color w:val="000000" w:themeColor="text1"/>
                <w:sz w:val="20"/>
                <w:szCs w:val="20"/>
              </w:rPr>
              <w:t xml:space="preserve">spend </w:t>
            </w:r>
            <w:r w:rsidRPr="00781663">
              <w:rPr>
                <w:rFonts w:ascii="Arial" w:hAnsi="Arial" w:cs="Arial"/>
                <w:b/>
                <w:bCs/>
                <w:color w:val="000000" w:themeColor="text1"/>
                <w:sz w:val="20"/>
                <w:szCs w:val="20"/>
              </w:rPr>
              <w:t>(£)</w:t>
            </w:r>
          </w:p>
        </w:tc>
        <w:tc>
          <w:tcPr>
            <w:tcW w:w="1413" w:type="dxa"/>
            <w:noWrap/>
            <w:hideMark/>
          </w:tcPr>
          <w:p w14:paraId="3622BC07" w14:textId="31BBADD1" w:rsidR="00DD0644" w:rsidRPr="00781663" w:rsidRDefault="00DD0644" w:rsidP="00284C83">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10,</w:t>
            </w:r>
            <w:r w:rsidR="00965664" w:rsidRPr="00781663">
              <w:rPr>
                <w:rFonts w:ascii="Arial" w:eastAsia="Times New Roman" w:hAnsi="Arial" w:cs="Arial"/>
                <w:b/>
                <w:bCs/>
                <w:color w:val="000000"/>
                <w:sz w:val="20"/>
                <w:szCs w:val="20"/>
                <w:lang w:eastAsia="en-GB"/>
              </w:rPr>
              <w:t>902,002</w:t>
            </w:r>
          </w:p>
        </w:tc>
        <w:tc>
          <w:tcPr>
            <w:tcW w:w="1261" w:type="dxa"/>
          </w:tcPr>
          <w:p w14:paraId="52D8CC77" w14:textId="056C7ADF" w:rsidR="00DD0644" w:rsidRPr="00781663" w:rsidRDefault="00C04664" w:rsidP="00284C83">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-0.1%</w:t>
            </w:r>
            <w:r w:rsidR="00674000" w:rsidRPr="00781663">
              <w:rPr>
                <w:rFonts w:ascii="Arial" w:eastAsia="Times New Roman" w:hAnsi="Arial" w:cs="Arial"/>
                <w:b/>
                <w:bCs/>
                <w:color w:val="000000"/>
                <w:sz w:val="20"/>
                <w:szCs w:val="20"/>
                <w:lang w:eastAsia="en-GB"/>
              </w:rPr>
              <w:t>%</w:t>
            </w:r>
          </w:p>
        </w:tc>
        <w:tc>
          <w:tcPr>
            <w:tcW w:w="2235" w:type="dxa"/>
            <w:noWrap/>
            <w:hideMark/>
          </w:tcPr>
          <w:p w14:paraId="6D941874" w14:textId="71C6B4E7" w:rsidR="00DD0644" w:rsidRPr="00781663" w:rsidRDefault="00C04664" w:rsidP="00284C83">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1,853,884</w:t>
            </w:r>
          </w:p>
        </w:tc>
        <w:tc>
          <w:tcPr>
            <w:tcW w:w="1261" w:type="dxa"/>
          </w:tcPr>
          <w:p w14:paraId="15D76BD0" w14:textId="7DD89908" w:rsidR="00DD0644" w:rsidRPr="00781663" w:rsidRDefault="00C04664" w:rsidP="00284C83">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+4.2</w:t>
            </w:r>
            <w:r w:rsidR="001378BA" w:rsidRPr="00781663">
              <w:rPr>
                <w:rFonts w:ascii="Arial" w:eastAsia="Times New Roman" w:hAnsi="Arial" w:cs="Arial"/>
                <w:b/>
                <w:bCs/>
                <w:color w:val="000000"/>
                <w:sz w:val="20"/>
                <w:szCs w:val="20"/>
                <w:lang w:eastAsia="en-GB"/>
              </w:rPr>
              <w:t>%</w:t>
            </w:r>
          </w:p>
        </w:tc>
      </w:tr>
      <w:tr w:rsidR="001906F6" w:rsidRPr="00781663" w14:paraId="6E73C908" w14:textId="04270EAD" w:rsidTr="00635B5B">
        <w:trPr>
          <w:gridAfter w:val="1"/>
          <w:wAfter w:w="80" w:type="dxa"/>
          <w:trHeight w:val="81"/>
        </w:trPr>
        <w:tc>
          <w:tcPr>
            <w:tcW w:w="3119" w:type="dxa"/>
          </w:tcPr>
          <w:p w14:paraId="16020E5C" w14:textId="59E4C109" w:rsidR="00DD0644" w:rsidRPr="00781663" w:rsidRDefault="00DD0644" w:rsidP="00284C83">
            <w:pPr>
              <w:rPr>
                <w:rFonts w:ascii="Arial" w:eastAsia="Times New Roman" w:hAnsi="Arial" w:cs="Arial"/>
                <w:b/>
                <w:bCs/>
                <w:color w:val="000000"/>
                <w:sz w:val="20"/>
                <w:szCs w:val="20"/>
                <w:lang w:eastAsia="en-GB"/>
              </w:rPr>
            </w:pPr>
            <w:r w:rsidRPr="00781663">
              <w:rPr>
                <w:rFonts w:ascii="Arial" w:hAnsi="Arial" w:cs="Arial"/>
                <w:color w:val="000000"/>
                <w:sz w:val="20"/>
                <w:szCs w:val="20"/>
              </w:rPr>
              <w:t> </w:t>
            </w:r>
          </w:p>
        </w:tc>
        <w:tc>
          <w:tcPr>
            <w:tcW w:w="1413" w:type="dxa"/>
            <w:noWrap/>
            <w:hideMark/>
          </w:tcPr>
          <w:p w14:paraId="3E5557A6" w14:textId="10BBF711" w:rsidR="00DD0644" w:rsidRPr="00781663" w:rsidRDefault="00DD0644" w:rsidP="00284C83">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 </w:t>
            </w:r>
          </w:p>
        </w:tc>
        <w:tc>
          <w:tcPr>
            <w:tcW w:w="1261" w:type="dxa"/>
          </w:tcPr>
          <w:p w14:paraId="67F2D3F7" w14:textId="77777777" w:rsidR="00DD0644" w:rsidRPr="00781663" w:rsidRDefault="00DD0644" w:rsidP="00284C83">
            <w:pPr>
              <w:jc w:val="center"/>
              <w:rPr>
                <w:rFonts w:ascii="Arial" w:eastAsia="Times New Roman" w:hAnsi="Arial" w:cs="Arial"/>
                <w:color w:val="000000"/>
                <w:sz w:val="20"/>
                <w:szCs w:val="20"/>
                <w:lang w:eastAsia="en-GB"/>
              </w:rPr>
            </w:pPr>
          </w:p>
        </w:tc>
        <w:tc>
          <w:tcPr>
            <w:tcW w:w="2235" w:type="dxa"/>
            <w:noWrap/>
            <w:hideMark/>
          </w:tcPr>
          <w:p w14:paraId="6B10615B" w14:textId="09965977"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53B2319D"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70BE1FE2" w14:textId="041D9D7E" w:rsidTr="00635B5B">
        <w:trPr>
          <w:gridAfter w:val="1"/>
          <w:wAfter w:w="80" w:type="dxa"/>
          <w:trHeight w:val="315"/>
        </w:trPr>
        <w:tc>
          <w:tcPr>
            <w:tcW w:w="3119" w:type="dxa"/>
          </w:tcPr>
          <w:p w14:paraId="03686416" w14:textId="37CE6743" w:rsidR="00DD0644" w:rsidRPr="00781663" w:rsidRDefault="00DD0644" w:rsidP="00284C83">
            <w:pPr>
              <w:rPr>
                <w:rFonts w:ascii="Arial" w:eastAsia="Times New Roman" w:hAnsi="Arial" w:cs="Arial"/>
                <w:b/>
                <w:bCs/>
                <w:color w:val="000000"/>
                <w:sz w:val="20"/>
                <w:szCs w:val="20"/>
                <w:lang w:eastAsia="en-GB"/>
              </w:rPr>
            </w:pPr>
            <w:r w:rsidRPr="00781663">
              <w:rPr>
                <w:rFonts w:ascii="Arial" w:hAnsi="Arial" w:cs="Arial"/>
                <w:b/>
                <w:bCs/>
                <w:color w:val="000000"/>
                <w:sz w:val="20"/>
                <w:szCs w:val="20"/>
              </w:rPr>
              <w:t>Staffing</w:t>
            </w:r>
          </w:p>
        </w:tc>
        <w:tc>
          <w:tcPr>
            <w:tcW w:w="1413" w:type="dxa"/>
            <w:noWrap/>
            <w:hideMark/>
          </w:tcPr>
          <w:p w14:paraId="6AF4242D" w14:textId="1F14FE31" w:rsidR="00DD0644" w:rsidRPr="00781663" w:rsidRDefault="00DD0644" w:rsidP="00284C83">
            <w:pPr>
              <w:jc w:val="center"/>
              <w:rPr>
                <w:rFonts w:ascii="Arial" w:eastAsia="Times New Roman" w:hAnsi="Arial" w:cs="Arial"/>
                <w:b/>
                <w:bCs/>
                <w:color w:val="000000"/>
                <w:sz w:val="20"/>
                <w:szCs w:val="20"/>
                <w:lang w:eastAsia="en-GB"/>
              </w:rPr>
            </w:pPr>
            <w:r w:rsidRPr="00781663">
              <w:rPr>
                <w:rFonts w:ascii="Arial" w:eastAsia="Times New Roman" w:hAnsi="Arial" w:cs="Arial"/>
                <w:b/>
                <w:bCs/>
                <w:color w:val="000000"/>
                <w:sz w:val="20"/>
                <w:szCs w:val="20"/>
                <w:lang w:eastAsia="en-GB"/>
              </w:rPr>
              <w:t> </w:t>
            </w:r>
          </w:p>
        </w:tc>
        <w:tc>
          <w:tcPr>
            <w:tcW w:w="1261" w:type="dxa"/>
          </w:tcPr>
          <w:p w14:paraId="6041C47F" w14:textId="77777777" w:rsidR="00DD0644" w:rsidRPr="00781663" w:rsidRDefault="00DD0644" w:rsidP="00284C83">
            <w:pPr>
              <w:jc w:val="center"/>
              <w:rPr>
                <w:rFonts w:ascii="Arial" w:eastAsia="Times New Roman" w:hAnsi="Arial" w:cs="Arial"/>
                <w:color w:val="000000"/>
                <w:sz w:val="20"/>
                <w:szCs w:val="20"/>
                <w:lang w:eastAsia="en-GB"/>
              </w:rPr>
            </w:pPr>
          </w:p>
        </w:tc>
        <w:tc>
          <w:tcPr>
            <w:tcW w:w="2235" w:type="dxa"/>
            <w:noWrap/>
            <w:hideMark/>
          </w:tcPr>
          <w:p w14:paraId="331CBE52" w14:textId="268F3DC7"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426D9859"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495C1963" w14:textId="2F3D9E77" w:rsidTr="00635B5B">
        <w:trPr>
          <w:gridAfter w:val="1"/>
          <w:wAfter w:w="80" w:type="dxa"/>
          <w:trHeight w:val="300"/>
        </w:trPr>
        <w:tc>
          <w:tcPr>
            <w:tcW w:w="3119" w:type="dxa"/>
          </w:tcPr>
          <w:p w14:paraId="28349DE2" w14:textId="68292005" w:rsidR="00DD0644" w:rsidRPr="00781663" w:rsidRDefault="00DD0644" w:rsidP="6C1588F2">
            <w:pPr>
              <w:rPr>
                <w:rFonts w:ascii="Arial" w:eastAsia="Times New Roman" w:hAnsi="Arial" w:cs="Arial"/>
                <w:color w:val="000000" w:themeColor="text1"/>
                <w:sz w:val="20"/>
                <w:szCs w:val="20"/>
                <w:lang w:eastAsia="en-GB"/>
              </w:rPr>
            </w:pPr>
            <w:r w:rsidRPr="00781663">
              <w:rPr>
                <w:rFonts w:ascii="Arial" w:hAnsi="Arial" w:cs="Arial"/>
                <w:color w:val="000000" w:themeColor="text1"/>
                <w:sz w:val="20"/>
                <w:szCs w:val="20"/>
              </w:rPr>
              <w:t>Delivery</w:t>
            </w:r>
            <w:r w:rsidR="002B24DC" w:rsidRPr="00781663">
              <w:rPr>
                <w:rStyle w:val="FootnoteReference"/>
                <w:rFonts w:ascii="Arial" w:hAnsi="Arial" w:cs="Arial"/>
                <w:color w:val="000000" w:themeColor="text1"/>
                <w:sz w:val="20"/>
                <w:szCs w:val="20"/>
              </w:rPr>
              <w:footnoteReference w:id="5"/>
            </w:r>
          </w:p>
          <w:p w14:paraId="55456448" w14:textId="5E0CC36E" w:rsidR="00DD0644" w:rsidRPr="00781663" w:rsidRDefault="00DD0644" w:rsidP="00284C83">
            <w:pPr>
              <w:rPr>
                <w:rFonts w:ascii="Arial" w:eastAsia="Times New Roman" w:hAnsi="Arial" w:cs="Arial"/>
                <w:color w:val="000000"/>
                <w:sz w:val="20"/>
                <w:szCs w:val="20"/>
                <w:lang w:eastAsia="en-GB"/>
              </w:rPr>
            </w:pPr>
          </w:p>
        </w:tc>
        <w:tc>
          <w:tcPr>
            <w:tcW w:w="1413" w:type="dxa"/>
            <w:noWrap/>
            <w:hideMark/>
          </w:tcPr>
          <w:p w14:paraId="48DA27F9" w14:textId="6339A811"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5,</w:t>
            </w:r>
            <w:r w:rsidR="004C1109" w:rsidRPr="00781663">
              <w:rPr>
                <w:rFonts w:ascii="Arial" w:eastAsia="Times New Roman" w:hAnsi="Arial" w:cs="Arial"/>
                <w:color w:val="000000"/>
                <w:sz w:val="20"/>
                <w:szCs w:val="20"/>
                <w:lang w:eastAsia="en-GB"/>
              </w:rPr>
              <w:t>158,309</w:t>
            </w:r>
          </w:p>
        </w:tc>
        <w:tc>
          <w:tcPr>
            <w:tcW w:w="1261" w:type="dxa"/>
          </w:tcPr>
          <w:p w14:paraId="5899398A" w14:textId="737D9205" w:rsidR="00DD0644" w:rsidRPr="00781663" w:rsidRDefault="004C1109"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-0.7</w:t>
            </w:r>
            <w:r w:rsidR="001378BA" w:rsidRPr="00781663">
              <w:rPr>
                <w:rFonts w:ascii="Arial" w:eastAsia="Times New Roman" w:hAnsi="Arial" w:cs="Arial"/>
                <w:color w:val="000000"/>
                <w:sz w:val="20"/>
                <w:szCs w:val="20"/>
                <w:lang w:eastAsia="en-GB"/>
              </w:rPr>
              <w:t>%</w:t>
            </w:r>
          </w:p>
        </w:tc>
        <w:tc>
          <w:tcPr>
            <w:tcW w:w="2235" w:type="dxa"/>
            <w:noWrap/>
            <w:hideMark/>
          </w:tcPr>
          <w:p w14:paraId="743C537F" w14:textId="15A30511" w:rsidR="00DD0644" w:rsidRPr="00781663" w:rsidRDefault="008B0BDB"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397,486</w:t>
            </w:r>
          </w:p>
        </w:tc>
        <w:tc>
          <w:tcPr>
            <w:tcW w:w="1261" w:type="dxa"/>
          </w:tcPr>
          <w:p w14:paraId="44E45D4E" w14:textId="3E3F9345" w:rsidR="00DD0644" w:rsidRPr="00781663" w:rsidRDefault="008B0BDB"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+92.7</w:t>
            </w:r>
            <w:r w:rsidR="001378BA" w:rsidRPr="00781663">
              <w:rPr>
                <w:rFonts w:ascii="Arial" w:eastAsia="Times New Roman" w:hAnsi="Arial" w:cs="Arial"/>
                <w:color w:val="000000"/>
                <w:sz w:val="20"/>
                <w:szCs w:val="20"/>
                <w:lang w:eastAsia="en-GB"/>
              </w:rPr>
              <w:t>%</w:t>
            </w:r>
          </w:p>
        </w:tc>
      </w:tr>
      <w:tr w:rsidR="001906F6" w:rsidRPr="00781663" w14:paraId="78E028D1" w14:textId="7ACAFC40" w:rsidTr="00635B5B">
        <w:trPr>
          <w:gridAfter w:val="1"/>
          <w:wAfter w:w="80" w:type="dxa"/>
          <w:trHeight w:val="300"/>
        </w:trPr>
        <w:tc>
          <w:tcPr>
            <w:tcW w:w="3119" w:type="dxa"/>
          </w:tcPr>
          <w:p w14:paraId="5B96B9BC" w14:textId="530BBB09" w:rsidR="00DD0644" w:rsidRPr="00781663" w:rsidRDefault="069F4A6E" w:rsidP="00284C83">
            <w:pPr>
              <w:rPr>
                <w:rFonts w:ascii="Arial" w:eastAsia="Times New Roman" w:hAnsi="Arial" w:cs="Arial"/>
                <w:color w:val="000000"/>
                <w:sz w:val="20"/>
                <w:szCs w:val="20"/>
                <w:lang w:eastAsia="en-GB"/>
              </w:rPr>
            </w:pPr>
            <w:r w:rsidRPr="00781663">
              <w:rPr>
                <w:rFonts w:ascii="Arial" w:hAnsi="Arial" w:cs="Arial"/>
                <w:color w:val="000000" w:themeColor="text1"/>
                <w:sz w:val="20"/>
                <w:szCs w:val="20"/>
              </w:rPr>
              <w:t>Management and admin</w:t>
            </w:r>
            <w:r w:rsidR="00037A23">
              <w:rPr>
                <w:rStyle w:val="FootnoteReference"/>
                <w:rFonts w:ascii="Arial" w:hAnsi="Arial" w:cs="Arial"/>
                <w:color w:val="000000" w:themeColor="text1"/>
                <w:sz w:val="20"/>
                <w:szCs w:val="20"/>
              </w:rPr>
              <w:footnoteReference w:id="6"/>
            </w:r>
          </w:p>
        </w:tc>
        <w:tc>
          <w:tcPr>
            <w:tcW w:w="1413" w:type="dxa"/>
            <w:noWrap/>
            <w:hideMark/>
          </w:tcPr>
          <w:p w14:paraId="6D46B451" w14:textId="77895889"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2,</w:t>
            </w:r>
            <w:r w:rsidR="00CC2BD4" w:rsidRPr="00781663">
              <w:rPr>
                <w:rFonts w:ascii="Arial" w:eastAsia="Times New Roman" w:hAnsi="Arial" w:cs="Arial"/>
                <w:color w:val="000000"/>
                <w:sz w:val="20"/>
                <w:szCs w:val="20"/>
                <w:lang w:eastAsia="en-GB"/>
              </w:rPr>
              <w:t>543,531</w:t>
            </w:r>
          </w:p>
        </w:tc>
        <w:tc>
          <w:tcPr>
            <w:tcW w:w="1261" w:type="dxa"/>
          </w:tcPr>
          <w:p w14:paraId="198937B1" w14:textId="09F97A45" w:rsidR="00DD0644" w:rsidRPr="00781663" w:rsidRDefault="001378BA"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r w:rsidR="00CC2BD4" w:rsidRPr="00781663">
              <w:rPr>
                <w:rFonts w:ascii="Arial" w:eastAsia="Times New Roman" w:hAnsi="Arial" w:cs="Arial"/>
                <w:color w:val="000000"/>
                <w:sz w:val="20"/>
                <w:szCs w:val="20"/>
                <w:lang w:eastAsia="en-GB"/>
              </w:rPr>
              <w:t>8.3</w:t>
            </w:r>
            <w:r w:rsidRPr="00781663">
              <w:rPr>
                <w:rFonts w:ascii="Arial" w:eastAsia="Times New Roman" w:hAnsi="Arial" w:cs="Arial"/>
                <w:color w:val="000000"/>
                <w:sz w:val="20"/>
                <w:szCs w:val="20"/>
                <w:lang w:eastAsia="en-GB"/>
              </w:rPr>
              <w:t>%</w:t>
            </w:r>
          </w:p>
        </w:tc>
        <w:tc>
          <w:tcPr>
            <w:tcW w:w="2235" w:type="dxa"/>
            <w:noWrap/>
            <w:hideMark/>
          </w:tcPr>
          <w:p w14:paraId="4C8080F6" w14:textId="2AAB1405" w:rsidR="00DD0644" w:rsidRPr="00781663" w:rsidRDefault="00366B17"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27</w:t>
            </w:r>
            <w:r w:rsidR="00EE42A9" w:rsidRPr="00781663">
              <w:rPr>
                <w:rFonts w:ascii="Arial" w:eastAsia="Times New Roman" w:hAnsi="Arial" w:cs="Arial"/>
                <w:color w:val="000000"/>
                <w:sz w:val="20"/>
                <w:szCs w:val="20"/>
                <w:lang w:eastAsia="en-GB"/>
              </w:rPr>
              <w:t>6,000</w:t>
            </w:r>
          </w:p>
        </w:tc>
        <w:tc>
          <w:tcPr>
            <w:tcW w:w="1261" w:type="dxa"/>
          </w:tcPr>
          <w:p w14:paraId="314B9966" w14:textId="1C2AC678" w:rsidR="00DD0644" w:rsidRPr="00781663" w:rsidRDefault="001378BA"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r w:rsidR="00EE42A9" w:rsidRPr="00781663">
              <w:rPr>
                <w:rFonts w:ascii="Arial" w:eastAsia="Times New Roman" w:hAnsi="Arial" w:cs="Arial"/>
                <w:color w:val="000000"/>
                <w:sz w:val="20"/>
                <w:szCs w:val="20"/>
                <w:lang w:eastAsia="en-GB"/>
              </w:rPr>
              <w:t>30.3</w:t>
            </w:r>
            <w:r w:rsidRPr="00781663">
              <w:rPr>
                <w:rFonts w:ascii="Arial" w:eastAsia="Times New Roman" w:hAnsi="Arial" w:cs="Arial"/>
                <w:color w:val="000000"/>
                <w:sz w:val="20"/>
                <w:szCs w:val="20"/>
                <w:lang w:eastAsia="en-GB"/>
              </w:rPr>
              <w:t>%</w:t>
            </w:r>
          </w:p>
        </w:tc>
      </w:tr>
      <w:tr w:rsidR="001906F6" w:rsidRPr="00781663" w14:paraId="4ECE0D81" w14:textId="7699E4DF" w:rsidTr="00635B5B">
        <w:trPr>
          <w:gridAfter w:val="1"/>
          <w:wAfter w:w="80" w:type="dxa"/>
          <w:trHeight w:val="155"/>
        </w:trPr>
        <w:tc>
          <w:tcPr>
            <w:tcW w:w="3119" w:type="dxa"/>
          </w:tcPr>
          <w:p w14:paraId="3ADEB44A" w14:textId="63A2EE93" w:rsidR="00DD0644" w:rsidRPr="00781663" w:rsidRDefault="00DD0644" w:rsidP="00284C83">
            <w:pPr>
              <w:rPr>
                <w:rFonts w:ascii="Arial" w:eastAsia="Times New Roman" w:hAnsi="Arial" w:cs="Arial"/>
                <w:color w:val="000000"/>
                <w:sz w:val="20"/>
                <w:szCs w:val="20"/>
                <w:lang w:eastAsia="en-GB"/>
              </w:rPr>
            </w:pPr>
            <w:r w:rsidRPr="00781663">
              <w:rPr>
                <w:rFonts w:ascii="Arial" w:hAnsi="Arial" w:cs="Arial"/>
                <w:color w:val="000000"/>
                <w:sz w:val="20"/>
                <w:szCs w:val="20"/>
              </w:rPr>
              <w:t> </w:t>
            </w:r>
          </w:p>
        </w:tc>
        <w:tc>
          <w:tcPr>
            <w:tcW w:w="1413" w:type="dxa"/>
            <w:noWrap/>
            <w:hideMark/>
          </w:tcPr>
          <w:p w14:paraId="62A300E6" w14:textId="43F576E3"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254A7847" w14:textId="77777777" w:rsidR="00DD0644" w:rsidRPr="00781663" w:rsidRDefault="00DD0644" w:rsidP="00284C83">
            <w:pPr>
              <w:jc w:val="center"/>
              <w:rPr>
                <w:rFonts w:ascii="Arial" w:eastAsia="Times New Roman" w:hAnsi="Arial" w:cs="Arial"/>
                <w:color w:val="000000"/>
                <w:sz w:val="20"/>
                <w:szCs w:val="20"/>
                <w:lang w:eastAsia="en-GB"/>
              </w:rPr>
            </w:pPr>
          </w:p>
        </w:tc>
        <w:tc>
          <w:tcPr>
            <w:tcW w:w="2235" w:type="dxa"/>
            <w:noWrap/>
            <w:hideMark/>
          </w:tcPr>
          <w:p w14:paraId="22666F71" w14:textId="1D8F80BC"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53C19621"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19ADC020" w14:textId="2A614AC7" w:rsidTr="00635B5B">
        <w:trPr>
          <w:gridAfter w:val="1"/>
          <w:wAfter w:w="80" w:type="dxa"/>
          <w:trHeight w:val="315"/>
        </w:trPr>
        <w:tc>
          <w:tcPr>
            <w:tcW w:w="3119" w:type="dxa"/>
          </w:tcPr>
          <w:p w14:paraId="097567F9" w14:textId="68E2BE20" w:rsidR="00DD0644" w:rsidRPr="00781663" w:rsidRDefault="069F4A6E" w:rsidP="00284C83">
            <w:pPr>
              <w:rPr>
                <w:rFonts w:ascii="Arial" w:eastAsia="Times New Roman" w:hAnsi="Arial" w:cs="Arial"/>
                <w:b/>
                <w:bCs/>
                <w:color w:val="000000"/>
                <w:sz w:val="20"/>
                <w:szCs w:val="20"/>
                <w:lang w:eastAsia="en-GB"/>
              </w:rPr>
            </w:pPr>
            <w:r w:rsidRPr="00781663">
              <w:rPr>
                <w:rFonts w:ascii="Arial" w:hAnsi="Arial" w:cs="Arial"/>
                <w:b/>
                <w:bCs/>
                <w:color w:val="000000" w:themeColor="text1"/>
                <w:sz w:val="20"/>
                <w:szCs w:val="20"/>
              </w:rPr>
              <w:t>Health and safety</w:t>
            </w:r>
            <w:r w:rsidR="0042548C">
              <w:rPr>
                <w:rStyle w:val="FootnoteReference"/>
                <w:rFonts w:ascii="Arial" w:hAnsi="Arial" w:cs="Arial"/>
                <w:b/>
                <w:bCs/>
                <w:color w:val="000000" w:themeColor="text1"/>
                <w:sz w:val="20"/>
                <w:szCs w:val="20"/>
              </w:rPr>
              <w:footnoteReference w:id="7"/>
            </w:r>
          </w:p>
        </w:tc>
        <w:tc>
          <w:tcPr>
            <w:tcW w:w="1413" w:type="dxa"/>
            <w:noWrap/>
            <w:hideMark/>
          </w:tcPr>
          <w:p w14:paraId="51E8E454" w14:textId="3B63CB1C" w:rsidR="00DD0644" w:rsidRPr="00781663" w:rsidRDefault="001A33F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186,400</w:t>
            </w:r>
          </w:p>
        </w:tc>
        <w:tc>
          <w:tcPr>
            <w:tcW w:w="1261" w:type="dxa"/>
          </w:tcPr>
          <w:p w14:paraId="61C84302" w14:textId="6B1B8A0A" w:rsidR="00DD0644" w:rsidRPr="00781663" w:rsidRDefault="008E40D0"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r w:rsidR="001A33F4" w:rsidRPr="00781663">
              <w:rPr>
                <w:rFonts w:ascii="Arial" w:eastAsia="Times New Roman" w:hAnsi="Arial" w:cs="Arial"/>
                <w:color w:val="000000"/>
                <w:sz w:val="20"/>
                <w:szCs w:val="20"/>
                <w:lang w:eastAsia="en-GB"/>
              </w:rPr>
              <w:t>18.4</w:t>
            </w:r>
            <w:r w:rsidRPr="00781663">
              <w:rPr>
                <w:rFonts w:ascii="Arial" w:eastAsia="Times New Roman" w:hAnsi="Arial" w:cs="Arial"/>
                <w:color w:val="000000"/>
                <w:sz w:val="20"/>
                <w:szCs w:val="20"/>
                <w:lang w:eastAsia="en-GB"/>
              </w:rPr>
              <w:t>%</w:t>
            </w:r>
          </w:p>
        </w:tc>
        <w:tc>
          <w:tcPr>
            <w:tcW w:w="2235" w:type="dxa"/>
            <w:noWrap/>
            <w:hideMark/>
          </w:tcPr>
          <w:p w14:paraId="6E8C5BE1" w14:textId="0C9AADCA" w:rsidR="00DD0644" w:rsidRPr="00781663" w:rsidRDefault="001A33F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345,170</w:t>
            </w:r>
          </w:p>
        </w:tc>
        <w:tc>
          <w:tcPr>
            <w:tcW w:w="1261" w:type="dxa"/>
          </w:tcPr>
          <w:p w14:paraId="778F4097" w14:textId="4FD494FC" w:rsidR="00DD0644" w:rsidRPr="00781663" w:rsidRDefault="001A33F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themeColor="text1"/>
                <w:sz w:val="20"/>
                <w:szCs w:val="20"/>
                <w:lang w:eastAsia="en-GB"/>
              </w:rPr>
              <w:t>-10.</w:t>
            </w:r>
            <w:r w:rsidR="000E47D5" w:rsidRPr="00781663">
              <w:rPr>
                <w:rFonts w:ascii="Arial" w:eastAsia="Times New Roman" w:hAnsi="Arial" w:cs="Arial"/>
                <w:color w:val="000000" w:themeColor="text1"/>
                <w:sz w:val="20"/>
                <w:szCs w:val="20"/>
                <w:lang w:eastAsia="en-GB"/>
              </w:rPr>
              <w:t>6</w:t>
            </w:r>
            <w:r w:rsidR="008E40D0" w:rsidRPr="00781663">
              <w:rPr>
                <w:rFonts w:ascii="Arial" w:eastAsia="Times New Roman" w:hAnsi="Arial" w:cs="Arial"/>
                <w:color w:val="000000" w:themeColor="text1"/>
                <w:sz w:val="20"/>
                <w:szCs w:val="20"/>
                <w:lang w:eastAsia="en-GB"/>
              </w:rPr>
              <w:t>%</w:t>
            </w:r>
          </w:p>
        </w:tc>
      </w:tr>
      <w:tr w:rsidR="001906F6" w:rsidRPr="00781663" w14:paraId="3280E3DB" w14:textId="33B46441" w:rsidTr="00635B5B">
        <w:trPr>
          <w:gridAfter w:val="1"/>
          <w:wAfter w:w="80" w:type="dxa"/>
          <w:trHeight w:val="119"/>
        </w:trPr>
        <w:tc>
          <w:tcPr>
            <w:tcW w:w="3119" w:type="dxa"/>
          </w:tcPr>
          <w:p w14:paraId="27381CAF" w14:textId="3EA78AB5" w:rsidR="00DD0644" w:rsidRPr="00781663" w:rsidRDefault="00DD0644" w:rsidP="00284C83">
            <w:pPr>
              <w:rPr>
                <w:rFonts w:ascii="Arial" w:eastAsia="Times New Roman" w:hAnsi="Arial" w:cs="Arial"/>
                <w:color w:val="000000"/>
                <w:sz w:val="20"/>
                <w:szCs w:val="20"/>
                <w:lang w:eastAsia="en-GB"/>
              </w:rPr>
            </w:pPr>
            <w:r w:rsidRPr="00781663">
              <w:rPr>
                <w:rFonts w:ascii="Arial" w:hAnsi="Arial" w:cs="Arial"/>
                <w:color w:val="000000"/>
                <w:sz w:val="20"/>
                <w:szCs w:val="20"/>
              </w:rPr>
              <w:t> </w:t>
            </w:r>
          </w:p>
        </w:tc>
        <w:tc>
          <w:tcPr>
            <w:tcW w:w="1413" w:type="dxa"/>
            <w:noWrap/>
            <w:hideMark/>
          </w:tcPr>
          <w:p w14:paraId="39B048FE" w14:textId="21572521"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071F97EB" w14:textId="77777777" w:rsidR="00DD0644" w:rsidRPr="00781663" w:rsidRDefault="00DD0644" w:rsidP="00284C83">
            <w:pPr>
              <w:jc w:val="center"/>
              <w:rPr>
                <w:rFonts w:ascii="Arial" w:eastAsia="Times New Roman" w:hAnsi="Arial" w:cs="Arial"/>
                <w:color w:val="000000"/>
                <w:sz w:val="20"/>
                <w:szCs w:val="20"/>
                <w:lang w:eastAsia="en-GB"/>
              </w:rPr>
            </w:pPr>
          </w:p>
        </w:tc>
        <w:tc>
          <w:tcPr>
            <w:tcW w:w="2235" w:type="dxa"/>
            <w:noWrap/>
            <w:hideMark/>
          </w:tcPr>
          <w:p w14:paraId="3AED090C" w14:textId="569E0480"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0652511F"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0643F7BB" w14:textId="413AD7B4" w:rsidTr="00635B5B">
        <w:trPr>
          <w:gridAfter w:val="1"/>
          <w:wAfter w:w="80" w:type="dxa"/>
          <w:trHeight w:val="315"/>
        </w:trPr>
        <w:tc>
          <w:tcPr>
            <w:tcW w:w="3119" w:type="dxa"/>
          </w:tcPr>
          <w:p w14:paraId="7D8B350F" w14:textId="0C7E1A91" w:rsidR="00DD0644" w:rsidRPr="00781663" w:rsidRDefault="069F4A6E" w:rsidP="6C1588F2">
            <w:pPr>
              <w:rPr>
                <w:rFonts w:ascii="Arial" w:eastAsia="Times New Roman" w:hAnsi="Arial" w:cs="Arial"/>
                <w:color w:val="000000" w:themeColor="text1"/>
                <w:sz w:val="20"/>
                <w:szCs w:val="20"/>
                <w:lang w:eastAsia="en-GB"/>
              </w:rPr>
            </w:pPr>
            <w:r w:rsidRPr="00781663">
              <w:rPr>
                <w:rFonts w:ascii="Arial" w:hAnsi="Arial" w:cs="Arial"/>
                <w:b/>
                <w:bCs/>
                <w:color w:val="000000" w:themeColor="text1"/>
                <w:sz w:val="20"/>
                <w:szCs w:val="20"/>
              </w:rPr>
              <w:t>National priorities</w:t>
            </w:r>
          </w:p>
          <w:p w14:paraId="0EAE5A7B" w14:textId="5EB18D1F" w:rsidR="00DD0644" w:rsidRPr="00781663" w:rsidRDefault="00DD0644" w:rsidP="00284C83">
            <w:pPr>
              <w:rPr>
                <w:rFonts w:ascii="Arial" w:hAnsi="Arial" w:cs="Arial"/>
                <w:b/>
                <w:color w:val="000000"/>
                <w:sz w:val="20"/>
                <w:szCs w:val="20"/>
                <w:lang w:eastAsia="en-GB"/>
              </w:rPr>
            </w:pPr>
          </w:p>
        </w:tc>
        <w:tc>
          <w:tcPr>
            <w:tcW w:w="1413" w:type="dxa"/>
            <w:noWrap/>
            <w:hideMark/>
          </w:tcPr>
          <w:p w14:paraId="15B221E0" w14:textId="15A5A4C2"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01A56A85" w14:textId="77777777" w:rsidR="00DD0644" w:rsidRPr="00781663" w:rsidRDefault="00DD0644" w:rsidP="00284C83">
            <w:pPr>
              <w:jc w:val="center"/>
              <w:rPr>
                <w:rFonts w:ascii="Arial" w:eastAsia="Times New Roman" w:hAnsi="Arial" w:cs="Arial"/>
                <w:color w:val="000000"/>
                <w:sz w:val="20"/>
                <w:szCs w:val="20"/>
                <w:lang w:eastAsia="en-GB"/>
              </w:rPr>
            </w:pPr>
          </w:p>
        </w:tc>
        <w:tc>
          <w:tcPr>
            <w:tcW w:w="2235" w:type="dxa"/>
            <w:noWrap/>
            <w:hideMark/>
          </w:tcPr>
          <w:p w14:paraId="6DCA55A1" w14:textId="6056EBEA" w:rsidR="00DD0644" w:rsidRPr="00781663" w:rsidRDefault="00DD0644"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 </w:t>
            </w:r>
          </w:p>
        </w:tc>
        <w:tc>
          <w:tcPr>
            <w:tcW w:w="1261" w:type="dxa"/>
          </w:tcPr>
          <w:p w14:paraId="0FD34455" w14:textId="77777777" w:rsidR="00DD0644" w:rsidRPr="00781663" w:rsidRDefault="00DD0644" w:rsidP="00284C83">
            <w:pPr>
              <w:jc w:val="center"/>
              <w:rPr>
                <w:rFonts w:ascii="Arial" w:eastAsia="Times New Roman" w:hAnsi="Arial" w:cs="Arial"/>
                <w:color w:val="000000"/>
                <w:sz w:val="20"/>
                <w:szCs w:val="20"/>
                <w:lang w:eastAsia="en-GB"/>
              </w:rPr>
            </w:pPr>
          </w:p>
        </w:tc>
      </w:tr>
      <w:tr w:rsidR="001906F6" w:rsidRPr="00781663" w14:paraId="6D9DB505" w14:textId="77CE5F53" w:rsidTr="00635B5B">
        <w:trPr>
          <w:gridAfter w:val="1"/>
          <w:wAfter w:w="80" w:type="dxa"/>
          <w:trHeight w:val="300"/>
        </w:trPr>
        <w:tc>
          <w:tcPr>
            <w:tcW w:w="3119" w:type="dxa"/>
            <w:vAlign w:val="center"/>
          </w:tcPr>
          <w:p w14:paraId="720D29EA" w14:textId="240F1AAF" w:rsidR="00DD0644" w:rsidRPr="00781663" w:rsidRDefault="069F4A6E" w:rsidP="069F4A6E">
            <w:pPr>
              <w:rPr>
                <w:rFonts w:ascii="Arial" w:eastAsia="Times New Roman" w:hAnsi="Arial" w:cs="Arial"/>
                <w:color w:val="000000" w:themeColor="text1"/>
                <w:sz w:val="20"/>
                <w:szCs w:val="20"/>
                <w:lang w:eastAsia="en-GB"/>
              </w:rPr>
            </w:pPr>
            <w:r w:rsidRPr="00781663">
              <w:rPr>
                <w:rFonts w:ascii="Arial" w:hAnsi="Arial" w:cs="Arial"/>
                <w:color w:val="000000" w:themeColor="text1"/>
                <w:sz w:val="20"/>
                <w:szCs w:val="20"/>
              </w:rPr>
              <w:t xml:space="preserve">Build a digitally ready workforce </w:t>
            </w:r>
          </w:p>
          <w:p w14:paraId="09C2CE90" w14:textId="0156ADA3" w:rsidR="00DD0644" w:rsidRPr="00781663" w:rsidRDefault="00DD0644" w:rsidP="069F4A6E">
            <w:pPr>
              <w:rPr>
                <w:rFonts w:ascii="Arial" w:hAnsi="Arial" w:cs="Arial"/>
                <w:color w:val="000000"/>
                <w:sz w:val="20"/>
                <w:szCs w:val="20"/>
                <w:lang w:eastAsia="en-GB"/>
              </w:rPr>
            </w:pPr>
          </w:p>
        </w:tc>
        <w:tc>
          <w:tcPr>
            <w:tcW w:w="1413" w:type="dxa"/>
            <w:noWrap/>
            <w:hideMark/>
          </w:tcPr>
          <w:p w14:paraId="78836652" w14:textId="0224BBBE" w:rsidR="00DD0644" w:rsidRPr="00781663" w:rsidRDefault="00526CDF"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161,193</w:t>
            </w:r>
          </w:p>
        </w:tc>
        <w:tc>
          <w:tcPr>
            <w:tcW w:w="1261" w:type="dxa"/>
          </w:tcPr>
          <w:p w14:paraId="444280F4" w14:textId="59E1285C" w:rsidR="00DD0644" w:rsidRPr="00781663" w:rsidRDefault="008E40D0"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r w:rsidR="00526CDF" w:rsidRPr="00781663">
              <w:rPr>
                <w:rFonts w:ascii="Arial" w:eastAsia="Times New Roman" w:hAnsi="Arial" w:cs="Arial"/>
                <w:color w:val="000000"/>
                <w:sz w:val="20"/>
                <w:szCs w:val="20"/>
                <w:lang w:eastAsia="en-GB"/>
              </w:rPr>
              <w:t>18.8</w:t>
            </w:r>
            <w:r w:rsidRPr="00781663">
              <w:rPr>
                <w:rFonts w:ascii="Arial" w:eastAsia="Times New Roman" w:hAnsi="Arial" w:cs="Arial"/>
                <w:color w:val="000000"/>
                <w:sz w:val="20"/>
                <w:szCs w:val="20"/>
                <w:lang w:eastAsia="en-GB"/>
              </w:rPr>
              <w:t>%</w:t>
            </w:r>
          </w:p>
        </w:tc>
        <w:tc>
          <w:tcPr>
            <w:tcW w:w="2235" w:type="dxa"/>
            <w:noWrap/>
            <w:hideMark/>
          </w:tcPr>
          <w:p w14:paraId="63F94A21" w14:textId="40F2527A" w:rsidR="00DD0644" w:rsidRPr="00781663" w:rsidRDefault="0051396F"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1,432</w:t>
            </w:r>
          </w:p>
        </w:tc>
        <w:tc>
          <w:tcPr>
            <w:tcW w:w="1261" w:type="dxa"/>
          </w:tcPr>
          <w:p w14:paraId="5ABEDE72" w14:textId="0B097DD0" w:rsidR="00DD0644" w:rsidRPr="00781663" w:rsidRDefault="0013536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-91.8</w:t>
            </w:r>
            <w:r w:rsidR="008E40D0" w:rsidRPr="00781663">
              <w:rPr>
                <w:rFonts w:ascii="Arial" w:eastAsia="Times New Roman" w:hAnsi="Arial" w:cs="Arial"/>
                <w:color w:val="000000"/>
                <w:sz w:val="20"/>
                <w:szCs w:val="20"/>
                <w:lang w:eastAsia="en-GB"/>
              </w:rPr>
              <w:t>%</w:t>
            </w:r>
          </w:p>
        </w:tc>
      </w:tr>
      <w:tr w:rsidR="001906F6" w:rsidRPr="00781663" w14:paraId="1C6F13F3" w14:textId="26F35AC6" w:rsidTr="00635B5B">
        <w:trPr>
          <w:gridAfter w:val="1"/>
          <w:wAfter w:w="80" w:type="dxa"/>
          <w:trHeight w:val="300"/>
        </w:trPr>
        <w:tc>
          <w:tcPr>
            <w:tcW w:w="3119" w:type="dxa"/>
            <w:vAlign w:val="center"/>
          </w:tcPr>
          <w:p w14:paraId="6CF15366" w14:textId="0A68868B" w:rsidR="00DD0644" w:rsidRPr="00781663" w:rsidRDefault="069F4A6E" w:rsidP="069F4A6E">
            <w:pPr>
              <w:rPr>
                <w:rFonts w:ascii="Arial" w:eastAsia="Times New Roman" w:hAnsi="Arial" w:cs="Arial"/>
                <w:color w:val="000000" w:themeColor="text1"/>
                <w:sz w:val="20"/>
                <w:szCs w:val="20"/>
                <w:lang w:eastAsia="en-GB"/>
              </w:rPr>
            </w:pPr>
            <w:r w:rsidRPr="00781663">
              <w:rPr>
                <w:rFonts w:ascii="Arial" w:hAnsi="Arial" w:cs="Arial"/>
                <w:color w:val="000000" w:themeColor="text1"/>
                <w:sz w:val="20"/>
                <w:szCs w:val="20"/>
              </w:rPr>
              <w:t>Excellent education and learning</w:t>
            </w:r>
          </w:p>
          <w:p w14:paraId="67CED502" w14:textId="23A1982F" w:rsidR="00DD0644" w:rsidRPr="00781663" w:rsidRDefault="069F4A6E" w:rsidP="00284C83">
            <w:pPr>
              <w:rPr>
                <w:rFonts w:ascii="Arial" w:eastAsia="Times New Roman" w:hAnsi="Arial" w:cs="Arial"/>
                <w:color w:val="000000"/>
                <w:sz w:val="20"/>
                <w:szCs w:val="20"/>
                <w:lang w:eastAsia="en-GB"/>
              </w:rPr>
            </w:pPr>
            <w:r w:rsidRPr="00781663">
              <w:rPr>
                <w:rFonts w:ascii="Arial" w:hAnsi="Arial" w:cs="Arial"/>
                <w:color w:val="000000" w:themeColor="text1"/>
                <w:sz w:val="20"/>
                <w:szCs w:val="20"/>
              </w:rPr>
              <w:t xml:space="preserve"> </w:t>
            </w:r>
          </w:p>
        </w:tc>
        <w:tc>
          <w:tcPr>
            <w:tcW w:w="1413" w:type="dxa"/>
            <w:noWrap/>
            <w:hideMark/>
          </w:tcPr>
          <w:p w14:paraId="56366345" w14:textId="7C60AF60" w:rsidR="00DD0644" w:rsidRPr="00781663" w:rsidRDefault="00526CDF"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1,266,</w:t>
            </w:r>
            <w:r w:rsidR="00D26578" w:rsidRPr="00781663">
              <w:rPr>
                <w:rFonts w:ascii="Arial" w:eastAsia="Times New Roman" w:hAnsi="Arial" w:cs="Arial"/>
                <w:color w:val="000000"/>
                <w:sz w:val="20"/>
                <w:szCs w:val="20"/>
                <w:lang w:eastAsia="en-GB"/>
              </w:rPr>
              <w:t>534</w:t>
            </w:r>
          </w:p>
        </w:tc>
        <w:tc>
          <w:tcPr>
            <w:tcW w:w="1261" w:type="dxa"/>
          </w:tcPr>
          <w:p w14:paraId="2413AA71" w14:textId="4B298883" w:rsidR="00DD0644" w:rsidRPr="00781663" w:rsidRDefault="00D26578"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-9.4</w:t>
            </w:r>
            <w:r w:rsidR="008E40D0" w:rsidRPr="00781663">
              <w:rPr>
                <w:rFonts w:ascii="Arial" w:eastAsia="Times New Roman" w:hAnsi="Arial" w:cs="Arial"/>
                <w:color w:val="000000"/>
                <w:sz w:val="20"/>
                <w:szCs w:val="20"/>
                <w:lang w:eastAsia="en-GB"/>
              </w:rPr>
              <w:t>%</w:t>
            </w:r>
          </w:p>
        </w:tc>
        <w:tc>
          <w:tcPr>
            <w:tcW w:w="2235" w:type="dxa"/>
            <w:noWrap/>
            <w:hideMark/>
          </w:tcPr>
          <w:p w14:paraId="7F8B41FA" w14:textId="7B85E396" w:rsidR="00DD0644" w:rsidRPr="00781663" w:rsidRDefault="0013536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243,067</w:t>
            </w:r>
          </w:p>
        </w:tc>
        <w:tc>
          <w:tcPr>
            <w:tcW w:w="1261" w:type="dxa"/>
          </w:tcPr>
          <w:p w14:paraId="5AF820F2" w14:textId="3B1D8688" w:rsidR="00DD0644" w:rsidRPr="00781663" w:rsidRDefault="008E40D0"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r w:rsidR="00DA1FAD" w:rsidRPr="00781663">
              <w:rPr>
                <w:rFonts w:ascii="Arial" w:eastAsia="Times New Roman" w:hAnsi="Arial" w:cs="Arial"/>
                <w:color w:val="000000"/>
                <w:sz w:val="20"/>
                <w:szCs w:val="20"/>
                <w:lang w:eastAsia="en-GB"/>
              </w:rPr>
              <w:t>8.7</w:t>
            </w:r>
            <w:r w:rsidRPr="00781663">
              <w:rPr>
                <w:rFonts w:ascii="Arial" w:eastAsia="Times New Roman" w:hAnsi="Arial" w:cs="Arial"/>
                <w:color w:val="000000"/>
                <w:sz w:val="20"/>
                <w:szCs w:val="20"/>
                <w:lang w:eastAsia="en-GB"/>
              </w:rPr>
              <w:t>%</w:t>
            </w:r>
          </w:p>
        </w:tc>
      </w:tr>
      <w:tr w:rsidR="001906F6" w:rsidRPr="00781663" w14:paraId="4E2FD372" w14:textId="23F94DE3" w:rsidTr="00635B5B">
        <w:trPr>
          <w:gridAfter w:val="1"/>
          <w:wAfter w:w="80" w:type="dxa"/>
          <w:trHeight w:val="300"/>
        </w:trPr>
        <w:tc>
          <w:tcPr>
            <w:tcW w:w="3119" w:type="dxa"/>
            <w:vAlign w:val="center"/>
          </w:tcPr>
          <w:p w14:paraId="45D0F3A4" w14:textId="26485544" w:rsidR="00DD0644" w:rsidRPr="00781663" w:rsidRDefault="069F4A6E" w:rsidP="069F4A6E">
            <w:pPr>
              <w:rPr>
                <w:rFonts w:ascii="Arial" w:eastAsia="Times New Roman" w:hAnsi="Arial" w:cs="Arial"/>
                <w:color w:val="000000" w:themeColor="text1"/>
                <w:sz w:val="20"/>
                <w:szCs w:val="20"/>
                <w:lang w:eastAsia="en-GB"/>
              </w:rPr>
            </w:pPr>
            <w:r w:rsidRPr="00781663">
              <w:rPr>
                <w:rFonts w:ascii="Arial" w:hAnsi="Arial" w:cs="Arial"/>
                <w:color w:val="000000" w:themeColor="text1"/>
                <w:sz w:val="20"/>
                <w:szCs w:val="20"/>
              </w:rPr>
              <w:t>Provision of qualifying and post qualifying social work training</w:t>
            </w:r>
          </w:p>
          <w:p w14:paraId="66C1B19D" w14:textId="424BDCB2" w:rsidR="00DD0644" w:rsidRPr="00781663" w:rsidRDefault="069F4A6E" w:rsidP="00284C83">
            <w:pPr>
              <w:rPr>
                <w:rFonts w:ascii="Arial" w:eastAsia="Times New Roman" w:hAnsi="Arial" w:cs="Arial"/>
                <w:color w:val="000000"/>
                <w:sz w:val="20"/>
                <w:szCs w:val="20"/>
                <w:lang w:eastAsia="en-GB"/>
              </w:rPr>
            </w:pPr>
            <w:r w:rsidRPr="00781663">
              <w:rPr>
                <w:rFonts w:ascii="Arial" w:hAnsi="Arial" w:cs="Arial"/>
                <w:color w:val="000000" w:themeColor="text1"/>
                <w:sz w:val="20"/>
                <w:szCs w:val="20"/>
              </w:rPr>
              <w:t xml:space="preserve"> </w:t>
            </w:r>
          </w:p>
        </w:tc>
        <w:tc>
          <w:tcPr>
            <w:tcW w:w="1413" w:type="dxa"/>
            <w:noWrap/>
            <w:hideMark/>
          </w:tcPr>
          <w:p w14:paraId="6C5D1C21" w14:textId="71E086C7" w:rsidR="00DD0644" w:rsidRPr="00781663" w:rsidRDefault="00D26578"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1,104,637</w:t>
            </w:r>
          </w:p>
        </w:tc>
        <w:tc>
          <w:tcPr>
            <w:tcW w:w="1261" w:type="dxa"/>
          </w:tcPr>
          <w:p w14:paraId="4BB8F806" w14:textId="26E42512" w:rsidR="00DD0644" w:rsidRPr="00781663" w:rsidRDefault="00D26578"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-3.6</w:t>
            </w:r>
            <w:r w:rsidR="008E40D0" w:rsidRPr="00781663">
              <w:rPr>
                <w:rFonts w:ascii="Arial" w:eastAsia="Times New Roman" w:hAnsi="Arial" w:cs="Arial"/>
                <w:color w:val="000000"/>
                <w:sz w:val="20"/>
                <w:szCs w:val="20"/>
                <w:lang w:eastAsia="en-GB"/>
              </w:rPr>
              <w:t>%</w:t>
            </w:r>
          </w:p>
        </w:tc>
        <w:tc>
          <w:tcPr>
            <w:tcW w:w="2235" w:type="dxa"/>
            <w:noWrap/>
            <w:hideMark/>
          </w:tcPr>
          <w:p w14:paraId="4B0D096F" w14:textId="71E30516" w:rsidR="00DD0644" w:rsidRPr="00781663" w:rsidRDefault="00DA1FA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118,486</w:t>
            </w:r>
          </w:p>
        </w:tc>
        <w:tc>
          <w:tcPr>
            <w:tcW w:w="1261" w:type="dxa"/>
          </w:tcPr>
          <w:p w14:paraId="5EAE364E" w14:textId="00F01A27" w:rsidR="00DD0644" w:rsidRPr="00781663" w:rsidRDefault="00DA1FA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themeColor="text1"/>
                <w:sz w:val="20"/>
                <w:szCs w:val="20"/>
                <w:lang w:eastAsia="en-GB"/>
              </w:rPr>
              <w:t>-48.4</w:t>
            </w:r>
            <w:r w:rsidR="008E40D0" w:rsidRPr="00781663">
              <w:rPr>
                <w:rFonts w:ascii="Arial" w:eastAsia="Times New Roman" w:hAnsi="Arial" w:cs="Arial"/>
                <w:color w:val="000000" w:themeColor="text1"/>
                <w:sz w:val="20"/>
                <w:szCs w:val="20"/>
                <w:lang w:eastAsia="en-GB"/>
              </w:rPr>
              <w:t>%</w:t>
            </w:r>
          </w:p>
        </w:tc>
      </w:tr>
      <w:tr w:rsidR="001906F6" w:rsidRPr="00781663" w14:paraId="7E5F42E4" w14:textId="02889E73" w:rsidTr="00635B5B">
        <w:trPr>
          <w:gridAfter w:val="1"/>
          <w:wAfter w:w="80" w:type="dxa"/>
          <w:trHeight w:val="300"/>
        </w:trPr>
        <w:tc>
          <w:tcPr>
            <w:tcW w:w="3119" w:type="dxa"/>
            <w:vAlign w:val="center"/>
          </w:tcPr>
          <w:p w14:paraId="79B01CBC" w14:textId="3E844B01" w:rsidR="00DD0644" w:rsidRPr="00781663" w:rsidRDefault="069F4A6E" w:rsidP="069F4A6E">
            <w:pPr>
              <w:rPr>
                <w:rFonts w:ascii="Arial" w:eastAsia="Times New Roman" w:hAnsi="Arial" w:cs="Arial"/>
                <w:color w:val="000000" w:themeColor="text1"/>
                <w:sz w:val="20"/>
                <w:szCs w:val="20"/>
                <w:lang w:eastAsia="en-GB"/>
              </w:rPr>
            </w:pPr>
            <w:r w:rsidRPr="00781663">
              <w:rPr>
                <w:rFonts w:ascii="Arial" w:hAnsi="Arial" w:cs="Arial"/>
                <w:color w:val="000000" w:themeColor="text1"/>
                <w:sz w:val="20"/>
                <w:szCs w:val="20"/>
              </w:rPr>
              <w:t>Leadership and succession</w:t>
            </w:r>
          </w:p>
          <w:p w14:paraId="5E0383EC" w14:textId="477AC734" w:rsidR="00DD0644" w:rsidRPr="00781663" w:rsidRDefault="069F4A6E" w:rsidP="00284C83">
            <w:pPr>
              <w:rPr>
                <w:rFonts w:ascii="Arial" w:eastAsia="Times New Roman" w:hAnsi="Arial" w:cs="Arial"/>
                <w:color w:val="000000"/>
                <w:sz w:val="20"/>
                <w:szCs w:val="20"/>
                <w:lang w:eastAsia="en-GB"/>
              </w:rPr>
            </w:pPr>
            <w:r w:rsidRPr="00781663">
              <w:rPr>
                <w:rFonts w:ascii="Arial" w:hAnsi="Arial" w:cs="Arial"/>
                <w:color w:val="000000" w:themeColor="text1"/>
                <w:sz w:val="20"/>
                <w:szCs w:val="20"/>
              </w:rPr>
              <w:t xml:space="preserve"> </w:t>
            </w:r>
          </w:p>
        </w:tc>
        <w:tc>
          <w:tcPr>
            <w:tcW w:w="1413" w:type="dxa"/>
            <w:noWrap/>
            <w:hideMark/>
          </w:tcPr>
          <w:p w14:paraId="1BCF9A60" w14:textId="1D699685" w:rsidR="00DD0644" w:rsidRPr="00781663" w:rsidRDefault="006A0F01"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182,360</w:t>
            </w:r>
          </w:p>
        </w:tc>
        <w:tc>
          <w:tcPr>
            <w:tcW w:w="1261" w:type="dxa"/>
          </w:tcPr>
          <w:p w14:paraId="6CFE0440" w14:textId="31E75586" w:rsidR="00DD0644" w:rsidRPr="00781663" w:rsidRDefault="008E40D0"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w:t>
            </w:r>
            <w:r w:rsidR="006A0F01" w:rsidRPr="00781663">
              <w:rPr>
                <w:rFonts w:ascii="Arial" w:eastAsia="Times New Roman" w:hAnsi="Arial" w:cs="Arial"/>
                <w:color w:val="000000"/>
                <w:sz w:val="20"/>
                <w:szCs w:val="20"/>
                <w:lang w:eastAsia="en-GB"/>
              </w:rPr>
              <w:t>3.6</w:t>
            </w:r>
            <w:r w:rsidRPr="00781663">
              <w:rPr>
                <w:rFonts w:ascii="Arial" w:eastAsia="Times New Roman" w:hAnsi="Arial" w:cs="Arial"/>
                <w:color w:val="000000"/>
                <w:sz w:val="20"/>
                <w:szCs w:val="20"/>
                <w:lang w:eastAsia="en-GB"/>
              </w:rPr>
              <w:t>%</w:t>
            </w:r>
          </w:p>
        </w:tc>
        <w:tc>
          <w:tcPr>
            <w:tcW w:w="2235" w:type="dxa"/>
            <w:noWrap/>
            <w:hideMark/>
          </w:tcPr>
          <w:p w14:paraId="0662262D" w14:textId="0F4E7F85" w:rsidR="00DD0644" w:rsidRPr="00781663" w:rsidRDefault="00DA1FA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18,680</w:t>
            </w:r>
          </w:p>
        </w:tc>
        <w:tc>
          <w:tcPr>
            <w:tcW w:w="1261" w:type="dxa"/>
          </w:tcPr>
          <w:p w14:paraId="62AB9F8A" w14:textId="69869BBB" w:rsidR="00DD0644" w:rsidRPr="00781663" w:rsidRDefault="00DA1FA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+24.7</w:t>
            </w:r>
            <w:r w:rsidR="008E40D0" w:rsidRPr="00781663">
              <w:rPr>
                <w:rFonts w:ascii="Arial" w:eastAsia="Times New Roman" w:hAnsi="Arial" w:cs="Arial"/>
                <w:color w:val="000000"/>
                <w:sz w:val="20"/>
                <w:szCs w:val="20"/>
                <w:lang w:eastAsia="en-GB"/>
              </w:rPr>
              <w:t>%</w:t>
            </w:r>
          </w:p>
        </w:tc>
      </w:tr>
      <w:tr w:rsidR="001906F6" w:rsidRPr="00781663" w14:paraId="3E0B0AE8" w14:textId="1B95E2F2" w:rsidTr="00635B5B">
        <w:trPr>
          <w:gridAfter w:val="1"/>
          <w:wAfter w:w="80" w:type="dxa"/>
          <w:trHeight w:val="300"/>
        </w:trPr>
        <w:tc>
          <w:tcPr>
            <w:tcW w:w="3119" w:type="dxa"/>
            <w:vAlign w:val="bottom"/>
          </w:tcPr>
          <w:p w14:paraId="06D26149" w14:textId="759F273C" w:rsidR="00DD0644" w:rsidRPr="00781663" w:rsidRDefault="069F4A6E" w:rsidP="069F4A6E">
            <w:pPr>
              <w:rPr>
                <w:rFonts w:ascii="Arial" w:eastAsia="Times New Roman" w:hAnsi="Arial" w:cs="Arial"/>
                <w:color w:val="000000" w:themeColor="text1"/>
                <w:sz w:val="20"/>
                <w:szCs w:val="20"/>
                <w:lang w:eastAsia="en-GB"/>
              </w:rPr>
            </w:pPr>
            <w:r w:rsidRPr="00781663">
              <w:rPr>
                <w:rFonts w:ascii="Arial" w:eastAsia="Times New Roman" w:hAnsi="Arial" w:cs="Arial"/>
                <w:color w:val="000000" w:themeColor="text1"/>
                <w:sz w:val="20"/>
                <w:szCs w:val="20"/>
                <w:lang w:eastAsia="en-GB"/>
              </w:rPr>
              <w:t>Workforce shape and supply</w:t>
            </w:r>
          </w:p>
          <w:p w14:paraId="49DB3341" w14:textId="6EB34D07" w:rsidR="00DD0644" w:rsidRPr="00781663" w:rsidRDefault="00DD0644" w:rsidP="00284C83">
            <w:pPr>
              <w:rPr>
                <w:rFonts w:ascii="Arial" w:eastAsia="Times New Roman" w:hAnsi="Arial" w:cs="Arial"/>
                <w:color w:val="000000"/>
                <w:sz w:val="20"/>
                <w:szCs w:val="20"/>
                <w:lang w:eastAsia="en-GB"/>
              </w:rPr>
            </w:pPr>
          </w:p>
        </w:tc>
        <w:tc>
          <w:tcPr>
            <w:tcW w:w="1413" w:type="dxa"/>
            <w:noWrap/>
            <w:hideMark/>
          </w:tcPr>
          <w:p w14:paraId="27962E06" w14:textId="0664CF83" w:rsidR="00DD0644" w:rsidRPr="00781663" w:rsidRDefault="006A0F01"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147,977</w:t>
            </w:r>
          </w:p>
        </w:tc>
        <w:tc>
          <w:tcPr>
            <w:tcW w:w="1261" w:type="dxa"/>
          </w:tcPr>
          <w:p w14:paraId="1AEBF354" w14:textId="4857AF32" w:rsidR="00DD0644" w:rsidRPr="00781663" w:rsidRDefault="006A0F01"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+24.2</w:t>
            </w:r>
            <w:r w:rsidR="008E40D0" w:rsidRPr="00781663">
              <w:rPr>
                <w:rFonts w:ascii="Arial" w:eastAsia="Times New Roman" w:hAnsi="Arial" w:cs="Arial"/>
                <w:color w:val="000000"/>
                <w:sz w:val="20"/>
                <w:szCs w:val="20"/>
                <w:lang w:eastAsia="en-GB"/>
              </w:rPr>
              <w:t>%</w:t>
            </w:r>
          </w:p>
        </w:tc>
        <w:tc>
          <w:tcPr>
            <w:tcW w:w="2235" w:type="dxa"/>
            <w:noWrap/>
            <w:hideMark/>
          </w:tcPr>
          <w:p w14:paraId="47706622" w14:textId="4C7D756F" w:rsidR="00DD0644" w:rsidRPr="00781663" w:rsidRDefault="00DA1FA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39,116</w:t>
            </w:r>
          </w:p>
        </w:tc>
        <w:tc>
          <w:tcPr>
            <w:tcW w:w="1261" w:type="dxa"/>
          </w:tcPr>
          <w:p w14:paraId="4FF8DADE" w14:textId="2FA3E781" w:rsidR="00DD0644" w:rsidRPr="00781663" w:rsidRDefault="00DA1FAD"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themeColor="text1"/>
                <w:sz w:val="20"/>
                <w:szCs w:val="20"/>
                <w:lang w:eastAsia="en-GB"/>
              </w:rPr>
              <w:t>+102.7</w:t>
            </w:r>
            <w:r w:rsidR="008E40D0" w:rsidRPr="00781663">
              <w:rPr>
                <w:rFonts w:ascii="Arial" w:eastAsia="Times New Roman" w:hAnsi="Arial" w:cs="Arial"/>
                <w:color w:val="000000" w:themeColor="text1"/>
                <w:sz w:val="20"/>
                <w:szCs w:val="20"/>
                <w:lang w:eastAsia="en-GB"/>
              </w:rPr>
              <w:t>%</w:t>
            </w:r>
          </w:p>
        </w:tc>
      </w:tr>
      <w:tr w:rsidR="001906F6" w:rsidRPr="00781663" w14:paraId="708E518D" w14:textId="7073052B" w:rsidTr="00635B5B">
        <w:trPr>
          <w:gridAfter w:val="1"/>
          <w:wAfter w:w="80" w:type="dxa"/>
          <w:trHeight w:val="300"/>
        </w:trPr>
        <w:tc>
          <w:tcPr>
            <w:tcW w:w="3119" w:type="dxa"/>
          </w:tcPr>
          <w:p w14:paraId="56A143A2" w14:textId="2C36B7DB" w:rsidR="00DD0644" w:rsidRPr="00781663" w:rsidRDefault="069F4A6E" w:rsidP="069F4A6E">
            <w:pPr>
              <w:rPr>
                <w:rFonts w:ascii="Arial" w:eastAsia="Times New Roman" w:hAnsi="Arial" w:cs="Arial"/>
                <w:color w:val="000000" w:themeColor="text1"/>
                <w:sz w:val="20"/>
                <w:szCs w:val="20"/>
                <w:lang w:eastAsia="en-GB"/>
              </w:rPr>
            </w:pPr>
            <w:r w:rsidRPr="00781663">
              <w:rPr>
                <w:rFonts w:ascii="Arial" w:hAnsi="Arial" w:cs="Arial"/>
                <w:color w:val="000000" w:themeColor="text1"/>
                <w:sz w:val="20"/>
                <w:szCs w:val="20"/>
              </w:rPr>
              <w:t>Other priorities</w:t>
            </w:r>
            <w:r w:rsidR="004A3300">
              <w:rPr>
                <w:rStyle w:val="FootnoteReference"/>
                <w:rFonts w:ascii="Arial" w:hAnsi="Arial" w:cs="Arial"/>
                <w:color w:val="000000" w:themeColor="text1"/>
                <w:sz w:val="20"/>
                <w:szCs w:val="20"/>
              </w:rPr>
              <w:footnoteReference w:id="8"/>
            </w:r>
          </w:p>
          <w:p w14:paraId="6A83574B" w14:textId="2CACA7C1" w:rsidR="00DD0644" w:rsidRPr="00781663" w:rsidRDefault="00DD0644" w:rsidP="069F4A6E">
            <w:pPr>
              <w:rPr>
                <w:rFonts w:ascii="Arial" w:hAnsi="Arial" w:cs="Arial"/>
                <w:color w:val="000000"/>
                <w:sz w:val="20"/>
                <w:szCs w:val="20"/>
                <w:lang w:eastAsia="en-GB"/>
              </w:rPr>
            </w:pPr>
          </w:p>
        </w:tc>
        <w:tc>
          <w:tcPr>
            <w:tcW w:w="1413" w:type="dxa"/>
            <w:noWrap/>
            <w:hideMark/>
          </w:tcPr>
          <w:p w14:paraId="48AE36FB" w14:textId="2C7181BE" w:rsidR="00DD0644" w:rsidRPr="00781663" w:rsidRDefault="00992C66"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151,063</w:t>
            </w:r>
          </w:p>
        </w:tc>
        <w:tc>
          <w:tcPr>
            <w:tcW w:w="1261" w:type="dxa"/>
          </w:tcPr>
          <w:p w14:paraId="04F562AF" w14:textId="4DB2E76C" w:rsidR="00DD0644" w:rsidRPr="00781663" w:rsidRDefault="00992C66"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-11.5</w:t>
            </w:r>
            <w:r w:rsidR="008E40D0" w:rsidRPr="00781663">
              <w:rPr>
                <w:rFonts w:ascii="Arial" w:eastAsia="Times New Roman" w:hAnsi="Arial" w:cs="Arial"/>
                <w:color w:val="000000"/>
                <w:sz w:val="20"/>
                <w:szCs w:val="20"/>
                <w:lang w:eastAsia="en-GB"/>
              </w:rPr>
              <w:t>%</w:t>
            </w:r>
          </w:p>
        </w:tc>
        <w:tc>
          <w:tcPr>
            <w:tcW w:w="2235" w:type="dxa"/>
            <w:noWrap/>
            <w:hideMark/>
          </w:tcPr>
          <w:p w14:paraId="5E8006B6" w14:textId="6C5B2DBC" w:rsidR="00DD0644" w:rsidRPr="00781663" w:rsidRDefault="009B50E9"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414,448</w:t>
            </w:r>
          </w:p>
        </w:tc>
        <w:tc>
          <w:tcPr>
            <w:tcW w:w="1261" w:type="dxa"/>
          </w:tcPr>
          <w:p w14:paraId="035C84C2" w14:textId="055FD488" w:rsidR="00DD0644" w:rsidRPr="00781663" w:rsidRDefault="009B50E9"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+69.9</w:t>
            </w:r>
            <w:r w:rsidR="00FD52B2" w:rsidRPr="00781663">
              <w:rPr>
                <w:rFonts w:ascii="Arial" w:eastAsia="Times New Roman" w:hAnsi="Arial" w:cs="Arial"/>
                <w:color w:val="000000"/>
                <w:sz w:val="20"/>
                <w:szCs w:val="20"/>
                <w:lang w:eastAsia="en-GB"/>
              </w:rPr>
              <w:t>%</w:t>
            </w:r>
          </w:p>
        </w:tc>
      </w:tr>
      <w:tr w:rsidR="001906F6" w:rsidRPr="00781663" w14:paraId="7CE6B99F" w14:textId="77777777" w:rsidTr="00635B5B">
        <w:trPr>
          <w:gridAfter w:val="1"/>
          <w:wAfter w:w="80" w:type="dxa"/>
          <w:trHeight w:val="300"/>
        </w:trPr>
        <w:tc>
          <w:tcPr>
            <w:tcW w:w="3119" w:type="dxa"/>
            <w:tcBorders>
              <w:top w:val="single" w:sz="4" w:space="0" w:color="auto"/>
            </w:tcBorders>
          </w:tcPr>
          <w:p w14:paraId="48900816" w14:textId="7944950A" w:rsidR="069F4A6E" w:rsidRPr="00781663" w:rsidRDefault="069F4A6E" w:rsidP="069F4A6E">
            <w:pPr>
              <w:rPr>
                <w:rFonts w:ascii="Arial" w:hAnsi="Arial" w:cs="Arial"/>
                <w:color w:val="000000" w:themeColor="text1"/>
                <w:sz w:val="20"/>
                <w:szCs w:val="20"/>
              </w:rPr>
            </w:pPr>
          </w:p>
          <w:p w14:paraId="0C3E6E6A" w14:textId="08379E60" w:rsidR="00FF31FA" w:rsidRPr="00781663" w:rsidRDefault="008664FB" w:rsidP="069F4A6E">
            <w:pPr>
              <w:rPr>
                <w:rFonts w:ascii="Arial" w:hAnsi="Arial" w:cs="Arial"/>
                <w:color w:val="000000" w:themeColor="text1"/>
                <w:sz w:val="20"/>
                <w:szCs w:val="20"/>
              </w:rPr>
            </w:pPr>
            <w:r w:rsidRPr="00781663">
              <w:rPr>
                <w:rFonts w:ascii="Arial" w:hAnsi="Arial" w:cs="Arial"/>
                <w:color w:val="000000" w:themeColor="text1"/>
                <w:sz w:val="20"/>
                <w:szCs w:val="20"/>
              </w:rPr>
              <w:t xml:space="preserve">30% LA contribution </w:t>
            </w:r>
            <w:r w:rsidR="009549A5" w:rsidRPr="00781663">
              <w:rPr>
                <w:rFonts w:ascii="Arial" w:hAnsi="Arial" w:cs="Arial"/>
                <w:color w:val="000000" w:themeColor="text1"/>
                <w:sz w:val="20"/>
                <w:szCs w:val="20"/>
              </w:rPr>
              <w:t xml:space="preserve">variation </w:t>
            </w:r>
            <w:r w:rsidR="000E05A0" w:rsidRPr="00781663">
              <w:rPr>
                <w:rFonts w:ascii="Arial" w:hAnsi="Arial" w:cs="Arial"/>
                <w:color w:val="000000" w:themeColor="text1"/>
                <w:sz w:val="20"/>
                <w:szCs w:val="20"/>
              </w:rPr>
              <w:t xml:space="preserve">carried over to </w:t>
            </w:r>
            <w:r w:rsidR="00142AB9">
              <w:rPr>
                <w:rFonts w:ascii="Arial" w:hAnsi="Arial" w:cs="Arial"/>
                <w:color w:val="000000" w:themeColor="text1"/>
                <w:sz w:val="20"/>
                <w:szCs w:val="20"/>
              </w:rPr>
              <w:t>20</w:t>
            </w:r>
            <w:r w:rsidR="000E05A0" w:rsidRPr="00781663">
              <w:rPr>
                <w:rFonts w:ascii="Arial" w:hAnsi="Arial" w:cs="Arial"/>
                <w:color w:val="000000" w:themeColor="text1"/>
                <w:sz w:val="20"/>
                <w:szCs w:val="20"/>
              </w:rPr>
              <w:t>25</w:t>
            </w:r>
            <w:r w:rsidR="00142AB9">
              <w:rPr>
                <w:rFonts w:ascii="Arial" w:hAnsi="Arial" w:cs="Arial"/>
                <w:color w:val="000000" w:themeColor="text1"/>
                <w:sz w:val="20"/>
                <w:szCs w:val="20"/>
              </w:rPr>
              <w:t xml:space="preserve"> to 20</w:t>
            </w:r>
            <w:r w:rsidR="000E05A0" w:rsidRPr="00781663">
              <w:rPr>
                <w:rFonts w:ascii="Arial" w:hAnsi="Arial" w:cs="Arial"/>
                <w:color w:val="000000" w:themeColor="text1"/>
                <w:sz w:val="20"/>
                <w:szCs w:val="20"/>
              </w:rPr>
              <w:t>26</w:t>
            </w:r>
            <w:r w:rsidR="002C416A" w:rsidRPr="00781663">
              <w:rPr>
                <w:rFonts w:ascii="Arial" w:hAnsi="Arial" w:cs="Arial"/>
                <w:color w:val="000000" w:themeColor="text1"/>
                <w:sz w:val="20"/>
                <w:szCs w:val="20"/>
              </w:rPr>
              <w:t xml:space="preserve"> (1 region)</w:t>
            </w:r>
          </w:p>
          <w:p w14:paraId="460957C9" w14:textId="78498BCD" w:rsidR="00FF31FA" w:rsidRPr="00781663" w:rsidRDefault="00FF31FA" w:rsidP="00284C83">
            <w:pPr>
              <w:rPr>
                <w:rFonts w:ascii="Arial" w:hAnsi="Arial" w:cs="Arial"/>
                <w:color w:val="000000"/>
                <w:sz w:val="20"/>
                <w:szCs w:val="20"/>
              </w:rPr>
            </w:pPr>
          </w:p>
        </w:tc>
        <w:tc>
          <w:tcPr>
            <w:tcW w:w="1413" w:type="dxa"/>
            <w:tcBorders>
              <w:top w:val="single" w:sz="4" w:space="0" w:color="auto"/>
            </w:tcBorders>
            <w:noWrap/>
          </w:tcPr>
          <w:p w14:paraId="0DBC3204" w14:textId="53F1F93E" w:rsidR="069F4A6E" w:rsidRPr="00781663" w:rsidRDefault="069F4A6E" w:rsidP="069F4A6E">
            <w:pPr>
              <w:jc w:val="center"/>
              <w:rPr>
                <w:rFonts w:ascii="Arial" w:eastAsia="Times New Roman" w:hAnsi="Arial" w:cs="Arial"/>
                <w:color w:val="000000" w:themeColor="text1"/>
                <w:sz w:val="20"/>
                <w:szCs w:val="20"/>
                <w:lang w:eastAsia="en-GB"/>
              </w:rPr>
            </w:pPr>
          </w:p>
          <w:p w14:paraId="6F7986BE" w14:textId="41AFEC74" w:rsidR="00FF31FA" w:rsidRPr="00781663" w:rsidRDefault="00875016" w:rsidP="00284C83">
            <w:pPr>
              <w:jc w:val="center"/>
              <w:rPr>
                <w:rFonts w:ascii="Arial" w:eastAsia="Times New Roman" w:hAnsi="Arial" w:cs="Arial"/>
                <w:color w:val="000000"/>
                <w:sz w:val="20"/>
                <w:szCs w:val="20"/>
                <w:lang w:eastAsia="en-GB"/>
              </w:rPr>
            </w:pPr>
            <w:r w:rsidRPr="00781663">
              <w:rPr>
                <w:rFonts w:ascii="Arial" w:eastAsia="Times New Roman" w:hAnsi="Arial" w:cs="Arial"/>
                <w:color w:val="000000"/>
                <w:sz w:val="20"/>
                <w:szCs w:val="20"/>
                <w:lang w:eastAsia="en-GB"/>
              </w:rPr>
              <w:t>12,35</w:t>
            </w:r>
            <w:r w:rsidR="002C416A" w:rsidRPr="00781663">
              <w:rPr>
                <w:rFonts w:ascii="Arial" w:eastAsia="Times New Roman" w:hAnsi="Arial" w:cs="Arial"/>
                <w:color w:val="000000"/>
                <w:sz w:val="20"/>
                <w:szCs w:val="20"/>
                <w:lang w:eastAsia="en-GB"/>
              </w:rPr>
              <w:t>7</w:t>
            </w:r>
          </w:p>
        </w:tc>
        <w:tc>
          <w:tcPr>
            <w:tcW w:w="1261" w:type="dxa"/>
            <w:tcBorders>
              <w:top w:val="single" w:sz="4" w:space="0" w:color="auto"/>
            </w:tcBorders>
          </w:tcPr>
          <w:p w14:paraId="2433273A" w14:textId="77777777" w:rsidR="00FF31FA" w:rsidRPr="00781663" w:rsidRDefault="00FF31FA" w:rsidP="00284C83">
            <w:pPr>
              <w:jc w:val="center"/>
              <w:rPr>
                <w:rFonts w:ascii="Arial" w:eastAsia="Times New Roman" w:hAnsi="Arial" w:cs="Arial"/>
                <w:color w:val="000000"/>
                <w:sz w:val="20"/>
                <w:szCs w:val="20"/>
                <w:lang w:eastAsia="en-GB"/>
              </w:rPr>
            </w:pPr>
          </w:p>
        </w:tc>
        <w:tc>
          <w:tcPr>
            <w:tcW w:w="2235" w:type="dxa"/>
            <w:tcBorders>
              <w:top w:val="single" w:sz="4" w:space="0" w:color="auto"/>
            </w:tcBorders>
            <w:noWrap/>
          </w:tcPr>
          <w:p w14:paraId="5974ADD1" w14:textId="77777777" w:rsidR="00FF31FA" w:rsidRPr="00781663" w:rsidRDefault="00FF31FA" w:rsidP="00284C83">
            <w:pPr>
              <w:jc w:val="center"/>
              <w:rPr>
                <w:rFonts w:ascii="Arial" w:eastAsia="Times New Roman" w:hAnsi="Arial" w:cs="Arial"/>
                <w:color w:val="000000"/>
                <w:sz w:val="20"/>
                <w:szCs w:val="20"/>
                <w:lang w:eastAsia="en-GB"/>
              </w:rPr>
            </w:pPr>
          </w:p>
        </w:tc>
        <w:tc>
          <w:tcPr>
            <w:tcW w:w="1261" w:type="dxa"/>
            <w:tcBorders>
              <w:top w:val="single" w:sz="4" w:space="0" w:color="auto"/>
            </w:tcBorders>
          </w:tcPr>
          <w:p w14:paraId="6C3D0B48" w14:textId="77777777" w:rsidR="00FF31FA" w:rsidRPr="00781663" w:rsidRDefault="00FF31FA" w:rsidP="00284C83">
            <w:pPr>
              <w:jc w:val="center"/>
              <w:rPr>
                <w:rFonts w:ascii="Arial" w:eastAsia="Times New Roman" w:hAnsi="Arial" w:cs="Arial"/>
                <w:color w:val="000000"/>
                <w:sz w:val="20"/>
                <w:szCs w:val="20"/>
                <w:lang w:eastAsia="en-GB"/>
              </w:rPr>
            </w:pPr>
          </w:p>
        </w:tc>
      </w:tr>
      <w:tr w:rsidR="001906F6" w:rsidRPr="00781663" w14:paraId="15C47079" w14:textId="77777777" w:rsidTr="00635B5B">
        <w:trPr>
          <w:gridAfter w:val="1"/>
          <w:wAfter w:w="80" w:type="dxa"/>
          <w:trHeight w:val="300"/>
        </w:trPr>
        <w:tc>
          <w:tcPr>
            <w:tcW w:w="3119" w:type="dxa"/>
          </w:tcPr>
          <w:p w14:paraId="34EF43EE" w14:textId="77777777" w:rsidR="00252DE5" w:rsidRPr="00781663" w:rsidRDefault="00252DE5" w:rsidP="00284C83">
            <w:pPr>
              <w:rPr>
                <w:rFonts w:ascii="Arial" w:hAnsi="Arial" w:cs="Arial"/>
                <w:color w:val="000000"/>
                <w:sz w:val="20"/>
                <w:szCs w:val="20"/>
              </w:rPr>
            </w:pPr>
          </w:p>
        </w:tc>
        <w:tc>
          <w:tcPr>
            <w:tcW w:w="1413" w:type="dxa"/>
            <w:noWrap/>
          </w:tcPr>
          <w:p w14:paraId="5A0DE437" w14:textId="77777777" w:rsidR="00252DE5" w:rsidRPr="00781663" w:rsidRDefault="00252DE5" w:rsidP="00284C83">
            <w:pPr>
              <w:jc w:val="center"/>
              <w:rPr>
                <w:rFonts w:ascii="Arial" w:eastAsia="Times New Roman" w:hAnsi="Arial" w:cs="Arial"/>
                <w:color w:val="000000"/>
                <w:sz w:val="20"/>
                <w:szCs w:val="20"/>
                <w:lang w:eastAsia="en-GB"/>
              </w:rPr>
            </w:pPr>
          </w:p>
        </w:tc>
        <w:tc>
          <w:tcPr>
            <w:tcW w:w="1261" w:type="dxa"/>
          </w:tcPr>
          <w:p w14:paraId="61F8FB41" w14:textId="77777777" w:rsidR="00252DE5" w:rsidRPr="00781663" w:rsidRDefault="00252DE5" w:rsidP="00284C83">
            <w:pPr>
              <w:jc w:val="center"/>
              <w:rPr>
                <w:rFonts w:ascii="Arial" w:eastAsia="Times New Roman" w:hAnsi="Arial" w:cs="Arial"/>
                <w:color w:val="000000"/>
                <w:sz w:val="20"/>
                <w:szCs w:val="20"/>
                <w:lang w:eastAsia="en-GB"/>
              </w:rPr>
            </w:pPr>
          </w:p>
        </w:tc>
        <w:tc>
          <w:tcPr>
            <w:tcW w:w="2235" w:type="dxa"/>
            <w:noWrap/>
          </w:tcPr>
          <w:p w14:paraId="27CBCE52" w14:textId="77777777" w:rsidR="00252DE5" w:rsidRPr="00781663" w:rsidRDefault="00252DE5" w:rsidP="00284C83">
            <w:pPr>
              <w:jc w:val="center"/>
              <w:rPr>
                <w:rFonts w:ascii="Arial" w:eastAsia="Times New Roman" w:hAnsi="Arial" w:cs="Arial"/>
                <w:color w:val="000000"/>
                <w:sz w:val="20"/>
                <w:szCs w:val="20"/>
                <w:lang w:eastAsia="en-GB"/>
              </w:rPr>
            </w:pPr>
          </w:p>
        </w:tc>
        <w:tc>
          <w:tcPr>
            <w:tcW w:w="1261" w:type="dxa"/>
          </w:tcPr>
          <w:p w14:paraId="50B6F43C" w14:textId="77777777" w:rsidR="00252DE5" w:rsidRPr="00781663" w:rsidRDefault="00252DE5" w:rsidP="00284C83">
            <w:pPr>
              <w:jc w:val="center"/>
              <w:rPr>
                <w:rFonts w:ascii="Arial" w:eastAsia="Times New Roman" w:hAnsi="Arial" w:cs="Arial"/>
                <w:color w:val="000000"/>
                <w:sz w:val="20"/>
                <w:szCs w:val="20"/>
                <w:lang w:eastAsia="en-GB"/>
              </w:rPr>
            </w:pPr>
          </w:p>
        </w:tc>
      </w:tr>
      <w:tr w:rsidR="001906F6" w:rsidRPr="00781663" w14:paraId="4EDD7C5F" w14:textId="77777777" w:rsidTr="00635B5B">
        <w:trPr>
          <w:gridAfter w:val="1"/>
          <w:wAfter w:w="80" w:type="dxa"/>
          <w:trHeight w:val="300"/>
        </w:trPr>
        <w:tc>
          <w:tcPr>
            <w:tcW w:w="3119" w:type="dxa"/>
            <w:tcBorders>
              <w:bottom w:val="single" w:sz="4" w:space="0" w:color="auto"/>
            </w:tcBorders>
          </w:tcPr>
          <w:p w14:paraId="76352AC5" w14:textId="7F9AF5D3" w:rsidR="00834240" w:rsidRPr="00781663" w:rsidRDefault="069F4A6E" w:rsidP="00284C83">
            <w:pPr>
              <w:rPr>
                <w:rFonts w:ascii="Arial" w:hAnsi="Arial" w:cs="Arial"/>
                <w:b/>
                <w:color w:val="000000"/>
                <w:sz w:val="20"/>
                <w:szCs w:val="20"/>
              </w:rPr>
            </w:pPr>
            <w:r w:rsidRPr="00781663">
              <w:rPr>
                <w:rFonts w:ascii="Arial" w:hAnsi="Arial" w:cs="Arial"/>
                <w:b/>
                <w:color w:val="000000" w:themeColor="text1"/>
                <w:sz w:val="20"/>
                <w:szCs w:val="20"/>
              </w:rPr>
              <w:t>Total (£)</w:t>
            </w:r>
          </w:p>
        </w:tc>
        <w:tc>
          <w:tcPr>
            <w:tcW w:w="1413" w:type="dxa"/>
            <w:tcBorders>
              <w:bottom w:val="single" w:sz="4" w:space="0" w:color="auto"/>
            </w:tcBorders>
            <w:noWrap/>
          </w:tcPr>
          <w:p w14:paraId="70B6BA5B" w14:textId="72C5743D" w:rsidR="00834240" w:rsidRPr="00781663" w:rsidRDefault="00FC755F" w:rsidP="00284C83">
            <w:pPr>
              <w:jc w:val="center"/>
              <w:rPr>
                <w:rFonts w:ascii="Arial" w:eastAsia="Times New Roman" w:hAnsi="Arial" w:cs="Arial"/>
                <w:color w:val="000000"/>
                <w:sz w:val="20"/>
                <w:szCs w:val="20"/>
                <w:lang w:eastAsia="en-GB"/>
              </w:rPr>
            </w:pPr>
            <w:r w:rsidRPr="00781663">
              <w:rPr>
                <w:rFonts w:ascii="Arial" w:eastAsia="Times New Roman" w:hAnsi="Arial" w:cs="Arial"/>
                <w:b/>
                <w:bCs/>
                <w:color w:val="000000"/>
                <w:sz w:val="20"/>
                <w:szCs w:val="20"/>
                <w:lang w:eastAsia="en-GB"/>
              </w:rPr>
              <w:t>10,</w:t>
            </w:r>
            <w:r w:rsidR="00BB044A" w:rsidRPr="00781663">
              <w:rPr>
                <w:rFonts w:ascii="Arial" w:eastAsia="Times New Roman" w:hAnsi="Arial" w:cs="Arial"/>
                <w:b/>
                <w:bCs/>
                <w:color w:val="000000"/>
                <w:sz w:val="20"/>
                <w:szCs w:val="20"/>
                <w:lang w:eastAsia="en-GB"/>
              </w:rPr>
              <w:t>9</w:t>
            </w:r>
            <w:r w:rsidR="006838B0" w:rsidRPr="00781663">
              <w:rPr>
                <w:rFonts w:ascii="Arial" w:eastAsia="Times New Roman" w:hAnsi="Arial" w:cs="Arial"/>
                <w:b/>
                <w:bCs/>
                <w:color w:val="000000"/>
                <w:sz w:val="20"/>
                <w:szCs w:val="20"/>
                <w:lang w:eastAsia="en-GB"/>
              </w:rPr>
              <w:t>14,359</w:t>
            </w:r>
          </w:p>
        </w:tc>
        <w:tc>
          <w:tcPr>
            <w:tcW w:w="1261" w:type="dxa"/>
            <w:tcBorders>
              <w:bottom w:val="single" w:sz="4" w:space="0" w:color="auto"/>
            </w:tcBorders>
          </w:tcPr>
          <w:p w14:paraId="2D181964" w14:textId="77777777" w:rsidR="00834240" w:rsidRPr="00781663" w:rsidRDefault="00834240" w:rsidP="00284C83">
            <w:pPr>
              <w:jc w:val="center"/>
              <w:rPr>
                <w:rFonts w:ascii="Arial" w:eastAsia="Times New Roman" w:hAnsi="Arial" w:cs="Arial"/>
                <w:color w:val="000000"/>
                <w:sz w:val="20"/>
                <w:szCs w:val="20"/>
                <w:lang w:eastAsia="en-GB"/>
              </w:rPr>
            </w:pPr>
          </w:p>
        </w:tc>
        <w:tc>
          <w:tcPr>
            <w:tcW w:w="2235" w:type="dxa"/>
            <w:tcBorders>
              <w:bottom w:val="single" w:sz="4" w:space="0" w:color="auto"/>
            </w:tcBorders>
            <w:noWrap/>
          </w:tcPr>
          <w:p w14:paraId="1092CD33" w14:textId="59304FFC" w:rsidR="00834240" w:rsidRPr="00781663" w:rsidRDefault="009914BA" w:rsidP="00284C83">
            <w:pPr>
              <w:jc w:val="center"/>
              <w:rPr>
                <w:rFonts w:ascii="Arial" w:eastAsia="Times New Roman" w:hAnsi="Arial" w:cs="Arial"/>
                <w:color w:val="000000"/>
                <w:sz w:val="20"/>
                <w:szCs w:val="20"/>
                <w:lang w:eastAsia="en-GB"/>
              </w:rPr>
            </w:pPr>
            <w:r w:rsidRPr="00781663">
              <w:rPr>
                <w:rFonts w:ascii="Arial" w:eastAsia="Times New Roman" w:hAnsi="Arial" w:cs="Arial"/>
                <w:b/>
                <w:bCs/>
                <w:color w:val="000000"/>
                <w:sz w:val="20"/>
                <w:szCs w:val="20"/>
                <w:lang w:eastAsia="en-GB"/>
              </w:rPr>
              <w:t>1,853,884</w:t>
            </w:r>
          </w:p>
        </w:tc>
        <w:tc>
          <w:tcPr>
            <w:tcW w:w="1261" w:type="dxa"/>
            <w:tcBorders>
              <w:bottom w:val="single" w:sz="4" w:space="0" w:color="auto"/>
            </w:tcBorders>
          </w:tcPr>
          <w:p w14:paraId="6AD6D605" w14:textId="77777777" w:rsidR="00834240" w:rsidRPr="00781663" w:rsidRDefault="00834240" w:rsidP="00284C83">
            <w:pPr>
              <w:jc w:val="center"/>
              <w:rPr>
                <w:rFonts w:ascii="Arial" w:eastAsia="Times New Roman" w:hAnsi="Arial" w:cs="Arial"/>
                <w:color w:val="000000"/>
                <w:sz w:val="20"/>
                <w:szCs w:val="20"/>
                <w:lang w:eastAsia="en-GB"/>
              </w:rPr>
            </w:pPr>
          </w:p>
        </w:tc>
      </w:tr>
    </w:tbl>
    <w:p w14:paraId="74E2794E" w14:textId="77777777" w:rsidR="00E96100" w:rsidRDefault="00E96100" w:rsidP="00D561EA">
      <w:bookmarkStart w:id="11" w:name="_Toc179481626"/>
    </w:p>
    <w:p w14:paraId="3F0BD08C" w14:textId="51A6D406" w:rsidR="00AE7CE6" w:rsidRPr="000C06A7" w:rsidRDefault="0342F985" w:rsidP="000C06A7">
      <w:pPr>
        <w:pStyle w:val="Heading3"/>
      </w:pPr>
      <w:bookmarkStart w:id="12" w:name="_Toc210987762"/>
      <w:bookmarkStart w:id="13" w:name="_Toc211279615"/>
      <w:proofErr w:type="gramStart"/>
      <w:r w:rsidRPr="000C06A7">
        <w:lastRenderedPageBreak/>
        <w:t>Total</w:t>
      </w:r>
      <w:proofErr w:type="gramEnd"/>
      <w:r w:rsidRPr="000C06A7">
        <w:t xml:space="preserve"> spend and </w:t>
      </w:r>
      <w:r w:rsidR="001A6427" w:rsidRPr="000C06A7">
        <w:rPr>
          <w:bCs/>
        </w:rPr>
        <w:t>local authority</w:t>
      </w:r>
      <w:r w:rsidRPr="000C06A7">
        <w:t xml:space="preserve"> additional funding</w:t>
      </w:r>
      <w:bookmarkEnd w:id="11"/>
      <w:bookmarkEnd w:id="12"/>
      <w:bookmarkEnd w:id="13"/>
    </w:p>
    <w:p w14:paraId="30CF8AB4" w14:textId="1DFC6109" w:rsidR="00B83436" w:rsidRPr="00B568F3" w:rsidRDefault="145DE0D8" w:rsidP="00632461">
      <w:pPr>
        <w:numPr>
          <w:ilvl w:val="0"/>
          <w:numId w:val="6"/>
        </w:numPr>
        <w:spacing w:after="200" w:line="276" w:lineRule="auto"/>
        <w:ind w:left="567" w:hanging="425"/>
        <w:contextualSpacing/>
        <w:rPr>
          <w:rFonts w:ascii="Arial" w:eastAsia="Calibri" w:hAnsi="Arial" w:cs="Arial"/>
          <w:sz w:val="24"/>
          <w:szCs w:val="24"/>
        </w:rPr>
      </w:pPr>
      <w:proofErr w:type="gramStart"/>
      <w:r w:rsidRPr="00B568F3">
        <w:rPr>
          <w:rFonts w:ascii="Arial" w:eastAsia="Calibri" w:hAnsi="Arial" w:cs="Arial"/>
          <w:sz w:val="24"/>
          <w:szCs w:val="24"/>
        </w:rPr>
        <w:t>Total</w:t>
      </w:r>
      <w:proofErr w:type="gramEnd"/>
      <w:r w:rsidRPr="00B568F3">
        <w:rPr>
          <w:rFonts w:ascii="Arial" w:eastAsia="Calibri" w:hAnsi="Arial" w:cs="Arial"/>
          <w:sz w:val="24"/>
          <w:szCs w:val="24"/>
        </w:rPr>
        <w:t xml:space="preserve"> spend on SCWWDP in </w:t>
      </w:r>
      <w:r w:rsidR="003528C1" w:rsidRPr="00B568F3">
        <w:rPr>
          <w:rFonts w:ascii="Arial" w:eastAsia="Calibri" w:hAnsi="Arial" w:cs="Arial"/>
          <w:sz w:val="24"/>
          <w:szCs w:val="24"/>
        </w:rPr>
        <w:t>202</w:t>
      </w:r>
      <w:r w:rsidR="003528C1">
        <w:rPr>
          <w:rFonts w:ascii="Arial" w:eastAsia="Calibri" w:hAnsi="Arial" w:cs="Arial"/>
          <w:sz w:val="24"/>
          <w:szCs w:val="24"/>
        </w:rPr>
        <w:t>4</w:t>
      </w:r>
      <w:r w:rsidR="003528C1" w:rsidRPr="00B568F3">
        <w:rPr>
          <w:rFonts w:ascii="Arial" w:eastAsia="Calibri" w:hAnsi="Arial" w:cs="Arial"/>
          <w:sz w:val="24"/>
          <w:szCs w:val="24"/>
        </w:rPr>
        <w:t xml:space="preserve"> </w:t>
      </w:r>
      <w:r w:rsidRPr="00B568F3">
        <w:rPr>
          <w:rFonts w:ascii="Arial" w:eastAsia="Calibri" w:hAnsi="Arial" w:cs="Arial"/>
          <w:sz w:val="24"/>
          <w:szCs w:val="24"/>
        </w:rPr>
        <w:t xml:space="preserve">to </w:t>
      </w:r>
      <w:r w:rsidR="003528C1" w:rsidRPr="00B568F3">
        <w:rPr>
          <w:rFonts w:ascii="Arial" w:eastAsia="Calibri" w:hAnsi="Arial" w:cs="Arial"/>
          <w:sz w:val="24"/>
          <w:szCs w:val="24"/>
        </w:rPr>
        <w:t>202</w:t>
      </w:r>
      <w:r w:rsidR="00A44014">
        <w:rPr>
          <w:rFonts w:ascii="Arial" w:eastAsia="Calibri" w:hAnsi="Arial" w:cs="Arial"/>
          <w:sz w:val="24"/>
          <w:szCs w:val="24"/>
        </w:rPr>
        <w:t>5</w:t>
      </w:r>
      <w:r w:rsidR="003528C1" w:rsidRPr="00B568F3">
        <w:rPr>
          <w:rFonts w:ascii="Arial" w:eastAsia="Calibri" w:hAnsi="Arial" w:cs="Arial"/>
          <w:sz w:val="24"/>
          <w:szCs w:val="24"/>
        </w:rPr>
        <w:t xml:space="preserve"> </w:t>
      </w:r>
      <w:r w:rsidRPr="00B568F3">
        <w:rPr>
          <w:rFonts w:ascii="Arial" w:eastAsia="Calibri" w:hAnsi="Arial" w:cs="Arial"/>
          <w:sz w:val="24"/>
          <w:szCs w:val="24"/>
        </w:rPr>
        <w:t>was £</w:t>
      </w:r>
      <w:r w:rsidR="00A918DF">
        <w:rPr>
          <w:rFonts w:ascii="Arial" w:eastAsia="Calibri" w:hAnsi="Arial" w:cs="Arial"/>
          <w:sz w:val="24"/>
          <w:szCs w:val="24"/>
        </w:rPr>
        <w:t xml:space="preserve">12,755,886 </w:t>
      </w:r>
      <w:r w:rsidRPr="00B568F3">
        <w:rPr>
          <w:rFonts w:ascii="Arial" w:eastAsia="Calibri" w:hAnsi="Arial" w:cs="Arial"/>
          <w:sz w:val="24"/>
          <w:szCs w:val="24"/>
        </w:rPr>
        <w:t>compared to £</w:t>
      </w:r>
      <w:r w:rsidR="00A44014" w:rsidRPr="00B568F3">
        <w:rPr>
          <w:rFonts w:ascii="Arial" w:eastAsia="Calibri" w:hAnsi="Arial" w:cs="Arial"/>
          <w:sz w:val="24"/>
          <w:szCs w:val="24"/>
        </w:rPr>
        <w:t xml:space="preserve">12,694,344 </w:t>
      </w:r>
      <w:r w:rsidRPr="00B568F3">
        <w:rPr>
          <w:rFonts w:ascii="Arial" w:eastAsia="Calibri" w:hAnsi="Arial" w:cs="Arial"/>
          <w:sz w:val="24"/>
          <w:szCs w:val="24"/>
        </w:rPr>
        <w:t xml:space="preserve">in </w:t>
      </w:r>
      <w:r w:rsidR="00A918DF" w:rsidRPr="00B568F3">
        <w:rPr>
          <w:rFonts w:ascii="Arial" w:eastAsia="Calibri" w:hAnsi="Arial" w:cs="Arial"/>
          <w:sz w:val="24"/>
          <w:szCs w:val="24"/>
        </w:rPr>
        <w:t>202</w:t>
      </w:r>
      <w:r w:rsidR="00A918DF">
        <w:rPr>
          <w:rFonts w:ascii="Arial" w:eastAsia="Calibri" w:hAnsi="Arial" w:cs="Arial"/>
          <w:sz w:val="24"/>
          <w:szCs w:val="24"/>
        </w:rPr>
        <w:t>3</w:t>
      </w:r>
      <w:r w:rsidR="00A918DF" w:rsidRPr="00B568F3">
        <w:rPr>
          <w:rFonts w:ascii="Arial" w:eastAsia="Calibri" w:hAnsi="Arial" w:cs="Arial"/>
          <w:sz w:val="24"/>
          <w:szCs w:val="24"/>
        </w:rPr>
        <w:t xml:space="preserve"> </w:t>
      </w:r>
      <w:r w:rsidRPr="00B568F3">
        <w:rPr>
          <w:rFonts w:ascii="Arial" w:eastAsia="Calibri" w:hAnsi="Arial" w:cs="Arial"/>
          <w:sz w:val="24"/>
          <w:szCs w:val="24"/>
        </w:rPr>
        <w:t xml:space="preserve">to </w:t>
      </w:r>
      <w:r w:rsidR="00A918DF" w:rsidRPr="00B568F3">
        <w:rPr>
          <w:rFonts w:ascii="Arial" w:eastAsia="Calibri" w:hAnsi="Arial" w:cs="Arial"/>
          <w:sz w:val="24"/>
          <w:szCs w:val="24"/>
        </w:rPr>
        <w:t>202</w:t>
      </w:r>
      <w:r w:rsidR="00A918DF">
        <w:rPr>
          <w:rFonts w:ascii="Arial" w:eastAsia="Calibri" w:hAnsi="Arial" w:cs="Arial"/>
          <w:sz w:val="24"/>
          <w:szCs w:val="24"/>
        </w:rPr>
        <w:t>4</w:t>
      </w:r>
      <w:r w:rsidR="00A918DF" w:rsidRPr="00B568F3">
        <w:rPr>
          <w:rFonts w:ascii="Arial" w:eastAsia="Calibri" w:hAnsi="Arial" w:cs="Arial"/>
          <w:sz w:val="24"/>
          <w:szCs w:val="24"/>
        </w:rPr>
        <w:t xml:space="preserve"> </w:t>
      </w:r>
      <w:r w:rsidRPr="00B568F3">
        <w:rPr>
          <w:rFonts w:ascii="Arial" w:eastAsia="Calibri" w:hAnsi="Arial" w:cs="Arial"/>
          <w:sz w:val="24"/>
          <w:szCs w:val="24"/>
        </w:rPr>
        <w:t>(an increase of £</w:t>
      </w:r>
      <w:r w:rsidR="00A918DF">
        <w:rPr>
          <w:rFonts w:ascii="Arial" w:eastAsia="Calibri" w:hAnsi="Arial" w:cs="Arial"/>
          <w:sz w:val="24"/>
          <w:szCs w:val="24"/>
        </w:rPr>
        <w:t>61,542</w:t>
      </w:r>
      <w:r w:rsidRPr="00B568F3">
        <w:rPr>
          <w:rFonts w:ascii="Arial" w:eastAsia="Calibri" w:hAnsi="Arial" w:cs="Arial"/>
          <w:sz w:val="24"/>
          <w:szCs w:val="24"/>
        </w:rPr>
        <w:t xml:space="preserve"> or up</w:t>
      </w:r>
      <w:r w:rsidR="000A75C5">
        <w:rPr>
          <w:rFonts w:ascii="Arial" w:eastAsia="Calibri" w:hAnsi="Arial" w:cs="Arial"/>
          <w:sz w:val="24"/>
          <w:szCs w:val="24"/>
        </w:rPr>
        <w:t xml:space="preserve"> </w:t>
      </w:r>
      <w:r w:rsidR="00A918DF">
        <w:rPr>
          <w:rFonts w:ascii="Arial" w:eastAsia="Calibri" w:hAnsi="Arial" w:cs="Arial"/>
          <w:sz w:val="24"/>
          <w:szCs w:val="24"/>
        </w:rPr>
        <w:t>0.5</w:t>
      </w:r>
      <w:r w:rsidRPr="00B568F3">
        <w:rPr>
          <w:rFonts w:ascii="Arial" w:eastAsia="Calibri" w:hAnsi="Arial" w:cs="Arial"/>
          <w:sz w:val="24"/>
          <w:szCs w:val="24"/>
        </w:rPr>
        <w:t xml:space="preserve"> per cent compared to a </w:t>
      </w:r>
      <w:r w:rsidR="007159CC">
        <w:rPr>
          <w:rFonts w:ascii="Arial" w:eastAsia="Calibri" w:hAnsi="Arial" w:cs="Arial"/>
          <w:sz w:val="24"/>
          <w:szCs w:val="24"/>
        </w:rPr>
        <w:t>1.8</w:t>
      </w:r>
      <w:r w:rsidRPr="00B568F3">
        <w:rPr>
          <w:rFonts w:ascii="Arial" w:eastAsia="Calibri" w:hAnsi="Arial" w:cs="Arial"/>
          <w:sz w:val="24"/>
          <w:szCs w:val="24"/>
        </w:rPr>
        <w:t xml:space="preserve"> per cent increase the year before, as shown in Figure 1). </w:t>
      </w:r>
    </w:p>
    <w:p w14:paraId="4B134F14" w14:textId="77777777" w:rsidR="00A26D79" w:rsidRPr="00B568F3" w:rsidRDefault="00A26D79" w:rsidP="00387389">
      <w:pPr>
        <w:spacing w:after="200" w:line="276" w:lineRule="auto"/>
        <w:ind w:left="567"/>
        <w:contextualSpacing/>
        <w:rPr>
          <w:rFonts w:ascii="Arial" w:eastAsia="Calibri" w:hAnsi="Arial" w:cs="Arial"/>
          <w:sz w:val="24"/>
          <w:szCs w:val="24"/>
        </w:rPr>
      </w:pPr>
    </w:p>
    <w:p w14:paraId="4C79C540" w14:textId="6F9D760A" w:rsidR="00755536" w:rsidRPr="00B568F3" w:rsidRDefault="069F4A6E" w:rsidP="00755536">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Total spend includes the SCWWDP funding from </w:t>
      </w:r>
      <w:r w:rsidR="3A6CFF64" w:rsidRPr="00B568F3">
        <w:rPr>
          <w:rFonts w:ascii="Arial" w:eastAsia="Calibri" w:hAnsi="Arial" w:cs="Arial"/>
          <w:sz w:val="24"/>
          <w:szCs w:val="24"/>
        </w:rPr>
        <w:t>us</w:t>
      </w:r>
      <w:r w:rsidRPr="00B568F3">
        <w:rPr>
          <w:rFonts w:ascii="Arial" w:eastAsia="Calibri" w:hAnsi="Arial" w:cs="Arial"/>
          <w:sz w:val="24"/>
          <w:szCs w:val="24"/>
        </w:rPr>
        <w:t>, the 30</w:t>
      </w:r>
      <w:r w:rsidR="3A6CFF64" w:rsidRPr="00B568F3">
        <w:rPr>
          <w:rFonts w:ascii="Arial" w:eastAsia="Calibri" w:hAnsi="Arial" w:cs="Arial"/>
          <w:sz w:val="24"/>
          <w:szCs w:val="24"/>
        </w:rPr>
        <w:t xml:space="preserve"> per cent</w:t>
      </w:r>
      <w:r w:rsidRPr="00B568F3">
        <w:rPr>
          <w:rFonts w:ascii="Arial" w:eastAsia="Calibri" w:hAnsi="Arial" w:cs="Arial"/>
          <w:sz w:val="24"/>
          <w:szCs w:val="24"/>
        </w:rPr>
        <w:t xml:space="preserve"> match funding contributed by each local authority </w:t>
      </w:r>
      <w:r w:rsidR="009B4331" w:rsidRPr="00B568F3">
        <w:rPr>
          <w:rFonts w:ascii="Arial" w:eastAsia="Calibri" w:hAnsi="Arial" w:cs="Arial"/>
          <w:sz w:val="24"/>
          <w:szCs w:val="24"/>
        </w:rPr>
        <w:t>and, if</w:t>
      </w:r>
      <w:r w:rsidR="00EF1ACB" w:rsidRPr="00B568F3">
        <w:rPr>
          <w:rFonts w:ascii="Arial" w:eastAsia="Calibri" w:hAnsi="Arial" w:cs="Arial"/>
          <w:sz w:val="24"/>
          <w:szCs w:val="24"/>
        </w:rPr>
        <w:t xml:space="preserve"> the information has been provided</w:t>
      </w:r>
      <w:r w:rsidR="009B4331" w:rsidRPr="00B568F3">
        <w:rPr>
          <w:rFonts w:ascii="Arial" w:eastAsia="Calibri" w:hAnsi="Arial" w:cs="Arial"/>
          <w:sz w:val="24"/>
          <w:szCs w:val="24"/>
        </w:rPr>
        <w:t>,</w:t>
      </w:r>
      <w:r w:rsidRPr="00B568F3">
        <w:rPr>
          <w:rFonts w:ascii="Arial" w:eastAsia="Calibri" w:hAnsi="Arial" w:cs="Arial"/>
          <w:sz w:val="24"/>
          <w:szCs w:val="24"/>
        </w:rPr>
        <w:t xml:space="preserve"> the </w:t>
      </w:r>
      <w:r w:rsidR="00F7791A">
        <w:rPr>
          <w:rFonts w:ascii="Arial" w:eastAsia="Calibri" w:hAnsi="Arial" w:cs="Arial"/>
          <w:sz w:val="24"/>
          <w:szCs w:val="24"/>
        </w:rPr>
        <w:t xml:space="preserve">reported </w:t>
      </w:r>
      <w:r w:rsidRPr="00B568F3">
        <w:rPr>
          <w:rFonts w:ascii="Arial" w:eastAsia="Calibri" w:hAnsi="Arial" w:cs="Arial"/>
          <w:sz w:val="24"/>
          <w:szCs w:val="24"/>
        </w:rPr>
        <w:t xml:space="preserve">additional </w:t>
      </w:r>
      <w:r w:rsidR="007248E2" w:rsidRPr="00B568F3">
        <w:rPr>
          <w:rFonts w:ascii="Arial" w:eastAsia="Calibri" w:hAnsi="Arial" w:cs="Arial"/>
          <w:sz w:val="24"/>
          <w:szCs w:val="24"/>
        </w:rPr>
        <w:t>local authority</w:t>
      </w:r>
      <w:r w:rsidRPr="00B568F3">
        <w:rPr>
          <w:rFonts w:ascii="Arial" w:eastAsia="Calibri" w:hAnsi="Arial" w:cs="Arial"/>
          <w:sz w:val="24"/>
          <w:szCs w:val="24"/>
        </w:rPr>
        <w:t xml:space="preserve"> funding (over and above their 30</w:t>
      </w:r>
      <w:r w:rsidR="3A6CFF64" w:rsidRPr="00B568F3">
        <w:rPr>
          <w:rFonts w:ascii="Arial" w:eastAsia="Calibri" w:hAnsi="Arial" w:cs="Arial"/>
          <w:sz w:val="24"/>
          <w:szCs w:val="24"/>
        </w:rPr>
        <w:t xml:space="preserve"> per cent</w:t>
      </w:r>
      <w:r w:rsidRPr="00B568F3">
        <w:rPr>
          <w:rFonts w:ascii="Arial" w:eastAsia="Calibri" w:hAnsi="Arial" w:cs="Arial"/>
          <w:sz w:val="24"/>
          <w:szCs w:val="24"/>
        </w:rPr>
        <w:t xml:space="preserve"> match funding) </w:t>
      </w:r>
      <w:r w:rsidR="00B8155C" w:rsidRPr="00B568F3">
        <w:rPr>
          <w:rFonts w:ascii="Arial" w:eastAsia="Calibri" w:hAnsi="Arial" w:cs="Arial"/>
          <w:sz w:val="24"/>
          <w:szCs w:val="24"/>
        </w:rPr>
        <w:t xml:space="preserve"> </w:t>
      </w:r>
    </w:p>
    <w:p w14:paraId="61947064" w14:textId="77777777" w:rsidR="00BA2BB3" w:rsidRPr="00B568F3" w:rsidRDefault="00BA2BB3" w:rsidP="00755536">
      <w:pPr>
        <w:spacing w:after="200" w:line="276" w:lineRule="auto"/>
        <w:ind w:left="567"/>
        <w:contextualSpacing/>
        <w:rPr>
          <w:rFonts w:ascii="Arial" w:eastAsia="Calibri" w:hAnsi="Arial" w:cs="Arial"/>
          <w:sz w:val="24"/>
          <w:szCs w:val="24"/>
        </w:rPr>
      </w:pPr>
    </w:p>
    <w:p w14:paraId="474229C0" w14:textId="61208342" w:rsidR="00A461FC" w:rsidRPr="00B568F3" w:rsidRDefault="069F4A6E"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This</w:t>
      </w:r>
      <w:r w:rsidR="00A461FC" w:rsidRPr="00B568F3" w:rsidDel="069F4A6E">
        <w:rPr>
          <w:rFonts w:ascii="Arial" w:eastAsia="Calibri" w:hAnsi="Arial" w:cs="Arial"/>
          <w:sz w:val="24"/>
          <w:szCs w:val="24"/>
        </w:rPr>
        <w:t xml:space="preserve"> </w:t>
      </w:r>
      <w:r w:rsidRPr="00B568F3">
        <w:rPr>
          <w:rFonts w:ascii="Arial" w:eastAsia="Calibri" w:hAnsi="Arial" w:cs="Arial"/>
          <w:sz w:val="24"/>
          <w:szCs w:val="24"/>
        </w:rPr>
        <w:t xml:space="preserve">increase of </w:t>
      </w:r>
      <w:r w:rsidR="00144A0D">
        <w:rPr>
          <w:rFonts w:ascii="Arial" w:eastAsia="Calibri" w:hAnsi="Arial" w:cs="Arial"/>
          <w:sz w:val="24"/>
          <w:szCs w:val="24"/>
        </w:rPr>
        <w:t>0.5</w:t>
      </w:r>
      <w:r w:rsidR="47CEEB12" w:rsidRPr="00B568F3">
        <w:rPr>
          <w:rFonts w:ascii="Arial" w:eastAsia="Calibri" w:hAnsi="Arial" w:cs="Arial"/>
          <w:sz w:val="24"/>
          <w:szCs w:val="24"/>
        </w:rPr>
        <w:t xml:space="preserve"> per cent</w:t>
      </w:r>
      <w:r w:rsidRPr="00B568F3">
        <w:rPr>
          <w:rFonts w:ascii="Arial" w:eastAsia="Calibri" w:hAnsi="Arial" w:cs="Arial"/>
          <w:sz w:val="24"/>
          <w:szCs w:val="24"/>
        </w:rPr>
        <w:t xml:space="preserve"> of total spend is a result of </w:t>
      </w:r>
      <w:r w:rsidR="002A7BAC">
        <w:rPr>
          <w:rFonts w:ascii="Arial" w:eastAsia="Calibri" w:hAnsi="Arial" w:cs="Arial"/>
          <w:sz w:val="24"/>
          <w:szCs w:val="24"/>
        </w:rPr>
        <w:t xml:space="preserve">an underspend </w:t>
      </w:r>
      <w:r w:rsidR="00516B96">
        <w:rPr>
          <w:rFonts w:ascii="Arial" w:eastAsia="Calibri" w:hAnsi="Arial" w:cs="Arial"/>
          <w:sz w:val="24"/>
          <w:szCs w:val="24"/>
        </w:rPr>
        <w:t>of £12,357</w:t>
      </w:r>
      <w:r w:rsidR="00E62031">
        <w:rPr>
          <w:rFonts w:ascii="Arial" w:eastAsia="Calibri" w:hAnsi="Arial" w:cs="Arial"/>
          <w:sz w:val="24"/>
          <w:szCs w:val="24"/>
        </w:rPr>
        <w:t xml:space="preserve"> in </w:t>
      </w:r>
      <w:r w:rsidR="009D1569">
        <w:rPr>
          <w:rFonts w:ascii="Arial" w:eastAsia="Calibri" w:hAnsi="Arial" w:cs="Arial"/>
          <w:sz w:val="24"/>
          <w:szCs w:val="24"/>
        </w:rPr>
        <w:t>the 30</w:t>
      </w:r>
      <w:r w:rsidR="00CB0A4E">
        <w:rPr>
          <w:rFonts w:ascii="Arial" w:eastAsia="Calibri" w:hAnsi="Arial" w:cs="Arial"/>
          <w:sz w:val="24"/>
          <w:szCs w:val="24"/>
        </w:rPr>
        <w:t xml:space="preserve"> per cent</w:t>
      </w:r>
      <w:r w:rsidR="009D1569">
        <w:rPr>
          <w:rFonts w:ascii="Arial" w:eastAsia="Calibri" w:hAnsi="Arial" w:cs="Arial"/>
          <w:sz w:val="24"/>
          <w:szCs w:val="24"/>
        </w:rPr>
        <w:t xml:space="preserve"> </w:t>
      </w:r>
      <w:r w:rsidR="00CB0A4E">
        <w:rPr>
          <w:rFonts w:ascii="Arial" w:eastAsia="Calibri" w:hAnsi="Arial" w:cs="Arial"/>
          <w:sz w:val="24"/>
          <w:szCs w:val="24"/>
        </w:rPr>
        <w:t xml:space="preserve">local </w:t>
      </w:r>
      <w:r w:rsidR="00B720B3">
        <w:rPr>
          <w:rFonts w:ascii="Arial" w:eastAsia="Calibri" w:hAnsi="Arial" w:cs="Arial"/>
          <w:sz w:val="24"/>
          <w:szCs w:val="24"/>
        </w:rPr>
        <w:t>authority</w:t>
      </w:r>
      <w:r w:rsidR="009D1569">
        <w:rPr>
          <w:rFonts w:ascii="Arial" w:eastAsia="Calibri" w:hAnsi="Arial" w:cs="Arial"/>
          <w:sz w:val="24"/>
          <w:szCs w:val="24"/>
        </w:rPr>
        <w:t xml:space="preserve"> contribution</w:t>
      </w:r>
      <w:r w:rsidR="000A5948">
        <w:rPr>
          <w:rFonts w:ascii="Arial" w:eastAsia="Calibri" w:hAnsi="Arial" w:cs="Arial"/>
          <w:sz w:val="24"/>
          <w:szCs w:val="24"/>
        </w:rPr>
        <w:t xml:space="preserve"> of the </w:t>
      </w:r>
      <w:r w:rsidRPr="00B568F3">
        <w:rPr>
          <w:rFonts w:ascii="Arial" w:eastAsia="Calibri" w:hAnsi="Arial" w:cs="Arial"/>
          <w:sz w:val="24"/>
          <w:szCs w:val="24"/>
        </w:rPr>
        <w:t>SCWWDP funding</w:t>
      </w:r>
      <w:r w:rsidR="00E62031">
        <w:rPr>
          <w:rFonts w:ascii="Arial" w:eastAsia="Calibri" w:hAnsi="Arial" w:cs="Arial"/>
          <w:sz w:val="24"/>
          <w:szCs w:val="24"/>
        </w:rPr>
        <w:t xml:space="preserve"> by one region (which has been rolled over to the 2025 to 2026 financial </w:t>
      </w:r>
      <w:r w:rsidR="00115688">
        <w:rPr>
          <w:rFonts w:ascii="Arial" w:eastAsia="Calibri" w:hAnsi="Arial" w:cs="Arial"/>
          <w:sz w:val="24"/>
          <w:szCs w:val="24"/>
        </w:rPr>
        <w:t xml:space="preserve">year) </w:t>
      </w:r>
      <w:r w:rsidR="0048415D">
        <w:rPr>
          <w:rFonts w:ascii="Arial" w:eastAsia="Calibri" w:hAnsi="Arial" w:cs="Arial"/>
          <w:sz w:val="24"/>
          <w:szCs w:val="24"/>
        </w:rPr>
        <w:t xml:space="preserve">and </w:t>
      </w:r>
      <w:r w:rsidR="00115688" w:rsidRPr="00B568F3">
        <w:rPr>
          <w:rFonts w:ascii="Arial" w:eastAsia="Calibri" w:hAnsi="Arial" w:cs="Arial"/>
          <w:sz w:val="24"/>
          <w:szCs w:val="24"/>
        </w:rPr>
        <w:t>counteracted</w:t>
      </w:r>
      <w:r w:rsidRPr="00B568F3">
        <w:rPr>
          <w:rFonts w:ascii="Arial" w:eastAsia="Calibri" w:hAnsi="Arial" w:cs="Arial"/>
          <w:sz w:val="24"/>
          <w:szCs w:val="24"/>
        </w:rPr>
        <w:t xml:space="preserve"> by a</w:t>
      </w:r>
      <w:r w:rsidR="00144A0D">
        <w:rPr>
          <w:rFonts w:ascii="Arial" w:eastAsia="Calibri" w:hAnsi="Arial" w:cs="Arial"/>
          <w:sz w:val="24"/>
          <w:szCs w:val="24"/>
        </w:rPr>
        <w:t xml:space="preserve">n increase </w:t>
      </w:r>
      <w:r w:rsidRPr="00B568F3">
        <w:rPr>
          <w:rFonts w:ascii="Arial" w:eastAsia="Calibri" w:hAnsi="Arial" w:cs="Arial"/>
          <w:sz w:val="24"/>
          <w:szCs w:val="24"/>
        </w:rPr>
        <w:t xml:space="preserve">in </w:t>
      </w:r>
      <w:r w:rsidR="00A45D8C">
        <w:rPr>
          <w:rFonts w:ascii="Arial" w:eastAsia="Calibri" w:hAnsi="Arial" w:cs="Arial"/>
          <w:sz w:val="24"/>
          <w:szCs w:val="24"/>
        </w:rPr>
        <w:t xml:space="preserve">reported </w:t>
      </w:r>
      <w:r w:rsidRPr="00B568F3">
        <w:rPr>
          <w:rFonts w:ascii="Arial" w:eastAsia="Calibri" w:hAnsi="Arial" w:cs="Arial"/>
          <w:sz w:val="24"/>
          <w:szCs w:val="24"/>
        </w:rPr>
        <w:t xml:space="preserve">additional </w:t>
      </w:r>
      <w:r w:rsidR="007248E2" w:rsidRPr="00B568F3">
        <w:rPr>
          <w:rFonts w:ascii="Arial" w:eastAsia="Calibri" w:hAnsi="Arial" w:cs="Arial"/>
          <w:sz w:val="24"/>
          <w:szCs w:val="24"/>
        </w:rPr>
        <w:t>local authority</w:t>
      </w:r>
      <w:r w:rsidRPr="00B568F3">
        <w:rPr>
          <w:rFonts w:ascii="Arial" w:eastAsia="Calibri" w:hAnsi="Arial" w:cs="Arial"/>
          <w:sz w:val="24"/>
          <w:szCs w:val="24"/>
        </w:rPr>
        <w:t xml:space="preserve"> funding of </w:t>
      </w:r>
      <w:r w:rsidR="003019C5">
        <w:rPr>
          <w:rFonts w:ascii="Arial" w:eastAsia="Calibri" w:hAnsi="Arial" w:cs="Arial"/>
          <w:sz w:val="24"/>
          <w:szCs w:val="24"/>
        </w:rPr>
        <w:t>£73,899 (+ 4.2</w:t>
      </w:r>
      <w:r w:rsidR="5E6EB734" w:rsidRPr="00B568F3">
        <w:rPr>
          <w:rFonts w:ascii="Arial" w:eastAsia="Calibri" w:hAnsi="Arial" w:cs="Arial"/>
          <w:sz w:val="24"/>
          <w:szCs w:val="24"/>
        </w:rPr>
        <w:t xml:space="preserve"> per cent</w:t>
      </w:r>
      <w:r w:rsidR="003019C5">
        <w:rPr>
          <w:rFonts w:ascii="Arial" w:eastAsia="Calibri" w:hAnsi="Arial" w:cs="Arial"/>
          <w:sz w:val="24"/>
          <w:szCs w:val="24"/>
        </w:rPr>
        <w:t>)</w:t>
      </w:r>
      <w:r w:rsidRPr="00B568F3">
        <w:rPr>
          <w:rFonts w:ascii="Arial" w:eastAsia="Calibri" w:hAnsi="Arial" w:cs="Arial"/>
          <w:sz w:val="24"/>
          <w:szCs w:val="24"/>
        </w:rPr>
        <w:t xml:space="preserve">. </w:t>
      </w:r>
    </w:p>
    <w:p w14:paraId="32A19B63" w14:textId="77777777" w:rsidR="00BA2BB3" w:rsidRPr="00B568F3" w:rsidRDefault="00BA2BB3" w:rsidP="009D1124">
      <w:pPr>
        <w:pStyle w:val="ListParagraph"/>
        <w:ind w:left="786"/>
        <w:rPr>
          <w:rFonts w:ascii="Arial" w:eastAsia="Calibri"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40EDC" w:rsidRPr="00B568F3" w14:paraId="12627EA9" w14:textId="77777777" w:rsidTr="069F4A6E">
        <w:tc>
          <w:tcPr>
            <w:tcW w:w="9026" w:type="dxa"/>
          </w:tcPr>
          <w:p w14:paraId="38A06F70" w14:textId="21C1340B" w:rsidR="00C40EDC" w:rsidRPr="00B568F3" w:rsidRDefault="069F4A6E" w:rsidP="00FC716F">
            <w:pPr>
              <w:contextualSpacing/>
              <w:rPr>
                <w:rFonts w:ascii="Arial" w:eastAsia="Calibri" w:hAnsi="Arial" w:cs="Arial"/>
                <w:b/>
                <w:bCs/>
                <w:sz w:val="24"/>
                <w:szCs w:val="24"/>
              </w:rPr>
            </w:pPr>
            <w:r w:rsidRPr="00DF1F48">
              <w:rPr>
                <w:rFonts w:ascii="Arial" w:eastAsia="Calibri" w:hAnsi="Arial" w:cs="Arial"/>
                <w:b/>
                <w:bCs/>
                <w:sz w:val="24"/>
                <w:szCs w:val="24"/>
              </w:rPr>
              <w:t xml:space="preserve">Figure 1: </w:t>
            </w:r>
            <w:proofErr w:type="gramStart"/>
            <w:r w:rsidRPr="00DF1F48">
              <w:rPr>
                <w:rFonts w:ascii="Arial" w:eastAsia="Calibri" w:hAnsi="Arial" w:cs="Arial"/>
                <w:b/>
                <w:bCs/>
                <w:sz w:val="24"/>
                <w:szCs w:val="24"/>
              </w:rPr>
              <w:t>Total</w:t>
            </w:r>
            <w:proofErr w:type="gramEnd"/>
            <w:r w:rsidRPr="00DF1F48">
              <w:rPr>
                <w:rFonts w:ascii="Arial" w:eastAsia="Calibri" w:hAnsi="Arial" w:cs="Arial"/>
                <w:b/>
                <w:bCs/>
                <w:sz w:val="24"/>
                <w:szCs w:val="24"/>
              </w:rPr>
              <w:t xml:space="preserve"> spend, the three</w:t>
            </w:r>
            <w:r w:rsidR="000D3094" w:rsidRPr="00DF1F48">
              <w:rPr>
                <w:rFonts w:ascii="Arial" w:eastAsia="Calibri" w:hAnsi="Arial" w:cs="Arial"/>
                <w:b/>
                <w:bCs/>
                <w:sz w:val="24"/>
                <w:szCs w:val="24"/>
              </w:rPr>
              <w:t>-</w:t>
            </w:r>
            <w:r w:rsidRPr="00DF1F48">
              <w:rPr>
                <w:rFonts w:ascii="Arial" w:eastAsia="Calibri" w:hAnsi="Arial" w:cs="Arial"/>
                <w:b/>
                <w:bCs/>
                <w:sz w:val="24"/>
                <w:szCs w:val="24"/>
              </w:rPr>
              <w:t>year trend</w:t>
            </w:r>
            <w:r w:rsidRPr="00B568F3">
              <w:rPr>
                <w:rFonts w:ascii="Arial" w:eastAsia="Calibri" w:hAnsi="Arial" w:cs="Arial"/>
                <w:b/>
                <w:bCs/>
                <w:sz w:val="24"/>
                <w:szCs w:val="24"/>
              </w:rPr>
              <w:t xml:space="preserve"> </w:t>
            </w:r>
          </w:p>
          <w:p w14:paraId="7DDFEBB5" w14:textId="77777777" w:rsidR="00C40EDC" w:rsidRPr="00B568F3" w:rsidRDefault="00C40EDC" w:rsidP="00FC716F">
            <w:pPr>
              <w:spacing w:before="120" w:after="120"/>
              <w:contextualSpacing/>
              <w:rPr>
                <w:rFonts w:ascii="Arial" w:eastAsia="Calibri" w:hAnsi="Arial" w:cs="Arial"/>
                <w:b/>
                <w:bCs/>
                <w:color w:val="FF0000"/>
                <w:sz w:val="24"/>
                <w:szCs w:val="24"/>
              </w:rPr>
            </w:pPr>
          </w:p>
        </w:tc>
      </w:tr>
      <w:tr w:rsidR="00C40EDC" w:rsidRPr="00B568F3" w14:paraId="4599548C" w14:textId="77777777" w:rsidTr="00F66CF5">
        <w:tc>
          <w:tcPr>
            <w:tcW w:w="9026" w:type="dxa"/>
          </w:tcPr>
          <w:p w14:paraId="67A1CF44" w14:textId="20C5772C" w:rsidR="00C40EDC" w:rsidRPr="00B568F3" w:rsidRDefault="00F66CF5" w:rsidP="00FC716F">
            <w:pPr>
              <w:contextualSpacing/>
              <w:rPr>
                <w:rFonts w:ascii="Arial" w:eastAsia="Calibri" w:hAnsi="Arial" w:cs="Arial"/>
                <w:color w:val="FF0000"/>
                <w:sz w:val="24"/>
                <w:szCs w:val="24"/>
              </w:rPr>
            </w:pPr>
            <w:r>
              <w:rPr>
                <w:noProof/>
              </w:rPr>
              <w:drawing>
                <wp:inline distT="0" distB="0" distL="0" distR="0" wp14:anchorId="5E6AAC26" wp14:editId="27620BDE">
                  <wp:extent cx="5731510" cy="4229100"/>
                  <wp:effectExtent l="0" t="0" r="2540" b="0"/>
                  <wp:docPr id="1849369410" name="Chart 1" descr="A bar graph of the total spend over the three year trend.">
                    <a:extLst xmlns:a="http://schemas.openxmlformats.org/drawingml/2006/main">
                      <a:ext uri="{FF2B5EF4-FFF2-40B4-BE49-F238E27FC236}">
                        <a16:creationId xmlns:a16="http://schemas.microsoft.com/office/drawing/2014/main" id="{371CC4A2-9247-B31A-1318-AC80CDE6F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397F3BE4" w14:textId="77777777" w:rsidR="00C40EDC" w:rsidRPr="00B568F3" w:rsidRDefault="00C40EDC" w:rsidP="009D1124">
      <w:pPr>
        <w:spacing w:after="0" w:line="240" w:lineRule="auto"/>
        <w:ind w:left="66"/>
        <w:rPr>
          <w:rFonts w:ascii="Arial" w:eastAsia="Calibri" w:hAnsi="Arial" w:cs="Arial"/>
          <w:sz w:val="24"/>
          <w:szCs w:val="24"/>
        </w:rPr>
      </w:pPr>
    </w:p>
    <w:p w14:paraId="49F26867" w14:textId="4BE3B92D" w:rsidR="5EF60A1F" w:rsidRPr="00B568F3" w:rsidRDefault="5EF60A1F" w:rsidP="009D1124">
      <w:pPr>
        <w:spacing w:after="0" w:line="240" w:lineRule="auto"/>
        <w:ind w:left="66"/>
        <w:rPr>
          <w:rFonts w:ascii="Arial" w:eastAsia="Calibri" w:hAnsi="Arial" w:cs="Arial"/>
          <w:sz w:val="24"/>
          <w:szCs w:val="24"/>
        </w:rPr>
      </w:pPr>
    </w:p>
    <w:p w14:paraId="1801FDCA" w14:textId="77777777" w:rsidR="00D8548B" w:rsidRDefault="00D8548B" w:rsidP="009D1124">
      <w:pPr>
        <w:spacing w:after="0" w:line="240" w:lineRule="auto"/>
        <w:ind w:left="66"/>
        <w:rPr>
          <w:rFonts w:ascii="Arial" w:eastAsia="Calibri" w:hAnsi="Arial" w:cs="Arial"/>
          <w:sz w:val="24"/>
          <w:szCs w:val="24"/>
        </w:rPr>
      </w:pPr>
    </w:p>
    <w:p w14:paraId="72A398F9" w14:textId="77777777" w:rsidR="00142ACC" w:rsidRPr="00B568F3" w:rsidRDefault="00142ACC" w:rsidP="009D1124">
      <w:pPr>
        <w:spacing w:after="0" w:line="240" w:lineRule="auto"/>
        <w:ind w:left="66"/>
        <w:rPr>
          <w:rFonts w:ascii="Arial" w:eastAsia="Calibri" w:hAnsi="Arial" w:cs="Arial"/>
          <w:sz w:val="24"/>
          <w:szCs w:val="24"/>
        </w:rPr>
      </w:pPr>
    </w:p>
    <w:tbl>
      <w:tblPr>
        <w:tblStyle w:val="TableGrid"/>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A2BB3" w:rsidRPr="00B568F3" w14:paraId="2F03D3E8" w14:textId="77777777" w:rsidTr="00310CA3">
        <w:tc>
          <w:tcPr>
            <w:tcW w:w="9246" w:type="dxa"/>
          </w:tcPr>
          <w:p w14:paraId="18799C84" w14:textId="218D234E" w:rsidR="00BA2BB3" w:rsidRPr="00B568F3" w:rsidRDefault="145DE0D8" w:rsidP="00FC716F">
            <w:pPr>
              <w:contextualSpacing/>
              <w:rPr>
                <w:rFonts w:ascii="Arial" w:eastAsia="Calibri" w:hAnsi="Arial" w:cs="Arial"/>
                <w:b/>
                <w:bCs/>
                <w:sz w:val="24"/>
                <w:szCs w:val="24"/>
              </w:rPr>
            </w:pPr>
            <w:r w:rsidRPr="00B568F3">
              <w:rPr>
                <w:rFonts w:ascii="Arial" w:eastAsia="Calibri" w:hAnsi="Arial" w:cs="Arial"/>
                <w:b/>
                <w:bCs/>
                <w:sz w:val="24"/>
                <w:szCs w:val="24"/>
              </w:rPr>
              <w:lastRenderedPageBreak/>
              <w:t xml:space="preserve">Figure 2: Proportion of funding </w:t>
            </w:r>
            <w:r w:rsidR="006613E9" w:rsidRPr="00B568F3">
              <w:rPr>
                <w:rFonts w:ascii="Arial" w:eastAsia="Calibri" w:hAnsi="Arial" w:cs="Arial"/>
                <w:b/>
                <w:bCs/>
                <w:sz w:val="24"/>
                <w:szCs w:val="24"/>
              </w:rPr>
              <w:t>202</w:t>
            </w:r>
            <w:r w:rsidR="006613E9">
              <w:rPr>
                <w:rFonts w:ascii="Arial" w:eastAsia="Calibri" w:hAnsi="Arial" w:cs="Arial"/>
                <w:b/>
                <w:bCs/>
                <w:sz w:val="24"/>
                <w:szCs w:val="24"/>
              </w:rPr>
              <w:t>4</w:t>
            </w:r>
            <w:r w:rsidR="006613E9" w:rsidRPr="00B568F3">
              <w:rPr>
                <w:rFonts w:ascii="Arial" w:eastAsia="Calibri" w:hAnsi="Arial" w:cs="Arial"/>
                <w:b/>
                <w:bCs/>
                <w:sz w:val="24"/>
                <w:szCs w:val="24"/>
              </w:rPr>
              <w:t xml:space="preserve"> </w:t>
            </w:r>
            <w:r w:rsidRPr="00B568F3">
              <w:rPr>
                <w:rFonts w:ascii="Arial" w:eastAsia="Calibri" w:hAnsi="Arial" w:cs="Arial"/>
                <w:b/>
                <w:bCs/>
                <w:sz w:val="24"/>
                <w:szCs w:val="24"/>
              </w:rPr>
              <w:t xml:space="preserve">to </w:t>
            </w:r>
            <w:r w:rsidR="006613E9" w:rsidRPr="00B568F3">
              <w:rPr>
                <w:rFonts w:ascii="Arial" w:eastAsia="Calibri" w:hAnsi="Arial" w:cs="Arial"/>
                <w:b/>
                <w:bCs/>
                <w:sz w:val="24"/>
                <w:szCs w:val="24"/>
              </w:rPr>
              <w:t>202</w:t>
            </w:r>
            <w:r w:rsidR="006613E9">
              <w:rPr>
                <w:rFonts w:ascii="Arial" w:eastAsia="Calibri" w:hAnsi="Arial" w:cs="Arial"/>
                <w:b/>
                <w:bCs/>
                <w:sz w:val="24"/>
                <w:szCs w:val="24"/>
              </w:rPr>
              <w:t>5</w:t>
            </w:r>
            <w:r w:rsidR="006613E9" w:rsidRPr="00B568F3">
              <w:rPr>
                <w:rFonts w:ascii="Arial" w:eastAsia="Calibri" w:hAnsi="Arial" w:cs="Arial"/>
                <w:b/>
                <w:bCs/>
                <w:sz w:val="24"/>
                <w:szCs w:val="24"/>
              </w:rPr>
              <w:t xml:space="preserve"> </w:t>
            </w:r>
          </w:p>
          <w:p w14:paraId="6D1B8862" w14:textId="2378FD78" w:rsidR="069F4A6E" w:rsidRPr="00B568F3" w:rsidRDefault="069F4A6E" w:rsidP="069F4A6E">
            <w:pPr>
              <w:contextualSpacing/>
              <w:rPr>
                <w:rFonts w:ascii="Arial" w:eastAsia="Calibri" w:hAnsi="Arial" w:cs="Arial"/>
                <w:sz w:val="24"/>
                <w:szCs w:val="24"/>
              </w:rPr>
            </w:pPr>
          </w:p>
          <w:p w14:paraId="4481DAD9" w14:textId="4F13ED42" w:rsidR="069F4A6E" w:rsidRPr="00B568F3" w:rsidRDefault="145DE0D8" w:rsidP="069F4A6E">
            <w:pPr>
              <w:contextualSpacing/>
              <w:rPr>
                <w:rFonts w:ascii="Arial" w:eastAsia="Calibri" w:hAnsi="Arial" w:cs="Arial"/>
                <w:sz w:val="24"/>
                <w:szCs w:val="24"/>
              </w:rPr>
            </w:pPr>
            <w:r w:rsidRPr="00B568F3">
              <w:rPr>
                <w:rFonts w:ascii="Arial" w:eastAsia="Calibri" w:hAnsi="Arial" w:cs="Arial"/>
                <w:sz w:val="24"/>
                <w:szCs w:val="24"/>
              </w:rPr>
              <w:t>Figure 2 shows the split between SCWWDP grant funding, 30 per cent match funding from local authorities and</w:t>
            </w:r>
            <w:r w:rsidR="00157128">
              <w:rPr>
                <w:rFonts w:ascii="Arial" w:eastAsia="Calibri" w:hAnsi="Arial" w:cs="Arial"/>
                <w:sz w:val="24"/>
                <w:szCs w:val="24"/>
              </w:rPr>
              <w:t xml:space="preserve">, where </w:t>
            </w:r>
            <w:r w:rsidR="50986E24" w:rsidRPr="5E7DC569">
              <w:rPr>
                <w:rFonts w:ascii="Arial" w:eastAsia="Calibri" w:hAnsi="Arial" w:cs="Arial"/>
                <w:sz w:val="24"/>
                <w:szCs w:val="24"/>
              </w:rPr>
              <w:t>reported</w:t>
            </w:r>
            <w:r w:rsidR="00157128">
              <w:rPr>
                <w:rFonts w:ascii="Arial" w:eastAsia="Calibri" w:hAnsi="Arial" w:cs="Arial"/>
                <w:sz w:val="24"/>
                <w:szCs w:val="24"/>
              </w:rPr>
              <w:t>,</w:t>
            </w:r>
            <w:r w:rsidR="50986E24" w:rsidRPr="5E7DC569">
              <w:rPr>
                <w:rFonts w:ascii="Arial" w:eastAsia="Calibri" w:hAnsi="Arial" w:cs="Arial"/>
                <w:sz w:val="24"/>
                <w:szCs w:val="24"/>
              </w:rPr>
              <w:t xml:space="preserve"> </w:t>
            </w:r>
            <w:r w:rsidRPr="00B568F3">
              <w:rPr>
                <w:rFonts w:ascii="Arial" w:eastAsia="Calibri" w:hAnsi="Arial" w:cs="Arial"/>
                <w:sz w:val="24"/>
                <w:szCs w:val="24"/>
              </w:rPr>
              <w:t xml:space="preserve">additional funding provided by local authorities over and above the required match funding in </w:t>
            </w:r>
            <w:r w:rsidR="006613E9" w:rsidRPr="00B568F3">
              <w:rPr>
                <w:rFonts w:ascii="Arial" w:eastAsia="Calibri" w:hAnsi="Arial" w:cs="Arial"/>
                <w:sz w:val="24"/>
                <w:szCs w:val="24"/>
              </w:rPr>
              <w:t>202</w:t>
            </w:r>
            <w:r w:rsidR="006613E9">
              <w:rPr>
                <w:rFonts w:ascii="Arial" w:eastAsia="Calibri" w:hAnsi="Arial" w:cs="Arial"/>
                <w:sz w:val="24"/>
                <w:szCs w:val="24"/>
              </w:rPr>
              <w:t>4</w:t>
            </w:r>
            <w:r w:rsidR="006613E9" w:rsidRPr="00B568F3">
              <w:rPr>
                <w:rFonts w:ascii="Arial" w:eastAsia="Calibri" w:hAnsi="Arial" w:cs="Arial"/>
                <w:sz w:val="24"/>
                <w:szCs w:val="24"/>
              </w:rPr>
              <w:t xml:space="preserve"> </w:t>
            </w:r>
            <w:r w:rsidRPr="00B568F3">
              <w:rPr>
                <w:rFonts w:ascii="Arial" w:eastAsia="Calibri" w:hAnsi="Arial" w:cs="Arial"/>
                <w:sz w:val="24"/>
                <w:szCs w:val="24"/>
              </w:rPr>
              <w:t xml:space="preserve">to </w:t>
            </w:r>
            <w:r w:rsidR="006613E9" w:rsidRPr="00B568F3">
              <w:rPr>
                <w:rFonts w:ascii="Arial" w:eastAsia="Calibri" w:hAnsi="Arial" w:cs="Arial"/>
                <w:sz w:val="24"/>
                <w:szCs w:val="24"/>
              </w:rPr>
              <w:t>202</w:t>
            </w:r>
            <w:r w:rsidR="006613E9">
              <w:rPr>
                <w:rFonts w:ascii="Arial" w:eastAsia="Calibri" w:hAnsi="Arial" w:cs="Arial"/>
                <w:sz w:val="24"/>
                <w:szCs w:val="24"/>
              </w:rPr>
              <w:t>5</w:t>
            </w:r>
            <w:r w:rsidRPr="00B568F3">
              <w:rPr>
                <w:rFonts w:ascii="Arial" w:eastAsia="Calibri" w:hAnsi="Arial" w:cs="Arial"/>
                <w:sz w:val="24"/>
                <w:szCs w:val="24"/>
              </w:rPr>
              <w:t>.</w:t>
            </w:r>
          </w:p>
          <w:p w14:paraId="1C86FC0A" w14:textId="425DB87A" w:rsidR="069F4A6E" w:rsidRPr="00B568F3" w:rsidRDefault="069F4A6E" w:rsidP="069F4A6E">
            <w:pPr>
              <w:contextualSpacing/>
              <w:rPr>
                <w:rFonts w:ascii="Arial" w:eastAsia="Calibri" w:hAnsi="Arial" w:cs="Arial"/>
                <w:b/>
                <w:bCs/>
                <w:sz w:val="24"/>
                <w:szCs w:val="24"/>
              </w:rPr>
            </w:pPr>
          </w:p>
          <w:p w14:paraId="0C763CB6" w14:textId="77777777" w:rsidR="00BA2BB3" w:rsidRPr="00B568F3" w:rsidRDefault="00BA2BB3" w:rsidP="00FC716F">
            <w:pPr>
              <w:spacing w:before="120" w:after="120"/>
              <w:contextualSpacing/>
              <w:rPr>
                <w:rFonts w:ascii="Arial" w:eastAsia="Calibri" w:hAnsi="Arial" w:cs="Arial"/>
                <w:b/>
                <w:bCs/>
                <w:color w:val="FF0000"/>
                <w:sz w:val="24"/>
                <w:szCs w:val="24"/>
              </w:rPr>
            </w:pPr>
          </w:p>
        </w:tc>
      </w:tr>
      <w:tr w:rsidR="00BA2BB3" w:rsidRPr="00B568F3" w14:paraId="339CEA56" w14:textId="77777777" w:rsidTr="00E92D8A">
        <w:tc>
          <w:tcPr>
            <w:tcW w:w="9246" w:type="dxa"/>
          </w:tcPr>
          <w:p w14:paraId="40E53131" w14:textId="5E35099A" w:rsidR="00BA2BB3" w:rsidRPr="00B568F3" w:rsidRDefault="00E92D8A" w:rsidP="00FC716F">
            <w:pPr>
              <w:contextualSpacing/>
              <w:jc w:val="center"/>
              <w:rPr>
                <w:rFonts w:ascii="Arial" w:eastAsia="Calibri" w:hAnsi="Arial" w:cs="Arial"/>
                <w:color w:val="FF0000"/>
                <w:sz w:val="24"/>
                <w:szCs w:val="24"/>
              </w:rPr>
            </w:pPr>
            <w:r>
              <w:rPr>
                <w:noProof/>
              </w:rPr>
              <w:drawing>
                <wp:inline distT="0" distB="0" distL="0" distR="0" wp14:anchorId="19980F1D" wp14:editId="4EB78E93">
                  <wp:extent cx="5731510" cy="3935095"/>
                  <wp:effectExtent l="0" t="0" r="2540" b="8255"/>
                  <wp:docPr id="1067363880" name="Chart 1" descr="pie chart showing proportion of funding">
                    <a:extLst xmlns:a="http://schemas.openxmlformats.org/drawingml/2006/main">
                      <a:ext uri="{FF2B5EF4-FFF2-40B4-BE49-F238E27FC236}">
                        <a16:creationId xmlns:a16="http://schemas.microsoft.com/office/drawing/2014/main" id="{A72B5B0B-0CE4-345F-5A11-9168E2FD7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Del="00E92D8A">
              <w:rPr>
                <w:noProof/>
              </w:rPr>
              <w:t xml:space="preserve"> </w:t>
            </w:r>
          </w:p>
        </w:tc>
      </w:tr>
    </w:tbl>
    <w:p w14:paraId="1EBED1DB" w14:textId="4A957F12" w:rsidR="00CD3F52" w:rsidRPr="00B568F3" w:rsidRDefault="069F4A6E"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The SCWWDP grant funding provided by </w:t>
      </w:r>
      <w:r w:rsidR="00BE39DF">
        <w:rPr>
          <w:rFonts w:ascii="Arial" w:eastAsia="Calibri" w:hAnsi="Arial" w:cs="Arial"/>
          <w:sz w:val="24"/>
          <w:szCs w:val="24"/>
          <w:lang w:eastAsia="en-GB"/>
        </w:rPr>
        <w:t xml:space="preserve">us </w:t>
      </w:r>
      <w:r w:rsidR="00DA7C43">
        <w:rPr>
          <w:rFonts w:ascii="Arial" w:eastAsia="Calibri" w:hAnsi="Arial" w:cs="Arial"/>
          <w:sz w:val="24"/>
          <w:szCs w:val="24"/>
          <w:lang w:eastAsia="en-GB"/>
        </w:rPr>
        <w:t xml:space="preserve">in 2024 to 2025 </w:t>
      </w:r>
      <w:r w:rsidR="00443A35">
        <w:rPr>
          <w:rFonts w:ascii="Arial" w:eastAsia="Calibri" w:hAnsi="Arial" w:cs="Arial"/>
          <w:sz w:val="24"/>
          <w:szCs w:val="24"/>
          <w:lang w:eastAsia="en-GB"/>
        </w:rPr>
        <w:t>stayed the same</w:t>
      </w:r>
      <w:r w:rsidR="00DA7C43">
        <w:rPr>
          <w:rFonts w:ascii="Arial" w:eastAsia="Calibri" w:hAnsi="Arial" w:cs="Arial"/>
          <w:sz w:val="24"/>
          <w:szCs w:val="24"/>
          <w:lang w:eastAsia="en-GB"/>
        </w:rPr>
        <w:t xml:space="preserve"> as </w:t>
      </w:r>
      <w:r w:rsidR="00742428">
        <w:rPr>
          <w:rFonts w:ascii="Arial" w:eastAsia="Calibri" w:hAnsi="Arial" w:cs="Arial"/>
          <w:sz w:val="24"/>
          <w:szCs w:val="24"/>
          <w:lang w:eastAsia="en-GB"/>
        </w:rPr>
        <w:t xml:space="preserve">the previous year </w:t>
      </w:r>
      <w:r w:rsidR="00443A35">
        <w:rPr>
          <w:rFonts w:ascii="Arial" w:eastAsia="Calibri" w:hAnsi="Arial" w:cs="Arial"/>
          <w:sz w:val="24"/>
          <w:szCs w:val="24"/>
          <w:lang w:eastAsia="en-GB"/>
        </w:rPr>
        <w:t>at £7,640,051</w:t>
      </w:r>
      <w:r w:rsidR="00DA7C43">
        <w:rPr>
          <w:rFonts w:ascii="Arial" w:eastAsia="Calibri" w:hAnsi="Arial" w:cs="Arial"/>
          <w:sz w:val="24"/>
          <w:szCs w:val="24"/>
          <w:lang w:eastAsia="en-GB"/>
        </w:rPr>
        <w:t>.</w:t>
      </w:r>
    </w:p>
    <w:p w14:paraId="016B8B37" w14:textId="77777777" w:rsidR="00CD3F52" w:rsidRPr="00B568F3" w:rsidRDefault="00CD3F52" w:rsidP="009D1124">
      <w:pPr>
        <w:spacing w:after="200" w:line="276" w:lineRule="auto"/>
        <w:ind w:left="567"/>
        <w:contextualSpacing/>
        <w:rPr>
          <w:rFonts w:ascii="Arial" w:eastAsia="Calibri" w:hAnsi="Arial" w:cs="Arial"/>
          <w:sz w:val="24"/>
          <w:szCs w:val="24"/>
        </w:rPr>
      </w:pPr>
    </w:p>
    <w:p w14:paraId="6B51E328" w14:textId="6929D566" w:rsidR="0080203D" w:rsidRPr="00B568F3" w:rsidRDefault="069F4A6E"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The additional funding by</w:t>
      </w:r>
      <w:r w:rsidR="004C7A06" w:rsidRPr="00B568F3">
        <w:rPr>
          <w:rFonts w:ascii="Arial" w:eastAsia="Calibri" w:hAnsi="Arial" w:cs="Arial"/>
          <w:sz w:val="24"/>
          <w:szCs w:val="24"/>
        </w:rPr>
        <w:t xml:space="preserve"> local authorities</w:t>
      </w:r>
      <w:r w:rsidRPr="00B568F3">
        <w:rPr>
          <w:rFonts w:ascii="Arial" w:eastAsia="Calibri" w:hAnsi="Arial" w:cs="Arial"/>
          <w:sz w:val="24"/>
          <w:szCs w:val="24"/>
        </w:rPr>
        <w:t>, over and above their expected 30</w:t>
      </w:r>
      <w:r w:rsidR="200BB14D" w:rsidRPr="00B568F3">
        <w:rPr>
          <w:rFonts w:ascii="Arial" w:eastAsia="Calibri" w:hAnsi="Arial" w:cs="Arial"/>
          <w:sz w:val="24"/>
          <w:szCs w:val="24"/>
        </w:rPr>
        <w:t xml:space="preserve"> per cent</w:t>
      </w:r>
      <w:r w:rsidRPr="00B568F3">
        <w:rPr>
          <w:rFonts w:ascii="Arial" w:eastAsia="Calibri" w:hAnsi="Arial" w:cs="Arial"/>
          <w:sz w:val="24"/>
          <w:szCs w:val="24"/>
        </w:rPr>
        <w:t xml:space="preserve"> match funding, was </w:t>
      </w:r>
      <w:r w:rsidR="004E7D2D">
        <w:rPr>
          <w:rFonts w:ascii="Arial" w:eastAsia="Calibri" w:hAnsi="Arial" w:cs="Arial"/>
          <w:sz w:val="24"/>
          <w:szCs w:val="24"/>
        </w:rPr>
        <w:t xml:space="preserve">£1,853,884 in 2024 to 2025 </w:t>
      </w:r>
      <w:r w:rsidR="00461566">
        <w:rPr>
          <w:rFonts w:ascii="Arial" w:eastAsia="Calibri" w:hAnsi="Arial" w:cs="Arial"/>
          <w:sz w:val="24"/>
          <w:szCs w:val="24"/>
        </w:rPr>
        <w:t>(an increase of £73,899 or 4.2 per cent</w:t>
      </w:r>
      <w:r w:rsidR="00DE5077">
        <w:rPr>
          <w:rFonts w:ascii="Arial" w:eastAsia="Calibri" w:hAnsi="Arial" w:cs="Arial"/>
          <w:sz w:val="24"/>
          <w:szCs w:val="24"/>
        </w:rPr>
        <w:t xml:space="preserve"> compared to a </w:t>
      </w:r>
      <w:r w:rsidRPr="00B568F3">
        <w:rPr>
          <w:rFonts w:ascii="Arial" w:eastAsia="Calibri" w:hAnsi="Arial" w:cs="Arial"/>
          <w:sz w:val="24"/>
          <w:szCs w:val="24"/>
        </w:rPr>
        <w:t>21.3</w:t>
      </w:r>
      <w:r w:rsidR="200BB14D" w:rsidRPr="00B568F3">
        <w:rPr>
          <w:rFonts w:ascii="Arial" w:eastAsia="Calibri" w:hAnsi="Arial" w:cs="Arial"/>
          <w:sz w:val="24"/>
          <w:szCs w:val="24"/>
        </w:rPr>
        <w:t xml:space="preserve"> per cent</w:t>
      </w:r>
      <w:r w:rsidRPr="00B568F3">
        <w:rPr>
          <w:rFonts w:ascii="Arial" w:eastAsia="Calibri" w:hAnsi="Arial" w:cs="Arial"/>
          <w:sz w:val="24"/>
          <w:szCs w:val="24"/>
        </w:rPr>
        <w:t xml:space="preserve"> </w:t>
      </w:r>
      <w:r w:rsidR="00C63C4F">
        <w:rPr>
          <w:rFonts w:ascii="Arial" w:eastAsia="Calibri" w:hAnsi="Arial" w:cs="Arial"/>
          <w:sz w:val="24"/>
          <w:szCs w:val="24"/>
        </w:rPr>
        <w:t xml:space="preserve">decrease </w:t>
      </w:r>
      <w:r w:rsidRPr="00B568F3">
        <w:rPr>
          <w:rFonts w:ascii="Arial" w:eastAsia="Calibri" w:hAnsi="Arial" w:cs="Arial"/>
          <w:sz w:val="24"/>
          <w:szCs w:val="24"/>
        </w:rPr>
        <w:t xml:space="preserve">the year before). </w:t>
      </w:r>
    </w:p>
    <w:p w14:paraId="2993C9CA" w14:textId="77777777" w:rsidR="00BA2BB3" w:rsidRPr="00B568F3" w:rsidRDefault="00BA2BB3" w:rsidP="009D1124">
      <w:pPr>
        <w:spacing w:after="0" w:line="240" w:lineRule="auto"/>
        <w:ind w:left="66"/>
        <w:rPr>
          <w:rFonts w:ascii="Arial" w:eastAsia="Calibri" w:hAnsi="Arial" w:cs="Arial"/>
          <w:sz w:val="24"/>
          <w:szCs w:val="24"/>
        </w:rPr>
      </w:pPr>
    </w:p>
    <w:p w14:paraId="1B24C062" w14:textId="77777777" w:rsidR="00825A54" w:rsidRPr="00B568F3" w:rsidRDefault="00825A54" w:rsidP="009D1124">
      <w:pPr>
        <w:spacing w:after="0" w:line="240" w:lineRule="auto"/>
        <w:ind w:left="66"/>
        <w:rPr>
          <w:rFonts w:ascii="Arial" w:eastAsia="Calibri" w:hAnsi="Arial" w:cs="Arial"/>
          <w:sz w:val="24"/>
          <w:szCs w:val="24"/>
        </w:rPr>
      </w:pPr>
    </w:p>
    <w:p w14:paraId="2A465500" w14:textId="03889B90" w:rsidR="0080203D" w:rsidRPr="00B568F3" w:rsidRDefault="533ADF33" w:rsidP="009D1124">
      <w:pPr>
        <w:spacing w:after="0" w:line="240" w:lineRule="auto"/>
        <w:ind w:left="66"/>
        <w:contextualSpacing/>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2: </w:t>
      </w:r>
      <w:r w:rsidR="004C7A06" w:rsidRPr="00B568F3">
        <w:rPr>
          <w:rFonts w:ascii="Arial" w:eastAsia="Calibri" w:hAnsi="Arial" w:cs="Arial"/>
          <w:b/>
          <w:bCs/>
          <w:sz w:val="24"/>
          <w:szCs w:val="24"/>
          <w:lang w:eastAsia="en-GB"/>
        </w:rPr>
        <w:t>Local authority</w:t>
      </w:r>
      <w:r w:rsidRPr="00B568F3">
        <w:rPr>
          <w:rFonts w:ascii="Arial" w:eastAsia="Calibri" w:hAnsi="Arial" w:cs="Arial"/>
          <w:b/>
          <w:bCs/>
          <w:sz w:val="24"/>
          <w:szCs w:val="24"/>
          <w:lang w:eastAsia="en-GB"/>
        </w:rPr>
        <w:t xml:space="preserve"> additional funding, the </w:t>
      </w:r>
      <w:r w:rsidRPr="00B568F3">
        <w:rPr>
          <w:rFonts w:ascii="Arial" w:eastAsia="Calibri" w:hAnsi="Arial" w:cs="Arial"/>
          <w:b/>
          <w:bCs/>
          <w:sz w:val="24"/>
          <w:szCs w:val="24"/>
        </w:rPr>
        <w:t>three</w:t>
      </w:r>
      <w:r w:rsidR="002256FE" w:rsidRPr="00B568F3">
        <w:rPr>
          <w:rFonts w:ascii="Arial" w:eastAsia="Calibri" w:hAnsi="Arial" w:cs="Arial"/>
          <w:b/>
          <w:bCs/>
          <w:sz w:val="24"/>
          <w:szCs w:val="24"/>
        </w:rPr>
        <w:t>-year</w:t>
      </w:r>
      <w:r w:rsidRPr="00B568F3">
        <w:rPr>
          <w:rFonts w:ascii="Arial" w:eastAsia="Calibri" w:hAnsi="Arial" w:cs="Arial"/>
          <w:b/>
          <w:bCs/>
          <w:sz w:val="24"/>
          <w:szCs w:val="24"/>
        </w:rPr>
        <w:t xml:space="preserve"> trend</w:t>
      </w:r>
    </w:p>
    <w:p w14:paraId="67379E84" w14:textId="77777777" w:rsidR="0080203D" w:rsidRPr="00B568F3" w:rsidRDefault="0080203D" w:rsidP="009D1124">
      <w:pPr>
        <w:spacing w:after="0" w:line="240" w:lineRule="auto"/>
        <w:ind w:left="66"/>
        <w:contextualSpacing/>
        <w:rPr>
          <w:rFonts w:ascii="Arial" w:eastAsia="Calibri" w:hAnsi="Arial" w:cs="Arial"/>
          <w:color w:val="FF0000"/>
          <w:sz w:val="24"/>
          <w:szCs w:val="24"/>
          <w:lang w:eastAsia="en-GB"/>
        </w:rPr>
      </w:pPr>
    </w:p>
    <w:tbl>
      <w:tblPr>
        <w:tblStyle w:val="TableGrid"/>
        <w:tblW w:w="0" w:type="auto"/>
        <w:jc w:val="center"/>
        <w:tblLook w:val="04A0" w:firstRow="1" w:lastRow="0" w:firstColumn="1" w:lastColumn="0" w:noHBand="0" w:noVBand="1"/>
      </w:tblPr>
      <w:tblGrid>
        <w:gridCol w:w="1977"/>
        <w:gridCol w:w="2438"/>
        <w:gridCol w:w="1470"/>
        <w:gridCol w:w="1701"/>
      </w:tblGrid>
      <w:tr w:rsidR="00C80EED" w:rsidRPr="00B568F3" w14:paraId="074D076B" w14:textId="77777777" w:rsidTr="00F521F9">
        <w:trPr>
          <w:jc w:val="center"/>
        </w:trPr>
        <w:tc>
          <w:tcPr>
            <w:tcW w:w="1977" w:type="dxa"/>
            <w:vAlign w:val="center"/>
          </w:tcPr>
          <w:p w14:paraId="5BC90CA9" w14:textId="2AC4828F" w:rsidR="0080203D" w:rsidRPr="00B568F3" w:rsidRDefault="069F4A6E" w:rsidP="00FC716F">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Financial year</w:t>
            </w:r>
          </w:p>
        </w:tc>
        <w:tc>
          <w:tcPr>
            <w:tcW w:w="2438" w:type="dxa"/>
            <w:vAlign w:val="center"/>
          </w:tcPr>
          <w:p w14:paraId="4AF7A003" w14:textId="07D366CD" w:rsidR="0080203D" w:rsidRPr="00B568F3" w:rsidRDefault="069F4A6E" w:rsidP="00FC716F">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L</w:t>
            </w:r>
            <w:r w:rsidR="004C7A06" w:rsidRPr="00B568F3">
              <w:rPr>
                <w:rFonts w:ascii="Arial" w:eastAsia="Calibri" w:hAnsi="Arial" w:cs="Arial"/>
                <w:b/>
                <w:bCs/>
                <w:sz w:val="24"/>
                <w:szCs w:val="24"/>
                <w:lang w:eastAsia="en-GB"/>
              </w:rPr>
              <w:t>ocal autho</w:t>
            </w:r>
            <w:r w:rsidR="008D350E" w:rsidRPr="00B568F3">
              <w:rPr>
                <w:rFonts w:ascii="Arial" w:eastAsia="Calibri" w:hAnsi="Arial" w:cs="Arial"/>
                <w:b/>
                <w:bCs/>
                <w:sz w:val="24"/>
                <w:szCs w:val="24"/>
                <w:lang w:eastAsia="en-GB"/>
              </w:rPr>
              <w:t>rity</w:t>
            </w:r>
            <w:r w:rsidRPr="00B568F3">
              <w:rPr>
                <w:rFonts w:ascii="Arial" w:eastAsia="Calibri" w:hAnsi="Arial" w:cs="Arial"/>
                <w:b/>
                <w:bCs/>
                <w:sz w:val="24"/>
                <w:szCs w:val="24"/>
                <w:lang w:eastAsia="en-GB"/>
              </w:rPr>
              <w:t xml:space="preserve"> additional funding</w:t>
            </w:r>
          </w:p>
        </w:tc>
        <w:tc>
          <w:tcPr>
            <w:tcW w:w="1470" w:type="dxa"/>
            <w:vAlign w:val="center"/>
          </w:tcPr>
          <w:p w14:paraId="18C26D28" w14:textId="77777777" w:rsidR="0080203D" w:rsidRPr="00B568F3" w:rsidRDefault="0080203D" w:rsidP="00FC716F">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c>
          <w:tcPr>
            <w:tcW w:w="1701" w:type="dxa"/>
            <w:vAlign w:val="center"/>
          </w:tcPr>
          <w:p w14:paraId="75E257BE" w14:textId="77777777" w:rsidR="0080203D" w:rsidRPr="00B568F3" w:rsidRDefault="0080203D" w:rsidP="00FC716F">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r>
      <w:tr w:rsidR="00166390" w:rsidRPr="00B568F3" w14:paraId="278C3356" w14:textId="77777777" w:rsidTr="00F521F9">
        <w:trPr>
          <w:jc w:val="center"/>
        </w:trPr>
        <w:tc>
          <w:tcPr>
            <w:tcW w:w="1977" w:type="dxa"/>
            <w:vAlign w:val="center"/>
          </w:tcPr>
          <w:p w14:paraId="235063C2" w14:textId="2602DE67" w:rsidR="00166390" w:rsidRPr="00B568F3" w:rsidRDefault="00166390" w:rsidP="00FC716F">
            <w:pPr>
              <w:spacing w:before="120" w:after="120"/>
              <w:contextualSpacing/>
              <w:jc w:val="center"/>
              <w:rPr>
                <w:rFonts w:ascii="Arial" w:eastAsia="Calibri" w:hAnsi="Arial" w:cs="Arial"/>
                <w:b/>
                <w:bCs/>
                <w:sz w:val="24"/>
                <w:szCs w:val="24"/>
                <w:lang w:eastAsia="en-GB"/>
              </w:rPr>
            </w:pPr>
            <w:r>
              <w:rPr>
                <w:rFonts w:ascii="Arial" w:eastAsia="Calibri" w:hAnsi="Arial" w:cs="Arial"/>
                <w:b/>
                <w:bCs/>
                <w:sz w:val="24"/>
                <w:szCs w:val="24"/>
                <w:lang w:eastAsia="en-GB"/>
              </w:rPr>
              <w:t>2024 to 2025</w:t>
            </w:r>
          </w:p>
        </w:tc>
        <w:tc>
          <w:tcPr>
            <w:tcW w:w="2438" w:type="dxa"/>
            <w:vAlign w:val="center"/>
          </w:tcPr>
          <w:p w14:paraId="5E0FD72D" w14:textId="7D475A9C" w:rsidR="00166390" w:rsidRPr="00B568F3" w:rsidRDefault="00166390" w:rsidP="00FC716F">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w:t>
            </w:r>
            <w:r w:rsidR="003F6FDB">
              <w:rPr>
                <w:rFonts w:ascii="Arial" w:eastAsia="Calibri" w:hAnsi="Arial" w:cs="Arial"/>
                <w:sz w:val="24"/>
                <w:szCs w:val="24"/>
                <w:lang w:eastAsia="en-GB"/>
              </w:rPr>
              <w:t>853,884</w:t>
            </w:r>
          </w:p>
        </w:tc>
        <w:tc>
          <w:tcPr>
            <w:tcW w:w="1470" w:type="dxa"/>
            <w:vAlign w:val="center"/>
          </w:tcPr>
          <w:p w14:paraId="20BEC10D" w14:textId="245648EB" w:rsidR="00166390" w:rsidRPr="00B568F3" w:rsidRDefault="003F6FDB" w:rsidP="00FC716F">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+4.2%</w:t>
            </w:r>
          </w:p>
        </w:tc>
        <w:tc>
          <w:tcPr>
            <w:tcW w:w="1701" w:type="dxa"/>
            <w:vAlign w:val="center"/>
          </w:tcPr>
          <w:p w14:paraId="5100D22F" w14:textId="2FF82259" w:rsidR="00166390" w:rsidRPr="00B568F3" w:rsidRDefault="003F6FDB" w:rsidP="00C80EED">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+£73,899</w:t>
            </w:r>
          </w:p>
        </w:tc>
      </w:tr>
      <w:tr w:rsidR="00C80EED" w:rsidRPr="00B568F3" w14:paraId="57AF95B3" w14:textId="77777777" w:rsidTr="00F521F9">
        <w:trPr>
          <w:jc w:val="center"/>
        </w:trPr>
        <w:tc>
          <w:tcPr>
            <w:tcW w:w="1977" w:type="dxa"/>
            <w:vAlign w:val="center"/>
          </w:tcPr>
          <w:p w14:paraId="31223CDC" w14:textId="541B89FB" w:rsidR="0080203D" w:rsidRPr="00B568F3" w:rsidRDefault="145DE0D8" w:rsidP="00FC716F">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2023 to 2024</w:t>
            </w:r>
          </w:p>
        </w:tc>
        <w:tc>
          <w:tcPr>
            <w:tcW w:w="2438" w:type="dxa"/>
            <w:vAlign w:val="center"/>
          </w:tcPr>
          <w:p w14:paraId="0985851D" w14:textId="77777777" w:rsidR="0080203D" w:rsidRPr="00B568F3" w:rsidRDefault="0080203D" w:rsidP="00FC716F">
            <w:pPr>
              <w:spacing w:before="120" w:after="120"/>
              <w:contextualSpacing/>
              <w:jc w:val="center"/>
              <w:rPr>
                <w:rFonts w:ascii="Arial" w:eastAsia="Calibri" w:hAnsi="Arial" w:cs="Arial"/>
                <w:sz w:val="24"/>
                <w:szCs w:val="24"/>
                <w:lang w:eastAsia="en-GB"/>
              </w:rPr>
            </w:pPr>
            <w:r w:rsidRPr="00B568F3">
              <w:rPr>
                <w:rFonts w:ascii="Arial" w:eastAsia="Calibri" w:hAnsi="Arial" w:cs="Arial"/>
                <w:sz w:val="24"/>
                <w:szCs w:val="24"/>
                <w:lang w:eastAsia="en-GB"/>
              </w:rPr>
              <w:t>£1,779,985</w:t>
            </w:r>
          </w:p>
        </w:tc>
        <w:tc>
          <w:tcPr>
            <w:tcW w:w="1470" w:type="dxa"/>
            <w:vAlign w:val="center"/>
          </w:tcPr>
          <w:p w14:paraId="62505E0F" w14:textId="4A3871F0" w:rsidR="0080203D" w:rsidRPr="00B568F3" w:rsidRDefault="0080203D" w:rsidP="00FC716F">
            <w:pPr>
              <w:spacing w:before="120" w:after="120"/>
              <w:contextualSpacing/>
              <w:jc w:val="center"/>
              <w:rPr>
                <w:rFonts w:ascii="Arial" w:eastAsia="Calibri" w:hAnsi="Arial" w:cs="Arial"/>
                <w:sz w:val="24"/>
                <w:szCs w:val="24"/>
                <w:lang w:eastAsia="en-GB"/>
              </w:rPr>
            </w:pPr>
            <w:r w:rsidRPr="00B568F3">
              <w:rPr>
                <w:rFonts w:ascii="Arial" w:eastAsia="Calibri" w:hAnsi="Arial" w:cs="Arial"/>
                <w:sz w:val="24"/>
                <w:szCs w:val="24"/>
                <w:lang w:eastAsia="en-GB"/>
              </w:rPr>
              <w:t>-21</w:t>
            </w:r>
            <w:r w:rsidR="00F159F3" w:rsidRPr="00B568F3">
              <w:rPr>
                <w:rFonts w:ascii="Arial" w:eastAsia="Calibri" w:hAnsi="Arial" w:cs="Arial"/>
                <w:sz w:val="24"/>
                <w:szCs w:val="24"/>
                <w:lang w:eastAsia="en-GB"/>
              </w:rPr>
              <w:t>.3</w:t>
            </w:r>
            <w:r w:rsidRPr="00B568F3">
              <w:rPr>
                <w:rFonts w:ascii="Arial" w:eastAsia="Calibri" w:hAnsi="Arial" w:cs="Arial"/>
                <w:sz w:val="24"/>
                <w:szCs w:val="24"/>
                <w:lang w:eastAsia="en-GB"/>
              </w:rPr>
              <w:t>%</w:t>
            </w:r>
          </w:p>
        </w:tc>
        <w:tc>
          <w:tcPr>
            <w:tcW w:w="1701" w:type="dxa"/>
            <w:vAlign w:val="center"/>
          </w:tcPr>
          <w:p w14:paraId="40354BF4" w14:textId="383E1B35" w:rsidR="0080203D" w:rsidRPr="00B568F3" w:rsidRDefault="069F4A6E" w:rsidP="00C80EED">
            <w:pPr>
              <w:spacing w:before="120" w:after="120"/>
              <w:jc w:val="center"/>
              <w:rPr>
                <w:rFonts w:ascii="Arial" w:eastAsia="Calibri" w:hAnsi="Arial" w:cs="Arial"/>
                <w:sz w:val="24"/>
                <w:szCs w:val="24"/>
                <w:lang w:eastAsia="en-GB"/>
              </w:rPr>
            </w:pPr>
            <w:r w:rsidRPr="00B568F3">
              <w:rPr>
                <w:rFonts w:ascii="Arial" w:eastAsia="Calibri" w:hAnsi="Arial" w:cs="Arial"/>
                <w:sz w:val="24"/>
                <w:szCs w:val="24"/>
                <w:lang w:eastAsia="en-GB"/>
              </w:rPr>
              <w:t>-£481,916</w:t>
            </w:r>
          </w:p>
        </w:tc>
      </w:tr>
      <w:tr w:rsidR="00C80EED" w:rsidRPr="00B568F3" w14:paraId="4E973E36" w14:textId="77777777" w:rsidTr="009C1EF2">
        <w:trPr>
          <w:trHeight w:val="527"/>
          <w:jc w:val="center"/>
        </w:trPr>
        <w:tc>
          <w:tcPr>
            <w:tcW w:w="1977" w:type="dxa"/>
            <w:vAlign w:val="center"/>
          </w:tcPr>
          <w:p w14:paraId="060EC780" w14:textId="3F895546" w:rsidR="0080203D" w:rsidRPr="00B568F3" w:rsidRDefault="145DE0D8" w:rsidP="00FC716F">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2022 to 2023</w:t>
            </w:r>
          </w:p>
        </w:tc>
        <w:tc>
          <w:tcPr>
            <w:tcW w:w="2438" w:type="dxa"/>
          </w:tcPr>
          <w:p w14:paraId="00083A51" w14:textId="77777777" w:rsidR="0080203D" w:rsidRPr="00B568F3" w:rsidRDefault="0080203D" w:rsidP="009C1EF2">
            <w:pPr>
              <w:spacing w:before="120" w:after="120"/>
              <w:jc w:val="center"/>
              <w:rPr>
                <w:rFonts w:ascii="Arial" w:eastAsia="Calibri" w:hAnsi="Arial" w:cs="Arial"/>
                <w:sz w:val="24"/>
                <w:szCs w:val="24"/>
                <w:lang w:eastAsia="en-GB"/>
              </w:rPr>
            </w:pPr>
            <w:r w:rsidRPr="00B568F3">
              <w:rPr>
                <w:rFonts w:ascii="Arial" w:eastAsia="Calibri" w:hAnsi="Arial" w:cs="Arial"/>
                <w:sz w:val="24"/>
                <w:szCs w:val="24"/>
                <w:lang w:eastAsia="en-GB"/>
              </w:rPr>
              <w:t>£2,261,901</w:t>
            </w:r>
          </w:p>
        </w:tc>
        <w:tc>
          <w:tcPr>
            <w:tcW w:w="1470" w:type="dxa"/>
          </w:tcPr>
          <w:p w14:paraId="56B1ED79" w14:textId="797C9C02" w:rsidR="0080203D" w:rsidRPr="00B568F3" w:rsidRDefault="0080203D" w:rsidP="009C1EF2">
            <w:pPr>
              <w:spacing w:before="120" w:after="120"/>
              <w:jc w:val="center"/>
              <w:rPr>
                <w:rFonts w:ascii="Arial" w:eastAsia="Calibri" w:hAnsi="Arial" w:cs="Arial"/>
                <w:sz w:val="24"/>
                <w:szCs w:val="24"/>
                <w:lang w:eastAsia="en-GB"/>
              </w:rPr>
            </w:pPr>
            <w:r w:rsidRPr="00B568F3">
              <w:rPr>
                <w:rFonts w:ascii="Arial" w:eastAsia="Calibri" w:hAnsi="Arial" w:cs="Arial"/>
                <w:sz w:val="24"/>
                <w:szCs w:val="24"/>
                <w:lang w:eastAsia="en-GB"/>
              </w:rPr>
              <w:t>+32</w:t>
            </w:r>
            <w:r w:rsidR="00F159F3" w:rsidRPr="00B568F3">
              <w:rPr>
                <w:rFonts w:ascii="Arial" w:eastAsia="Calibri" w:hAnsi="Arial" w:cs="Arial"/>
                <w:sz w:val="24"/>
                <w:szCs w:val="24"/>
                <w:lang w:eastAsia="en-GB"/>
              </w:rPr>
              <w:t>.4</w:t>
            </w:r>
            <w:r w:rsidRPr="00B568F3">
              <w:rPr>
                <w:rFonts w:ascii="Arial" w:eastAsia="Calibri" w:hAnsi="Arial" w:cs="Arial"/>
                <w:sz w:val="24"/>
                <w:szCs w:val="24"/>
                <w:lang w:eastAsia="en-GB"/>
              </w:rPr>
              <w:t>%</w:t>
            </w:r>
          </w:p>
        </w:tc>
        <w:tc>
          <w:tcPr>
            <w:tcW w:w="1701" w:type="dxa"/>
          </w:tcPr>
          <w:p w14:paraId="02F00FB5" w14:textId="77777777" w:rsidR="0080203D" w:rsidRPr="00B568F3" w:rsidRDefault="0080203D" w:rsidP="009C1EF2">
            <w:pPr>
              <w:spacing w:before="120" w:after="120"/>
              <w:jc w:val="center"/>
              <w:rPr>
                <w:rFonts w:ascii="Arial" w:eastAsia="Calibri" w:hAnsi="Arial" w:cs="Arial"/>
                <w:sz w:val="24"/>
                <w:szCs w:val="24"/>
                <w:lang w:eastAsia="en-GB"/>
              </w:rPr>
            </w:pPr>
            <w:r w:rsidRPr="00B568F3">
              <w:rPr>
                <w:rFonts w:ascii="Arial" w:eastAsia="Calibri" w:hAnsi="Arial" w:cs="Arial"/>
                <w:sz w:val="24"/>
                <w:szCs w:val="24"/>
                <w:lang w:eastAsia="en-GB"/>
              </w:rPr>
              <w:t>+£553,194</w:t>
            </w:r>
          </w:p>
        </w:tc>
      </w:tr>
    </w:tbl>
    <w:p w14:paraId="484C1820" w14:textId="77777777" w:rsidR="0080203D" w:rsidRPr="00B568F3" w:rsidRDefault="0080203D" w:rsidP="009D1124">
      <w:pPr>
        <w:spacing w:after="0" w:line="240" w:lineRule="auto"/>
        <w:ind w:left="66"/>
        <w:rPr>
          <w:rFonts w:ascii="Arial" w:eastAsia="Calibri" w:hAnsi="Arial" w:cs="Arial"/>
          <w:sz w:val="24"/>
          <w:szCs w:val="24"/>
        </w:rPr>
      </w:pPr>
    </w:p>
    <w:p w14:paraId="2B674DFD" w14:textId="77777777" w:rsidR="006C7FE4" w:rsidRPr="00B568F3" w:rsidRDefault="006C7FE4" w:rsidP="009D1124">
      <w:pPr>
        <w:spacing w:after="0" w:line="240" w:lineRule="auto"/>
        <w:ind w:left="66"/>
        <w:rPr>
          <w:rFonts w:ascii="Arial" w:eastAsia="Calibri" w:hAnsi="Arial" w:cs="Arial"/>
          <w:sz w:val="24"/>
          <w:szCs w:val="24"/>
        </w:rPr>
      </w:pPr>
    </w:p>
    <w:p w14:paraId="7E3B0EC0" w14:textId="30ABC9C5" w:rsidR="00475BCF" w:rsidRPr="00B568F3" w:rsidRDefault="00CE08E7" w:rsidP="00632461">
      <w:pPr>
        <w:numPr>
          <w:ilvl w:val="0"/>
          <w:numId w:val="6"/>
        </w:numPr>
        <w:spacing w:after="200" w:line="276" w:lineRule="auto"/>
        <w:ind w:left="567" w:hanging="425"/>
        <w:contextualSpacing/>
        <w:rPr>
          <w:rFonts w:ascii="Arial" w:eastAsia="Calibri" w:hAnsi="Arial" w:cs="Arial"/>
          <w:sz w:val="24"/>
          <w:szCs w:val="24"/>
        </w:rPr>
      </w:pPr>
      <w:r w:rsidRPr="00CE08E7">
        <w:rPr>
          <w:rFonts w:ascii="Arial" w:eastAsia="Calibri" w:hAnsi="Arial" w:cs="Arial"/>
          <w:sz w:val="24"/>
          <w:szCs w:val="24"/>
        </w:rPr>
        <w:lastRenderedPageBreak/>
        <w:t>Seven local authorities didn’t declare any additional investment over their 30 per cent match funding, compared with ten local authorities in 2024 to 2025.</w:t>
      </w:r>
      <w:r w:rsidR="145DE0D8" w:rsidRPr="00B568F3">
        <w:rPr>
          <w:rFonts w:ascii="Arial" w:eastAsia="Calibri" w:hAnsi="Arial" w:cs="Arial"/>
          <w:sz w:val="24"/>
          <w:szCs w:val="24"/>
        </w:rPr>
        <w:t xml:space="preserve"> These </w:t>
      </w:r>
      <w:r w:rsidR="00325915">
        <w:rPr>
          <w:rFonts w:ascii="Arial" w:eastAsia="Calibri" w:hAnsi="Arial" w:cs="Arial"/>
          <w:sz w:val="24"/>
          <w:szCs w:val="24"/>
        </w:rPr>
        <w:t>seven</w:t>
      </w:r>
      <w:r w:rsidR="002256FE" w:rsidRPr="00B568F3">
        <w:rPr>
          <w:rFonts w:ascii="Arial" w:eastAsia="Calibri" w:hAnsi="Arial" w:cs="Arial"/>
          <w:sz w:val="24"/>
          <w:szCs w:val="24"/>
        </w:rPr>
        <w:t xml:space="preserve"> </w:t>
      </w:r>
      <w:r w:rsidR="145DE0D8" w:rsidRPr="00B568F3">
        <w:rPr>
          <w:rFonts w:ascii="Arial" w:eastAsia="Calibri" w:hAnsi="Arial" w:cs="Arial"/>
          <w:sz w:val="24"/>
          <w:szCs w:val="24"/>
        </w:rPr>
        <w:t xml:space="preserve">authorities were spread across </w:t>
      </w:r>
      <w:r w:rsidR="001E49F1">
        <w:rPr>
          <w:rFonts w:ascii="Arial" w:eastAsia="Calibri" w:hAnsi="Arial" w:cs="Arial"/>
          <w:sz w:val="24"/>
          <w:szCs w:val="24"/>
        </w:rPr>
        <w:t xml:space="preserve">four </w:t>
      </w:r>
      <w:r w:rsidR="145DE0D8" w:rsidRPr="00B568F3">
        <w:rPr>
          <w:rFonts w:ascii="Arial" w:eastAsia="Calibri" w:hAnsi="Arial" w:cs="Arial"/>
          <w:sz w:val="24"/>
          <w:szCs w:val="24"/>
        </w:rPr>
        <w:t xml:space="preserve">separate regions, compared to </w:t>
      </w:r>
      <w:r w:rsidR="004005EC">
        <w:rPr>
          <w:rFonts w:ascii="Arial" w:eastAsia="Calibri" w:hAnsi="Arial" w:cs="Arial"/>
          <w:sz w:val="24"/>
          <w:szCs w:val="24"/>
        </w:rPr>
        <w:t>six</w:t>
      </w:r>
      <w:r w:rsidR="145DE0D8" w:rsidRPr="00B568F3">
        <w:rPr>
          <w:rFonts w:ascii="Arial" w:eastAsia="Calibri" w:hAnsi="Arial" w:cs="Arial"/>
          <w:sz w:val="24"/>
          <w:szCs w:val="24"/>
        </w:rPr>
        <w:t xml:space="preserve"> in </w:t>
      </w:r>
      <w:r w:rsidR="004005EC" w:rsidRPr="00B568F3">
        <w:rPr>
          <w:rFonts w:ascii="Arial" w:eastAsia="Calibri" w:hAnsi="Arial" w:cs="Arial"/>
          <w:sz w:val="24"/>
          <w:szCs w:val="24"/>
        </w:rPr>
        <w:t>202</w:t>
      </w:r>
      <w:r w:rsidR="004005EC">
        <w:rPr>
          <w:rFonts w:ascii="Arial" w:eastAsia="Calibri" w:hAnsi="Arial" w:cs="Arial"/>
          <w:sz w:val="24"/>
          <w:szCs w:val="24"/>
        </w:rPr>
        <w:t>3</w:t>
      </w:r>
      <w:r w:rsidR="004005EC" w:rsidRPr="00B568F3">
        <w:rPr>
          <w:rFonts w:ascii="Arial" w:eastAsia="Calibri" w:hAnsi="Arial" w:cs="Arial"/>
          <w:sz w:val="24"/>
          <w:szCs w:val="24"/>
        </w:rPr>
        <w:t xml:space="preserve"> </w:t>
      </w:r>
      <w:r w:rsidR="145DE0D8" w:rsidRPr="00B568F3">
        <w:rPr>
          <w:rFonts w:ascii="Arial" w:eastAsia="Calibri" w:hAnsi="Arial" w:cs="Arial"/>
          <w:sz w:val="24"/>
          <w:szCs w:val="24"/>
        </w:rPr>
        <w:t xml:space="preserve">to </w:t>
      </w:r>
      <w:r w:rsidR="004005EC" w:rsidRPr="00B568F3">
        <w:rPr>
          <w:rFonts w:ascii="Arial" w:eastAsia="Calibri" w:hAnsi="Arial" w:cs="Arial"/>
          <w:sz w:val="24"/>
          <w:szCs w:val="24"/>
        </w:rPr>
        <w:t>202</w:t>
      </w:r>
      <w:r w:rsidR="004005EC">
        <w:rPr>
          <w:rFonts w:ascii="Arial" w:eastAsia="Calibri" w:hAnsi="Arial" w:cs="Arial"/>
          <w:sz w:val="24"/>
          <w:szCs w:val="24"/>
        </w:rPr>
        <w:t>4</w:t>
      </w:r>
      <w:r w:rsidR="145DE0D8" w:rsidRPr="00B568F3">
        <w:rPr>
          <w:rFonts w:ascii="Arial" w:eastAsia="Calibri" w:hAnsi="Arial" w:cs="Arial"/>
          <w:sz w:val="24"/>
          <w:szCs w:val="24"/>
        </w:rPr>
        <w:t xml:space="preserve">. </w:t>
      </w:r>
      <w:r w:rsidR="004005EC">
        <w:rPr>
          <w:rFonts w:ascii="Arial" w:eastAsia="Calibri" w:hAnsi="Arial" w:cs="Arial"/>
          <w:sz w:val="24"/>
          <w:szCs w:val="24"/>
        </w:rPr>
        <w:t xml:space="preserve">One </w:t>
      </w:r>
      <w:r w:rsidR="145DE0D8" w:rsidRPr="00B568F3">
        <w:rPr>
          <w:rFonts w:ascii="Arial" w:eastAsia="Calibri" w:hAnsi="Arial" w:cs="Arial"/>
          <w:sz w:val="24"/>
          <w:szCs w:val="24"/>
        </w:rPr>
        <w:t xml:space="preserve">region didn’t declare any additional funding at all in </w:t>
      </w:r>
      <w:r w:rsidR="00A514A9" w:rsidRPr="00B568F3">
        <w:rPr>
          <w:rFonts w:ascii="Arial" w:eastAsia="Calibri" w:hAnsi="Arial" w:cs="Arial"/>
          <w:sz w:val="24"/>
          <w:szCs w:val="24"/>
        </w:rPr>
        <w:t>202</w:t>
      </w:r>
      <w:r w:rsidR="00A514A9">
        <w:rPr>
          <w:rFonts w:ascii="Arial" w:eastAsia="Calibri" w:hAnsi="Arial" w:cs="Arial"/>
          <w:sz w:val="24"/>
          <w:szCs w:val="24"/>
        </w:rPr>
        <w:t>4</w:t>
      </w:r>
      <w:r w:rsidR="00A514A9" w:rsidRPr="00B568F3">
        <w:rPr>
          <w:rFonts w:ascii="Arial" w:eastAsia="Calibri" w:hAnsi="Arial" w:cs="Arial"/>
          <w:sz w:val="24"/>
          <w:szCs w:val="24"/>
        </w:rPr>
        <w:t xml:space="preserve"> </w:t>
      </w:r>
      <w:r w:rsidR="145DE0D8" w:rsidRPr="00B568F3">
        <w:rPr>
          <w:rFonts w:ascii="Arial" w:eastAsia="Calibri" w:hAnsi="Arial" w:cs="Arial"/>
          <w:sz w:val="24"/>
          <w:szCs w:val="24"/>
        </w:rPr>
        <w:t xml:space="preserve">to </w:t>
      </w:r>
      <w:r w:rsidR="00A514A9" w:rsidRPr="00B568F3">
        <w:rPr>
          <w:rFonts w:ascii="Arial" w:eastAsia="Calibri" w:hAnsi="Arial" w:cs="Arial"/>
          <w:sz w:val="24"/>
          <w:szCs w:val="24"/>
        </w:rPr>
        <w:t>202</w:t>
      </w:r>
      <w:r w:rsidR="00A514A9">
        <w:rPr>
          <w:rFonts w:ascii="Arial" w:eastAsia="Calibri" w:hAnsi="Arial" w:cs="Arial"/>
          <w:sz w:val="24"/>
          <w:szCs w:val="24"/>
        </w:rPr>
        <w:t>5</w:t>
      </w:r>
      <w:r w:rsidR="145DE0D8" w:rsidRPr="00B568F3">
        <w:rPr>
          <w:rFonts w:ascii="Arial" w:eastAsia="Calibri" w:hAnsi="Arial" w:cs="Arial"/>
          <w:sz w:val="24"/>
          <w:szCs w:val="24"/>
        </w:rPr>
        <w:t xml:space="preserve">, compared to </w:t>
      </w:r>
      <w:r w:rsidR="004005EC">
        <w:rPr>
          <w:rFonts w:ascii="Arial" w:eastAsia="Calibri" w:hAnsi="Arial" w:cs="Arial"/>
          <w:sz w:val="24"/>
          <w:szCs w:val="24"/>
        </w:rPr>
        <w:t xml:space="preserve">two </w:t>
      </w:r>
      <w:r w:rsidR="145DE0D8" w:rsidRPr="00B568F3">
        <w:rPr>
          <w:rFonts w:ascii="Arial" w:eastAsia="Calibri" w:hAnsi="Arial" w:cs="Arial"/>
          <w:sz w:val="24"/>
          <w:szCs w:val="24"/>
        </w:rPr>
        <w:t>region</w:t>
      </w:r>
      <w:r w:rsidR="004005EC">
        <w:rPr>
          <w:rFonts w:ascii="Arial" w:eastAsia="Calibri" w:hAnsi="Arial" w:cs="Arial"/>
          <w:sz w:val="24"/>
          <w:szCs w:val="24"/>
        </w:rPr>
        <w:t>s</w:t>
      </w:r>
      <w:r w:rsidR="145DE0D8" w:rsidRPr="00B568F3">
        <w:rPr>
          <w:rFonts w:ascii="Arial" w:eastAsia="Calibri" w:hAnsi="Arial" w:cs="Arial"/>
          <w:sz w:val="24"/>
          <w:szCs w:val="24"/>
        </w:rPr>
        <w:t xml:space="preserve"> in 202</w:t>
      </w:r>
      <w:r w:rsidR="004005EC">
        <w:rPr>
          <w:rFonts w:ascii="Arial" w:eastAsia="Calibri" w:hAnsi="Arial" w:cs="Arial"/>
          <w:sz w:val="24"/>
          <w:szCs w:val="24"/>
        </w:rPr>
        <w:t>3</w:t>
      </w:r>
      <w:r w:rsidR="145DE0D8" w:rsidRPr="00B568F3">
        <w:rPr>
          <w:rFonts w:ascii="Arial" w:eastAsia="Calibri" w:hAnsi="Arial" w:cs="Arial"/>
          <w:sz w:val="24"/>
          <w:szCs w:val="24"/>
        </w:rPr>
        <w:t xml:space="preserve"> to 202</w:t>
      </w:r>
      <w:r w:rsidR="004005EC">
        <w:rPr>
          <w:rFonts w:ascii="Arial" w:eastAsia="Calibri" w:hAnsi="Arial" w:cs="Arial"/>
          <w:sz w:val="24"/>
          <w:szCs w:val="24"/>
        </w:rPr>
        <w:t>4</w:t>
      </w:r>
      <w:r w:rsidR="145DE0D8" w:rsidRPr="00B568F3">
        <w:rPr>
          <w:rFonts w:ascii="Arial" w:eastAsia="Calibri" w:hAnsi="Arial" w:cs="Arial"/>
          <w:sz w:val="24"/>
          <w:szCs w:val="24"/>
        </w:rPr>
        <w:t xml:space="preserve">. </w:t>
      </w:r>
    </w:p>
    <w:p w14:paraId="79A4B359" w14:textId="77777777" w:rsidR="00D002E0" w:rsidRPr="00B568F3" w:rsidRDefault="00D002E0" w:rsidP="00B2131D">
      <w:pPr>
        <w:spacing w:after="200" w:line="276" w:lineRule="auto"/>
        <w:ind w:left="567"/>
        <w:contextualSpacing/>
        <w:rPr>
          <w:rFonts w:ascii="Arial" w:eastAsia="Calibri" w:hAnsi="Arial" w:cs="Arial"/>
          <w:sz w:val="24"/>
          <w:szCs w:val="24"/>
        </w:rPr>
      </w:pPr>
    </w:p>
    <w:p w14:paraId="792C5521" w14:textId="41107990" w:rsidR="00827883" w:rsidRPr="00B568F3" w:rsidRDefault="533ADF33"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L</w:t>
      </w:r>
      <w:r w:rsidR="00A42ECE" w:rsidRPr="00B568F3">
        <w:rPr>
          <w:rFonts w:ascii="Arial" w:eastAsia="Calibri" w:hAnsi="Arial" w:cs="Arial"/>
          <w:sz w:val="24"/>
          <w:szCs w:val="24"/>
        </w:rPr>
        <w:t>ocal authority</w:t>
      </w:r>
      <w:r w:rsidRPr="00B568F3">
        <w:rPr>
          <w:rFonts w:ascii="Arial" w:eastAsia="Calibri" w:hAnsi="Arial" w:cs="Arial"/>
          <w:sz w:val="24"/>
          <w:szCs w:val="24"/>
        </w:rPr>
        <w:t xml:space="preserve"> additional funding isn’t required information in the SCWWDP grant reporting. </w:t>
      </w:r>
      <w:r w:rsidR="00846EB0">
        <w:rPr>
          <w:rFonts w:ascii="Arial" w:eastAsia="Calibri" w:hAnsi="Arial" w:cs="Arial"/>
          <w:sz w:val="24"/>
          <w:szCs w:val="24"/>
        </w:rPr>
        <w:t>L</w:t>
      </w:r>
      <w:r w:rsidRPr="00B568F3">
        <w:rPr>
          <w:rFonts w:ascii="Arial" w:eastAsia="Calibri" w:hAnsi="Arial" w:cs="Arial"/>
          <w:sz w:val="24"/>
          <w:szCs w:val="24"/>
        </w:rPr>
        <w:t xml:space="preserve">ocal authorities have </w:t>
      </w:r>
      <w:r w:rsidR="0035233B" w:rsidRPr="00B568F3">
        <w:rPr>
          <w:rFonts w:ascii="Arial" w:eastAsia="Calibri" w:hAnsi="Arial" w:cs="Arial"/>
          <w:sz w:val="24"/>
          <w:szCs w:val="24"/>
        </w:rPr>
        <w:t>told</w:t>
      </w:r>
      <w:r w:rsidRPr="00B568F3" w:rsidDel="0035233B">
        <w:rPr>
          <w:rFonts w:ascii="Arial" w:eastAsia="Calibri" w:hAnsi="Arial" w:cs="Arial"/>
          <w:sz w:val="24"/>
          <w:szCs w:val="24"/>
        </w:rPr>
        <w:t xml:space="preserve"> </w:t>
      </w:r>
      <w:r w:rsidRPr="00B568F3">
        <w:rPr>
          <w:rFonts w:ascii="Arial" w:eastAsia="Calibri" w:hAnsi="Arial" w:cs="Arial"/>
          <w:sz w:val="24"/>
          <w:szCs w:val="24"/>
        </w:rPr>
        <w:t>us that they’re contributing over and above the expected 30 per cent match funding required</w:t>
      </w:r>
      <w:r w:rsidR="00BE063D" w:rsidRPr="00B568F3">
        <w:rPr>
          <w:rFonts w:ascii="Arial" w:eastAsia="Calibri" w:hAnsi="Arial" w:cs="Arial"/>
          <w:sz w:val="24"/>
          <w:szCs w:val="24"/>
        </w:rPr>
        <w:t>,</w:t>
      </w:r>
      <w:r w:rsidRPr="00B568F3">
        <w:rPr>
          <w:rFonts w:ascii="Arial" w:eastAsia="Calibri" w:hAnsi="Arial" w:cs="Arial"/>
          <w:sz w:val="24"/>
          <w:szCs w:val="24"/>
        </w:rPr>
        <w:t xml:space="preserve"> but this information isn’t always reported or declared for the following reasons:</w:t>
      </w:r>
    </w:p>
    <w:p w14:paraId="34CAD3DE" w14:textId="77777777" w:rsidR="00827883" w:rsidRPr="00C92ECE" w:rsidRDefault="00827883" w:rsidP="00C92ECE">
      <w:pPr>
        <w:spacing w:after="0"/>
        <w:rPr>
          <w:rFonts w:ascii="Arial" w:eastAsia="Calibri" w:hAnsi="Arial" w:cs="Arial"/>
          <w:sz w:val="24"/>
          <w:szCs w:val="24"/>
        </w:rPr>
      </w:pPr>
    </w:p>
    <w:p w14:paraId="1B161844" w14:textId="094106C6" w:rsidR="0076554D" w:rsidRPr="00C92ECE" w:rsidRDefault="145DE0D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some local authorities choose not to share this information</w:t>
      </w:r>
    </w:p>
    <w:p w14:paraId="5E956201" w14:textId="77777777" w:rsidR="003B2BB0" w:rsidRPr="00C92ECE" w:rsidRDefault="003B2BB0" w:rsidP="00C92ECE">
      <w:pPr>
        <w:spacing w:after="200" w:line="276" w:lineRule="auto"/>
        <w:ind w:left="993"/>
        <w:contextualSpacing/>
        <w:rPr>
          <w:rFonts w:asciiTheme="minorBidi" w:hAnsiTheme="minorBidi"/>
          <w:sz w:val="24"/>
          <w:szCs w:val="24"/>
        </w:rPr>
      </w:pPr>
    </w:p>
    <w:p w14:paraId="12AEFDEC" w14:textId="7ADEFC58" w:rsidR="003117E5" w:rsidRPr="00C92ECE" w:rsidRDefault="145DE0D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 xml:space="preserve">services will fund additional needs from their own budgets or provide learning and development events themselves </w:t>
      </w:r>
      <w:r w:rsidR="008E448D" w:rsidRPr="00C92ECE">
        <w:rPr>
          <w:rFonts w:asciiTheme="minorBidi" w:hAnsiTheme="minorBidi"/>
          <w:sz w:val="24"/>
          <w:szCs w:val="24"/>
        </w:rPr>
        <w:t>without including</w:t>
      </w:r>
      <w:r w:rsidRPr="00C92ECE">
        <w:rPr>
          <w:rFonts w:asciiTheme="minorBidi" w:hAnsiTheme="minorBidi"/>
          <w:sz w:val="24"/>
          <w:szCs w:val="24"/>
        </w:rPr>
        <w:t xml:space="preserve"> the workforce development teams</w:t>
      </w:r>
    </w:p>
    <w:p w14:paraId="17EE0A36" w14:textId="77777777" w:rsidR="00886290" w:rsidRPr="00C92ECE" w:rsidRDefault="00886290" w:rsidP="00C92ECE">
      <w:pPr>
        <w:spacing w:after="200" w:line="276" w:lineRule="auto"/>
        <w:ind w:left="993"/>
        <w:contextualSpacing/>
        <w:rPr>
          <w:rFonts w:asciiTheme="minorBidi" w:hAnsiTheme="minorBidi"/>
          <w:sz w:val="24"/>
          <w:szCs w:val="24"/>
        </w:rPr>
      </w:pPr>
    </w:p>
    <w:p w14:paraId="4C80A0E8" w14:textId="4F2FF086" w:rsidR="00A44646" w:rsidRPr="00C92ECE" w:rsidRDefault="000A4DD9"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t</w:t>
      </w:r>
      <w:r w:rsidR="00404F58" w:rsidRPr="00C92ECE">
        <w:rPr>
          <w:rFonts w:asciiTheme="minorBidi" w:hAnsiTheme="minorBidi"/>
          <w:sz w:val="24"/>
          <w:szCs w:val="24"/>
        </w:rPr>
        <w:t>here</w:t>
      </w:r>
      <w:r w:rsidR="009C062C" w:rsidRPr="00C92ECE">
        <w:rPr>
          <w:rFonts w:asciiTheme="minorBidi" w:hAnsiTheme="minorBidi"/>
          <w:sz w:val="24"/>
          <w:szCs w:val="24"/>
        </w:rPr>
        <w:t>’s</w:t>
      </w:r>
      <w:r w:rsidR="00A7542B" w:rsidRPr="00C92ECE">
        <w:rPr>
          <w:rFonts w:asciiTheme="minorBidi" w:hAnsiTheme="minorBidi"/>
          <w:sz w:val="24"/>
          <w:szCs w:val="24"/>
        </w:rPr>
        <w:t xml:space="preserve"> an element of variation </w:t>
      </w:r>
      <w:r w:rsidR="4DCC15B9" w:rsidRPr="00C92ECE">
        <w:rPr>
          <w:rFonts w:asciiTheme="minorBidi" w:hAnsiTheme="minorBidi"/>
          <w:sz w:val="24"/>
          <w:szCs w:val="24"/>
        </w:rPr>
        <w:t xml:space="preserve">in financial coding </w:t>
      </w:r>
      <w:r w:rsidR="00FA521A" w:rsidRPr="00C92ECE">
        <w:rPr>
          <w:rFonts w:asciiTheme="minorBidi" w:hAnsiTheme="minorBidi"/>
          <w:sz w:val="24"/>
          <w:szCs w:val="24"/>
        </w:rPr>
        <w:t>between local authorities and regions</w:t>
      </w:r>
      <w:r w:rsidR="4DCC15B9" w:rsidRPr="00C92ECE">
        <w:rPr>
          <w:rFonts w:asciiTheme="minorBidi" w:hAnsiTheme="minorBidi"/>
          <w:sz w:val="24"/>
          <w:szCs w:val="24"/>
        </w:rPr>
        <w:t>.</w:t>
      </w:r>
    </w:p>
    <w:p w14:paraId="378BF470" w14:textId="77777777" w:rsidR="00886290" w:rsidRPr="00C92ECE" w:rsidRDefault="00886290" w:rsidP="00C92ECE">
      <w:pPr>
        <w:spacing w:after="200" w:line="276" w:lineRule="auto"/>
        <w:ind w:left="993"/>
        <w:contextualSpacing/>
        <w:rPr>
          <w:rFonts w:asciiTheme="minorBidi" w:hAnsiTheme="minorBidi"/>
          <w:sz w:val="24"/>
          <w:szCs w:val="24"/>
        </w:rPr>
      </w:pPr>
    </w:p>
    <w:p w14:paraId="769DB85A" w14:textId="7304DF3E" w:rsidR="001D6A52" w:rsidRPr="00C92ECE" w:rsidRDefault="145DE0D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 xml:space="preserve">staff time and capacity </w:t>
      </w:r>
      <w:proofErr w:type="gramStart"/>
      <w:r w:rsidRPr="00C92ECE">
        <w:rPr>
          <w:rFonts w:asciiTheme="minorBidi" w:hAnsiTheme="minorBidi"/>
          <w:sz w:val="24"/>
          <w:szCs w:val="24"/>
        </w:rPr>
        <w:t>is</w:t>
      </w:r>
      <w:proofErr w:type="gramEnd"/>
      <w:r w:rsidRPr="00C92ECE">
        <w:rPr>
          <w:rFonts w:asciiTheme="minorBidi" w:hAnsiTheme="minorBidi"/>
          <w:sz w:val="24"/>
          <w:szCs w:val="24"/>
        </w:rPr>
        <w:t xml:space="preserve"> used to support workforce development but if the role is fully funded by the local </w:t>
      </w:r>
      <w:r w:rsidR="000064A5" w:rsidRPr="00C92ECE">
        <w:rPr>
          <w:rFonts w:asciiTheme="minorBidi" w:hAnsiTheme="minorBidi"/>
          <w:sz w:val="24"/>
          <w:szCs w:val="24"/>
        </w:rPr>
        <w:t>authority,</w:t>
      </w:r>
      <w:r w:rsidRPr="00C92ECE">
        <w:rPr>
          <w:rFonts w:asciiTheme="minorBidi" w:hAnsiTheme="minorBidi"/>
          <w:sz w:val="24"/>
          <w:szCs w:val="24"/>
        </w:rPr>
        <w:t xml:space="preserve"> then this information isn’t reported. If the role is SCWWDP </w:t>
      </w:r>
      <w:r w:rsidR="000064A5" w:rsidRPr="00C92ECE">
        <w:rPr>
          <w:rFonts w:asciiTheme="minorBidi" w:hAnsiTheme="minorBidi"/>
          <w:sz w:val="24"/>
          <w:szCs w:val="24"/>
        </w:rPr>
        <w:t>funded,</w:t>
      </w:r>
      <w:r w:rsidRPr="00C92ECE">
        <w:rPr>
          <w:rFonts w:asciiTheme="minorBidi" w:hAnsiTheme="minorBidi"/>
          <w:sz w:val="24"/>
          <w:szCs w:val="24"/>
        </w:rPr>
        <w:t xml:space="preserve"> it’s reported as part of the staffing costs</w:t>
      </w:r>
      <w:r w:rsidR="00085B62" w:rsidRPr="00C92ECE" w:rsidDel="145DE0D8">
        <w:rPr>
          <w:rFonts w:asciiTheme="minorBidi" w:hAnsiTheme="minorBidi"/>
          <w:sz w:val="24"/>
          <w:szCs w:val="24"/>
        </w:rPr>
        <w:t>.</w:t>
      </w:r>
    </w:p>
    <w:p w14:paraId="79427D40" w14:textId="77777777" w:rsidR="00886290" w:rsidRPr="00C92ECE" w:rsidRDefault="00886290" w:rsidP="00C92ECE">
      <w:pPr>
        <w:spacing w:after="200" w:line="276" w:lineRule="auto"/>
        <w:ind w:left="993"/>
        <w:contextualSpacing/>
        <w:rPr>
          <w:rFonts w:asciiTheme="minorBidi" w:hAnsiTheme="minorBidi"/>
          <w:sz w:val="24"/>
          <w:szCs w:val="24"/>
        </w:rPr>
      </w:pPr>
    </w:p>
    <w:p w14:paraId="14923950" w14:textId="1CF55525" w:rsidR="006D266C" w:rsidRPr="00C92ECE" w:rsidRDefault="145DE0D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 xml:space="preserve">because of financial pressure there’s a need to do things differently and use different ways which might not </w:t>
      </w:r>
      <w:r w:rsidR="000064A5" w:rsidRPr="00C92ECE">
        <w:rPr>
          <w:rFonts w:asciiTheme="minorBidi" w:hAnsiTheme="minorBidi"/>
          <w:sz w:val="24"/>
          <w:szCs w:val="24"/>
        </w:rPr>
        <w:t>be reported</w:t>
      </w:r>
      <w:r w:rsidRPr="00C92ECE">
        <w:rPr>
          <w:rFonts w:asciiTheme="minorBidi" w:hAnsiTheme="minorBidi"/>
          <w:sz w:val="24"/>
          <w:szCs w:val="24"/>
        </w:rPr>
        <w:t xml:space="preserve">, or are difficult to count for reporting purposes, </w:t>
      </w:r>
      <w:r w:rsidR="002C5219" w:rsidRPr="00C92ECE">
        <w:rPr>
          <w:rFonts w:asciiTheme="minorBidi" w:hAnsiTheme="minorBidi"/>
          <w:sz w:val="24"/>
          <w:szCs w:val="24"/>
        </w:rPr>
        <w:t>such as</w:t>
      </w:r>
      <w:r w:rsidRPr="00C92ECE">
        <w:rPr>
          <w:rFonts w:asciiTheme="minorBidi" w:hAnsiTheme="minorBidi"/>
          <w:sz w:val="24"/>
          <w:szCs w:val="24"/>
        </w:rPr>
        <w:t>:</w:t>
      </w:r>
    </w:p>
    <w:p w14:paraId="12AE7953" w14:textId="66959FB5" w:rsidR="006D266C" w:rsidRPr="00B568F3" w:rsidRDefault="00372DD8" w:rsidP="00632461">
      <w:pPr>
        <w:pStyle w:val="ListParagraph"/>
        <w:numPr>
          <w:ilvl w:val="2"/>
          <w:numId w:val="20"/>
        </w:numPr>
        <w:spacing w:after="0" w:line="240" w:lineRule="auto"/>
        <w:rPr>
          <w:rFonts w:ascii="Arial" w:eastAsia="Calibri" w:hAnsi="Arial" w:cs="Arial"/>
          <w:sz w:val="24"/>
          <w:szCs w:val="24"/>
        </w:rPr>
      </w:pPr>
      <w:r w:rsidRPr="00B568F3">
        <w:rPr>
          <w:rFonts w:ascii="Arial" w:eastAsia="Calibri" w:hAnsi="Arial" w:cs="Arial"/>
          <w:sz w:val="24"/>
          <w:szCs w:val="24"/>
        </w:rPr>
        <w:t xml:space="preserve">statutory services </w:t>
      </w:r>
      <w:r w:rsidR="00833528" w:rsidRPr="00B568F3">
        <w:rPr>
          <w:rFonts w:ascii="Arial" w:eastAsia="Calibri" w:hAnsi="Arial" w:cs="Arial"/>
          <w:sz w:val="24"/>
          <w:szCs w:val="24"/>
        </w:rPr>
        <w:t xml:space="preserve">arranging and funding their own workforce development through </w:t>
      </w:r>
      <w:r w:rsidR="00B1791A" w:rsidRPr="00B568F3">
        <w:rPr>
          <w:rFonts w:ascii="Arial" w:eastAsia="Calibri" w:hAnsi="Arial" w:cs="Arial"/>
          <w:sz w:val="24"/>
          <w:szCs w:val="24"/>
        </w:rPr>
        <w:t>supporting reflective groups</w:t>
      </w:r>
    </w:p>
    <w:p w14:paraId="6F4E6A86" w14:textId="72E67412" w:rsidR="006D266C" w:rsidRPr="00B568F3" w:rsidRDefault="001A46DA" w:rsidP="00632461">
      <w:pPr>
        <w:pStyle w:val="ListParagraph"/>
        <w:numPr>
          <w:ilvl w:val="2"/>
          <w:numId w:val="20"/>
        </w:numPr>
        <w:spacing w:after="0" w:line="240" w:lineRule="auto"/>
        <w:rPr>
          <w:rFonts w:ascii="Arial" w:eastAsia="Calibri" w:hAnsi="Arial" w:cs="Arial"/>
          <w:sz w:val="24"/>
          <w:szCs w:val="24"/>
        </w:rPr>
      </w:pPr>
      <w:r w:rsidRPr="00B568F3">
        <w:rPr>
          <w:rFonts w:ascii="Arial" w:eastAsia="Calibri" w:hAnsi="Arial" w:cs="Arial"/>
          <w:sz w:val="24"/>
          <w:szCs w:val="24"/>
        </w:rPr>
        <w:t>us</w:t>
      </w:r>
      <w:r w:rsidR="008D20ED" w:rsidRPr="00B568F3">
        <w:rPr>
          <w:rFonts w:ascii="Arial" w:eastAsia="Calibri" w:hAnsi="Arial" w:cs="Arial"/>
          <w:sz w:val="24"/>
          <w:szCs w:val="24"/>
        </w:rPr>
        <w:t xml:space="preserve">ing </w:t>
      </w:r>
      <w:r w:rsidRPr="00B568F3">
        <w:rPr>
          <w:rFonts w:ascii="Arial" w:eastAsia="Calibri" w:hAnsi="Arial" w:cs="Arial"/>
          <w:sz w:val="24"/>
          <w:szCs w:val="24"/>
        </w:rPr>
        <w:t xml:space="preserve">experts in </w:t>
      </w:r>
      <w:r w:rsidR="001629F2" w:rsidRPr="00B568F3">
        <w:rPr>
          <w:rFonts w:ascii="Arial" w:eastAsia="Calibri" w:hAnsi="Arial" w:cs="Arial"/>
          <w:sz w:val="24"/>
          <w:szCs w:val="24"/>
        </w:rPr>
        <w:t xml:space="preserve">service </w:t>
      </w:r>
      <w:r w:rsidRPr="00B568F3">
        <w:rPr>
          <w:rFonts w:ascii="Arial" w:eastAsia="Calibri" w:hAnsi="Arial" w:cs="Arial"/>
          <w:sz w:val="24"/>
          <w:szCs w:val="24"/>
        </w:rPr>
        <w:t>teams</w:t>
      </w:r>
      <w:r w:rsidR="008D20ED" w:rsidRPr="00B568F3">
        <w:rPr>
          <w:rFonts w:ascii="Arial" w:eastAsia="Calibri" w:hAnsi="Arial" w:cs="Arial"/>
          <w:sz w:val="24"/>
          <w:szCs w:val="24"/>
        </w:rPr>
        <w:t xml:space="preserve"> to support and develop </w:t>
      </w:r>
      <w:r w:rsidR="008F4602" w:rsidRPr="00B568F3">
        <w:rPr>
          <w:rFonts w:ascii="Arial" w:eastAsia="Calibri" w:hAnsi="Arial" w:cs="Arial"/>
          <w:sz w:val="24"/>
          <w:szCs w:val="24"/>
        </w:rPr>
        <w:t>others</w:t>
      </w:r>
    </w:p>
    <w:p w14:paraId="0718BD8C" w14:textId="0DFFC630" w:rsidR="006D266C" w:rsidRPr="00B568F3" w:rsidRDefault="009909CD" w:rsidP="00632461">
      <w:pPr>
        <w:pStyle w:val="ListParagraph"/>
        <w:numPr>
          <w:ilvl w:val="2"/>
          <w:numId w:val="20"/>
        </w:numPr>
        <w:spacing w:after="0" w:line="240" w:lineRule="auto"/>
        <w:rPr>
          <w:rFonts w:ascii="Arial" w:eastAsia="Calibri" w:hAnsi="Arial" w:cs="Arial"/>
          <w:sz w:val="24"/>
          <w:szCs w:val="24"/>
        </w:rPr>
      </w:pPr>
      <w:r w:rsidRPr="00B568F3">
        <w:rPr>
          <w:rFonts w:ascii="Arial" w:eastAsia="Calibri" w:hAnsi="Arial" w:cs="Arial"/>
          <w:sz w:val="24"/>
          <w:szCs w:val="24"/>
        </w:rPr>
        <w:t>in-</w:t>
      </w:r>
      <w:r w:rsidR="001629F2" w:rsidRPr="00B568F3">
        <w:rPr>
          <w:rFonts w:ascii="Arial" w:eastAsia="Calibri" w:hAnsi="Arial" w:cs="Arial"/>
          <w:sz w:val="24"/>
          <w:szCs w:val="24"/>
        </w:rPr>
        <w:t>service</w:t>
      </w:r>
      <w:r w:rsidRPr="00B568F3">
        <w:rPr>
          <w:rFonts w:ascii="Arial" w:eastAsia="Calibri" w:hAnsi="Arial" w:cs="Arial"/>
          <w:sz w:val="24"/>
          <w:szCs w:val="24"/>
        </w:rPr>
        <w:t xml:space="preserve"> learning events</w:t>
      </w:r>
      <w:r w:rsidR="001629F2" w:rsidRPr="00B568F3">
        <w:rPr>
          <w:rFonts w:ascii="Arial" w:eastAsia="Calibri" w:hAnsi="Arial" w:cs="Arial"/>
          <w:sz w:val="24"/>
          <w:szCs w:val="24"/>
        </w:rPr>
        <w:t xml:space="preserve"> and </w:t>
      </w:r>
      <w:r w:rsidRPr="00B568F3">
        <w:rPr>
          <w:rFonts w:ascii="Arial" w:eastAsia="Calibri" w:hAnsi="Arial" w:cs="Arial"/>
          <w:sz w:val="24"/>
          <w:szCs w:val="24"/>
        </w:rPr>
        <w:t>workshops</w:t>
      </w:r>
      <w:r w:rsidR="008F4602" w:rsidRPr="00B568F3">
        <w:rPr>
          <w:rFonts w:ascii="Arial" w:eastAsia="Calibri" w:hAnsi="Arial" w:cs="Arial"/>
          <w:sz w:val="24"/>
          <w:szCs w:val="24"/>
        </w:rPr>
        <w:t xml:space="preserve">. </w:t>
      </w:r>
    </w:p>
    <w:p w14:paraId="7EA184AD" w14:textId="77777777" w:rsidR="00E04302" w:rsidRPr="00B568F3" w:rsidRDefault="00E04302" w:rsidP="00C92ECE">
      <w:pPr>
        <w:pStyle w:val="ListParagraph"/>
        <w:spacing w:after="0" w:line="240" w:lineRule="auto"/>
        <w:ind w:left="2880"/>
        <w:rPr>
          <w:rFonts w:ascii="Arial" w:eastAsia="Calibri" w:hAnsi="Arial" w:cs="Arial"/>
          <w:sz w:val="24"/>
          <w:szCs w:val="24"/>
        </w:rPr>
      </w:pPr>
    </w:p>
    <w:p w14:paraId="33007C07" w14:textId="57BFD1AE" w:rsidR="006A4A06" w:rsidRPr="00C92ECE" w:rsidRDefault="00C60F89" w:rsidP="00C92ECE">
      <w:pPr>
        <w:spacing w:after="0" w:line="240" w:lineRule="auto"/>
        <w:ind w:left="873"/>
        <w:rPr>
          <w:rFonts w:ascii="Arial" w:eastAsia="Calibri" w:hAnsi="Arial" w:cs="Arial"/>
          <w:sz w:val="24"/>
          <w:szCs w:val="24"/>
        </w:rPr>
      </w:pPr>
      <w:r w:rsidRPr="00C92ECE">
        <w:rPr>
          <w:rFonts w:ascii="Arial" w:eastAsia="Calibri" w:hAnsi="Arial" w:cs="Arial"/>
          <w:sz w:val="24"/>
          <w:szCs w:val="24"/>
        </w:rPr>
        <w:t xml:space="preserve">This </w:t>
      </w:r>
      <w:r w:rsidR="3FB8B451" w:rsidRPr="00C92ECE">
        <w:rPr>
          <w:rFonts w:ascii="Arial" w:eastAsia="Calibri" w:hAnsi="Arial" w:cs="Arial"/>
          <w:sz w:val="24"/>
          <w:szCs w:val="24"/>
        </w:rPr>
        <w:t>is reducing reliance on commissioned training by using internal expertise</w:t>
      </w:r>
      <w:r w:rsidR="3D1C687F" w:rsidRPr="00C92ECE">
        <w:rPr>
          <w:rFonts w:ascii="Arial" w:eastAsia="Calibri" w:hAnsi="Arial" w:cs="Arial"/>
          <w:sz w:val="24"/>
          <w:szCs w:val="24"/>
        </w:rPr>
        <w:t xml:space="preserve"> to support broader approaches to learning. </w:t>
      </w:r>
      <w:r w:rsidR="00915798" w:rsidRPr="00C92ECE">
        <w:rPr>
          <w:rFonts w:ascii="Arial" w:eastAsia="Calibri" w:hAnsi="Arial" w:cs="Arial"/>
          <w:sz w:val="24"/>
          <w:szCs w:val="24"/>
        </w:rPr>
        <w:t>We’ll</w:t>
      </w:r>
      <w:r w:rsidR="3D1C687F" w:rsidRPr="00C92ECE">
        <w:rPr>
          <w:rFonts w:ascii="Arial" w:eastAsia="Calibri" w:hAnsi="Arial" w:cs="Arial"/>
          <w:sz w:val="24"/>
          <w:szCs w:val="24"/>
        </w:rPr>
        <w:t xml:space="preserve"> need to </w:t>
      </w:r>
      <w:r w:rsidR="00915798" w:rsidRPr="00C92ECE">
        <w:rPr>
          <w:rFonts w:ascii="Arial" w:eastAsia="Calibri" w:hAnsi="Arial" w:cs="Arial"/>
          <w:sz w:val="24"/>
          <w:szCs w:val="24"/>
        </w:rPr>
        <w:t>change</w:t>
      </w:r>
      <w:r w:rsidR="3D1C687F" w:rsidRPr="00C92ECE">
        <w:rPr>
          <w:rFonts w:ascii="Arial" w:eastAsia="Calibri" w:hAnsi="Arial" w:cs="Arial"/>
          <w:sz w:val="24"/>
          <w:szCs w:val="24"/>
        </w:rPr>
        <w:t xml:space="preserve"> how we capture training and learning opportunities,</w:t>
      </w:r>
      <w:r w:rsidR="00696B46" w:rsidRPr="00C92ECE">
        <w:rPr>
          <w:rFonts w:ascii="Arial" w:eastAsia="Calibri" w:hAnsi="Arial" w:cs="Arial"/>
          <w:sz w:val="24"/>
          <w:szCs w:val="24"/>
        </w:rPr>
        <w:t xml:space="preserve"> </w:t>
      </w:r>
      <w:r w:rsidR="3D1C687F" w:rsidRPr="00C92ECE">
        <w:rPr>
          <w:rFonts w:ascii="Arial" w:eastAsia="Calibri" w:hAnsi="Arial" w:cs="Arial"/>
          <w:sz w:val="24"/>
          <w:szCs w:val="24"/>
        </w:rPr>
        <w:t xml:space="preserve">as well as areas </w:t>
      </w:r>
      <w:r w:rsidR="009509B4" w:rsidRPr="00C92ECE">
        <w:rPr>
          <w:rFonts w:ascii="Arial" w:eastAsia="Calibri" w:hAnsi="Arial" w:cs="Arial"/>
          <w:sz w:val="24"/>
          <w:szCs w:val="24"/>
        </w:rPr>
        <w:t>where we’re not meeting needs.</w:t>
      </w:r>
      <w:r w:rsidRPr="00C92ECE">
        <w:rPr>
          <w:rFonts w:ascii="Arial" w:eastAsia="Calibri" w:hAnsi="Arial" w:cs="Arial"/>
          <w:sz w:val="24"/>
          <w:szCs w:val="24"/>
        </w:rPr>
        <w:t xml:space="preserve"> </w:t>
      </w:r>
    </w:p>
    <w:p w14:paraId="135DC335" w14:textId="77777777" w:rsidR="00BA2BB3" w:rsidRPr="00B568F3" w:rsidRDefault="00BA2BB3" w:rsidP="001501DD">
      <w:pPr>
        <w:pStyle w:val="ListParagraph"/>
        <w:spacing w:after="0" w:line="240" w:lineRule="auto"/>
        <w:ind w:left="786"/>
        <w:rPr>
          <w:rFonts w:ascii="Arial" w:eastAsia="Calibri" w:hAnsi="Arial" w:cs="Arial"/>
          <w:sz w:val="24"/>
          <w:szCs w:val="24"/>
        </w:rPr>
      </w:pPr>
    </w:p>
    <w:p w14:paraId="14F04215" w14:textId="5A913273" w:rsidR="00311E53" w:rsidRPr="00B568F3" w:rsidRDefault="00C35DCD"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Without this </w:t>
      </w:r>
      <w:r w:rsidR="00F7791A">
        <w:rPr>
          <w:rFonts w:ascii="Arial" w:eastAsia="Calibri" w:hAnsi="Arial" w:cs="Arial"/>
          <w:sz w:val="24"/>
          <w:szCs w:val="24"/>
        </w:rPr>
        <w:t xml:space="preserve">reported </w:t>
      </w:r>
      <w:r w:rsidRPr="00B568F3">
        <w:rPr>
          <w:rFonts w:ascii="Arial" w:eastAsia="Calibri" w:hAnsi="Arial" w:cs="Arial"/>
          <w:sz w:val="24"/>
          <w:szCs w:val="24"/>
        </w:rPr>
        <w:t xml:space="preserve">additional </w:t>
      </w:r>
      <w:r w:rsidR="004851EF" w:rsidRPr="00B568F3">
        <w:rPr>
          <w:rFonts w:ascii="Arial" w:eastAsia="Calibri" w:hAnsi="Arial" w:cs="Arial"/>
          <w:sz w:val="24"/>
          <w:szCs w:val="24"/>
        </w:rPr>
        <w:t>local authority</w:t>
      </w:r>
      <w:r w:rsidRPr="00B568F3">
        <w:rPr>
          <w:rFonts w:ascii="Arial" w:eastAsia="Calibri" w:hAnsi="Arial" w:cs="Arial"/>
          <w:sz w:val="24"/>
          <w:szCs w:val="24"/>
        </w:rPr>
        <w:t xml:space="preserve"> funding </w:t>
      </w:r>
      <w:r w:rsidR="00844034" w:rsidRPr="00B568F3">
        <w:rPr>
          <w:rFonts w:ascii="Arial" w:eastAsia="Calibri" w:hAnsi="Arial" w:cs="Arial"/>
          <w:sz w:val="24"/>
          <w:szCs w:val="24"/>
        </w:rPr>
        <w:t>information</w:t>
      </w:r>
      <w:r w:rsidR="000309C6" w:rsidRPr="00B568F3">
        <w:rPr>
          <w:rFonts w:ascii="Arial" w:eastAsia="Calibri" w:hAnsi="Arial" w:cs="Arial"/>
          <w:sz w:val="24"/>
          <w:szCs w:val="24"/>
        </w:rPr>
        <w:t>,</w:t>
      </w:r>
      <w:r w:rsidR="00844034" w:rsidRPr="00B568F3">
        <w:rPr>
          <w:rFonts w:ascii="Arial" w:eastAsia="Calibri" w:hAnsi="Arial" w:cs="Arial"/>
          <w:sz w:val="24"/>
          <w:szCs w:val="24"/>
        </w:rPr>
        <w:t xml:space="preserve"> w</w:t>
      </w:r>
      <w:r w:rsidR="00771E44" w:rsidRPr="00B568F3">
        <w:rPr>
          <w:rFonts w:ascii="Arial" w:eastAsia="Calibri" w:hAnsi="Arial" w:cs="Arial"/>
          <w:sz w:val="24"/>
          <w:szCs w:val="24"/>
        </w:rPr>
        <w:t>e’re not</w:t>
      </w:r>
      <w:r w:rsidR="00844034" w:rsidRPr="00B568F3">
        <w:rPr>
          <w:rFonts w:ascii="Arial" w:eastAsia="Calibri" w:hAnsi="Arial" w:cs="Arial"/>
          <w:sz w:val="24"/>
          <w:szCs w:val="24"/>
        </w:rPr>
        <w:t xml:space="preserve"> able to </w:t>
      </w:r>
      <w:r w:rsidR="004E4191" w:rsidRPr="00B568F3">
        <w:rPr>
          <w:rFonts w:ascii="Arial" w:eastAsia="Calibri" w:hAnsi="Arial" w:cs="Arial"/>
          <w:sz w:val="24"/>
          <w:szCs w:val="24"/>
        </w:rPr>
        <w:t xml:space="preserve">report </w:t>
      </w:r>
      <w:r w:rsidR="002E0318" w:rsidRPr="00B568F3">
        <w:rPr>
          <w:rFonts w:ascii="Arial" w:eastAsia="Calibri" w:hAnsi="Arial" w:cs="Arial"/>
          <w:sz w:val="24"/>
          <w:szCs w:val="24"/>
        </w:rPr>
        <w:t>all</w:t>
      </w:r>
      <w:r w:rsidR="00C939D4" w:rsidRPr="00B568F3">
        <w:rPr>
          <w:rFonts w:ascii="Arial" w:eastAsia="Calibri" w:hAnsi="Arial" w:cs="Arial"/>
          <w:sz w:val="24"/>
          <w:szCs w:val="24"/>
        </w:rPr>
        <w:t xml:space="preserve"> </w:t>
      </w:r>
      <w:r w:rsidR="001547FE" w:rsidRPr="00B568F3">
        <w:rPr>
          <w:rFonts w:ascii="Arial" w:eastAsia="Calibri" w:hAnsi="Arial" w:cs="Arial"/>
          <w:sz w:val="24"/>
          <w:szCs w:val="24"/>
        </w:rPr>
        <w:t>outp</w:t>
      </w:r>
      <w:r w:rsidR="000F6AE0" w:rsidRPr="00B568F3">
        <w:rPr>
          <w:rFonts w:ascii="Arial" w:eastAsia="Calibri" w:hAnsi="Arial" w:cs="Arial"/>
          <w:sz w:val="24"/>
          <w:szCs w:val="24"/>
        </w:rPr>
        <w:t>uts</w:t>
      </w:r>
      <w:r w:rsidR="00A7647A" w:rsidRPr="00B568F3">
        <w:rPr>
          <w:rFonts w:ascii="Arial" w:eastAsia="Calibri" w:hAnsi="Arial" w:cs="Arial"/>
          <w:sz w:val="24"/>
          <w:szCs w:val="24"/>
        </w:rPr>
        <w:t>, outcomes and trends</w:t>
      </w:r>
      <w:r w:rsidR="00844034" w:rsidRPr="00B568F3" w:rsidDel="00A7647A">
        <w:rPr>
          <w:rFonts w:ascii="Arial" w:eastAsia="Calibri" w:hAnsi="Arial" w:cs="Arial"/>
          <w:sz w:val="24"/>
          <w:szCs w:val="24"/>
        </w:rPr>
        <w:t xml:space="preserve"> </w:t>
      </w:r>
      <w:r w:rsidR="00844034" w:rsidRPr="00B568F3">
        <w:rPr>
          <w:rFonts w:ascii="Arial" w:eastAsia="Calibri" w:hAnsi="Arial" w:cs="Arial"/>
          <w:sz w:val="24"/>
          <w:szCs w:val="24"/>
        </w:rPr>
        <w:t xml:space="preserve">to the workforce development for the social care sector in Wales. </w:t>
      </w:r>
      <w:r w:rsidR="00740421" w:rsidRPr="00B568F3">
        <w:rPr>
          <w:rFonts w:ascii="Arial" w:eastAsia="Calibri" w:hAnsi="Arial" w:cs="Arial"/>
          <w:sz w:val="24"/>
          <w:szCs w:val="24"/>
        </w:rPr>
        <w:t>Also, t</w:t>
      </w:r>
      <w:r w:rsidR="00844034" w:rsidRPr="00B568F3">
        <w:rPr>
          <w:rFonts w:ascii="Arial" w:eastAsia="Calibri" w:hAnsi="Arial" w:cs="Arial"/>
          <w:sz w:val="24"/>
          <w:szCs w:val="24"/>
        </w:rPr>
        <w:t xml:space="preserve">his reporting </w:t>
      </w:r>
      <w:r w:rsidR="000664DB" w:rsidRPr="00B568F3">
        <w:rPr>
          <w:rFonts w:ascii="Arial" w:eastAsia="Calibri" w:hAnsi="Arial" w:cs="Arial"/>
          <w:sz w:val="24"/>
          <w:szCs w:val="24"/>
        </w:rPr>
        <w:t>won’t</w:t>
      </w:r>
      <w:r w:rsidR="00844034" w:rsidRPr="00B568F3">
        <w:rPr>
          <w:rFonts w:ascii="Arial" w:eastAsia="Calibri" w:hAnsi="Arial" w:cs="Arial"/>
          <w:sz w:val="24"/>
          <w:szCs w:val="24"/>
        </w:rPr>
        <w:t xml:space="preserve"> capture the workforce investment made by private and third sector providers. </w:t>
      </w:r>
      <w:r w:rsidR="00BC61B3" w:rsidRPr="00B568F3">
        <w:rPr>
          <w:rFonts w:ascii="Arial" w:eastAsia="Calibri" w:hAnsi="Arial" w:cs="Arial"/>
          <w:sz w:val="24"/>
          <w:szCs w:val="24"/>
        </w:rPr>
        <w:t>We</w:t>
      </w:r>
      <w:r w:rsidR="000F2BAF">
        <w:rPr>
          <w:rFonts w:ascii="Arial" w:eastAsia="Calibri" w:hAnsi="Arial" w:cs="Arial"/>
          <w:sz w:val="24"/>
          <w:szCs w:val="24"/>
        </w:rPr>
        <w:t xml:space="preserve"> plan to </w:t>
      </w:r>
      <w:r w:rsidR="003D4DB4" w:rsidRPr="00B568F3">
        <w:rPr>
          <w:rFonts w:ascii="Arial" w:eastAsia="Calibri" w:hAnsi="Arial" w:cs="Arial"/>
          <w:sz w:val="24"/>
          <w:szCs w:val="24"/>
        </w:rPr>
        <w:t xml:space="preserve">explore </w:t>
      </w:r>
      <w:r w:rsidR="007A1ACE" w:rsidRPr="00B568F3">
        <w:rPr>
          <w:rFonts w:ascii="Arial" w:eastAsia="Calibri" w:hAnsi="Arial" w:cs="Arial"/>
          <w:sz w:val="24"/>
          <w:szCs w:val="24"/>
        </w:rPr>
        <w:t xml:space="preserve">the possibilities of building a </w:t>
      </w:r>
      <w:r w:rsidR="00DA2871" w:rsidRPr="00B568F3">
        <w:rPr>
          <w:rFonts w:ascii="Arial" w:eastAsia="Calibri" w:hAnsi="Arial" w:cs="Arial"/>
          <w:sz w:val="24"/>
          <w:szCs w:val="24"/>
        </w:rPr>
        <w:t>fuller</w:t>
      </w:r>
      <w:r w:rsidR="007A1ACE" w:rsidRPr="00B568F3">
        <w:rPr>
          <w:rFonts w:ascii="Arial" w:eastAsia="Calibri" w:hAnsi="Arial" w:cs="Arial"/>
          <w:sz w:val="24"/>
          <w:szCs w:val="24"/>
        </w:rPr>
        <w:t xml:space="preserve"> picture </w:t>
      </w:r>
      <w:r w:rsidR="003D4DB4" w:rsidRPr="00B568F3">
        <w:rPr>
          <w:rFonts w:ascii="Arial" w:eastAsia="Calibri" w:hAnsi="Arial" w:cs="Arial"/>
          <w:sz w:val="24"/>
          <w:szCs w:val="24"/>
        </w:rPr>
        <w:t>with local authorities, regions and Welsh Government</w:t>
      </w:r>
      <w:r w:rsidR="008B6002" w:rsidRPr="00B568F3">
        <w:rPr>
          <w:rFonts w:ascii="Arial" w:eastAsia="Calibri" w:hAnsi="Arial" w:cs="Arial"/>
          <w:sz w:val="24"/>
          <w:szCs w:val="24"/>
        </w:rPr>
        <w:t xml:space="preserve">. </w:t>
      </w:r>
    </w:p>
    <w:p w14:paraId="2F5CA7A8" w14:textId="77777777" w:rsidR="006759E6" w:rsidRPr="00C92ECE" w:rsidRDefault="006759E6" w:rsidP="00C92ECE">
      <w:pPr>
        <w:spacing w:after="200" w:line="276" w:lineRule="auto"/>
        <w:ind w:left="567"/>
        <w:contextualSpacing/>
        <w:rPr>
          <w:rFonts w:ascii="Arial" w:eastAsia="Calibri"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96FB7" w:rsidRPr="00B568F3" w14:paraId="462A0931" w14:textId="77777777" w:rsidTr="005A75B9">
        <w:trPr>
          <w:trHeight w:val="7938"/>
        </w:trPr>
        <w:tc>
          <w:tcPr>
            <w:tcW w:w="9026" w:type="dxa"/>
          </w:tcPr>
          <w:p w14:paraId="6C7062A7" w14:textId="0E804B20" w:rsidR="009509B4" w:rsidRDefault="0065048A" w:rsidP="00245248">
            <w:pPr>
              <w:contextualSpacing/>
              <w:rPr>
                <w:rFonts w:ascii="Arial" w:eastAsia="Calibri" w:hAnsi="Arial" w:cs="Arial"/>
                <w:b/>
                <w:bCs/>
                <w:sz w:val="24"/>
                <w:szCs w:val="24"/>
              </w:rPr>
            </w:pPr>
            <w:r w:rsidRPr="00B568F3">
              <w:rPr>
                <w:rFonts w:ascii="Arial" w:eastAsia="Calibri" w:hAnsi="Arial" w:cs="Arial"/>
                <w:b/>
                <w:bCs/>
                <w:sz w:val="24"/>
                <w:szCs w:val="24"/>
              </w:rPr>
              <w:lastRenderedPageBreak/>
              <w:t>F</w:t>
            </w:r>
            <w:r w:rsidR="00D96FB7" w:rsidRPr="00B568F3">
              <w:rPr>
                <w:rFonts w:ascii="Arial" w:eastAsia="Calibri" w:hAnsi="Arial" w:cs="Arial"/>
                <w:b/>
                <w:bCs/>
                <w:sz w:val="24"/>
                <w:szCs w:val="24"/>
              </w:rPr>
              <w:t xml:space="preserve">igure 3: </w:t>
            </w:r>
            <w:r w:rsidR="00A22B2B" w:rsidRPr="00B568F3">
              <w:rPr>
                <w:rFonts w:ascii="Arial" w:eastAsia="Calibri" w:hAnsi="Arial" w:cs="Arial"/>
                <w:b/>
                <w:bCs/>
                <w:sz w:val="24"/>
                <w:szCs w:val="24"/>
              </w:rPr>
              <w:t xml:space="preserve">Percentage </w:t>
            </w:r>
            <w:r w:rsidR="00D96FB7" w:rsidRPr="00B568F3">
              <w:rPr>
                <w:rFonts w:ascii="Arial" w:eastAsia="Calibri" w:hAnsi="Arial" w:cs="Arial"/>
                <w:b/>
                <w:bCs/>
                <w:sz w:val="24"/>
                <w:szCs w:val="24"/>
              </w:rPr>
              <w:t>spend split</w:t>
            </w:r>
            <w:r w:rsidR="00A22B2B" w:rsidRPr="00B568F3">
              <w:rPr>
                <w:rFonts w:ascii="Arial" w:eastAsia="Calibri" w:hAnsi="Arial" w:cs="Arial"/>
                <w:b/>
                <w:bCs/>
                <w:sz w:val="24"/>
                <w:szCs w:val="24"/>
              </w:rPr>
              <w:t xml:space="preserve"> by reporting headings</w:t>
            </w:r>
            <w:r w:rsidR="00D96FB7" w:rsidRPr="00B568F3">
              <w:rPr>
                <w:rFonts w:ascii="Arial" w:eastAsia="Calibri" w:hAnsi="Arial" w:cs="Arial"/>
                <w:b/>
                <w:bCs/>
                <w:sz w:val="24"/>
                <w:szCs w:val="24"/>
              </w:rPr>
              <w:t xml:space="preserve">, </w:t>
            </w:r>
            <w:r w:rsidR="00190E0A" w:rsidRPr="00B568F3">
              <w:rPr>
                <w:rFonts w:ascii="Arial" w:eastAsia="Calibri" w:hAnsi="Arial" w:cs="Arial"/>
                <w:b/>
                <w:bCs/>
                <w:sz w:val="24"/>
                <w:szCs w:val="24"/>
              </w:rPr>
              <w:t>202</w:t>
            </w:r>
            <w:r w:rsidR="00190E0A">
              <w:rPr>
                <w:rFonts w:ascii="Arial" w:eastAsia="Calibri" w:hAnsi="Arial" w:cs="Arial"/>
                <w:b/>
                <w:bCs/>
                <w:sz w:val="24"/>
                <w:szCs w:val="24"/>
              </w:rPr>
              <w:t>4</w:t>
            </w:r>
            <w:r w:rsidR="00190E0A" w:rsidRPr="00B568F3">
              <w:rPr>
                <w:rFonts w:ascii="Arial" w:eastAsia="Calibri" w:hAnsi="Arial" w:cs="Arial"/>
                <w:b/>
                <w:bCs/>
                <w:sz w:val="24"/>
                <w:szCs w:val="24"/>
              </w:rPr>
              <w:t xml:space="preserve"> </w:t>
            </w:r>
            <w:r w:rsidR="002F44C8" w:rsidRPr="00B568F3">
              <w:rPr>
                <w:rFonts w:ascii="Arial" w:eastAsia="Calibri" w:hAnsi="Arial" w:cs="Arial"/>
                <w:b/>
                <w:bCs/>
                <w:sz w:val="24"/>
                <w:szCs w:val="24"/>
              </w:rPr>
              <w:t>to</w:t>
            </w:r>
            <w:r w:rsidR="00083492" w:rsidRPr="00B568F3">
              <w:rPr>
                <w:rFonts w:ascii="Arial" w:eastAsia="Calibri" w:hAnsi="Arial" w:cs="Arial"/>
                <w:b/>
                <w:bCs/>
                <w:sz w:val="24"/>
                <w:szCs w:val="24"/>
              </w:rPr>
              <w:t xml:space="preserve"> </w:t>
            </w:r>
            <w:r w:rsidR="00190E0A" w:rsidRPr="00B568F3">
              <w:rPr>
                <w:rFonts w:ascii="Arial" w:eastAsia="Calibri" w:hAnsi="Arial" w:cs="Arial"/>
                <w:b/>
                <w:bCs/>
                <w:sz w:val="24"/>
                <w:szCs w:val="24"/>
              </w:rPr>
              <w:t>202</w:t>
            </w:r>
            <w:r w:rsidR="00190E0A">
              <w:rPr>
                <w:rFonts w:ascii="Arial" w:eastAsia="Calibri" w:hAnsi="Arial" w:cs="Arial"/>
                <w:b/>
                <w:bCs/>
                <w:sz w:val="24"/>
                <w:szCs w:val="24"/>
              </w:rPr>
              <w:t>5</w:t>
            </w:r>
            <w:r w:rsidR="00190E0A" w:rsidRPr="00B568F3">
              <w:rPr>
                <w:rFonts w:ascii="Arial" w:eastAsia="Calibri" w:hAnsi="Arial" w:cs="Arial"/>
                <w:b/>
                <w:bCs/>
                <w:sz w:val="24"/>
                <w:szCs w:val="24"/>
              </w:rPr>
              <w:t xml:space="preserve"> </w:t>
            </w:r>
          </w:p>
          <w:p w14:paraId="4B8B12C8" w14:textId="77777777" w:rsidR="001259C5" w:rsidRDefault="001259C5" w:rsidP="00245248">
            <w:pPr>
              <w:contextualSpacing/>
              <w:rPr>
                <w:rFonts w:ascii="Arial" w:eastAsia="Calibri" w:hAnsi="Arial" w:cs="Arial"/>
                <w:b/>
                <w:bCs/>
                <w:sz w:val="24"/>
                <w:szCs w:val="24"/>
              </w:rPr>
            </w:pPr>
          </w:p>
          <w:p w14:paraId="359D5C76" w14:textId="260A6649" w:rsidR="001259C5" w:rsidRDefault="001259C5" w:rsidP="00245248">
            <w:pPr>
              <w:contextualSpacing/>
              <w:rPr>
                <w:rFonts w:ascii="Arial" w:eastAsia="Calibri" w:hAnsi="Arial" w:cs="Arial"/>
                <w:sz w:val="24"/>
                <w:szCs w:val="24"/>
              </w:rPr>
            </w:pPr>
            <w:r w:rsidRPr="00B568F3">
              <w:rPr>
                <w:rFonts w:ascii="Arial" w:eastAsia="Calibri" w:hAnsi="Arial" w:cs="Arial"/>
                <w:sz w:val="24"/>
                <w:szCs w:val="24"/>
              </w:rPr>
              <w:t xml:space="preserve">Figure 3 shows the percentage split of spend across the headings that local authorities need </w:t>
            </w:r>
            <w:r w:rsidRPr="00B568F3" w:rsidDel="145DE0D8">
              <w:rPr>
                <w:rFonts w:ascii="Arial" w:eastAsia="Calibri" w:hAnsi="Arial" w:cs="Arial"/>
                <w:sz w:val="24"/>
                <w:szCs w:val="24"/>
              </w:rPr>
              <w:t>to</w:t>
            </w:r>
            <w:r w:rsidRPr="00B568F3">
              <w:rPr>
                <w:rFonts w:ascii="Arial" w:eastAsia="Calibri" w:hAnsi="Arial" w:cs="Arial"/>
                <w:sz w:val="24"/>
                <w:szCs w:val="24"/>
              </w:rPr>
              <w:t xml:space="preserve"> report on. The SCWWDP figures includes the 30 per cent match funding, while the ‘overall’ figure includes the </w:t>
            </w:r>
            <w:r>
              <w:rPr>
                <w:rFonts w:ascii="Arial" w:eastAsia="Calibri" w:hAnsi="Arial" w:cs="Arial"/>
                <w:sz w:val="24"/>
                <w:szCs w:val="24"/>
              </w:rPr>
              <w:t xml:space="preserve">reported </w:t>
            </w:r>
            <w:r w:rsidRPr="00B568F3">
              <w:rPr>
                <w:rFonts w:ascii="Arial" w:eastAsia="Calibri" w:hAnsi="Arial" w:cs="Arial"/>
                <w:sz w:val="24"/>
                <w:szCs w:val="24"/>
              </w:rPr>
              <w:t>additional local authority funding above the 30 per cent match funding</w:t>
            </w:r>
          </w:p>
          <w:p w14:paraId="213C23A2" w14:textId="77777777" w:rsidR="001259C5" w:rsidRPr="00B568F3" w:rsidRDefault="001259C5" w:rsidP="00245248">
            <w:pPr>
              <w:contextualSpacing/>
              <w:rPr>
                <w:rFonts w:ascii="Arial" w:eastAsia="Calibri" w:hAnsi="Arial" w:cs="Arial"/>
                <w:b/>
                <w:bCs/>
                <w:sz w:val="24"/>
                <w:szCs w:val="24"/>
              </w:rPr>
            </w:pPr>
          </w:p>
          <w:p w14:paraId="63E43DF7" w14:textId="1D410A13" w:rsidR="00D96FB7" w:rsidRPr="00B568F3" w:rsidRDefault="005A75B9" w:rsidP="001259C5">
            <w:pPr>
              <w:contextualSpacing/>
              <w:rPr>
                <w:rFonts w:ascii="Arial" w:eastAsia="Calibri" w:hAnsi="Arial" w:cs="Arial"/>
                <w:b/>
                <w:bCs/>
                <w:color w:val="FF0000"/>
                <w:sz w:val="24"/>
                <w:szCs w:val="24"/>
              </w:rPr>
            </w:pPr>
            <w:r>
              <w:rPr>
                <w:noProof/>
              </w:rPr>
              <w:drawing>
                <wp:inline distT="0" distB="0" distL="0" distR="0" wp14:anchorId="3E5D5CF1" wp14:editId="02317278">
                  <wp:extent cx="5731510" cy="4229100"/>
                  <wp:effectExtent l="0" t="0" r="2540" b="0"/>
                  <wp:docPr id="440073492" name="Chart 1" descr="bar graph showing percenting spend split by report headings">
                    <a:extLst xmlns:a="http://schemas.openxmlformats.org/drawingml/2006/main">
                      <a:ext uri="{FF2B5EF4-FFF2-40B4-BE49-F238E27FC236}">
                        <a16:creationId xmlns:a16="http://schemas.microsoft.com/office/drawing/2014/main" id="{B1057B73-6B3C-459B-9676-FC2CD78F4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7FD27558" w14:textId="4143B015" w:rsidR="002D1B1F" w:rsidRPr="000C06A7" w:rsidRDefault="002D1B1F" w:rsidP="000C06A7">
      <w:pPr>
        <w:pStyle w:val="Heading3"/>
      </w:pPr>
      <w:bookmarkStart w:id="14" w:name="_Toc179481627"/>
      <w:bookmarkStart w:id="15" w:name="_Toc210987763"/>
      <w:bookmarkStart w:id="16" w:name="_Toc211279616"/>
      <w:r w:rsidRPr="000C06A7">
        <w:t>Staffing</w:t>
      </w:r>
      <w:bookmarkEnd w:id="14"/>
      <w:bookmarkEnd w:id="15"/>
      <w:bookmarkEnd w:id="16"/>
    </w:p>
    <w:p w14:paraId="08000DEB" w14:textId="19ACACE7" w:rsidR="00EE33C9" w:rsidRPr="00B568F3" w:rsidRDefault="145DE0D8"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In </w:t>
      </w:r>
      <w:r w:rsidR="00C26733" w:rsidRPr="00B568F3">
        <w:rPr>
          <w:rFonts w:ascii="Arial" w:eastAsia="Calibri" w:hAnsi="Arial" w:cs="Arial"/>
          <w:sz w:val="24"/>
          <w:szCs w:val="24"/>
        </w:rPr>
        <w:t>202</w:t>
      </w:r>
      <w:r w:rsidR="00C26733">
        <w:rPr>
          <w:rFonts w:ascii="Arial" w:eastAsia="Calibri" w:hAnsi="Arial" w:cs="Arial"/>
          <w:sz w:val="24"/>
          <w:szCs w:val="24"/>
        </w:rPr>
        <w:t>4</w:t>
      </w:r>
      <w:r w:rsidR="00C26733" w:rsidRPr="00B568F3">
        <w:rPr>
          <w:rFonts w:ascii="Arial" w:eastAsia="Calibri" w:hAnsi="Arial" w:cs="Arial"/>
          <w:sz w:val="24"/>
          <w:szCs w:val="24"/>
        </w:rPr>
        <w:t xml:space="preserve"> </w:t>
      </w:r>
      <w:r w:rsidRPr="00B568F3">
        <w:rPr>
          <w:rFonts w:ascii="Arial" w:eastAsia="Calibri" w:hAnsi="Arial" w:cs="Arial"/>
          <w:sz w:val="24"/>
          <w:szCs w:val="24"/>
        </w:rPr>
        <w:t xml:space="preserve">to </w:t>
      </w:r>
      <w:r w:rsidR="00C26733" w:rsidRPr="00B568F3">
        <w:rPr>
          <w:rFonts w:ascii="Arial" w:eastAsia="Calibri" w:hAnsi="Arial" w:cs="Arial"/>
          <w:sz w:val="24"/>
          <w:szCs w:val="24"/>
        </w:rPr>
        <w:t>202</w:t>
      </w:r>
      <w:r w:rsidR="00C26733">
        <w:rPr>
          <w:rFonts w:ascii="Arial" w:eastAsia="Calibri" w:hAnsi="Arial" w:cs="Arial"/>
          <w:sz w:val="24"/>
          <w:szCs w:val="24"/>
        </w:rPr>
        <w:t>5</w:t>
      </w:r>
      <w:r w:rsidR="005B0A8D" w:rsidRPr="00B568F3">
        <w:rPr>
          <w:rFonts w:ascii="Arial" w:eastAsia="Calibri" w:hAnsi="Arial" w:cs="Arial"/>
          <w:sz w:val="24"/>
          <w:szCs w:val="24"/>
        </w:rPr>
        <w:t>,</w:t>
      </w:r>
      <w:r w:rsidRPr="00B568F3">
        <w:rPr>
          <w:rFonts w:ascii="Arial" w:eastAsia="Calibri" w:hAnsi="Arial" w:cs="Arial"/>
          <w:sz w:val="24"/>
          <w:szCs w:val="24"/>
        </w:rPr>
        <w:t xml:space="preserve"> </w:t>
      </w:r>
      <w:r w:rsidR="00147BE6">
        <w:rPr>
          <w:rFonts w:ascii="Arial" w:eastAsia="Calibri" w:hAnsi="Arial" w:cs="Arial"/>
          <w:sz w:val="24"/>
          <w:szCs w:val="24"/>
        </w:rPr>
        <w:t>70.6</w:t>
      </w:r>
      <w:r w:rsidRPr="00B568F3">
        <w:rPr>
          <w:rFonts w:ascii="Arial" w:eastAsia="Calibri" w:hAnsi="Arial" w:cs="Arial"/>
          <w:sz w:val="24"/>
          <w:szCs w:val="24"/>
        </w:rPr>
        <w:t xml:space="preserve"> per cent of SCWWDP spend was on staffing (this includes delivery, </w:t>
      </w:r>
      <w:r w:rsidR="005A60F9" w:rsidRPr="00B568F3">
        <w:rPr>
          <w:rFonts w:ascii="Arial" w:eastAsia="Calibri" w:hAnsi="Arial" w:cs="Arial"/>
          <w:sz w:val="24"/>
          <w:szCs w:val="24"/>
        </w:rPr>
        <w:t>management,</w:t>
      </w:r>
      <w:r w:rsidRPr="00B568F3">
        <w:rPr>
          <w:rFonts w:ascii="Arial" w:eastAsia="Calibri" w:hAnsi="Arial" w:cs="Arial"/>
          <w:sz w:val="24"/>
          <w:szCs w:val="24"/>
        </w:rPr>
        <w:t xml:space="preserve"> and admin staff) compared to </w:t>
      </w:r>
      <w:r w:rsidR="002D386A">
        <w:rPr>
          <w:rFonts w:ascii="Arial" w:eastAsia="Calibri" w:hAnsi="Arial" w:cs="Arial"/>
          <w:sz w:val="24"/>
          <w:szCs w:val="24"/>
        </w:rPr>
        <w:t>36.3</w:t>
      </w:r>
      <w:r w:rsidRPr="00B568F3">
        <w:rPr>
          <w:rFonts w:ascii="Arial" w:eastAsia="Calibri" w:hAnsi="Arial" w:cs="Arial"/>
          <w:sz w:val="24"/>
          <w:szCs w:val="24"/>
        </w:rPr>
        <w:t xml:space="preserve"> per cent of </w:t>
      </w:r>
      <w:r w:rsidR="002913A0">
        <w:rPr>
          <w:rFonts w:ascii="Arial" w:eastAsia="Calibri" w:hAnsi="Arial" w:cs="Arial"/>
          <w:sz w:val="24"/>
          <w:szCs w:val="24"/>
        </w:rPr>
        <w:t xml:space="preserve">reported </w:t>
      </w:r>
      <w:r w:rsidRPr="00B568F3">
        <w:rPr>
          <w:rFonts w:ascii="Arial" w:eastAsia="Calibri" w:hAnsi="Arial" w:cs="Arial"/>
          <w:sz w:val="24"/>
          <w:szCs w:val="24"/>
        </w:rPr>
        <w:t xml:space="preserve">additional local authority funding. Staffing costs make up </w:t>
      </w:r>
      <w:r w:rsidR="002D386A">
        <w:rPr>
          <w:rFonts w:ascii="Arial" w:eastAsia="Calibri" w:hAnsi="Arial" w:cs="Arial"/>
          <w:sz w:val="24"/>
          <w:szCs w:val="24"/>
        </w:rPr>
        <w:t>65.7</w:t>
      </w:r>
      <w:r w:rsidRPr="00B568F3">
        <w:rPr>
          <w:rFonts w:ascii="Arial" w:eastAsia="Calibri" w:hAnsi="Arial" w:cs="Arial"/>
          <w:sz w:val="24"/>
          <w:szCs w:val="24"/>
        </w:rPr>
        <w:t xml:space="preserve"> per cent of the overall spend in </w:t>
      </w:r>
      <w:r w:rsidR="002D386A" w:rsidRPr="00B568F3">
        <w:rPr>
          <w:rFonts w:ascii="Arial" w:eastAsia="Calibri" w:hAnsi="Arial" w:cs="Arial"/>
          <w:sz w:val="24"/>
          <w:szCs w:val="24"/>
        </w:rPr>
        <w:t>202</w:t>
      </w:r>
      <w:r w:rsidR="002D386A">
        <w:rPr>
          <w:rFonts w:ascii="Arial" w:eastAsia="Calibri" w:hAnsi="Arial" w:cs="Arial"/>
          <w:sz w:val="24"/>
          <w:szCs w:val="24"/>
        </w:rPr>
        <w:t>4</w:t>
      </w:r>
      <w:r w:rsidR="002D386A" w:rsidRPr="00B568F3">
        <w:rPr>
          <w:rFonts w:ascii="Arial" w:eastAsia="Calibri" w:hAnsi="Arial" w:cs="Arial"/>
          <w:sz w:val="24"/>
          <w:szCs w:val="24"/>
        </w:rPr>
        <w:t xml:space="preserve"> </w:t>
      </w:r>
      <w:r w:rsidRPr="00B568F3">
        <w:rPr>
          <w:rFonts w:ascii="Arial" w:eastAsia="Calibri" w:hAnsi="Arial" w:cs="Arial"/>
          <w:sz w:val="24"/>
          <w:szCs w:val="24"/>
        </w:rPr>
        <w:t xml:space="preserve">to </w:t>
      </w:r>
      <w:r w:rsidR="002D386A" w:rsidRPr="00B568F3">
        <w:rPr>
          <w:rFonts w:ascii="Arial" w:eastAsia="Calibri" w:hAnsi="Arial" w:cs="Arial"/>
          <w:sz w:val="24"/>
          <w:szCs w:val="24"/>
        </w:rPr>
        <w:t>202</w:t>
      </w:r>
      <w:r w:rsidR="002D386A">
        <w:rPr>
          <w:rFonts w:ascii="Arial" w:eastAsia="Calibri" w:hAnsi="Arial" w:cs="Arial"/>
          <w:sz w:val="24"/>
          <w:szCs w:val="24"/>
        </w:rPr>
        <w:t>5</w:t>
      </w:r>
      <w:r w:rsidRPr="00B568F3">
        <w:rPr>
          <w:rFonts w:ascii="Arial" w:eastAsia="Calibri" w:hAnsi="Arial" w:cs="Arial"/>
          <w:sz w:val="24"/>
          <w:szCs w:val="24"/>
        </w:rPr>
        <w:t>.</w:t>
      </w:r>
    </w:p>
    <w:p w14:paraId="280C468D" w14:textId="77777777" w:rsidR="008D6804" w:rsidRPr="00B568F3" w:rsidRDefault="008D6804" w:rsidP="001501DD">
      <w:pPr>
        <w:spacing w:after="200" w:line="276" w:lineRule="auto"/>
        <w:ind w:left="567"/>
        <w:contextualSpacing/>
        <w:rPr>
          <w:rFonts w:ascii="Arial" w:eastAsia="Calibri" w:hAnsi="Arial" w:cs="Arial"/>
          <w:sz w:val="24"/>
          <w:szCs w:val="24"/>
        </w:rPr>
      </w:pPr>
    </w:p>
    <w:p w14:paraId="5316C5D4" w14:textId="28B5DFA2" w:rsidR="00390081" w:rsidRPr="00B568F3" w:rsidRDefault="145DE0D8"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Figure 4 and Table 3 show the split of spend against staffing</w:t>
      </w:r>
      <w:r w:rsidR="003676BF" w:rsidRPr="00B568F3" w:rsidDel="145DE0D8">
        <w:rPr>
          <w:rFonts w:ascii="Arial" w:eastAsia="Calibri" w:hAnsi="Arial" w:cs="Arial"/>
          <w:sz w:val="24"/>
          <w:szCs w:val="24"/>
          <w:lang w:eastAsia="en-GB"/>
        </w:rPr>
        <w:t xml:space="preserve"> </w:t>
      </w:r>
      <w:r w:rsidRPr="00B568F3">
        <w:rPr>
          <w:rFonts w:ascii="Arial" w:eastAsia="Calibri" w:hAnsi="Arial" w:cs="Arial"/>
          <w:sz w:val="24"/>
          <w:szCs w:val="24"/>
          <w:lang w:eastAsia="en-GB"/>
        </w:rPr>
        <w:t>in terms of spend, and percentage of the overall grant.</w:t>
      </w:r>
    </w:p>
    <w:p w14:paraId="524696F7" w14:textId="77777777" w:rsidR="008D6804" w:rsidRPr="00B568F3" w:rsidRDefault="008D6804" w:rsidP="001501DD">
      <w:pPr>
        <w:spacing w:after="200" w:line="276" w:lineRule="auto"/>
        <w:ind w:left="567"/>
        <w:contextualSpacing/>
        <w:rPr>
          <w:rFonts w:ascii="Arial" w:eastAsia="Calibri" w:hAnsi="Arial" w:cs="Arial"/>
          <w:sz w:val="24"/>
          <w:szCs w:val="24"/>
          <w:lang w:eastAsia="en-GB"/>
        </w:rPr>
      </w:pPr>
    </w:p>
    <w:p w14:paraId="2F4C64AA" w14:textId="0BE5D15A" w:rsidR="00F72241" w:rsidRDefault="145DE0D8"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Table 3 shows that the cost to the local authorities </w:t>
      </w:r>
      <w:r w:rsidR="00A36D14">
        <w:rPr>
          <w:rFonts w:ascii="Arial" w:eastAsia="Calibri" w:hAnsi="Arial" w:cs="Arial"/>
          <w:sz w:val="24"/>
          <w:szCs w:val="24"/>
          <w:lang w:eastAsia="en-GB"/>
        </w:rPr>
        <w:t xml:space="preserve">of managing and </w:t>
      </w:r>
      <w:r w:rsidRPr="00B568F3">
        <w:rPr>
          <w:rFonts w:ascii="Arial" w:eastAsia="Calibri" w:hAnsi="Arial" w:cs="Arial"/>
          <w:sz w:val="24"/>
          <w:szCs w:val="24"/>
          <w:lang w:eastAsia="en-GB"/>
        </w:rPr>
        <w:t xml:space="preserve">administering the SCWWDP grant increased by </w:t>
      </w:r>
      <w:r w:rsidR="001121D4">
        <w:rPr>
          <w:rFonts w:ascii="Arial" w:eastAsia="Calibri" w:hAnsi="Arial" w:cs="Arial"/>
          <w:sz w:val="24"/>
          <w:szCs w:val="24"/>
          <w:lang w:eastAsia="en-GB"/>
        </w:rPr>
        <w:t>8</w:t>
      </w:r>
      <w:r w:rsidRPr="00B568F3">
        <w:rPr>
          <w:rFonts w:ascii="Arial" w:eastAsia="Calibri" w:hAnsi="Arial" w:cs="Arial"/>
          <w:sz w:val="24"/>
          <w:szCs w:val="24"/>
          <w:lang w:eastAsia="en-GB"/>
        </w:rPr>
        <w:t xml:space="preserve">.3 per cent in </w:t>
      </w:r>
      <w:r w:rsidR="001121D4" w:rsidRPr="00B568F3">
        <w:rPr>
          <w:rFonts w:ascii="Arial" w:eastAsia="Calibri" w:hAnsi="Arial" w:cs="Arial"/>
          <w:sz w:val="24"/>
          <w:szCs w:val="24"/>
          <w:lang w:eastAsia="en-GB"/>
        </w:rPr>
        <w:t>202</w:t>
      </w:r>
      <w:r w:rsidR="001121D4">
        <w:rPr>
          <w:rFonts w:ascii="Arial" w:eastAsia="Calibri" w:hAnsi="Arial" w:cs="Arial"/>
          <w:sz w:val="24"/>
          <w:szCs w:val="24"/>
          <w:lang w:eastAsia="en-GB"/>
        </w:rPr>
        <w:t>4</w:t>
      </w:r>
      <w:r w:rsidR="001121D4" w:rsidRPr="00B568F3">
        <w:rPr>
          <w:rFonts w:ascii="Arial" w:eastAsia="Calibri" w:hAnsi="Arial" w:cs="Arial"/>
          <w:sz w:val="24"/>
          <w:szCs w:val="24"/>
          <w:lang w:eastAsia="en-GB"/>
        </w:rPr>
        <w:t xml:space="preserve"> </w:t>
      </w:r>
      <w:r w:rsidRPr="00B568F3">
        <w:rPr>
          <w:rFonts w:ascii="Arial" w:eastAsia="Calibri" w:hAnsi="Arial" w:cs="Arial"/>
          <w:sz w:val="24"/>
          <w:szCs w:val="24"/>
          <w:lang w:eastAsia="en-GB"/>
        </w:rPr>
        <w:t xml:space="preserve">to </w:t>
      </w:r>
      <w:r w:rsidR="001121D4" w:rsidRPr="00B568F3">
        <w:rPr>
          <w:rFonts w:ascii="Arial" w:eastAsia="Calibri" w:hAnsi="Arial" w:cs="Arial"/>
          <w:sz w:val="24"/>
          <w:szCs w:val="24"/>
          <w:lang w:eastAsia="en-GB"/>
        </w:rPr>
        <w:t>202</w:t>
      </w:r>
      <w:r w:rsidR="001121D4">
        <w:rPr>
          <w:rFonts w:ascii="Arial" w:eastAsia="Calibri" w:hAnsi="Arial" w:cs="Arial"/>
          <w:sz w:val="24"/>
          <w:szCs w:val="24"/>
          <w:lang w:eastAsia="en-GB"/>
        </w:rPr>
        <w:t>5</w:t>
      </w:r>
      <w:r w:rsidR="001121D4" w:rsidRPr="00B568F3">
        <w:rPr>
          <w:rFonts w:ascii="Arial" w:eastAsia="Calibri" w:hAnsi="Arial" w:cs="Arial"/>
          <w:sz w:val="24"/>
          <w:szCs w:val="24"/>
          <w:lang w:eastAsia="en-GB"/>
        </w:rPr>
        <w:t xml:space="preserve"> </w:t>
      </w:r>
      <w:r w:rsidRPr="00B568F3">
        <w:rPr>
          <w:rFonts w:ascii="Arial" w:eastAsia="Calibri" w:hAnsi="Arial" w:cs="Arial"/>
          <w:sz w:val="24"/>
          <w:szCs w:val="24"/>
          <w:lang w:eastAsia="en-GB"/>
        </w:rPr>
        <w:t xml:space="preserve">compared to a </w:t>
      </w:r>
      <w:r w:rsidR="00104FE6">
        <w:rPr>
          <w:rFonts w:ascii="Arial" w:eastAsia="Calibri" w:hAnsi="Arial" w:cs="Arial"/>
          <w:sz w:val="24"/>
          <w:szCs w:val="24"/>
          <w:lang w:eastAsia="en-GB"/>
        </w:rPr>
        <w:t>0.3</w:t>
      </w:r>
      <w:r w:rsidRPr="00B568F3">
        <w:rPr>
          <w:rFonts w:ascii="Arial" w:eastAsia="Calibri" w:hAnsi="Arial" w:cs="Arial"/>
          <w:sz w:val="24"/>
          <w:szCs w:val="24"/>
          <w:lang w:eastAsia="en-GB"/>
        </w:rPr>
        <w:t xml:space="preserve"> per cent </w:t>
      </w:r>
      <w:r w:rsidR="00104FE6">
        <w:rPr>
          <w:rFonts w:ascii="Arial" w:eastAsia="Calibri" w:hAnsi="Arial" w:cs="Arial"/>
          <w:sz w:val="24"/>
          <w:szCs w:val="24"/>
          <w:lang w:eastAsia="en-GB"/>
        </w:rPr>
        <w:t>increa</w:t>
      </w:r>
      <w:r w:rsidR="001121D4">
        <w:rPr>
          <w:rFonts w:ascii="Arial" w:eastAsia="Calibri" w:hAnsi="Arial" w:cs="Arial"/>
          <w:sz w:val="24"/>
          <w:szCs w:val="24"/>
          <w:lang w:eastAsia="en-GB"/>
        </w:rPr>
        <w:t xml:space="preserve">se </w:t>
      </w:r>
      <w:r w:rsidRPr="00B568F3">
        <w:rPr>
          <w:rFonts w:ascii="Arial" w:eastAsia="Calibri" w:hAnsi="Arial" w:cs="Arial"/>
          <w:sz w:val="24"/>
          <w:szCs w:val="24"/>
          <w:lang w:eastAsia="en-GB"/>
        </w:rPr>
        <w:t xml:space="preserve">the previous year. </w:t>
      </w:r>
      <w:r w:rsidR="001F439F">
        <w:rPr>
          <w:rFonts w:ascii="Arial" w:eastAsia="Calibri" w:hAnsi="Arial" w:cs="Arial"/>
          <w:sz w:val="24"/>
          <w:szCs w:val="24"/>
          <w:lang w:eastAsia="en-GB"/>
        </w:rPr>
        <w:t xml:space="preserve">This was associated with increased costs in </w:t>
      </w:r>
      <w:r w:rsidR="00685A94">
        <w:rPr>
          <w:rFonts w:ascii="Arial" w:eastAsia="Calibri" w:hAnsi="Arial" w:cs="Arial"/>
          <w:sz w:val="24"/>
          <w:szCs w:val="24"/>
          <w:lang w:eastAsia="en-GB"/>
        </w:rPr>
        <w:t xml:space="preserve">four out of the seven regions. </w:t>
      </w:r>
      <w:r w:rsidR="00615640" w:rsidRPr="00B568F3">
        <w:rPr>
          <w:rFonts w:ascii="Arial" w:eastAsia="Calibri" w:hAnsi="Arial" w:cs="Arial"/>
          <w:sz w:val="24"/>
          <w:szCs w:val="24"/>
          <w:lang w:eastAsia="en-GB"/>
        </w:rPr>
        <w:t>Local authority additional funding over and above the 30 per cent</w:t>
      </w:r>
      <w:r w:rsidR="00615640" w:rsidRPr="00B568F3" w:rsidDel="000F5E73">
        <w:rPr>
          <w:rFonts w:ascii="Arial" w:eastAsia="Calibri" w:hAnsi="Arial" w:cs="Arial"/>
          <w:sz w:val="24"/>
          <w:szCs w:val="24"/>
          <w:lang w:eastAsia="en-GB"/>
        </w:rPr>
        <w:t xml:space="preserve"> </w:t>
      </w:r>
      <w:r w:rsidR="00615640" w:rsidRPr="00B568F3">
        <w:rPr>
          <w:rFonts w:ascii="Arial" w:eastAsia="Calibri" w:hAnsi="Arial" w:cs="Arial"/>
          <w:sz w:val="24"/>
          <w:szCs w:val="24"/>
          <w:lang w:eastAsia="en-GB"/>
        </w:rPr>
        <w:t>match funding</w:t>
      </w:r>
      <w:r w:rsidR="0005272F">
        <w:rPr>
          <w:rFonts w:ascii="Arial" w:eastAsia="Calibri" w:hAnsi="Arial" w:cs="Arial"/>
          <w:sz w:val="24"/>
          <w:szCs w:val="24"/>
          <w:lang w:eastAsia="en-GB"/>
        </w:rPr>
        <w:t>,</w:t>
      </w:r>
      <w:r w:rsidR="00615640" w:rsidRPr="00B568F3">
        <w:rPr>
          <w:rFonts w:ascii="Arial" w:eastAsia="Calibri" w:hAnsi="Arial" w:cs="Arial"/>
          <w:sz w:val="24"/>
          <w:szCs w:val="24"/>
          <w:lang w:eastAsia="en-GB"/>
        </w:rPr>
        <w:t xml:space="preserve"> show</w:t>
      </w:r>
      <w:r w:rsidR="00615640">
        <w:rPr>
          <w:rFonts w:ascii="Arial" w:eastAsia="Calibri" w:hAnsi="Arial" w:cs="Arial"/>
          <w:sz w:val="24"/>
          <w:szCs w:val="24"/>
          <w:lang w:eastAsia="en-GB"/>
        </w:rPr>
        <w:t xml:space="preserve">ed a 30.3 per cent </w:t>
      </w:r>
      <w:r w:rsidR="00615640" w:rsidRPr="00B568F3">
        <w:rPr>
          <w:rFonts w:ascii="Arial" w:eastAsia="Calibri" w:hAnsi="Arial" w:cs="Arial"/>
          <w:sz w:val="24"/>
          <w:szCs w:val="24"/>
          <w:lang w:eastAsia="en-GB"/>
        </w:rPr>
        <w:t>decrease in management and administration costs</w:t>
      </w:r>
      <w:r w:rsidR="000F508F">
        <w:rPr>
          <w:rFonts w:ascii="Arial" w:eastAsia="Calibri" w:hAnsi="Arial" w:cs="Arial"/>
          <w:sz w:val="24"/>
          <w:szCs w:val="24"/>
          <w:lang w:eastAsia="en-GB"/>
        </w:rPr>
        <w:t>,</w:t>
      </w:r>
      <w:r w:rsidR="00615640">
        <w:rPr>
          <w:rFonts w:ascii="Arial" w:eastAsia="Calibri" w:hAnsi="Arial" w:cs="Arial"/>
          <w:sz w:val="24"/>
          <w:szCs w:val="24"/>
          <w:lang w:eastAsia="en-GB"/>
        </w:rPr>
        <w:t xml:space="preserve"> leading to an overall </w:t>
      </w:r>
      <w:r w:rsidR="00615640">
        <w:rPr>
          <w:rFonts w:ascii="Arial" w:eastAsia="Calibri" w:hAnsi="Arial" w:cs="Arial"/>
          <w:sz w:val="24"/>
          <w:szCs w:val="24"/>
          <w:lang w:eastAsia="en-GB"/>
        </w:rPr>
        <w:lastRenderedPageBreak/>
        <w:t xml:space="preserve">increase </w:t>
      </w:r>
      <w:r w:rsidR="00B757D5">
        <w:rPr>
          <w:rFonts w:ascii="Arial" w:eastAsia="Calibri" w:hAnsi="Arial" w:cs="Arial"/>
          <w:sz w:val="24"/>
          <w:szCs w:val="24"/>
          <w:lang w:eastAsia="en-GB"/>
        </w:rPr>
        <w:t xml:space="preserve">in spend </w:t>
      </w:r>
      <w:r w:rsidR="00615640">
        <w:rPr>
          <w:rFonts w:ascii="Arial" w:eastAsia="Calibri" w:hAnsi="Arial" w:cs="Arial"/>
          <w:sz w:val="24"/>
          <w:szCs w:val="24"/>
          <w:lang w:eastAsia="en-GB"/>
        </w:rPr>
        <w:t xml:space="preserve">of 2.7 per cent </w:t>
      </w:r>
      <w:r w:rsidR="00321703">
        <w:rPr>
          <w:rFonts w:ascii="Arial" w:eastAsia="Calibri" w:hAnsi="Arial" w:cs="Arial"/>
          <w:sz w:val="24"/>
          <w:szCs w:val="24"/>
          <w:lang w:eastAsia="en-GB"/>
        </w:rPr>
        <w:t xml:space="preserve">on management and administration </w:t>
      </w:r>
      <w:r w:rsidR="00615640">
        <w:rPr>
          <w:rFonts w:ascii="Arial" w:eastAsia="Calibri" w:hAnsi="Arial" w:cs="Arial"/>
          <w:sz w:val="24"/>
          <w:szCs w:val="24"/>
          <w:lang w:eastAsia="en-GB"/>
        </w:rPr>
        <w:t>in</w:t>
      </w:r>
      <w:r w:rsidR="00B757D5">
        <w:rPr>
          <w:rFonts w:ascii="Arial" w:eastAsia="Calibri" w:hAnsi="Arial" w:cs="Arial"/>
          <w:sz w:val="24"/>
          <w:szCs w:val="24"/>
          <w:lang w:eastAsia="en-GB"/>
        </w:rPr>
        <w:t xml:space="preserve"> 2024 to 2025</w:t>
      </w:r>
      <w:r w:rsidR="00615640" w:rsidRPr="00B568F3">
        <w:rPr>
          <w:rFonts w:ascii="Arial" w:eastAsia="Calibri" w:hAnsi="Arial" w:cs="Arial"/>
          <w:sz w:val="24"/>
          <w:szCs w:val="24"/>
          <w:lang w:eastAsia="en-GB"/>
        </w:rPr>
        <w:t>.</w:t>
      </w:r>
    </w:p>
    <w:p w14:paraId="1D2CF56A" w14:textId="77777777" w:rsidR="00B9683C" w:rsidRDefault="00B9683C" w:rsidP="007A32A9">
      <w:pPr>
        <w:spacing w:after="200" w:line="276" w:lineRule="auto"/>
        <w:ind w:left="567"/>
        <w:contextualSpacing/>
        <w:rPr>
          <w:rFonts w:ascii="Arial" w:eastAsia="Calibri" w:hAnsi="Arial" w:cs="Arial"/>
          <w:sz w:val="24"/>
          <w:szCs w:val="24"/>
          <w:lang w:eastAsia="en-GB"/>
        </w:rPr>
      </w:pPr>
    </w:p>
    <w:p w14:paraId="16777B23" w14:textId="1D994D08" w:rsidR="00FE67CA" w:rsidRDefault="00FE67CA" w:rsidP="00632461">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Management and administration costs</w:t>
      </w:r>
      <w:r w:rsidR="00C2048F">
        <w:rPr>
          <w:rFonts w:ascii="Arial" w:eastAsia="Calibri" w:hAnsi="Arial" w:cs="Arial"/>
          <w:sz w:val="24"/>
          <w:szCs w:val="24"/>
          <w:lang w:eastAsia="en-GB"/>
        </w:rPr>
        <w:t xml:space="preserve"> are:</w:t>
      </w:r>
    </w:p>
    <w:p w14:paraId="15BF71FB" w14:textId="77777777" w:rsidR="00B9683C" w:rsidRDefault="00B9683C" w:rsidP="007A32A9">
      <w:pPr>
        <w:spacing w:after="200" w:line="276" w:lineRule="auto"/>
        <w:ind w:left="993"/>
        <w:contextualSpacing/>
        <w:rPr>
          <w:rFonts w:asciiTheme="minorBidi" w:hAnsiTheme="minorBidi"/>
          <w:sz w:val="24"/>
          <w:szCs w:val="24"/>
        </w:rPr>
      </w:pPr>
    </w:p>
    <w:p w14:paraId="7A9DEBC4" w14:textId="0A9D2F3B" w:rsidR="007D7A8D" w:rsidRPr="0051163B" w:rsidRDefault="003A2C8B" w:rsidP="0051163B">
      <w:pPr>
        <w:numPr>
          <w:ilvl w:val="1"/>
          <w:numId w:val="6"/>
        </w:numPr>
        <w:spacing w:after="200" w:line="276" w:lineRule="auto"/>
        <w:ind w:left="993" w:hanging="426"/>
        <w:contextualSpacing/>
        <w:rPr>
          <w:rFonts w:asciiTheme="minorBidi" w:hAnsiTheme="minorBidi"/>
          <w:sz w:val="24"/>
          <w:szCs w:val="24"/>
        </w:rPr>
      </w:pPr>
      <w:r>
        <w:rPr>
          <w:rFonts w:asciiTheme="minorBidi" w:hAnsiTheme="minorBidi"/>
          <w:sz w:val="24"/>
          <w:szCs w:val="24"/>
        </w:rPr>
        <w:t>d</w:t>
      </w:r>
      <w:r w:rsidR="00C2048F" w:rsidRPr="007A32A9">
        <w:rPr>
          <w:rFonts w:asciiTheme="minorBidi" w:hAnsiTheme="minorBidi"/>
          <w:sz w:val="24"/>
          <w:szCs w:val="24"/>
        </w:rPr>
        <w:t xml:space="preserve">ay-to-day operational </w:t>
      </w:r>
      <w:r w:rsidR="0008311E" w:rsidRPr="0051163B">
        <w:rPr>
          <w:rFonts w:asciiTheme="minorBidi" w:hAnsiTheme="minorBidi"/>
          <w:sz w:val="24"/>
          <w:szCs w:val="24"/>
        </w:rPr>
        <w:t xml:space="preserve">costs </w:t>
      </w:r>
      <w:r w:rsidR="00C2048F" w:rsidRPr="007A32A9">
        <w:rPr>
          <w:rFonts w:asciiTheme="minorBidi" w:hAnsiTheme="minorBidi"/>
          <w:sz w:val="24"/>
          <w:szCs w:val="24"/>
        </w:rPr>
        <w:t>of managing</w:t>
      </w:r>
      <w:r w:rsidR="005941CE" w:rsidRPr="0051163B">
        <w:rPr>
          <w:rFonts w:asciiTheme="minorBidi" w:hAnsiTheme="minorBidi"/>
          <w:sz w:val="24"/>
          <w:szCs w:val="24"/>
        </w:rPr>
        <w:t xml:space="preserve"> and administering</w:t>
      </w:r>
      <w:r w:rsidR="00C2048F" w:rsidRPr="007A32A9">
        <w:rPr>
          <w:rFonts w:asciiTheme="minorBidi" w:hAnsiTheme="minorBidi"/>
          <w:sz w:val="24"/>
          <w:szCs w:val="24"/>
        </w:rPr>
        <w:t xml:space="preserve"> the grant</w:t>
      </w:r>
      <w:r w:rsidR="00F259B5" w:rsidRPr="0051163B">
        <w:rPr>
          <w:rFonts w:asciiTheme="minorBidi" w:hAnsiTheme="minorBidi"/>
          <w:sz w:val="24"/>
          <w:szCs w:val="24"/>
        </w:rPr>
        <w:t xml:space="preserve"> including </w:t>
      </w:r>
      <w:r w:rsidR="00B9683C" w:rsidRPr="0051163B">
        <w:rPr>
          <w:rFonts w:asciiTheme="minorBidi" w:hAnsiTheme="minorBidi"/>
          <w:sz w:val="24"/>
          <w:szCs w:val="24"/>
        </w:rPr>
        <w:t>financial administration</w:t>
      </w:r>
      <w:r w:rsidR="0051163B" w:rsidRPr="0051163B">
        <w:rPr>
          <w:rFonts w:asciiTheme="minorBidi" w:hAnsiTheme="minorBidi"/>
          <w:sz w:val="24"/>
          <w:szCs w:val="24"/>
        </w:rPr>
        <w:t>, s</w:t>
      </w:r>
      <w:r w:rsidR="007D7A8D" w:rsidRPr="007A32A9">
        <w:rPr>
          <w:rFonts w:asciiTheme="minorBidi" w:hAnsiTheme="minorBidi"/>
          <w:sz w:val="24"/>
          <w:szCs w:val="24"/>
        </w:rPr>
        <w:t xml:space="preserve">trategic oversight and coordination of </w:t>
      </w:r>
      <w:r w:rsidR="005941CE" w:rsidRPr="0051163B">
        <w:rPr>
          <w:rFonts w:asciiTheme="minorBidi" w:hAnsiTheme="minorBidi"/>
          <w:sz w:val="24"/>
          <w:szCs w:val="24"/>
        </w:rPr>
        <w:t>grant acti</w:t>
      </w:r>
      <w:r w:rsidR="007D7A8D" w:rsidRPr="007A32A9">
        <w:rPr>
          <w:rFonts w:asciiTheme="minorBidi" w:hAnsiTheme="minorBidi"/>
          <w:sz w:val="24"/>
          <w:szCs w:val="24"/>
        </w:rPr>
        <w:t>vities</w:t>
      </w:r>
    </w:p>
    <w:p w14:paraId="136C6F10" w14:textId="77777777" w:rsidR="00B9683C" w:rsidRDefault="00B9683C" w:rsidP="007A32A9">
      <w:pPr>
        <w:spacing w:after="200" w:line="276" w:lineRule="auto"/>
        <w:contextualSpacing/>
        <w:rPr>
          <w:rFonts w:asciiTheme="minorBidi" w:hAnsiTheme="minorBidi"/>
          <w:sz w:val="24"/>
          <w:szCs w:val="24"/>
        </w:rPr>
      </w:pPr>
    </w:p>
    <w:p w14:paraId="3D6AA932" w14:textId="4B29B37D" w:rsidR="00F259B5" w:rsidRDefault="007C66BD" w:rsidP="007D7A8D">
      <w:pPr>
        <w:numPr>
          <w:ilvl w:val="1"/>
          <w:numId w:val="6"/>
        </w:numPr>
        <w:spacing w:after="200" w:line="276" w:lineRule="auto"/>
        <w:ind w:left="993" w:hanging="426"/>
        <w:contextualSpacing/>
        <w:rPr>
          <w:rFonts w:asciiTheme="minorBidi" w:hAnsiTheme="minorBidi"/>
          <w:sz w:val="24"/>
          <w:szCs w:val="24"/>
        </w:rPr>
      </w:pPr>
      <w:r>
        <w:rPr>
          <w:rFonts w:asciiTheme="minorBidi" w:hAnsiTheme="minorBidi"/>
          <w:sz w:val="24"/>
          <w:szCs w:val="24"/>
        </w:rPr>
        <w:t>e</w:t>
      </w:r>
      <w:r w:rsidR="00E636C8" w:rsidRPr="00E636C8">
        <w:rPr>
          <w:rFonts w:asciiTheme="minorBidi" w:hAnsiTheme="minorBidi"/>
          <w:sz w:val="24"/>
          <w:szCs w:val="24"/>
        </w:rPr>
        <w:t>nsuring compliance with governance</w:t>
      </w:r>
      <w:r w:rsidR="00E636C8">
        <w:rPr>
          <w:rFonts w:asciiTheme="minorBidi" w:hAnsiTheme="minorBidi"/>
          <w:sz w:val="24"/>
          <w:szCs w:val="24"/>
        </w:rPr>
        <w:t xml:space="preserve"> and </w:t>
      </w:r>
      <w:r w:rsidR="00E636C8" w:rsidRPr="00E636C8">
        <w:rPr>
          <w:rFonts w:asciiTheme="minorBidi" w:hAnsiTheme="minorBidi"/>
          <w:sz w:val="24"/>
          <w:szCs w:val="24"/>
        </w:rPr>
        <w:t>reporting</w:t>
      </w:r>
      <w:r w:rsidR="00E636C8">
        <w:rPr>
          <w:rFonts w:asciiTheme="minorBidi" w:hAnsiTheme="minorBidi"/>
          <w:sz w:val="24"/>
          <w:szCs w:val="24"/>
        </w:rPr>
        <w:t xml:space="preserve"> requirements including supporting grant applications and end of year reporting</w:t>
      </w:r>
      <w:r w:rsidR="00F259B5">
        <w:rPr>
          <w:rFonts w:asciiTheme="minorBidi" w:hAnsiTheme="minorBidi"/>
          <w:sz w:val="24"/>
          <w:szCs w:val="24"/>
        </w:rPr>
        <w:t>.</w:t>
      </w:r>
    </w:p>
    <w:p w14:paraId="6BB0D9BC" w14:textId="77777777" w:rsidR="007D7A8D" w:rsidRDefault="007D7A8D" w:rsidP="007A32A9">
      <w:pPr>
        <w:spacing w:after="200" w:line="276" w:lineRule="auto"/>
        <w:ind w:left="567"/>
        <w:contextualSpacing/>
        <w:rPr>
          <w:rFonts w:ascii="Arial" w:eastAsia="Calibri" w:hAnsi="Arial" w:cs="Arial"/>
          <w:sz w:val="24"/>
          <w:szCs w:val="24"/>
          <w:lang w:eastAsia="en-GB"/>
        </w:rPr>
      </w:pPr>
    </w:p>
    <w:p w14:paraId="7DDC9005" w14:textId="19D7A013" w:rsidR="002D35D3" w:rsidRPr="00B568F3" w:rsidRDefault="005133BF"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Delivery staff costs </w:t>
      </w:r>
      <w:r w:rsidR="00711F13" w:rsidRPr="00B568F3">
        <w:rPr>
          <w:rFonts w:ascii="Arial" w:eastAsia="Calibri" w:hAnsi="Arial" w:cs="Arial"/>
          <w:sz w:val="24"/>
          <w:szCs w:val="24"/>
          <w:lang w:eastAsia="en-GB"/>
        </w:rPr>
        <w:t xml:space="preserve">for </w:t>
      </w:r>
      <w:r w:rsidR="005166C9" w:rsidRPr="00B568F3">
        <w:rPr>
          <w:rFonts w:ascii="Arial" w:eastAsia="Calibri" w:hAnsi="Arial" w:cs="Arial"/>
          <w:sz w:val="24"/>
          <w:szCs w:val="24"/>
          <w:lang w:eastAsia="en-GB"/>
        </w:rPr>
        <w:t xml:space="preserve">the </w:t>
      </w:r>
      <w:r w:rsidR="00711F13" w:rsidRPr="00B568F3">
        <w:rPr>
          <w:rFonts w:ascii="Arial" w:eastAsia="Calibri" w:hAnsi="Arial" w:cs="Arial"/>
          <w:sz w:val="24"/>
          <w:szCs w:val="24"/>
          <w:lang w:eastAsia="en-GB"/>
        </w:rPr>
        <w:t>SCW</w:t>
      </w:r>
      <w:r w:rsidR="2A00F1D0" w:rsidRPr="00B568F3">
        <w:rPr>
          <w:rFonts w:ascii="Arial" w:eastAsia="Calibri" w:hAnsi="Arial" w:cs="Arial"/>
          <w:sz w:val="24"/>
          <w:szCs w:val="24"/>
          <w:lang w:eastAsia="en-GB"/>
        </w:rPr>
        <w:t>W</w:t>
      </w:r>
      <w:r w:rsidR="00711F13" w:rsidRPr="00B568F3">
        <w:rPr>
          <w:rFonts w:ascii="Arial" w:eastAsia="Calibri" w:hAnsi="Arial" w:cs="Arial"/>
          <w:sz w:val="24"/>
          <w:szCs w:val="24"/>
          <w:lang w:eastAsia="en-GB"/>
        </w:rPr>
        <w:t xml:space="preserve">DP </w:t>
      </w:r>
      <w:r w:rsidR="005166C9" w:rsidRPr="00B568F3">
        <w:rPr>
          <w:rFonts w:ascii="Arial" w:eastAsia="Calibri" w:hAnsi="Arial" w:cs="Arial"/>
          <w:sz w:val="24"/>
          <w:szCs w:val="24"/>
          <w:lang w:eastAsia="en-GB"/>
        </w:rPr>
        <w:t xml:space="preserve">grant </w:t>
      </w:r>
      <w:r w:rsidR="00DD2558">
        <w:rPr>
          <w:rFonts w:ascii="Arial" w:eastAsia="Calibri" w:hAnsi="Arial" w:cs="Arial"/>
          <w:sz w:val="24"/>
          <w:szCs w:val="24"/>
          <w:lang w:eastAsia="en-GB"/>
        </w:rPr>
        <w:t>decreased</w:t>
      </w:r>
      <w:r w:rsidR="006271CF">
        <w:rPr>
          <w:rFonts w:ascii="Arial" w:eastAsia="Calibri" w:hAnsi="Arial" w:cs="Arial"/>
          <w:sz w:val="24"/>
          <w:szCs w:val="24"/>
          <w:lang w:eastAsia="en-GB"/>
        </w:rPr>
        <w:t xml:space="preserve"> </w:t>
      </w:r>
      <w:r w:rsidR="00DD2558">
        <w:rPr>
          <w:rFonts w:ascii="Arial" w:eastAsia="Calibri" w:hAnsi="Arial" w:cs="Arial"/>
          <w:sz w:val="24"/>
          <w:szCs w:val="24"/>
          <w:lang w:eastAsia="en-GB"/>
        </w:rPr>
        <w:t>slightly</w:t>
      </w:r>
      <w:r w:rsidR="006271CF">
        <w:rPr>
          <w:rFonts w:ascii="Arial" w:eastAsia="Calibri" w:hAnsi="Arial" w:cs="Arial"/>
          <w:sz w:val="24"/>
          <w:szCs w:val="24"/>
          <w:lang w:eastAsia="en-GB"/>
        </w:rPr>
        <w:t xml:space="preserve"> for the first time in three years</w:t>
      </w:r>
      <w:r w:rsidR="00711F13" w:rsidRPr="00B568F3">
        <w:rPr>
          <w:rFonts w:ascii="Arial" w:eastAsia="Calibri" w:hAnsi="Arial" w:cs="Arial"/>
          <w:sz w:val="24"/>
          <w:szCs w:val="24"/>
          <w:lang w:eastAsia="en-GB"/>
        </w:rPr>
        <w:t xml:space="preserve">, with a </w:t>
      </w:r>
      <w:r w:rsidR="006271CF">
        <w:rPr>
          <w:rFonts w:ascii="Arial" w:eastAsia="Calibri" w:hAnsi="Arial" w:cs="Arial"/>
          <w:sz w:val="24"/>
          <w:szCs w:val="24"/>
          <w:lang w:eastAsia="en-GB"/>
        </w:rPr>
        <w:t>0.7</w:t>
      </w:r>
      <w:r w:rsidR="00344978" w:rsidRPr="00B568F3">
        <w:rPr>
          <w:rFonts w:ascii="Arial" w:eastAsia="Calibri" w:hAnsi="Arial" w:cs="Arial"/>
          <w:sz w:val="24"/>
          <w:szCs w:val="24"/>
          <w:lang w:eastAsia="en-GB"/>
        </w:rPr>
        <w:t xml:space="preserve"> per cent</w:t>
      </w:r>
      <w:r w:rsidR="00711F13" w:rsidRPr="00B568F3">
        <w:rPr>
          <w:rFonts w:ascii="Arial" w:eastAsia="Calibri" w:hAnsi="Arial" w:cs="Arial"/>
          <w:sz w:val="24"/>
          <w:szCs w:val="24"/>
          <w:lang w:eastAsia="en-GB"/>
        </w:rPr>
        <w:t xml:space="preserve"> </w:t>
      </w:r>
      <w:r w:rsidR="006271CF">
        <w:rPr>
          <w:rFonts w:ascii="Arial" w:eastAsia="Calibri" w:hAnsi="Arial" w:cs="Arial"/>
          <w:sz w:val="24"/>
          <w:szCs w:val="24"/>
          <w:lang w:eastAsia="en-GB"/>
        </w:rPr>
        <w:t>decrease</w:t>
      </w:r>
      <w:r w:rsidR="00711F13" w:rsidRPr="00B568F3">
        <w:rPr>
          <w:rFonts w:ascii="Arial" w:eastAsia="Calibri" w:hAnsi="Arial" w:cs="Arial"/>
          <w:sz w:val="24"/>
          <w:szCs w:val="24"/>
          <w:lang w:eastAsia="en-GB"/>
        </w:rPr>
        <w:t xml:space="preserve"> in </w:t>
      </w:r>
      <w:r w:rsidR="006271CF" w:rsidRPr="00B568F3">
        <w:rPr>
          <w:rFonts w:ascii="Arial" w:eastAsia="Calibri" w:hAnsi="Arial" w:cs="Arial"/>
          <w:sz w:val="24"/>
          <w:szCs w:val="24"/>
          <w:lang w:eastAsia="en-GB"/>
        </w:rPr>
        <w:t>202</w:t>
      </w:r>
      <w:r w:rsidR="006271CF">
        <w:rPr>
          <w:rFonts w:ascii="Arial" w:eastAsia="Calibri" w:hAnsi="Arial" w:cs="Arial"/>
          <w:sz w:val="24"/>
          <w:szCs w:val="24"/>
          <w:lang w:eastAsia="en-GB"/>
        </w:rPr>
        <w:t>4</w:t>
      </w:r>
      <w:r w:rsidR="006271CF" w:rsidRPr="00B568F3">
        <w:rPr>
          <w:rFonts w:ascii="Arial" w:eastAsia="Calibri" w:hAnsi="Arial" w:cs="Arial"/>
          <w:sz w:val="24"/>
          <w:szCs w:val="24"/>
          <w:lang w:eastAsia="en-GB"/>
        </w:rPr>
        <w:t xml:space="preserve"> </w:t>
      </w:r>
      <w:r w:rsidR="00344978" w:rsidRPr="00B568F3">
        <w:rPr>
          <w:rFonts w:ascii="Arial" w:eastAsia="Calibri" w:hAnsi="Arial" w:cs="Arial"/>
          <w:sz w:val="24"/>
          <w:szCs w:val="24"/>
          <w:lang w:eastAsia="en-GB"/>
        </w:rPr>
        <w:t xml:space="preserve">to </w:t>
      </w:r>
      <w:r w:rsidR="00711F13" w:rsidRPr="00B568F3">
        <w:rPr>
          <w:rFonts w:ascii="Arial" w:eastAsia="Calibri" w:hAnsi="Arial" w:cs="Arial"/>
          <w:sz w:val="24"/>
          <w:szCs w:val="24"/>
          <w:lang w:eastAsia="en-GB"/>
        </w:rPr>
        <w:t>202</w:t>
      </w:r>
      <w:r w:rsidR="006271CF">
        <w:rPr>
          <w:rFonts w:ascii="Arial" w:eastAsia="Calibri" w:hAnsi="Arial" w:cs="Arial"/>
          <w:sz w:val="24"/>
          <w:szCs w:val="24"/>
          <w:lang w:eastAsia="en-GB"/>
        </w:rPr>
        <w:t>5</w:t>
      </w:r>
      <w:r w:rsidR="00711F13" w:rsidRPr="00B568F3">
        <w:rPr>
          <w:rFonts w:ascii="Arial" w:eastAsia="Calibri" w:hAnsi="Arial" w:cs="Arial"/>
          <w:sz w:val="24"/>
          <w:szCs w:val="24"/>
          <w:lang w:eastAsia="en-GB"/>
        </w:rPr>
        <w:t xml:space="preserve"> compared to </w:t>
      </w:r>
      <w:r w:rsidR="00FE2825" w:rsidRPr="00B568F3">
        <w:rPr>
          <w:rFonts w:ascii="Arial" w:eastAsia="Calibri" w:hAnsi="Arial" w:cs="Arial"/>
          <w:sz w:val="24"/>
          <w:szCs w:val="24"/>
          <w:lang w:eastAsia="en-GB"/>
        </w:rPr>
        <w:t xml:space="preserve">a </w:t>
      </w:r>
      <w:r w:rsidR="006271CF">
        <w:rPr>
          <w:rFonts w:ascii="Arial" w:eastAsia="Calibri" w:hAnsi="Arial" w:cs="Arial"/>
          <w:sz w:val="24"/>
          <w:szCs w:val="24"/>
          <w:lang w:eastAsia="en-GB"/>
        </w:rPr>
        <w:t>9.2</w:t>
      </w:r>
      <w:r w:rsidR="00344978" w:rsidRPr="00B568F3">
        <w:rPr>
          <w:rFonts w:ascii="Arial" w:eastAsia="Calibri" w:hAnsi="Arial" w:cs="Arial"/>
          <w:sz w:val="24"/>
          <w:szCs w:val="24"/>
          <w:lang w:eastAsia="en-GB"/>
        </w:rPr>
        <w:t xml:space="preserve"> per cent</w:t>
      </w:r>
      <w:r w:rsidR="005A1333" w:rsidRPr="00B568F3">
        <w:rPr>
          <w:rFonts w:ascii="Arial" w:eastAsia="Calibri" w:hAnsi="Arial" w:cs="Arial"/>
          <w:sz w:val="24"/>
          <w:szCs w:val="24"/>
          <w:lang w:eastAsia="en-GB"/>
        </w:rPr>
        <w:t xml:space="preserve"> increase the previous year.</w:t>
      </w:r>
      <w:r w:rsidR="007833C8">
        <w:rPr>
          <w:rFonts w:ascii="Arial" w:eastAsia="Calibri" w:hAnsi="Arial" w:cs="Arial"/>
          <w:sz w:val="24"/>
          <w:szCs w:val="24"/>
          <w:lang w:eastAsia="en-GB"/>
        </w:rPr>
        <w:t xml:space="preserve"> </w:t>
      </w:r>
      <w:r w:rsidR="0051357E">
        <w:rPr>
          <w:rFonts w:ascii="Arial" w:eastAsia="Calibri" w:hAnsi="Arial" w:cs="Arial"/>
          <w:sz w:val="24"/>
          <w:szCs w:val="24"/>
          <w:lang w:eastAsia="en-GB"/>
        </w:rPr>
        <w:t xml:space="preserve">However local authority additional </w:t>
      </w:r>
      <w:r w:rsidR="00A93BF8">
        <w:rPr>
          <w:rFonts w:ascii="Arial" w:eastAsia="Calibri" w:hAnsi="Arial" w:cs="Arial"/>
          <w:sz w:val="24"/>
          <w:szCs w:val="24"/>
          <w:lang w:eastAsia="en-GB"/>
        </w:rPr>
        <w:t>funding over</w:t>
      </w:r>
      <w:r w:rsidR="0051357E">
        <w:rPr>
          <w:rFonts w:ascii="Arial" w:eastAsia="Calibri" w:hAnsi="Arial" w:cs="Arial"/>
          <w:sz w:val="24"/>
          <w:szCs w:val="24"/>
          <w:lang w:eastAsia="en-GB"/>
        </w:rPr>
        <w:t xml:space="preserve"> and above the 30 per cent match funding</w:t>
      </w:r>
      <w:r w:rsidR="005233BD">
        <w:rPr>
          <w:rFonts w:ascii="Arial" w:eastAsia="Calibri" w:hAnsi="Arial" w:cs="Arial"/>
          <w:sz w:val="24"/>
          <w:szCs w:val="24"/>
          <w:lang w:eastAsia="en-GB"/>
        </w:rPr>
        <w:t>,</w:t>
      </w:r>
      <w:r w:rsidR="0051357E">
        <w:rPr>
          <w:rFonts w:ascii="Arial" w:eastAsia="Calibri" w:hAnsi="Arial" w:cs="Arial"/>
          <w:sz w:val="24"/>
          <w:szCs w:val="24"/>
          <w:lang w:eastAsia="en-GB"/>
        </w:rPr>
        <w:t xml:space="preserve"> </w:t>
      </w:r>
      <w:r w:rsidR="003C0B81">
        <w:rPr>
          <w:rFonts w:ascii="Arial" w:eastAsia="Calibri" w:hAnsi="Arial" w:cs="Arial"/>
          <w:sz w:val="24"/>
          <w:szCs w:val="24"/>
          <w:lang w:eastAsia="en-GB"/>
        </w:rPr>
        <w:t>showed</w:t>
      </w:r>
      <w:r w:rsidR="0051357E">
        <w:rPr>
          <w:rFonts w:ascii="Arial" w:eastAsia="Calibri" w:hAnsi="Arial" w:cs="Arial"/>
          <w:sz w:val="24"/>
          <w:szCs w:val="24"/>
          <w:lang w:eastAsia="en-GB"/>
        </w:rPr>
        <w:t xml:space="preserve"> a 92.7 per cent increase </w:t>
      </w:r>
      <w:r w:rsidR="00447880">
        <w:rPr>
          <w:rFonts w:ascii="Arial" w:eastAsia="Calibri" w:hAnsi="Arial" w:cs="Arial"/>
          <w:sz w:val="24"/>
          <w:szCs w:val="24"/>
          <w:lang w:eastAsia="en-GB"/>
        </w:rPr>
        <w:t xml:space="preserve">in delivery staff costs leading to an </w:t>
      </w:r>
      <w:r w:rsidR="002451C8">
        <w:rPr>
          <w:rFonts w:ascii="Arial" w:eastAsia="Calibri" w:hAnsi="Arial" w:cs="Arial"/>
          <w:sz w:val="24"/>
          <w:szCs w:val="24"/>
          <w:lang w:eastAsia="en-GB"/>
        </w:rPr>
        <w:t xml:space="preserve">overall </w:t>
      </w:r>
      <w:r w:rsidR="00447880">
        <w:rPr>
          <w:rFonts w:ascii="Arial" w:eastAsia="Calibri" w:hAnsi="Arial" w:cs="Arial"/>
          <w:sz w:val="24"/>
          <w:szCs w:val="24"/>
          <w:lang w:eastAsia="en-GB"/>
        </w:rPr>
        <w:t>increase in spend on delivery staff</w:t>
      </w:r>
      <w:r w:rsidR="00D828FE">
        <w:rPr>
          <w:rFonts w:ascii="Arial" w:eastAsia="Calibri" w:hAnsi="Arial" w:cs="Arial"/>
          <w:sz w:val="24"/>
          <w:szCs w:val="24"/>
          <w:lang w:eastAsia="en-GB"/>
        </w:rPr>
        <w:t xml:space="preserve"> of 2.9 per cent</w:t>
      </w:r>
      <w:r w:rsidR="00FC2177">
        <w:rPr>
          <w:rFonts w:ascii="Arial" w:eastAsia="Calibri" w:hAnsi="Arial" w:cs="Arial"/>
          <w:sz w:val="24"/>
          <w:szCs w:val="24"/>
          <w:lang w:eastAsia="en-GB"/>
        </w:rPr>
        <w:t xml:space="preserve"> in 2024 to 2025</w:t>
      </w:r>
      <w:r w:rsidR="00D828FE">
        <w:rPr>
          <w:rFonts w:ascii="Arial" w:eastAsia="Calibri" w:hAnsi="Arial" w:cs="Arial"/>
          <w:sz w:val="24"/>
          <w:szCs w:val="24"/>
          <w:lang w:eastAsia="en-GB"/>
        </w:rPr>
        <w:t xml:space="preserve">. </w:t>
      </w:r>
    </w:p>
    <w:p w14:paraId="7DB3BE42" w14:textId="77777777" w:rsidR="007F2498" w:rsidRPr="00B568F3" w:rsidRDefault="007F2498" w:rsidP="00343C94">
      <w:pPr>
        <w:spacing w:after="200" w:line="276" w:lineRule="auto"/>
        <w:ind w:left="567"/>
        <w:contextualSpacing/>
        <w:rPr>
          <w:rFonts w:ascii="Arial" w:eastAsia="Calibri" w:hAnsi="Arial" w:cs="Arial"/>
          <w:sz w:val="24"/>
          <w:szCs w:val="24"/>
          <w:lang w:eastAsia="en-GB"/>
        </w:rPr>
      </w:pPr>
    </w:p>
    <w:p w14:paraId="2CB2C131" w14:textId="4477718F" w:rsidR="005D2CC7" w:rsidRDefault="00C87747"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Delivery staff are</w:t>
      </w:r>
      <w:r w:rsidR="005D2CC7" w:rsidRPr="00B568F3">
        <w:rPr>
          <w:rFonts w:ascii="Arial" w:eastAsia="Calibri" w:hAnsi="Arial" w:cs="Arial"/>
          <w:sz w:val="24"/>
          <w:szCs w:val="24"/>
          <w:lang w:eastAsia="en-GB"/>
        </w:rPr>
        <w:t>:</w:t>
      </w:r>
      <w:r w:rsidRPr="00B568F3" w:rsidDel="007F498F">
        <w:rPr>
          <w:rFonts w:ascii="Arial" w:eastAsia="Calibri" w:hAnsi="Arial" w:cs="Arial"/>
          <w:sz w:val="24"/>
          <w:szCs w:val="24"/>
          <w:lang w:eastAsia="en-GB"/>
        </w:rPr>
        <w:t xml:space="preserve"> </w:t>
      </w:r>
    </w:p>
    <w:p w14:paraId="0AF94F51" w14:textId="77777777" w:rsidR="000C4228" w:rsidRPr="00B568F3" w:rsidRDefault="000C4228" w:rsidP="00C92ECE">
      <w:pPr>
        <w:spacing w:after="200" w:line="276" w:lineRule="auto"/>
        <w:ind w:left="567"/>
        <w:contextualSpacing/>
        <w:rPr>
          <w:rFonts w:ascii="Arial" w:eastAsia="Calibri" w:hAnsi="Arial" w:cs="Arial"/>
          <w:sz w:val="24"/>
          <w:szCs w:val="24"/>
          <w:lang w:eastAsia="en-GB"/>
        </w:rPr>
      </w:pPr>
    </w:p>
    <w:p w14:paraId="5F1F3B49" w14:textId="49E81760" w:rsidR="00417896" w:rsidRDefault="00C87747" w:rsidP="00AF5220">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 xml:space="preserve">staff </w:t>
      </w:r>
      <w:r w:rsidR="001407EF" w:rsidRPr="00C92ECE">
        <w:rPr>
          <w:rFonts w:asciiTheme="minorBidi" w:hAnsiTheme="minorBidi"/>
          <w:sz w:val="24"/>
          <w:szCs w:val="24"/>
        </w:rPr>
        <w:t>employed to provide learning and development</w:t>
      </w:r>
    </w:p>
    <w:p w14:paraId="78FEC2EA" w14:textId="77777777" w:rsidR="000C4228" w:rsidRPr="00C92ECE" w:rsidRDefault="000C4228" w:rsidP="00C92ECE">
      <w:pPr>
        <w:spacing w:after="200" w:line="276" w:lineRule="auto"/>
        <w:ind w:left="993"/>
        <w:contextualSpacing/>
        <w:rPr>
          <w:rFonts w:asciiTheme="minorBidi" w:hAnsiTheme="minorBidi"/>
          <w:sz w:val="24"/>
          <w:szCs w:val="24"/>
        </w:rPr>
      </w:pPr>
    </w:p>
    <w:p w14:paraId="39B55CBE" w14:textId="1F5D0E26" w:rsidR="007F2498" w:rsidRDefault="00F310D7" w:rsidP="00AF5220">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staff</w:t>
      </w:r>
      <w:r w:rsidR="00C6529E" w:rsidRPr="00C92ECE">
        <w:rPr>
          <w:rFonts w:asciiTheme="minorBidi" w:hAnsiTheme="minorBidi"/>
          <w:sz w:val="24"/>
          <w:szCs w:val="24"/>
        </w:rPr>
        <w:t xml:space="preserve"> </w:t>
      </w:r>
      <w:r w:rsidR="00BB2263" w:rsidRPr="00C92ECE">
        <w:rPr>
          <w:rFonts w:asciiTheme="minorBidi" w:hAnsiTheme="minorBidi"/>
          <w:sz w:val="24"/>
          <w:szCs w:val="24"/>
        </w:rPr>
        <w:t>who</w:t>
      </w:r>
      <w:r w:rsidR="00C6529E" w:rsidRPr="00C92ECE">
        <w:rPr>
          <w:rFonts w:asciiTheme="minorBidi" w:hAnsiTheme="minorBidi"/>
          <w:sz w:val="24"/>
          <w:szCs w:val="24"/>
        </w:rPr>
        <w:t xml:space="preserve"> provide</w:t>
      </w:r>
      <w:r w:rsidR="001407EF" w:rsidRPr="00C92ECE" w:rsidDel="00417896">
        <w:rPr>
          <w:rFonts w:asciiTheme="minorBidi" w:hAnsiTheme="minorBidi"/>
          <w:sz w:val="24"/>
          <w:szCs w:val="24"/>
        </w:rPr>
        <w:t xml:space="preserve"> </w:t>
      </w:r>
      <w:r w:rsidR="001407EF" w:rsidRPr="00C92ECE">
        <w:rPr>
          <w:rFonts w:asciiTheme="minorBidi" w:hAnsiTheme="minorBidi"/>
          <w:sz w:val="24"/>
          <w:szCs w:val="24"/>
        </w:rPr>
        <w:t>work-based and practice-based assessment</w:t>
      </w:r>
      <w:r w:rsidR="00886985" w:rsidRPr="00C92ECE">
        <w:rPr>
          <w:rFonts w:asciiTheme="minorBidi" w:hAnsiTheme="minorBidi"/>
          <w:sz w:val="24"/>
          <w:szCs w:val="24"/>
        </w:rPr>
        <w:t>s</w:t>
      </w:r>
      <w:r w:rsidR="001407EF" w:rsidRPr="00C92ECE">
        <w:rPr>
          <w:rFonts w:asciiTheme="minorBidi" w:hAnsiTheme="minorBidi"/>
          <w:sz w:val="24"/>
          <w:szCs w:val="24"/>
        </w:rPr>
        <w:t>, including accredited qualification assessment</w:t>
      </w:r>
      <w:r w:rsidR="00BB2263" w:rsidRPr="00C92ECE">
        <w:rPr>
          <w:rFonts w:asciiTheme="minorBidi" w:hAnsiTheme="minorBidi"/>
          <w:sz w:val="24"/>
          <w:szCs w:val="24"/>
        </w:rPr>
        <w:t>. They</w:t>
      </w:r>
      <w:r w:rsidR="00231F96" w:rsidRPr="00C92ECE">
        <w:rPr>
          <w:rFonts w:asciiTheme="minorBidi" w:hAnsiTheme="minorBidi"/>
          <w:sz w:val="24"/>
          <w:szCs w:val="24"/>
        </w:rPr>
        <w:t xml:space="preserve"> should be delivering training for </w:t>
      </w:r>
      <w:r w:rsidR="0042599A" w:rsidRPr="00C92ECE">
        <w:rPr>
          <w:rFonts w:asciiTheme="minorBidi" w:hAnsiTheme="minorBidi"/>
          <w:sz w:val="24"/>
          <w:szCs w:val="24"/>
        </w:rPr>
        <w:t>the statutory and non-statutory workforce</w:t>
      </w:r>
      <w:r w:rsidR="009D66F1" w:rsidRPr="00C92ECE">
        <w:rPr>
          <w:rFonts w:asciiTheme="minorBidi" w:hAnsiTheme="minorBidi"/>
          <w:sz w:val="24"/>
          <w:szCs w:val="24"/>
        </w:rPr>
        <w:t xml:space="preserve"> </w:t>
      </w:r>
      <w:r w:rsidR="00903705" w:rsidRPr="00C92ECE">
        <w:rPr>
          <w:rFonts w:asciiTheme="minorBidi" w:hAnsiTheme="minorBidi"/>
          <w:sz w:val="24"/>
          <w:szCs w:val="24"/>
        </w:rPr>
        <w:t>at the local level</w:t>
      </w:r>
      <w:r w:rsidR="00C87747" w:rsidRPr="00C92ECE">
        <w:rPr>
          <w:rFonts w:asciiTheme="minorBidi" w:hAnsiTheme="minorBidi"/>
          <w:sz w:val="24"/>
          <w:szCs w:val="24"/>
        </w:rPr>
        <w:t>.</w:t>
      </w:r>
      <w:r w:rsidR="007E3AC7" w:rsidRPr="00C92ECE">
        <w:rPr>
          <w:rFonts w:asciiTheme="minorBidi" w:hAnsiTheme="minorBidi"/>
          <w:sz w:val="24"/>
          <w:szCs w:val="24"/>
        </w:rPr>
        <w:t xml:space="preserve"> </w:t>
      </w:r>
      <w:r w:rsidR="001D1F33" w:rsidRPr="00C92ECE">
        <w:rPr>
          <w:rFonts w:asciiTheme="minorBidi" w:hAnsiTheme="minorBidi"/>
          <w:sz w:val="24"/>
          <w:szCs w:val="24"/>
        </w:rPr>
        <w:t>The</w:t>
      </w:r>
      <w:r w:rsidR="00B2274B" w:rsidRPr="00C92ECE">
        <w:rPr>
          <w:rFonts w:asciiTheme="minorBidi" w:hAnsiTheme="minorBidi"/>
          <w:sz w:val="24"/>
          <w:szCs w:val="24"/>
        </w:rPr>
        <w:t>y</w:t>
      </w:r>
      <w:r w:rsidR="001D1F33" w:rsidRPr="00C92ECE">
        <w:rPr>
          <w:rFonts w:asciiTheme="minorBidi" w:hAnsiTheme="minorBidi"/>
          <w:sz w:val="24"/>
          <w:szCs w:val="24"/>
        </w:rPr>
        <w:t xml:space="preserve"> could also be delivering </w:t>
      </w:r>
      <w:r w:rsidR="00915F87" w:rsidRPr="00C92ECE">
        <w:rPr>
          <w:rFonts w:asciiTheme="minorBidi" w:hAnsiTheme="minorBidi"/>
          <w:sz w:val="24"/>
          <w:szCs w:val="24"/>
        </w:rPr>
        <w:t xml:space="preserve">workforce development activities </w:t>
      </w:r>
      <w:r w:rsidR="00C53A34" w:rsidRPr="00C92ECE">
        <w:rPr>
          <w:rFonts w:asciiTheme="minorBidi" w:hAnsiTheme="minorBidi"/>
          <w:sz w:val="24"/>
          <w:szCs w:val="24"/>
        </w:rPr>
        <w:t>that align with the national priorities.</w:t>
      </w:r>
    </w:p>
    <w:p w14:paraId="777C7456" w14:textId="77777777" w:rsidR="00AB4C4D" w:rsidRPr="00C92ECE" w:rsidRDefault="00AB4C4D" w:rsidP="00C92ECE">
      <w:pPr>
        <w:spacing w:after="200" w:line="276" w:lineRule="auto"/>
        <w:ind w:left="993"/>
        <w:contextualSpacing/>
        <w:rPr>
          <w:rFonts w:asciiTheme="minorBidi" w:hAnsiTheme="minorBidi"/>
          <w:sz w:val="24"/>
          <w:szCs w:val="24"/>
        </w:rPr>
      </w:pPr>
    </w:p>
    <w:p w14:paraId="214FCCB3" w14:textId="5F47A424" w:rsidR="00C83861" w:rsidRPr="00B568F3" w:rsidRDefault="00E03F2D"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T</w:t>
      </w:r>
      <w:r w:rsidR="00A11AC2" w:rsidRPr="00B568F3">
        <w:rPr>
          <w:rFonts w:ascii="Arial" w:eastAsia="Calibri" w:hAnsi="Arial" w:cs="Arial"/>
          <w:sz w:val="24"/>
          <w:szCs w:val="24"/>
          <w:lang w:eastAsia="en-GB"/>
        </w:rPr>
        <w:t xml:space="preserve">he grant circular </w:t>
      </w:r>
      <w:r w:rsidRPr="00B568F3">
        <w:rPr>
          <w:rFonts w:ascii="Arial" w:eastAsia="Calibri" w:hAnsi="Arial" w:cs="Arial"/>
          <w:sz w:val="24"/>
          <w:szCs w:val="24"/>
          <w:lang w:eastAsia="en-GB"/>
        </w:rPr>
        <w:t>s</w:t>
      </w:r>
      <w:r w:rsidR="00074845" w:rsidRPr="00B568F3">
        <w:rPr>
          <w:rFonts w:ascii="Arial" w:eastAsia="Calibri" w:hAnsi="Arial" w:cs="Arial"/>
          <w:sz w:val="24"/>
          <w:szCs w:val="24"/>
          <w:lang w:eastAsia="en-GB"/>
        </w:rPr>
        <w:t>ays</w:t>
      </w:r>
      <w:r w:rsidRPr="00B568F3">
        <w:rPr>
          <w:rFonts w:ascii="Arial" w:eastAsia="Calibri" w:hAnsi="Arial" w:cs="Arial"/>
          <w:sz w:val="24"/>
          <w:szCs w:val="24"/>
          <w:lang w:eastAsia="en-GB"/>
        </w:rPr>
        <w:t xml:space="preserve"> </w:t>
      </w:r>
      <w:r w:rsidR="00A11AC2" w:rsidRPr="00B568F3">
        <w:rPr>
          <w:rFonts w:ascii="Arial" w:eastAsia="Calibri" w:hAnsi="Arial" w:cs="Arial"/>
          <w:sz w:val="24"/>
          <w:szCs w:val="24"/>
          <w:lang w:eastAsia="en-GB"/>
        </w:rPr>
        <w:t xml:space="preserve">that </w:t>
      </w:r>
      <w:r w:rsidR="00375959" w:rsidRPr="00B568F3">
        <w:rPr>
          <w:rFonts w:ascii="Arial" w:eastAsia="Calibri" w:hAnsi="Arial" w:cs="Arial"/>
          <w:sz w:val="24"/>
          <w:szCs w:val="24"/>
          <w:lang w:eastAsia="en-GB"/>
        </w:rPr>
        <w:t xml:space="preserve">the largest proportion of the grant must be </w:t>
      </w:r>
      <w:r w:rsidR="00074845" w:rsidRPr="00B568F3">
        <w:rPr>
          <w:rFonts w:ascii="Arial" w:eastAsia="Calibri" w:hAnsi="Arial" w:cs="Arial"/>
          <w:sz w:val="24"/>
          <w:szCs w:val="24"/>
          <w:lang w:eastAsia="en-GB"/>
        </w:rPr>
        <w:t>used</w:t>
      </w:r>
      <w:r w:rsidR="00375959" w:rsidRPr="00B568F3">
        <w:rPr>
          <w:rFonts w:ascii="Arial" w:eastAsia="Calibri" w:hAnsi="Arial" w:cs="Arial"/>
          <w:sz w:val="24"/>
          <w:szCs w:val="24"/>
          <w:lang w:eastAsia="en-GB"/>
        </w:rPr>
        <w:t xml:space="preserve"> for learning</w:t>
      </w:r>
      <w:r w:rsidR="00074845" w:rsidRPr="00B568F3">
        <w:rPr>
          <w:rFonts w:ascii="Arial" w:eastAsia="Calibri" w:hAnsi="Arial" w:cs="Arial"/>
          <w:sz w:val="24"/>
          <w:szCs w:val="24"/>
          <w:lang w:eastAsia="en-GB"/>
        </w:rPr>
        <w:t>,</w:t>
      </w:r>
      <w:r w:rsidR="00375959" w:rsidRPr="00B568F3" w:rsidDel="00074845">
        <w:rPr>
          <w:rFonts w:ascii="Arial" w:eastAsia="Calibri" w:hAnsi="Arial" w:cs="Arial"/>
          <w:sz w:val="24"/>
          <w:szCs w:val="24"/>
          <w:lang w:eastAsia="en-GB"/>
        </w:rPr>
        <w:t xml:space="preserve"> </w:t>
      </w:r>
      <w:r w:rsidR="005A60F9" w:rsidRPr="00B568F3">
        <w:rPr>
          <w:rFonts w:ascii="Arial" w:eastAsia="Calibri" w:hAnsi="Arial" w:cs="Arial"/>
          <w:sz w:val="24"/>
          <w:szCs w:val="24"/>
          <w:lang w:eastAsia="en-GB"/>
        </w:rPr>
        <w:t>development,</w:t>
      </w:r>
      <w:r w:rsidR="00375959" w:rsidRPr="00B568F3">
        <w:rPr>
          <w:rFonts w:ascii="Arial" w:eastAsia="Calibri" w:hAnsi="Arial" w:cs="Arial"/>
          <w:sz w:val="24"/>
          <w:szCs w:val="24"/>
          <w:lang w:eastAsia="en-GB"/>
        </w:rPr>
        <w:t xml:space="preserve"> and qualifications (including costs of staff to deliver training)</w:t>
      </w:r>
      <w:r w:rsidR="00A11AC2" w:rsidRPr="00B568F3">
        <w:rPr>
          <w:rFonts w:ascii="Arial" w:eastAsia="Calibri" w:hAnsi="Arial" w:cs="Arial"/>
          <w:sz w:val="24"/>
          <w:szCs w:val="24"/>
          <w:lang w:eastAsia="en-GB"/>
        </w:rPr>
        <w:t xml:space="preserve">. </w:t>
      </w:r>
      <w:r w:rsidR="00177890">
        <w:rPr>
          <w:rFonts w:ascii="Arial" w:eastAsia="Calibri" w:hAnsi="Arial" w:cs="Arial"/>
          <w:sz w:val="24"/>
          <w:szCs w:val="24"/>
          <w:lang w:eastAsia="en-GB"/>
        </w:rPr>
        <w:t>In 2024 to 2025</w:t>
      </w:r>
      <w:r w:rsidR="009C77B9">
        <w:rPr>
          <w:rFonts w:ascii="Arial" w:eastAsia="Calibri" w:hAnsi="Arial" w:cs="Arial"/>
          <w:sz w:val="24"/>
          <w:szCs w:val="24"/>
          <w:lang w:eastAsia="en-GB"/>
        </w:rPr>
        <w:t>, 47.3 per cent of the SCWWDP grant was spent on delivery staff.</w:t>
      </w:r>
    </w:p>
    <w:p w14:paraId="118DFBCB" w14:textId="77777777" w:rsidR="002D35D3" w:rsidRPr="00B568F3" w:rsidRDefault="002D35D3" w:rsidP="00343C94">
      <w:pPr>
        <w:spacing w:after="200" w:line="276" w:lineRule="auto"/>
        <w:ind w:left="567"/>
        <w:contextualSpacing/>
        <w:rPr>
          <w:rFonts w:ascii="Arial" w:eastAsia="Calibri" w:hAnsi="Arial" w:cs="Arial"/>
          <w:sz w:val="24"/>
          <w:szCs w:val="24"/>
          <w:lang w:eastAsia="en-GB"/>
        </w:rPr>
      </w:pPr>
    </w:p>
    <w:p w14:paraId="19F1FA83" w14:textId="0241C0B1" w:rsidR="000F51A5" w:rsidRDefault="00D320E2" w:rsidP="00632461">
      <w:pPr>
        <w:numPr>
          <w:ilvl w:val="0"/>
          <w:numId w:val="6"/>
        </w:numPr>
        <w:spacing w:after="200" w:line="276" w:lineRule="auto"/>
        <w:ind w:left="567" w:hanging="425"/>
        <w:contextualSpacing/>
        <w:rPr>
          <w:rFonts w:ascii="Arial" w:eastAsia="Calibri" w:hAnsi="Arial" w:cs="Arial"/>
          <w:sz w:val="24"/>
          <w:szCs w:val="24"/>
          <w:lang w:eastAsia="en-GB"/>
        </w:rPr>
      </w:pPr>
      <w:r w:rsidRPr="007E5C32">
        <w:rPr>
          <w:rFonts w:ascii="Arial" w:eastAsia="Calibri" w:hAnsi="Arial" w:cs="Arial"/>
          <w:sz w:val="24"/>
          <w:szCs w:val="24"/>
          <w:lang w:eastAsia="en-GB"/>
        </w:rPr>
        <w:t>As noted</w:t>
      </w:r>
      <w:r w:rsidR="002B73D8" w:rsidRPr="007E5C32">
        <w:rPr>
          <w:rFonts w:ascii="Arial" w:eastAsia="Calibri" w:hAnsi="Arial" w:cs="Arial"/>
          <w:sz w:val="24"/>
          <w:szCs w:val="24"/>
          <w:lang w:eastAsia="en-GB"/>
        </w:rPr>
        <w:t xml:space="preserve"> above,</w:t>
      </w:r>
      <w:r w:rsidRPr="007E5C32">
        <w:rPr>
          <w:rFonts w:ascii="Arial" w:eastAsia="Calibri" w:hAnsi="Arial" w:cs="Arial"/>
          <w:sz w:val="24"/>
          <w:szCs w:val="24"/>
          <w:lang w:eastAsia="en-GB"/>
        </w:rPr>
        <w:t xml:space="preserve"> the </w:t>
      </w:r>
      <w:r w:rsidR="002913A0">
        <w:rPr>
          <w:rFonts w:ascii="Arial" w:eastAsia="Calibri" w:hAnsi="Arial" w:cs="Arial"/>
          <w:sz w:val="24"/>
          <w:szCs w:val="24"/>
          <w:lang w:eastAsia="en-GB"/>
        </w:rPr>
        <w:t xml:space="preserve">reported </w:t>
      </w:r>
      <w:r w:rsidRPr="007E5C32">
        <w:rPr>
          <w:rFonts w:ascii="Arial" w:eastAsia="Calibri" w:hAnsi="Arial" w:cs="Arial"/>
          <w:sz w:val="24"/>
          <w:szCs w:val="24"/>
          <w:lang w:eastAsia="en-GB"/>
        </w:rPr>
        <w:t xml:space="preserve">additional </w:t>
      </w:r>
      <w:r w:rsidR="000F5E73" w:rsidRPr="007E5C32">
        <w:rPr>
          <w:rFonts w:ascii="Arial" w:eastAsia="Calibri" w:hAnsi="Arial" w:cs="Arial"/>
          <w:sz w:val="24"/>
          <w:szCs w:val="24"/>
          <w:lang w:eastAsia="en-GB"/>
        </w:rPr>
        <w:t>local authority</w:t>
      </w:r>
      <w:r w:rsidRPr="007E5C32">
        <w:rPr>
          <w:rFonts w:ascii="Arial" w:eastAsia="Calibri" w:hAnsi="Arial" w:cs="Arial"/>
          <w:sz w:val="24"/>
          <w:szCs w:val="24"/>
          <w:lang w:eastAsia="en-GB"/>
        </w:rPr>
        <w:t xml:space="preserve"> </w:t>
      </w:r>
      <w:r w:rsidR="006F3FC9" w:rsidRPr="007E5C32">
        <w:rPr>
          <w:rFonts w:ascii="Arial" w:eastAsia="Calibri" w:hAnsi="Arial" w:cs="Arial"/>
          <w:sz w:val="24"/>
          <w:szCs w:val="24"/>
          <w:lang w:eastAsia="en-GB"/>
        </w:rPr>
        <w:t>funding</w:t>
      </w:r>
      <w:r w:rsidRPr="007E5C32">
        <w:rPr>
          <w:rFonts w:ascii="Arial" w:eastAsia="Calibri" w:hAnsi="Arial" w:cs="Arial"/>
          <w:sz w:val="24"/>
          <w:szCs w:val="24"/>
          <w:lang w:eastAsia="en-GB"/>
        </w:rPr>
        <w:t xml:space="preserve"> data is</w:t>
      </w:r>
      <w:r w:rsidR="000F5E73" w:rsidRPr="007E5C32">
        <w:rPr>
          <w:rFonts w:ascii="Arial" w:eastAsia="Calibri" w:hAnsi="Arial" w:cs="Arial"/>
          <w:sz w:val="24"/>
          <w:szCs w:val="24"/>
          <w:lang w:eastAsia="en-GB"/>
        </w:rPr>
        <w:t>n’t</w:t>
      </w:r>
      <w:r w:rsidRPr="007E5C32" w:rsidDel="000F5E73">
        <w:rPr>
          <w:rFonts w:ascii="Arial" w:eastAsia="Calibri" w:hAnsi="Arial" w:cs="Arial"/>
          <w:sz w:val="24"/>
          <w:szCs w:val="24"/>
          <w:lang w:eastAsia="en-GB"/>
        </w:rPr>
        <w:t xml:space="preserve"> </w:t>
      </w:r>
      <w:r w:rsidR="002B73D8" w:rsidRPr="007E5C32">
        <w:rPr>
          <w:rFonts w:ascii="Arial" w:eastAsia="Calibri" w:hAnsi="Arial" w:cs="Arial"/>
          <w:sz w:val="24"/>
          <w:szCs w:val="24"/>
          <w:lang w:eastAsia="en-GB"/>
        </w:rPr>
        <w:t>always provided</w:t>
      </w:r>
      <w:r w:rsidR="000245BA" w:rsidRPr="007E5C32">
        <w:rPr>
          <w:rFonts w:ascii="Arial" w:eastAsia="Calibri" w:hAnsi="Arial" w:cs="Arial"/>
          <w:sz w:val="24"/>
          <w:szCs w:val="24"/>
          <w:lang w:eastAsia="en-GB"/>
        </w:rPr>
        <w:t xml:space="preserve">, </w:t>
      </w:r>
      <w:r w:rsidR="00334CBE" w:rsidRPr="00C92ECE">
        <w:rPr>
          <w:rFonts w:ascii="Arial" w:eastAsia="Calibri" w:hAnsi="Arial" w:cs="Arial"/>
          <w:sz w:val="24"/>
          <w:szCs w:val="24"/>
          <w:lang w:eastAsia="en-GB"/>
        </w:rPr>
        <w:t xml:space="preserve">so the data presented in this report might not be a </w:t>
      </w:r>
      <w:r w:rsidR="0000525B" w:rsidRPr="007E5C32">
        <w:rPr>
          <w:rFonts w:ascii="Arial" w:eastAsia="Calibri" w:hAnsi="Arial" w:cs="Arial"/>
          <w:sz w:val="24"/>
          <w:szCs w:val="24"/>
          <w:lang w:eastAsia="en-GB"/>
        </w:rPr>
        <w:t>true reflection of</w:t>
      </w:r>
      <w:r w:rsidR="000F5E73" w:rsidRPr="007E5C32">
        <w:rPr>
          <w:rFonts w:ascii="Arial" w:eastAsia="Calibri" w:hAnsi="Arial" w:cs="Arial"/>
          <w:sz w:val="24"/>
          <w:szCs w:val="24"/>
          <w:lang w:eastAsia="en-GB"/>
        </w:rPr>
        <w:t xml:space="preserve"> the</w:t>
      </w:r>
      <w:r w:rsidR="0000525B" w:rsidRPr="007E5C32">
        <w:rPr>
          <w:rFonts w:ascii="Arial" w:eastAsia="Calibri" w:hAnsi="Arial" w:cs="Arial"/>
          <w:sz w:val="24"/>
          <w:szCs w:val="24"/>
          <w:lang w:eastAsia="en-GB"/>
        </w:rPr>
        <w:t xml:space="preserve"> </w:t>
      </w:r>
      <w:r w:rsidR="009238BB" w:rsidRPr="007E5C32">
        <w:rPr>
          <w:rFonts w:ascii="Arial" w:eastAsia="Calibri" w:hAnsi="Arial" w:cs="Arial"/>
          <w:sz w:val="24"/>
          <w:szCs w:val="24"/>
          <w:lang w:eastAsia="en-GB"/>
        </w:rPr>
        <w:t>total spend</w:t>
      </w:r>
      <w:r w:rsidR="00E23232" w:rsidRPr="007E5C32">
        <w:rPr>
          <w:rFonts w:ascii="Arial" w:eastAsia="Calibri" w:hAnsi="Arial" w:cs="Arial"/>
          <w:sz w:val="24"/>
          <w:szCs w:val="24"/>
          <w:lang w:eastAsia="en-GB"/>
        </w:rPr>
        <w:t>.</w:t>
      </w:r>
      <w:r w:rsidR="0000525B" w:rsidRPr="007E5C32">
        <w:rPr>
          <w:rFonts w:ascii="Arial" w:eastAsia="Calibri" w:hAnsi="Arial" w:cs="Arial"/>
          <w:sz w:val="24"/>
          <w:szCs w:val="24"/>
          <w:lang w:eastAsia="en-GB"/>
        </w:rPr>
        <w:t xml:space="preserve"> </w:t>
      </w:r>
      <w:r w:rsidR="000F51A5" w:rsidRPr="007E5C32">
        <w:rPr>
          <w:rFonts w:ascii="Arial" w:eastAsia="Calibri" w:hAnsi="Arial" w:cs="Arial"/>
          <w:sz w:val="24"/>
          <w:szCs w:val="24"/>
          <w:lang w:eastAsia="en-GB"/>
        </w:rPr>
        <w:t xml:space="preserve">For example, there are some roles within </w:t>
      </w:r>
      <w:r w:rsidR="00DA25BC" w:rsidRPr="007E5C32">
        <w:rPr>
          <w:rFonts w:ascii="Arial" w:eastAsia="Calibri" w:hAnsi="Arial" w:cs="Arial"/>
          <w:sz w:val="24"/>
          <w:szCs w:val="24"/>
          <w:lang w:eastAsia="en-GB"/>
        </w:rPr>
        <w:t>l</w:t>
      </w:r>
      <w:r w:rsidR="00C41274" w:rsidRPr="007E5C32">
        <w:rPr>
          <w:rFonts w:ascii="Arial" w:eastAsia="Calibri" w:hAnsi="Arial" w:cs="Arial"/>
          <w:sz w:val="24"/>
          <w:szCs w:val="24"/>
          <w:lang w:eastAsia="en-GB"/>
        </w:rPr>
        <w:t xml:space="preserve">ocal </w:t>
      </w:r>
      <w:r w:rsidR="00DA25BC" w:rsidRPr="007E5C32">
        <w:rPr>
          <w:rFonts w:ascii="Arial" w:eastAsia="Calibri" w:hAnsi="Arial" w:cs="Arial"/>
          <w:sz w:val="24"/>
          <w:szCs w:val="24"/>
          <w:lang w:eastAsia="en-GB"/>
        </w:rPr>
        <w:t>a</w:t>
      </w:r>
      <w:r w:rsidR="00C41274" w:rsidRPr="007E5C32">
        <w:rPr>
          <w:rFonts w:ascii="Arial" w:eastAsia="Calibri" w:hAnsi="Arial" w:cs="Arial"/>
          <w:sz w:val="24"/>
          <w:szCs w:val="24"/>
          <w:lang w:eastAsia="en-GB"/>
        </w:rPr>
        <w:t xml:space="preserve">uthorities </w:t>
      </w:r>
      <w:r w:rsidR="00DA25BC" w:rsidRPr="007E5C32">
        <w:rPr>
          <w:rFonts w:ascii="Arial" w:eastAsia="Calibri" w:hAnsi="Arial" w:cs="Arial"/>
          <w:sz w:val="24"/>
          <w:szCs w:val="24"/>
          <w:lang w:eastAsia="en-GB"/>
        </w:rPr>
        <w:t>that support the social care workforce</w:t>
      </w:r>
      <w:r w:rsidR="009238BB" w:rsidRPr="007E5C32">
        <w:rPr>
          <w:rFonts w:ascii="Arial" w:eastAsia="Calibri" w:hAnsi="Arial" w:cs="Arial"/>
          <w:sz w:val="24"/>
          <w:szCs w:val="24"/>
          <w:lang w:eastAsia="en-GB"/>
        </w:rPr>
        <w:t>, but they w</w:t>
      </w:r>
      <w:r w:rsidR="00046BAC" w:rsidRPr="007E5C32">
        <w:rPr>
          <w:rFonts w:ascii="Arial" w:eastAsia="Calibri" w:hAnsi="Arial" w:cs="Arial"/>
          <w:sz w:val="24"/>
          <w:szCs w:val="24"/>
          <w:lang w:eastAsia="en-GB"/>
        </w:rPr>
        <w:t>on’t</w:t>
      </w:r>
      <w:r w:rsidR="00F90BCD" w:rsidRPr="007E5C32">
        <w:rPr>
          <w:rFonts w:ascii="Arial" w:eastAsia="Calibri" w:hAnsi="Arial" w:cs="Arial"/>
          <w:sz w:val="24"/>
          <w:szCs w:val="24"/>
          <w:lang w:eastAsia="en-GB"/>
        </w:rPr>
        <w:t xml:space="preserve"> be </w:t>
      </w:r>
      <w:r w:rsidR="009238BB" w:rsidRPr="007E5C32">
        <w:rPr>
          <w:rFonts w:ascii="Arial" w:eastAsia="Calibri" w:hAnsi="Arial" w:cs="Arial"/>
          <w:sz w:val="24"/>
          <w:szCs w:val="24"/>
          <w:lang w:eastAsia="en-GB"/>
        </w:rPr>
        <w:t>reported as they</w:t>
      </w:r>
      <w:r w:rsidR="000F5E73" w:rsidRPr="007E5C32">
        <w:rPr>
          <w:rFonts w:ascii="Arial" w:eastAsia="Calibri" w:hAnsi="Arial" w:cs="Arial"/>
          <w:sz w:val="24"/>
          <w:szCs w:val="24"/>
          <w:lang w:eastAsia="en-GB"/>
        </w:rPr>
        <w:t>’</w:t>
      </w:r>
      <w:r w:rsidR="009238BB" w:rsidRPr="007E5C32">
        <w:rPr>
          <w:rFonts w:ascii="Arial" w:eastAsia="Calibri" w:hAnsi="Arial" w:cs="Arial"/>
          <w:sz w:val="24"/>
          <w:szCs w:val="24"/>
          <w:lang w:eastAsia="en-GB"/>
        </w:rPr>
        <w:t xml:space="preserve">re </w:t>
      </w:r>
      <w:r w:rsidR="000F51A5" w:rsidRPr="007E5C32">
        <w:rPr>
          <w:rFonts w:ascii="Arial" w:eastAsia="Calibri" w:hAnsi="Arial" w:cs="Arial"/>
          <w:sz w:val="24"/>
          <w:szCs w:val="24"/>
          <w:lang w:eastAsia="en-GB"/>
        </w:rPr>
        <w:t>fully funded</w:t>
      </w:r>
      <w:r w:rsidR="000F5E73" w:rsidRPr="007E5C32">
        <w:rPr>
          <w:rFonts w:ascii="Arial" w:eastAsia="Calibri" w:hAnsi="Arial" w:cs="Arial"/>
          <w:sz w:val="24"/>
          <w:szCs w:val="24"/>
          <w:lang w:eastAsia="en-GB"/>
        </w:rPr>
        <w:t xml:space="preserve"> by the local authority</w:t>
      </w:r>
      <w:r w:rsidR="000F51A5" w:rsidRPr="007E5C32">
        <w:rPr>
          <w:rFonts w:ascii="Arial" w:eastAsia="Calibri" w:hAnsi="Arial" w:cs="Arial"/>
          <w:sz w:val="24"/>
          <w:szCs w:val="24"/>
          <w:lang w:eastAsia="en-GB"/>
        </w:rPr>
        <w:t xml:space="preserve">. </w:t>
      </w:r>
    </w:p>
    <w:p w14:paraId="59DD1FFC" w14:textId="77777777" w:rsidR="0051163B" w:rsidRDefault="0051163B" w:rsidP="00C84AB4">
      <w:pPr>
        <w:pStyle w:val="ListParagraph"/>
        <w:rPr>
          <w:rFonts w:ascii="Arial" w:eastAsia="Calibri" w:hAnsi="Arial" w:cs="Arial"/>
          <w:sz w:val="24"/>
          <w:szCs w:val="24"/>
          <w:lang w:eastAsia="en-GB"/>
        </w:rPr>
      </w:pPr>
    </w:p>
    <w:p w14:paraId="50949106" w14:textId="77777777" w:rsidR="00245248" w:rsidRDefault="00245248" w:rsidP="00C84AB4">
      <w:pPr>
        <w:pStyle w:val="ListParagraph"/>
        <w:rPr>
          <w:rFonts w:ascii="Arial" w:eastAsia="Calibri" w:hAnsi="Arial" w:cs="Arial"/>
          <w:sz w:val="24"/>
          <w:szCs w:val="24"/>
          <w:lang w:eastAsia="en-GB"/>
        </w:rPr>
      </w:pPr>
    </w:p>
    <w:p w14:paraId="3BB5B89D" w14:textId="77777777" w:rsidR="00245248" w:rsidRDefault="00245248" w:rsidP="00C84AB4">
      <w:pPr>
        <w:pStyle w:val="ListParagraph"/>
        <w:rPr>
          <w:rFonts w:ascii="Arial" w:eastAsia="Calibri"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34EE2" w:rsidRPr="00B568F3" w14:paraId="7F144B82" w14:textId="77777777" w:rsidTr="00343C94">
        <w:tc>
          <w:tcPr>
            <w:tcW w:w="9026" w:type="dxa"/>
          </w:tcPr>
          <w:p w14:paraId="6717E536" w14:textId="7AC64632" w:rsidR="00334EE2" w:rsidRPr="00B568F3" w:rsidRDefault="00334EE2" w:rsidP="00FC716F">
            <w:pPr>
              <w:contextualSpacing/>
              <w:rPr>
                <w:rFonts w:ascii="Arial" w:eastAsia="Calibri" w:hAnsi="Arial" w:cs="Arial"/>
                <w:b/>
                <w:bCs/>
                <w:sz w:val="24"/>
                <w:szCs w:val="24"/>
              </w:rPr>
            </w:pPr>
            <w:r w:rsidRPr="00F7217A">
              <w:rPr>
                <w:rFonts w:ascii="Arial" w:eastAsia="Calibri" w:hAnsi="Arial" w:cs="Arial"/>
                <w:b/>
                <w:bCs/>
                <w:sz w:val="24"/>
                <w:szCs w:val="24"/>
              </w:rPr>
              <w:lastRenderedPageBreak/>
              <w:t xml:space="preserve">Figure </w:t>
            </w:r>
            <w:r w:rsidR="007951E2" w:rsidRPr="00F7217A">
              <w:rPr>
                <w:rFonts w:ascii="Arial" w:eastAsia="Calibri" w:hAnsi="Arial" w:cs="Arial"/>
                <w:b/>
                <w:bCs/>
                <w:sz w:val="24"/>
                <w:szCs w:val="24"/>
              </w:rPr>
              <w:t>4</w:t>
            </w:r>
            <w:r w:rsidRPr="00F7217A">
              <w:rPr>
                <w:rFonts w:ascii="Arial" w:eastAsia="Calibri" w:hAnsi="Arial" w:cs="Arial"/>
                <w:b/>
                <w:bCs/>
                <w:sz w:val="24"/>
                <w:szCs w:val="24"/>
              </w:rPr>
              <w:t xml:space="preserve">: </w:t>
            </w:r>
            <w:r w:rsidR="00847037" w:rsidRPr="00F7217A">
              <w:rPr>
                <w:rFonts w:ascii="Arial" w:eastAsia="Calibri" w:hAnsi="Arial" w:cs="Arial"/>
                <w:b/>
                <w:bCs/>
                <w:sz w:val="24"/>
                <w:szCs w:val="24"/>
              </w:rPr>
              <w:t xml:space="preserve">Spend on staffing, </w:t>
            </w:r>
            <w:r w:rsidR="00C054EA" w:rsidRPr="00F7217A">
              <w:rPr>
                <w:rFonts w:ascii="Arial" w:eastAsia="Calibri" w:hAnsi="Arial" w:cs="Arial"/>
                <w:b/>
                <w:bCs/>
                <w:sz w:val="24"/>
                <w:szCs w:val="24"/>
              </w:rPr>
              <w:t xml:space="preserve">2024 </w:t>
            </w:r>
            <w:r w:rsidR="00885084" w:rsidRPr="00F7217A">
              <w:rPr>
                <w:rFonts w:ascii="Arial" w:eastAsia="Calibri" w:hAnsi="Arial" w:cs="Arial"/>
                <w:b/>
                <w:bCs/>
                <w:sz w:val="24"/>
                <w:szCs w:val="24"/>
              </w:rPr>
              <w:t xml:space="preserve">to </w:t>
            </w:r>
            <w:r w:rsidR="00C054EA" w:rsidRPr="00F7217A">
              <w:rPr>
                <w:rFonts w:ascii="Arial" w:eastAsia="Calibri" w:hAnsi="Arial" w:cs="Arial"/>
                <w:b/>
                <w:bCs/>
                <w:sz w:val="24"/>
                <w:szCs w:val="24"/>
              </w:rPr>
              <w:t>2025</w:t>
            </w:r>
            <w:r w:rsidR="00C054EA" w:rsidRPr="00B568F3">
              <w:rPr>
                <w:rFonts w:ascii="Arial" w:eastAsia="Calibri" w:hAnsi="Arial" w:cs="Arial"/>
                <w:b/>
                <w:bCs/>
                <w:sz w:val="24"/>
                <w:szCs w:val="24"/>
              </w:rPr>
              <w:t xml:space="preserve"> </w:t>
            </w:r>
          </w:p>
          <w:p w14:paraId="1AC1277B" w14:textId="77777777" w:rsidR="00334EE2" w:rsidRPr="00B568F3" w:rsidRDefault="00334EE2" w:rsidP="00C92ECE">
            <w:pPr>
              <w:contextualSpacing/>
              <w:rPr>
                <w:rFonts w:ascii="Arial" w:eastAsia="Calibri" w:hAnsi="Arial" w:cs="Arial"/>
                <w:b/>
                <w:bCs/>
                <w:color w:val="FF0000"/>
                <w:sz w:val="24"/>
                <w:szCs w:val="24"/>
              </w:rPr>
            </w:pPr>
          </w:p>
        </w:tc>
      </w:tr>
      <w:tr w:rsidR="00334EE2" w:rsidRPr="00B568F3" w14:paraId="7E464D78" w14:textId="77777777" w:rsidTr="00FB2401">
        <w:tc>
          <w:tcPr>
            <w:tcW w:w="9026" w:type="dxa"/>
          </w:tcPr>
          <w:p w14:paraId="48A1B269" w14:textId="2229C6FF" w:rsidR="00334EE2" w:rsidRPr="00B568F3" w:rsidRDefault="00FB2401" w:rsidP="00FC716F">
            <w:pPr>
              <w:contextualSpacing/>
              <w:jc w:val="center"/>
              <w:rPr>
                <w:rFonts w:ascii="Arial" w:eastAsia="Calibri" w:hAnsi="Arial" w:cs="Arial"/>
                <w:color w:val="FF0000"/>
                <w:sz w:val="24"/>
                <w:szCs w:val="24"/>
              </w:rPr>
            </w:pPr>
            <w:r>
              <w:rPr>
                <w:noProof/>
              </w:rPr>
              <w:drawing>
                <wp:inline distT="0" distB="0" distL="0" distR="0" wp14:anchorId="2DBD4B52" wp14:editId="30D76E51">
                  <wp:extent cx="5731510" cy="3971925"/>
                  <wp:effectExtent l="0" t="0" r="2540" b="0"/>
                  <wp:docPr id="1934866067" name="Chart 1" descr="bar graph showing spend on staffing">
                    <a:extLst xmlns:a="http://schemas.openxmlformats.org/drawingml/2006/main">
                      <a:ext uri="{FF2B5EF4-FFF2-40B4-BE49-F238E27FC236}">
                        <a16:creationId xmlns:a16="http://schemas.microsoft.com/office/drawing/2014/main" id="{46877639-D380-43AB-9456-521C91382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5DB39504" w14:textId="703B1FC6" w:rsidR="5EF60A1F" w:rsidRPr="000C06A7" w:rsidRDefault="5EF60A1F" w:rsidP="00C92ECE">
      <w:pPr>
        <w:spacing w:after="0"/>
        <w:ind w:left="66"/>
        <w:rPr>
          <w:rFonts w:ascii="Arial" w:hAnsi="Arial" w:cs="Arial"/>
        </w:rPr>
      </w:pPr>
    </w:p>
    <w:p w14:paraId="64ADF3CD" w14:textId="0C6C1800" w:rsidR="00DB60C1" w:rsidRPr="00B568F3" w:rsidRDefault="00DB60C1" w:rsidP="00343C94">
      <w:pPr>
        <w:spacing w:after="0" w:line="240" w:lineRule="auto"/>
        <w:ind w:left="66"/>
        <w:contextualSpacing/>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3: Staff spend, </w:t>
      </w:r>
      <w:r w:rsidR="00B62C77" w:rsidRPr="00B568F3">
        <w:rPr>
          <w:rFonts w:ascii="Arial" w:eastAsia="Calibri" w:hAnsi="Arial" w:cs="Arial"/>
          <w:b/>
          <w:bCs/>
          <w:sz w:val="24"/>
          <w:szCs w:val="24"/>
          <w:lang w:eastAsia="en-GB"/>
        </w:rPr>
        <w:t xml:space="preserve">the </w:t>
      </w:r>
      <w:r w:rsidRPr="00B568F3">
        <w:rPr>
          <w:rFonts w:ascii="Arial" w:eastAsia="Calibri" w:hAnsi="Arial" w:cs="Arial"/>
          <w:b/>
          <w:bCs/>
          <w:sz w:val="24"/>
          <w:szCs w:val="24"/>
        </w:rPr>
        <w:t>three</w:t>
      </w:r>
      <w:r w:rsidR="00B24C33" w:rsidRPr="00B568F3">
        <w:rPr>
          <w:rFonts w:ascii="Arial" w:eastAsia="Calibri" w:hAnsi="Arial" w:cs="Arial"/>
          <w:b/>
          <w:bCs/>
          <w:sz w:val="24"/>
          <w:szCs w:val="24"/>
        </w:rPr>
        <w:t>-</w:t>
      </w:r>
      <w:r w:rsidRPr="00B568F3">
        <w:rPr>
          <w:rFonts w:ascii="Arial" w:eastAsia="Calibri" w:hAnsi="Arial" w:cs="Arial"/>
          <w:b/>
          <w:bCs/>
          <w:sz w:val="24"/>
          <w:szCs w:val="24"/>
        </w:rPr>
        <w:t>year trend</w:t>
      </w:r>
    </w:p>
    <w:tbl>
      <w:tblPr>
        <w:tblStyle w:val="TableGridLight"/>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350"/>
        <w:gridCol w:w="1273"/>
        <w:gridCol w:w="1311"/>
        <w:gridCol w:w="1561"/>
        <w:gridCol w:w="1263"/>
        <w:gridCol w:w="1239"/>
      </w:tblGrid>
      <w:tr w:rsidR="009B6404" w:rsidRPr="00B568F3" w14:paraId="2192C2EC" w14:textId="77777777" w:rsidTr="00343C94">
        <w:trPr>
          <w:trHeight w:val="300"/>
        </w:trPr>
        <w:tc>
          <w:tcPr>
            <w:tcW w:w="1260" w:type="dxa"/>
          </w:tcPr>
          <w:p w14:paraId="5EF7D3A6" w14:textId="39494F16" w:rsidR="009B6404" w:rsidRPr="000C06A7" w:rsidRDefault="009B6404" w:rsidP="009B6404">
            <w:pPr>
              <w:rPr>
                <w:rFonts w:ascii="Arial" w:hAnsi="Arial" w:cs="Arial"/>
              </w:rPr>
            </w:pPr>
          </w:p>
        </w:tc>
        <w:tc>
          <w:tcPr>
            <w:tcW w:w="1350" w:type="dxa"/>
          </w:tcPr>
          <w:p w14:paraId="647F71ED" w14:textId="77777777" w:rsidR="009B6404" w:rsidRPr="000C06A7" w:rsidRDefault="009B6404" w:rsidP="009B6404">
            <w:pPr>
              <w:rPr>
                <w:rFonts w:ascii="Arial" w:eastAsia="Calibri" w:hAnsi="Arial" w:cs="Arial"/>
                <w:b/>
                <w:bCs/>
                <w:lang w:eastAsia="en-GB"/>
              </w:rPr>
            </w:pPr>
          </w:p>
        </w:tc>
        <w:tc>
          <w:tcPr>
            <w:tcW w:w="1273" w:type="dxa"/>
          </w:tcPr>
          <w:p w14:paraId="08427D26" w14:textId="77777777" w:rsidR="009B6404" w:rsidRPr="000C06A7" w:rsidRDefault="009B6404" w:rsidP="009B6404">
            <w:pPr>
              <w:rPr>
                <w:rFonts w:ascii="Arial" w:eastAsia="Calibri" w:hAnsi="Arial" w:cs="Arial"/>
                <w:b/>
                <w:bCs/>
                <w:lang w:eastAsia="en-GB"/>
              </w:rPr>
            </w:pPr>
          </w:p>
        </w:tc>
        <w:tc>
          <w:tcPr>
            <w:tcW w:w="1311" w:type="dxa"/>
            <w:tcBorders>
              <w:right w:val="single" w:sz="4" w:space="0" w:color="auto"/>
            </w:tcBorders>
          </w:tcPr>
          <w:p w14:paraId="79C7CB6E" w14:textId="77777777" w:rsidR="009B6404" w:rsidRPr="000C06A7" w:rsidRDefault="009B6404" w:rsidP="009B6404">
            <w:pPr>
              <w:rPr>
                <w:rFonts w:ascii="Arial" w:eastAsia="Calibri" w:hAnsi="Arial" w:cs="Arial"/>
                <w:b/>
                <w:bCs/>
                <w:lang w:eastAsia="en-GB"/>
              </w:rPr>
            </w:pPr>
          </w:p>
        </w:tc>
        <w:tc>
          <w:tcPr>
            <w:tcW w:w="1561" w:type="dxa"/>
            <w:tcBorders>
              <w:left w:val="single" w:sz="4" w:space="0" w:color="auto"/>
            </w:tcBorders>
          </w:tcPr>
          <w:p w14:paraId="00D436BF" w14:textId="77777777" w:rsidR="009B6404" w:rsidRPr="000C06A7" w:rsidRDefault="009B6404" w:rsidP="009B6404">
            <w:pPr>
              <w:rPr>
                <w:rFonts w:ascii="Arial" w:eastAsia="Calibri" w:hAnsi="Arial" w:cs="Arial"/>
                <w:b/>
                <w:bCs/>
                <w:lang w:eastAsia="en-GB"/>
              </w:rPr>
            </w:pPr>
          </w:p>
        </w:tc>
        <w:tc>
          <w:tcPr>
            <w:tcW w:w="1263" w:type="dxa"/>
          </w:tcPr>
          <w:p w14:paraId="6844F38F" w14:textId="77777777" w:rsidR="009B6404" w:rsidRPr="000C06A7" w:rsidRDefault="009B6404" w:rsidP="009B6404">
            <w:pPr>
              <w:rPr>
                <w:rFonts w:ascii="Arial" w:eastAsia="Calibri" w:hAnsi="Arial" w:cs="Arial"/>
                <w:b/>
                <w:bCs/>
                <w:lang w:eastAsia="en-GB"/>
              </w:rPr>
            </w:pPr>
          </w:p>
        </w:tc>
        <w:tc>
          <w:tcPr>
            <w:tcW w:w="1239" w:type="dxa"/>
          </w:tcPr>
          <w:p w14:paraId="38409B4E" w14:textId="77777777" w:rsidR="009B6404" w:rsidRPr="000C06A7" w:rsidRDefault="009B6404" w:rsidP="009B6404">
            <w:pPr>
              <w:rPr>
                <w:rFonts w:ascii="Arial" w:eastAsia="Calibri" w:hAnsi="Arial" w:cs="Arial"/>
                <w:b/>
                <w:bCs/>
                <w:lang w:eastAsia="en-GB"/>
              </w:rPr>
            </w:pPr>
          </w:p>
        </w:tc>
      </w:tr>
      <w:tr w:rsidR="0077083D" w:rsidRPr="00B568F3" w14:paraId="45131538" w14:textId="77777777" w:rsidTr="005C3459">
        <w:trPr>
          <w:trHeight w:val="300"/>
        </w:trPr>
        <w:tc>
          <w:tcPr>
            <w:tcW w:w="1260" w:type="dxa"/>
            <w:vMerge w:val="restart"/>
            <w:tcBorders>
              <w:bottom w:val="single" w:sz="4" w:space="0" w:color="auto"/>
              <w:right w:val="single" w:sz="4" w:space="0" w:color="auto"/>
            </w:tcBorders>
            <w:vAlign w:val="center"/>
          </w:tcPr>
          <w:p w14:paraId="4F983A6C" w14:textId="4C6BCDBE" w:rsidR="00F8164F" w:rsidRPr="000C06A7" w:rsidRDefault="00F8164F" w:rsidP="00245F9E">
            <w:pPr>
              <w:jc w:val="center"/>
              <w:rPr>
                <w:rFonts w:ascii="Arial" w:hAnsi="Arial" w:cs="Arial"/>
                <w:b/>
                <w:bCs/>
              </w:rPr>
            </w:pPr>
            <w:r w:rsidRPr="000C06A7">
              <w:rPr>
                <w:rFonts w:ascii="Arial" w:hAnsi="Arial" w:cs="Arial"/>
                <w:b/>
                <w:bCs/>
              </w:rPr>
              <w:t>SCWWDP</w:t>
            </w:r>
          </w:p>
        </w:tc>
        <w:tc>
          <w:tcPr>
            <w:tcW w:w="3934" w:type="dxa"/>
            <w:gridSpan w:val="3"/>
            <w:tcBorders>
              <w:left w:val="single" w:sz="4" w:space="0" w:color="auto"/>
              <w:bottom w:val="single" w:sz="4" w:space="0" w:color="auto"/>
              <w:right w:val="single" w:sz="4" w:space="0" w:color="auto"/>
            </w:tcBorders>
            <w:vAlign w:val="center"/>
          </w:tcPr>
          <w:p w14:paraId="167C537B" w14:textId="29E171EC" w:rsidR="00F8164F" w:rsidRPr="000C06A7" w:rsidRDefault="00F8164F" w:rsidP="00245F9E">
            <w:pPr>
              <w:jc w:val="center"/>
              <w:rPr>
                <w:rFonts w:ascii="Arial" w:eastAsia="Calibri" w:hAnsi="Arial" w:cs="Arial"/>
                <w:b/>
                <w:bCs/>
                <w:lang w:eastAsia="en-GB"/>
              </w:rPr>
            </w:pPr>
            <w:r w:rsidRPr="000C06A7">
              <w:rPr>
                <w:rFonts w:ascii="Arial" w:hAnsi="Arial" w:cs="Arial"/>
                <w:b/>
                <w:bCs/>
              </w:rPr>
              <w:t xml:space="preserve">Delivery </w:t>
            </w:r>
            <w:r w:rsidR="006D5B86" w:rsidRPr="000C06A7">
              <w:rPr>
                <w:rFonts w:ascii="Arial" w:hAnsi="Arial" w:cs="Arial"/>
                <w:b/>
                <w:bCs/>
              </w:rPr>
              <w:t>s</w:t>
            </w:r>
            <w:r w:rsidRPr="000C06A7">
              <w:rPr>
                <w:rFonts w:ascii="Arial" w:hAnsi="Arial" w:cs="Arial"/>
                <w:b/>
                <w:bCs/>
              </w:rPr>
              <w:t>taff</w:t>
            </w:r>
          </w:p>
        </w:tc>
        <w:tc>
          <w:tcPr>
            <w:tcW w:w="4063" w:type="dxa"/>
            <w:gridSpan w:val="3"/>
            <w:tcBorders>
              <w:left w:val="single" w:sz="4" w:space="0" w:color="auto"/>
              <w:bottom w:val="single" w:sz="4" w:space="0" w:color="auto"/>
            </w:tcBorders>
            <w:vAlign w:val="center"/>
          </w:tcPr>
          <w:p w14:paraId="2A096276" w14:textId="2B516E3F" w:rsidR="00F8164F" w:rsidRPr="000C06A7" w:rsidRDefault="00F8164F" w:rsidP="00245F9E">
            <w:pPr>
              <w:jc w:val="center"/>
              <w:rPr>
                <w:rFonts w:ascii="Arial" w:eastAsia="Calibri" w:hAnsi="Arial" w:cs="Arial"/>
                <w:b/>
                <w:bCs/>
                <w:lang w:eastAsia="en-GB"/>
              </w:rPr>
            </w:pPr>
            <w:r w:rsidRPr="000C06A7">
              <w:rPr>
                <w:rFonts w:ascii="Arial" w:eastAsia="Calibri" w:hAnsi="Arial" w:cs="Arial"/>
                <w:b/>
                <w:bCs/>
                <w:lang w:eastAsia="en-GB"/>
              </w:rPr>
              <w:t>Management and admin</w:t>
            </w:r>
            <w:r w:rsidR="000F5E73" w:rsidRPr="000C06A7">
              <w:rPr>
                <w:rFonts w:ascii="Arial" w:eastAsia="Calibri" w:hAnsi="Arial" w:cs="Arial"/>
                <w:b/>
                <w:bCs/>
                <w:lang w:eastAsia="en-GB"/>
              </w:rPr>
              <w:t>istration</w:t>
            </w:r>
          </w:p>
        </w:tc>
      </w:tr>
      <w:tr w:rsidR="000052AD" w:rsidRPr="00B568F3" w14:paraId="0CA8C9F0" w14:textId="77777777" w:rsidTr="003C28FA">
        <w:trPr>
          <w:trHeight w:val="300"/>
        </w:trPr>
        <w:tc>
          <w:tcPr>
            <w:tcW w:w="1260" w:type="dxa"/>
            <w:vMerge/>
            <w:tcBorders>
              <w:bottom w:val="single" w:sz="4" w:space="0" w:color="auto"/>
            </w:tcBorders>
            <w:vAlign w:val="center"/>
          </w:tcPr>
          <w:p w14:paraId="2226582D" w14:textId="77777777" w:rsidR="00F8164F" w:rsidRPr="000C06A7" w:rsidRDefault="00F8164F" w:rsidP="00245F9E">
            <w:pPr>
              <w:jc w:val="center"/>
              <w:rPr>
                <w:rFonts w:ascii="Arial" w:hAnsi="Arial" w:cs="Arial"/>
                <w:b/>
                <w:bCs/>
              </w:rPr>
            </w:pPr>
          </w:p>
        </w:tc>
        <w:tc>
          <w:tcPr>
            <w:tcW w:w="1350" w:type="dxa"/>
            <w:tcBorders>
              <w:top w:val="single" w:sz="4" w:space="0" w:color="auto"/>
              <w:left w:val="single" w:sz="4" w:space="0" w:color="auto"/>
              <w:bottom w:val="single" w:sz="4" w:space="0" w:color="auto"/>
            </w:tcBorders>
            <w:vAlign w:val="center"/>
          </w:tcPr>
          <w:p w14:paraId="341186F9" w14:textId="5417AB1B" w:rsidR="00F8164F" w:rsidRPr="000C06A7" w:rsidRDefault="00F8164F" w:rsidP="00245F9E">
            <w:pPr>
              <w:jc w:val="center"/>
              <w:rPr>
                <w:rFonts w:ascii="Arial" w:hAnsi="Arial" w:cs="Arial"/>
                <w:b/>
                <w:bCs/>
              </w:rPr>
            </w:pPr>
            <w:r w:rsidRPr="000C06A7">
              <w:rPr>
                <w:rFonts w:ascii="Arial" w:eastAsia="Calibri" w:hAnsi="Arial" w:cs="Arial"/>
                <w:b/>
                <w:bCs/>
                <w:lang w:eastAsia="en-GB"/>
              </w:rPr>
              <w:t>£</w:t>
            </w:r>
          </w:p>
        </w:tc>
        <w:tc>
          <w:tcPr>
            <w:tcW w:w="1273" w:type="dxa"/>
            <w:tcBorders>
              <w:top w:val="single" w:sz="4" w:space="0" w:color="auto"/>
              <w:bottom w:val="single" w:sz="4" w:space="0" w:color="auto"/>
            </w:tcBorders>
            <w:vAlign w:val="center"/>
          </w:tcPr>
          <w:p w14:paraId="1F73C305" w14:textId="2B0C05EC" w:rsidR="00F8164F" w:rsidRPr="000C06A7" w:rsidRDefault="00F8164F" w:rsidP="00245F9E">
            <w:pPr>
              <w:jc w:val="center"/>
              <w:rPr>
                <w:rFonts w:ascii="Arial" w:hAnsi="Arial" w:cs="Arial"/>
                <w:b/>
                <w:bCs/>
              </w:rPr>
            </w:pPr>
            <w:r w:rsidRPr="000C06A7">
              <w:rPr>
                <w:rFonts w:ascii="Arial" w:eastAsia="Calibri" w:hAnsi="Arial" w:cs="Arial"/>
                <w:b/>
                <w:bCs/>
                <w:lang w:eastAsia="en-GB"/>
              </w:rPr>
              <w:t>£ change</w:t>
            </w:r>
          </w:p>
        </w:tc>
        <w:tc>
          <w:tcPr>
            <w:tcW w:w="1311" w:type="dxa"/>
            <w:tcBorders>
              <w:top w:val="single" w:sz="4" w:space="0" w:color="auto"/>
              <w:bottom w:val="single" w:sz="4" w:space="0" w:color="auto"/>
              <w:right w:val="single" w:sz="4" w:space="0" w:color="auto"/>
            </w:tcBorders>
            <w:vAlign w:val="center"/>
          </w:tcPr>
          <w:p w14:paraId="370D5203" w14:textId="074C03C8" w:rsidR="00F8164F" w:rsidRPr="000C06A7" w:rsidRDefault="00F8164F" w:rsidP="00245F9E">
            <w:pPr>
              <w:jc w:val="center"/>
              <w:rPr>
                <w:rFonts w:ascii="Arial" w:hAnsi="Arial" w:cs="Arial"/>
                <w:b/>
                <w:bCs/>
              </w:rPr>
            </w:pPr>
            <w:r w:rsidRPr="000C06A7">
              <w:rPr>
                <w:rFonts w:ascii="Arial" w:eastAsia="Calibri" w:hAnsi="Arial" w:cs="Arial"/>
                <w:b/>
                <w:bCs/>
                <w:lang w:eastAsia="en-GB"/>
              </w:rPr>
              <w:t>% change</w:t>
            </w:r>
          </w:p>
        </w:tc>
        <w:tc>
          <w:tcPr>
            <w:tcW w:w="1561" w:type="dxa"/>
            <w:tcBorders>
              <w:top w:val="single" w:sz="4" w:space="0" w:color="auto"/>
              <w:left w:val="single" w:sz="4" w:space="0" w:color="auto"/>
              <w:bottom w:val="single" w:sz="4" w:space="0" w:color="auto"/>
            </w:tcBorders>
            <w:vAlign w:val="center"/>
          </w:tcPr>
          <w:p w14:paraId="1510039A" w14:textId="154E27D7" w:rsidR="00F8164F" w:rsidRPr="000C06A7" w:rsidRDefault="00F8164F" w:rsidP="00245F9E">
            <w:pPr>
              <w:jc w:val="center"/>
              <w:rPr>
                <w:rFonts w:ascii="Arial" w:hAnsi="Arial" w:cs="Arial"/>
                <w:b/>
                <w:bCs/>
              </w:rPr>
            </w:pPr>
            <w:r w:rsidRPr="000C06A7">
              <w:rPr>
                <w:rFonts w:ascii="Arial" w:eastAsia="Calibri" w:hAnsi="Arial" w:cs="Arial"/>
                <w:b/>
                <w:bCs/>
                <w:lang w:eastAsia="en-GB"/>
              </w:rPr>
              <w:t>£</w:t>
            </w:r>
          </w:p>
        </w:tc>
        <w:tc>
          <w:tcPr>
            <w:tcW w:w="1263" w:type="dxa"/>
            <w:tcBorders>
              <w:top w:val="single" w:sz="4" w:space="0" w:color="auto"/>
              <w:bottom w:val="single" w:sz="4" w:space="0" w:color="auto"/>
            </w:tcBorders>
            <w:vAlign w:val="center"/>
          </w:tcPr>
          <w:p w14:paraId="2266DB80" w14:textId="725B26FD" w:rsidR="00F8164F" w:rsidRPr="000C06A7" w:rsidRDefault="00F8164F" w:rsidP="00245F9E">
            <w:pPr>
              <w:jc w:val="center"/>
              <w:rPr>
                <w:rFonts w:ascii="Arial" w:hAnsi="Arial" w:cs="Arial"/>
                <w:b/>
                <w:bCs/>
              </w:rPr>
            </w:pPr>
            <w:r w:rsidRPr="000C06A7">
              <w:rPr>
                <w:rFonts w:ascii="Arial" w:eastAsia="Calibri" w:hAnsi="Arial" w:cs="Arial"/>
                <w:b/>
                <w:bCs/>
                <w:lang w:eastAsia="en-GB"/>
              </w:rPr>
              <w:t>£ change</w:t>
            </w:r>
          </w:p>
        </w:tc>
        <w:tc>
          <w:tcPr>
            <w:tcW w:w="1239" w:type="dxa"/>
            <w:tcBorders>
              <w:top w:val="single" w:sz="4" w:space="0" w:color="auto"/>
              <w:bottom w:val="single" w:sz="4" w:space="0" w:color="auto"/>
            </w:tcBorders>
            <w:vAlign w:val="center"/>
          </w:tcPr>
          <w:p w14:paraId="5EFF8BF3" w14:textId="2DF3A77B" w:rsidR="00F8164F" w:rsidRPr="000C06A7" w:rsidRDefault="00F8164F" w:rsidP="00245F9E">
            <w:pPr>
              <w:jc w:val="center"/>
              <w:rPr>
                <w:rFonts w:ascii="Arial" w:hAnsi="Arial" w:cs="Arial"/>
                <w:b/>
                <w:bCs/>
              </w:rPr>
            </w:pPr>
            <w:r w:rsidRPr="000C06A7">
              <w:rPr>
                <w:rFonts w:ascii="Arial" w:eastAsia="Calibri" w:hAnsi="Arial" w:cs="Arial"/>
                <w:b/>
                <w:bCs/>
                <w:lang w:eastAsia="en-GB"/>
              </w:rPr>
              <w:t>% change</w:t>
            </w:r>
          </w:p>
        </w:tc>
      </w:tr>
      <w:tr w:rsidR="00CE379D" w:rsidRPr="00B568F3" w14:paraId="77CEFC61" w14:textId="77777777" w:rsidTr="00C92ECE">
        <w:trPr>
          <w:trHeight w:val="300"/>
        </w:trPr>
        <w:tc>
          <w:tcPr>
            <w:tcW w:w="1260" w:type="dxa"/>
            <w:tcBorders>
              <w:top w:val="single" w:sz="4" w:space="0" w:color="auto"/>
              <w:right w:val="single" w:sz="4" w:space="0" w:color="auto"/>
            </w:tcBorders>
          </w:tcPr>
          <w:p w14:paraId="3989BC18" w14:textId="3C368F1D" w:rsidR="00CE379D" w:rsidRPr="000C06A7" w:rsidRDefault="00F630A4" w:rsidP="009B6404">
            <w:pPr>
              <w:rPr>
                <w:rFonts w:ascii="Arial" w:eastAsia="Calibri" w:hAnsi="Arial" w:cs="Arial"/>
                <w:b/>
                <w:bCs/>
                <w:lang w:eastAsia="en-GB"/>
              </w:rPr>
            </w:pPr>
            <w:r>
              <w:rPr>
                <w:rFonts w:ascii="Arial" w:eastAsia="Calibri" w:hAnsi="Arial" w:cs="Arial"/>
                <w:b/>
                <w:bCs/>
                <w:lang w:eastAsia="en-GB"/>
              </w:rPr>
              <w:t>2024/2025</w:t>
            </w:r>
          </w:p>
        </w:tc>
        <w:tc>
          <w:tcPr>
            <w:tcW w:w="1350" w:type="dxa"/>
            <w:tcBorders>
              <w:top w:val="single" w:sz="4" w:space="0" w:color="auto"/>
              <w:left w:val="single" w:sz="4" w:space="0" w:color="auto"/>
            </w:tcBorders>
          </w:tcPr>
          <w:p w14:paraId="7401BD48" w14:textId="72D9B387" w:rsidR="00CE379D" w:rsidRPr="000C06A7" w:rsidRDefault="002B3D0B" w:rsidP="00CD6405">
            <w:pPr>
              <w:jc w:val="center"/>
              <w:rPr>
                <w:rFonts w:ascii="Arial" w:eastAsia="Calibri" w:hAnsi="Arial" w:cs="Arial"/>
                <w:lang w:eastAsia="en-GB"/>
              </w:rPr>
            </w:pPr>
            <w:r>
              <w:rPr>
                <w:rFonts w:ascii="Arial" w:eastAsia="Calibri" w:hAnsi="Arial" w:cs="Arial"/>
                <w:lang w:eastAsia="en-GB"/>
              </w:rPr>
              <w:t>£5,158,309</w:t>
            </w:r>
          </w:p>
        </w:tc>
        <w:tc>
          <w:tcPr>
            <w:tcW w:w="1273" w:type="dxa"/>
            <w:tcBorders>
              <w:top w:val="single" w:sz="4" w:space="0" w:color="auto"/>
            </w:tcBorders>
          </w:tcPr>
          <w:p w14:paraId="01C767D3" w14:textId="6CC8E67C" w:rsidR="00CE379D" w:rsidRPr="000C06A7" w:rsidRDefault="00F630A4" w:rsidP="00CD6405">
            <w:pPr>
              <w:jc w:val="center"/>
              <w:rPr>
                <w:rFonts w:ascii="Arial" w:eastAsia="Calibri" w:hAnsi="Arial" w:cs="Arial"/>
                <w:lang w:eastAsia="en-GB"/>
              </w:rPr>
            </w:pPr>
            <w:r>
              <w:rPr>
                <w:rFonts w:ascii="Arial" w:eastAsia="Calibri" w:hAnsi="Arial" w:cs="Arial"/>
                <w:lang w:eastAsia="en-GB"/>
              </w:rPr>
              <w:t>-£35,533</w:t>
            </w:r>
          </w:p>
        </w:tc>
        <w:tc>
          <w:tcPr>
            <w:tcW w:w="1311" w:type="dxa"/>
            <w:tcBorders>
              <w:top w:val="single" w:sz="4" w:space="0" w:color="auto"/>
              <w:right w:val="single" w:sz="4" w:space="0" w:color="auto"/>
            </w:tcBorders>
          </w:tcPr>
          <w:p w14:paraId="59E6B615" w14:textId="29BA40B2" w:rsidR="00CE379D" w:rsidRPr="000C06A7" w:rsidRDefault="00F630A4" w:rsidP="00CD6405">
            <w:pPr>
              <w:jc w:val="center"/>
              <w:rPr>
                <w:rFonts w:ascii="Arial" w:eastAsia="Calibri" w:hAnsi="Arial" w:cs="Arial"/>
                <w:lang w:eastAsia="en-GB"/>
              </w:rPr>
            </w:pPr>
            <w:r>
              <w:rPr>
                <w:rFonts w:ascii="Arial" w:eastAsia="Calibri" w:hAnsi="Arial" w:cs="Arial"/>
                <w:lang w:eastAsia="en-GB"/>
              </w:rPr>
              <w:t>-0.7%</w:t>
            </w:r>
          </w:p>
        </w:tc>
        <w:tc>
          <w:tcPr>
            <w:tcW w:w="1561" w:type="dxa"/>
            <w:tcBorders>
              <w:top w:val="single" w:sz="4" w:space="0" w:color="auto"/>
              <w:left w:val="single" w:sz="4" w:space="0" w:color="auto"/>
            </w:tcBorders>
          </w:tcPr>
          <w:p w14:paraId="02E438D3" w14:textId="138D3670" w:rsidR="00CE379D" w:rsidRPr="000C06A7" w:rsidRDefault="009F40B3" w:rsidP="00CD6405">
            <w:pPr>
              <w:jc w:val="center"/>
              <w:rPr>
                <w:rFonts w:ascii="Arial" w:eastAsia="Calibri" w:hAnsi="Arial" w:cs="Arial"/>
                <w:lang w:eastAsia="en-GB"/>
              </w:rPr>
            </w:pPr>
            <w:r>
              <w:rPr>
                <w:rFonts w:ascii="Arial" w:eastAsia="Calibri" w:hAnsi="Arial" w:cs="Arial"/>
                <w:lang w:eastAsia="en-GB"/>
              </w:rPr>
              <w:t>£2,543,531</w:t>
            </w:r>
          </w:p>
        </w:tc>
        <w:tc>
          <w:tcPr>
            <w:tcW w:w="1263" w:type="dxa"/>
            <w:tcBorders>
              <w:top w:val="single" w:sz="4" w:space="0" w:color="auto"/>
            </w:tcBorders>
          </w:tcPr>
          <w:p w14:paraId="08649E11" w14:textId="58A87769" w:rsidR="00CE379D" w:rsidRPr="000C06A7" w:rsidRDefault="009F40B3" w:rsidP="00CD6405">
            <w:pPr>
              <w:jc w:val="center"/>
              <w:rPr>
                <w:rFonts w:ascii="Arial" w:eastAsia="Calibri" w:hAnsi="Arial" w:cs="Arial"/>
                <w:lang w:eastAsia="en-GB"/>
              </w:rPr>
            </w:pPr>
            <w:r>
              <w:rPr>
                <w:rFonts w:ascii="Arial" w:eastAsia="Calibri" w:hAnsi="Arial" w:cs="Arial"/>
                <w:lang w:eastAsia="en-GB"/>
              </w:rPr>
              <w:t>+£194,605</w:t>
            </w:r>
          </w:p>
        </w:tc>
        <w:tc>
          <w:tcPr>
            <w:tcW w:w="1239" w:type="dxa"/>
            <w:tcBorders>
              <w:top w:val="single" w:sz="4" w:space="0" w:color="auto"/>
            </w:tcBorders>
          </w:tcPr>
          <w:p w14:paraId="1710BA7D" w14:textId="1B3E61D6" w:rsidR="00CE379D" w:rsidRPr="000C06A7" w:rsidRDefault="009F40B3" w:rsidP="00CD6405">
            <w:pPr>
              <w:jc w:val="center"/>
              <w:rPr>
                <w:rFonts w:ascii="Arial" w:eastAsia="Calibri" w:hAnsi="Arial" w:cs="Arial"/>
                <w:lang w:eastAsia="en-GB"/>
              </w:rPr>
            </w:pPr>
            <w:r>
              <w:rPr>
                <w:rFonts w:ascii="Arial" w:eastAsia="Calibri" w:hAnsi="Arial" w:cs="Arial"/>
                <w:lang w:eastAsia="en-GB"/>
              </w:rPr>
              <w:t>+8.3</w:t>
            </w:r>
            <w:r w:rsidR="009C006A">
              <w:rPr>
                <w:rFonts w:ascii="Arial" w:eastAsia="Calibri" w:hAnsi="Arial" w:cs="Arial"/>
                <w:lang w:eastAsia="en-GB"/>
              </w:rPr>
              <w:t>%</w:t>
            </w:r>
          </w:p>
        </w:tc>
      </w:tr>
      <w:tr w:rsidR="004508B3" w:rsidRPr="00B568F3" w14:paraId="3EB240C6" w14:textId="77777777" w:rsidTr="00C92ECE">
        <w:trPr>
          <w:trHeight w:val="300"/>
        </w:trPr>
        <w:tc>
          <w:tcPr>
            <w:tcW w:w="1260" w:type="dxa"/>
            <w:tcBorders>
              <w:right w:val="single" w:sz="4" w:space="0" w:color="auto"/>
            </w:tcBorders>
          </w:tcPr>
          <w:p w14:paraId="4FF3EB56" w14:textId="48F1DC1B" w:rsidR="009B6404" w:rsidRPr="000C06A7" w:rsidRDefault="009B6404" w:rsidP="009B6404">
            <w:pPr>
              <w:rPr>
                <w:rFonts w:ascii="Arial" w:hAnsi="Arial" w:cs="Arial"/>
                <w:b/>
                <w:bCs/>
              </w:rPr>
            </w:pPr>
            <w:r w:rsidRPr="000C06A7">
              <w:rPr>
                <w:rFonts w:ascii="Arial" w:eastAsia="Calibri" w:hAnsi="Arial" w:cs="Arial"/>
                <w:b/>
                <w:bCs/>
                <w:lang w:eastAsia="en-GB"/>
              </w:rPr>
              <w:t>2023/2024</w:t>
            </w:r>
          </w:p>
        </w:tc>
        <w:tc>
          <w:tcPr>
            <w:tcW w:w="1350" w:type="dxa"/>
            <w:tcBorders>
              <w:left w:val="single" w:sz="4" w:space="0" w:color="auto"/>
            </w:tcBorders>
          </w:tcPr>
          <w:p w14:paraId="5B9830AF" w14:textId="0195D88C" w:rsidR="009B6404" w:rsidRPr="000C06A7" w:rsidRDefault="009B6404" w:rsidP="00CD6405">
            <w:pPr>
              <w:jc w:val="center"/>
              <w:rPr>
                <w:rFonts w:ascii="Arial" w:hAnsi="Arial" w:cs="Arial"/>
              </w:rPr>
            </w:pPr>
            <w:r w:rsidRPr="000C06A7">
              <w:rPr>
                <w:rFonts w:ascii="Arial" w:eastAsia="Calibri" w:hAnsi="Arial" w:cs="Arial"/>
                <w:lang w:eastAsia="en-GB"/>
              </w:rPr>
              <w:t>£5,193,842</w:t>
            </w:r>
          </w:p>
        </w:tc>
        <w:tc>
          <w:tcPr>
            <w:tcW w:w="1273" w:type="dxa"/>
          </w:tcPr>
          <w:p w14:paraId="78909FBC" w14:textId="6CA11313" w:rsidR="009B6404" w:rsidRPr="000C06A7" w:rsidRDefault="009B6404" w:rsidP="00CD6405">
            <w:pPr>
              <w:jc w:val="center"/>
              <w:rPr>
                <w:rFonts w:ascii="Arial" w:hAnsi="Arial" w:cs="Arial"/>
              </w:rPr>
            </w:pPr>
            <w:r w:rsidRPr="000C06A7">
              <w:rPr>
                <w:rFonts w:ascii="Arial" w:eastAsia="Calibri" w:hAnsi="Arial" w:cs="Arial"/>
                <w:lang w:eastAsia="en-GB"/>
              </w:rPr>
              <w:t>+£438,854</w:t>
            </w:r>
          </w:p>
        </w:tc>
        <w:tc>
          <w:tcPr>
            <w:tcW w:w="1311" w:type="dxa"/>
            <w:tcBorders>
              <w:right w:val="single" w:sz="4" w:space="0" w:color="auto"/>
            </w:tcBorders>
          </w:tcPr>
          <w:p w14:paraId="5F4CDA4B" w14:textId="7A65C426" w:rsidR="009B6404" w:rsidRPr="000C06A7" w:rsidRDefault="009B6404" w:rsidP="00CD6405">
            <w:pPr>
              <w:jc w:val="center"/>
              <w:rPr>
                <w:rFonts w:ascii="Arial" w:hAnsi="Arial" w:cs="Arial"/>
              </w:rPr>
            </w:pPr>
            <w:r w:rsidRPr="000C06A7">
              <w:rPr>
                <w:rFonts w:ascii="Arial" w:eastAsia="Calibri" w:hAnsi="Arial" w:cs="Arial"/>
                <w:lang w:eastAsia="en-GB"/>
              </w:rPr>
              <w:t>+9.2%</w:t>
            </w:r>
          </w:p>
        </w:tc>
        <w:tc>
          <w:tcPr>
            <w:tcW w:w="1561" w:type="dxa"/>
            <w:tcBorders>
              <w:left w:val="single" w:sz="4" w:space="0" w:color="auto"/>
            </w:tcBorders>
          </w:tcPr>
          <w:p w14:paraId="225F57C6" w14:textId="26539B59" w:rsidR="009B6404" w:rsidRPr="000C06A7" w:rsidRDefault="009B6404" w:rsidP="00CD6405">
            <w:pPr>
              <w:jc w:val="center"/>
              <w:rPr>
                <w:rFonts w:ascii="Arial" w:hAnsi="Arial" w:cs="Arial"/>
              </w:rPr>
            </w:pPr>
            <w:r w:rsidRPr="000C06A7">
              <w:rPr>
                <w:rFonts w:ascii="Arial" w:eastAsia="Calibri" w:hAnsi="Arial" w:cs="Arial"/>
                <w:lang w:eastAsia="en-GB"/>
              </w:rPr>
              <w:t>£2,348,926</w:t>
            </w:r>
          </w:p>
        </w:tc>
        <w:tc>
          <w:tcPr>
            <w:tcW w:w="1263" w:type="dxa"/>
          </w:tcPr>
          <w:p w14:paraId="3EB70951" w14:textId="707B6505" w:rsidR="009B6404" w:rsidRPr="000C06A7" w:rsidRDefault="009B6404" w:rsidP="00CD6405">
            <w:pPr>
              <w:jc w:val="center"/>
              <w:rPr>
                <w:rFonts w:ascii="Arial" w:hAnsi="Arial" w:cs="Arial"/>
              </w:rPr>
            </w:pPr>
            <w:r w:rsidRPr="000C06A7">
              <w:rPr>
                <w:rFonts w:ascii="Arial" w:eastAsia="Calibri" w:hAnsi="Arial" w:cs="Arial"/>
                <w:lang w:eastAsia="en-GB"/>
              </w:rPr>
              <w:t>+£6,084</w:t>
            </w:r>
          </w:p>
        </w:tc>
        <w:tc>
          <w:tcPr>
            <w:tcW w:w="1239" w:type="dxa"/>
          </w:tcPr>
          <w:p w14:paraId="0EED3FB8" w14:textId="48DF59CA" w:rsidR="009B6404" w:rsidRPr="000C06A7" w:rsidRDefault="009B6404" w:rsidP="00CD6405">
            <w:pPr>
              <w:jc w:val="center"/>
              <w:rPr>
                <w:rFonts w:ascii="Arial" w:hAnsi="Arial" w:cs="Arial"/>
              </w:rPr>
            </w:pPr>
            <w:r w:rsidRPr="000C06A7">
              <w:rPr>
                <w:rFonts w:ascii="Arial" w:eastAsia="Calibri" w:hAnsi="Arial" w:cs="Arial"/>
                <w:lang w:eastAsia="en-GB"/>
              </w:rPr>
              <w:t>+0.3%</w:t>
            </w:r>
          </w:p>
        </w:tc>
      </w:tr>
      <w:tr w:rsidR="004508B3" w:rsidRPr="00B568F3" w14:paraId="166A5698" w14:textId="77777777" w:rsidTr="00343C94">
        <w:trPr>
          <w:trHeight w:val="300"/>
        </w:trPr>
        <w:tc>
          <w:tcPr>
            <w:tcW w:w="1260" w:type="dxa"/>
            <w:tcBorders>
              <w:right w:val="single" w:sz="4" w:space="0" w:color="auto"/>
            </w:tcBorders>
          </w:tcPr>
          <w:p w14:paraId="1D7D37A5" w14:textId="2D22E21D" w:rsidR="009B6404" w:rsidRPr="000C06A7" w:rsidRDefault="009B6404" w:rsidP="009B6404">
            <w:pPr>
              <w:rPr>
                <w:rFonts w:ascii="Arial" w:hAnsi="Arial" w:cs="Arial"/>
                <w:b/>
                <w:bCs/>
              </w:rPr>
            </w:pPr>
            <w:r w:rsidRPr="000C06A7">
              <w:rPr>
                <w:rFonts w:ascii="Arial" w:eastAsia="Calibri" w:hAnsi="Arial" w:cs="Arial"/>
                <w:b/>
                <w:bCs/>
                <w:lang w:eastAsia="en-GB"/>
              </w:rPr>
              <w:t>2022/2023</w:t>
            </w:r>
          </w:p>
        </w:tc>
        <w:tc>
          <w:tcPr>
            <w:tcW w:w="1350" w:type="dxa"/>
            <w:tcBorders>
              <w:left w:val="single" w:sz="4" w:space="0" w:color="auto"/>
            </w:tcBorders>
          </w:tcPr>
          <w:p w14:paraId="67CC78F9" w14:textId="2E493333" w:rsidR="009B6404" w:rsidRPr="000C06A7" w:rsidRDefault="009B6404" w:rsidP="00CD6405">
            <w:pPr>
              <w:jc w:val="center"/>
              <w:rPr>
                <w:rFonts w:ascii="Arial" w:hAnsi="Arial" w:cs="Arial"/>
              </w:rPr>
            </w:pPr>
            <w:r w:rsidRPr="000C06A7">
              <w:rPr>
                <w:rFonts w:ascii="Arial" w:eastAsia="Calibri" w:hAnsi="Arial" w:cs="Arial"/>
                <w:lang w:eastAsia="en-GB"/>
              </w:rPr>
              <w:t>£4,754,988</w:t>
            </w:r>
          </w:p>
        </w:tc>
        <w:tc>
          <w:tcPr>
            <w:tcW w:w="1273" w:type="dxa"/>
          </w:tcPr>
          <w:p w14:paraId="2A49E5F7" w14:textId="493DFC00" w:rsidR="009B6404" w:rsidRPr="000C06A7" w:rsidRDefault="009B6404" w:rsidP="00CD6405">
            <w:pPr>
              <w:jc w:val="center"/>
              <w:rPr>
                <w:rFonts w:ascii="Arial" w:hAnsi="Arial" w:cs="Arial"/>
              </w:rPr>
            </w:pPr>
            <w:r w:rsidRPr="000C06A7">
              <w:rPr>
                <w:rFonts w:ascii="Arial" w:eastAsia="Calibri" w:hAnsi="Arial" w:cs="Arial"/>
                <w:lang w:eastAsia="en-GB"/>
              </w:rPr>
              <w:t>+£178,771</w:t>
            </w:r>
          </w:p>
        </w:tc>
        <w:tc>
          <w:tcPr>
            <w:tcW w:w="1311" w:type="dxa"/>
            <w:tcBorders>
              <w:right w:val="single" w:sz="4" w:space="0" w:color="auto"/>
            </w:tcBorders>
          </w:tcPr>
          <w:p w14:paraId="7007F1B8" w14:textId="69F968FC" w:rsidR="009B6404" w:rsidRPr="000C06A7" w:rsidRDefault="009B6404" w:rsidP="00CD6405">
            <w:pPr>
              <w:jc w:val="center"/>
              <w:rPr>
                <w:rFonts w:ascii="Arial" w:hAnsi="Arial" w:cs="Arial"/>
              </w:rPr>
            </w:pPr>
            <w:r w:rsidRPr="000C06A7">
              <w:rPr>
                <w:rFonts w:ascii="Arial" w:eastAsia="Calibri" w:hAnsi="Arial" w:cs="Arial"/>
                <w:lang w:eastAsia="en-GB"/>
              </w:rPr>
              <w:t>+3.9%</w:t>
            </w:r>
          </w:p>
        </w:tc>
        <w:tc>
          <w:tcPr>
            <w:tcW w:w="1561" w:type="dxa"/>
            <w:tcBorders>
              <w:left w:val="single" w:sz="4" w:space="0" w:color="auto"/>
            </w:tcBorders>
          </w:tcPr>
          <w:p w14:paraId="7BD11A7F" w14:textId="3B8486A8" w:rsidR="009B6404" w:rsidRPr="000C06A7" w:rsidRDefault="009B6404" w:rsidP="00CD6405">
            <w:pPr>
              <w:jc w:val="center"/>
              <w:rPr>
                <w:rFonts w:ascii="Arial" w:hAnsi="Arial" w:cs="Arial"/>
              </w:rPr>
            </w:pPr>
            <w:r w:rsidRPr="000C06A7">
              <w:rPr>
                <w:rFonts w:ascii="Arial" w:eastAsia="Calibri" w:hAnsi="Arial" w:cs="Arial"/>
                <w:lang w:eastAsia="en-GB"/>
              </w:rPr>
              <w:t>£2,342,842</w:t>
            </w:r>
          </w:p>
        </w:tc>
        <w:tc>
          <w:tcPr>
            <w:tcW w:w="1263" w:type="dxa"/>
          </w:tcPr>
          <w:p w14:paraId="1FF287AE" w14:textId="662EA090" w:rsidR="009B6404" w:rsidRPr="000C06A7" w:rsidRDefault="009B6404" w:rsidP="00CD6405">
            <w:pPr>
              <w:jc w:val="center"/>
              <w:rPr>
                <w:rFonts w:ascii="Arial" w:hAnsi="Arial" w:cs="Arial"/>
              </w:rPr>
            </w:pPr>
            <w:r w:rsidRPr="000C06A7">
              <w:rPr>
                <w:rFonts w:ascii="Arial" w:eastAsia="Calibri" w:hAnsi="Arial" w:cs="Arial"/>
                <w:lang w:eastAsia="en-GB"/>
              </w:rPr>
              <w:t>-£45,571</w:t>
            </w:r>
          </w:p>
        </w:tc>
        <w:tc>
          <w:tcPr>
            <w:tcW w:w="1239" w:type="dxa"/>
          </w:tcPr>
          <w:p w14:paraId="364BD655" w14:textId="25D2A3BC" w:rsidR="009B6404" w:rsidRPr="000C06A7" w:rsidRDefault="009B6404" w:rsidP="00CD6405">
            <w:pPr>
              <w:jc w:val="center"/>
              <w:rPr>
                <w:rFonts w:ascii="Arial" w:hAnsi="Arial" w:cs="Arial"/>
              </w:rPr>
            </w:pPr>
            <w:r w:rsidRPr="000C06A7">
              <w:rPr>
                <w:rFonts w:ascii="Arial" w:eastAsia="Calibri" w:hAnsi="Arial" w:cs="Arial"/>
                <w:lang w:eastAsia="en-GB"/>
              </w:rPr>
              <w:t>-1.9%</w:t>
            </w:r>
          </w:p>
        </w:tc>
      </w:tr>
      <w:tr w:rsidR="00B327D0" w:rsidRPr="00B568F3" w14:paraId="578BC3A7" w14:textId="77777777" w:rsidTr="00343C94">
        <w:trPr>
          <w:trHeight w:val="300"/>
        </w:trPr>
        <w:tc>
          <w:tcPr>
            <w:tcW w:w="1260" w:type="dxa"/>
            <w:tcBorders>
              <w:top w:val="single" w:sz="4" w:space="0" w:color="auto"/>
            </w:tcBorders>
          </w:tcPr>
          <w:p w14:paraId="4257BBCD" w14:textId="77777777" w:rsidR="009B6404" w:rsidRPr="000C06A7" w:rsidRDefault="009B6404" w:rsidP="009B6404">
            <w:pPr>
              <w:rPr>
                <w:rFonts w:ascii="Arial" w:hAnsi="Arial" w:cs="Arial"/>
              </w:rPr>
            </w:pPr>
          </w:p>
        </w:tc>
        <w:tc>
          <w:tcPr>
            <w:tcW w:w="1350" w:type="dxa"/>
            <w:tcBorders>
              <w:top w:val="single" w:sz="4" w:space="0" w:color="auto"/>
            </w:tcBorders>
          </w:tcPr>
          <w:p w14:paraId="3ACC897B" w14:textId="77777777" w:rsidR="009B6404" w:rsidRPr="000C06A7" w:rsidRDefault="009B6404" w:rsidP="00CD6405">
            <w:pPr>
              <w:jc w:val="center"/>
              <w:rPr>
                <w:rFonts w:ascii="Arial" w:hAnsi="Arial" w:cs="Arial"/>
              </w:rPr>
            </w:pPr>
          </w:p>
        </w:tc>
        <w:tc>
          <w:tcPr>
            <w:tcW w:w="1273" w:type="dxa"/>
            <w:tcBorders>
              <w:top w:val="single" w:sz="4" w:space="0" w:color="auto"/>
            </w:tcBorders>
          </w:tcPr>
          <w:p w14:paraId="53C2FDA3" w14:textId="77777777" w:rsidR="009B6404" w:rsidRPr="000C06A7" w:rsidRDefault="009B6404" w:rsidP="00CD6405">
            <w:pPr>
              <w:jc w:val="center"/>
              <w:rPr>
                <w:rFonts w:ascii="Arial" w:hAnsi="Arial" w:cs="Arial"/>
              </w:rPr>
            </w:pPr>
          </w:p>
        </w:tc>
        <w:tc>
          <w:tcPr>
            <w:tcW w:w="1311" w:type="dxa"/>
            <w:tcBorders>
              <w:top w:val="single" w:sz="4" w:space="0" w:color="auto"/>
            </w:tcBorders>
          </w:tcPr>
          <w:p w14:paraId="7A893AC4" w14:textId="77777777" w:rsidR="009B6404" w:rsidRPr="000C06A7" w:rsidRDefault="009B6404" w:rsidP="00CD6405">
            <w:pPr>
              <w:jc w:val="center"/>
              <w:rPr>
                <w:rFonts w:ascii="Arial" w:hAnsi="Arial" w:cs="Arial"/>
              </w:rPr>
            </w:pPr>
          </w:p>
        </w:tc>
        <w:tc>
          <w:tcPr>
            <w:tcW w:w="1561" w:type="dxa"/>
            <w:tcBorders>
              <w:top w:val="single" w:sz="4" w:space="0" w:color="auto"/>
            </w:tcBorders>
          </w:tcPr>
          <w:p w14:paraId="7DA06843" w14:textId="77777777" w:rsidR="009B6404" w:rsidRPr="000C06A7" w:rsidRDefault="009B6404" w:rsidP="00CD6405">
            <w:pPr>
              <w:jc w:val="center"/>
              <w:rPr>
                <w:rFonts w:ascii="Arial" w:hAnsi="Arial" w:cs="Arial"/>
              </w:rPr>
            </w:pPr>
          </w:p>
        </w:tc>
        <w:tc>
          <w:tcPr>
            <w:tcW w:w="1263" w:type="dxa"/>
            <w:tcBorders>
              <w:top w:val="single" w:sz="4" w:space="0" w:color="auto"/>
            </w:tcBorders>
          </w:tcPr>
          <w:p w14:paraId="0DCCC44F" w14:textId="77777777" w:rsidR="009B6404" w:rsidRPr="000C06A7" w:rsidRDefault="009B6404" w:rsidP="00CD6405">
            <w:pPr>
              <w:jc w:val="center"/>
              <w:rPr>
                <w:rFonts w:ascii="Arial" w:hAnsi="Arial" w:cs="Arial"/>
              </w:rPr>
            </w:pPr>
          </w:p>
        </w:tc>
        <w:tc>
          <w:tcPr>
            <w:tcW w:w="1239" w:type="dxa"/>
            <w:tcBorders>
              <w:top w:val="single" w:sz="4" w:space="0" w:color="auto"/>
            </w:tcBorders>
          </w:tcPr>
          <w:p w14:paraId="0393C8D2" w14:textId="77777777" w:rsidR="009B6404" w:rsidRPr="000C06A7" w:rsidRDefault="009B6404" w:rsidP="00CD6405">
            <w:pPr>
              <w:jc w:val="center"/>
              <w:rPr>
                <w:rFonts w:ascii="Arial" w:hAnsi="Arial" w:cs="Arial"/>
              </w:rPr>
            </w:pPr>
          </w:p>
        </w:tc>
      </w:tr>
      <w:tr w:rsidR="0077083D" w:rsidRPr="00B568F3" w14:paraId="3877C656" w14:textId="77777777" w:rsidTr="005C3459">
        <w:trPr>
          <w:trHeight w:val="300"/>
        </w:trPr>
        <w:tc>
          <w:tcPr>
            <w:tcW w:w="1260" w:type="dxa"/>
            <w:vMerge w:val="restart"/>
            <w:tcBorders>
              <w:bottom w:val="single" w:sz="4" w:space="0" w:color="auto"/>
              <w:right w:val="single" w:sz="4" w:space="0" w:color="auto"/>
            </w:tcBorders>
            <w:vAlign w:val="center"/>
          </w:tcPr>
          <w:p w14:paraId="464EF7F2" w14:textId="41D89443" w:rsidR="00FD78FD" w:rsidRPr="000C06A7" w:rsidRDefault="00FD78FD" w:rsidP="00245F9E">
            <w:pPr>
              <w:jc w:val="center"/>
              <w:rPr>
                <w:rFonts w:ascii="Arial" w:hAnsi="Arial" w:cs="Arial"/>
                <w:b/>
                <w:bCs/>
              </w:rPr>
            </w:pPr>
            <w:r w:rsidRPr="000C06A7">
              <w:rPr>
                <w:rFonts w:ascii="Arial" w:hAnsi="Arial" w:cs="Arial"/>
                <w:b/>
                <w:bCs/>
              </w:rPr>
              <w:t>L</w:t>
            </w:r>
            <w:r w:rsidR="006D5B86" w:rsidRPr="000C06A7">
              <w:rPr>
                <w:rFonts w:ascii="Arial" w:hAnsi="Arial" w:cs="Arial"/>
                <w:b/>
                <w:bCs/>
              </w:rPr>
              <w:t>ocal authority</w:t>
            </w:r>
            <w:r w:rsidR="00F9782F" w:rsidRPr="000C06A7">
              <w:rPr>
                <w:rFonts w:ascii="Arial" w:hAnsi="Arial" w:cs="Arial"/>
                <w:b/>
                <w:bCs/>
              </w:rPr>
              <w:t xml:space="preserve"> </w:t>
            </w:r>
            <w:r w:rsidR="006D5B86" w:rsidRPr="000C06A7">
              <w:rPr>
                <w:rFonts w:ascii="Arial" w:hAnsi="Arial" w:cs="Arial"/>
                <w:b/>
                <w:bCs/>
              </w:rPr>
              <w:t>a</w:t>
            </w:r>
            <w:r w:rsidRPr="000C06A7">
              <w:rPr>
                <w:rFonts w:ascii="Arial" w:hAnsi="Arial" w:cs="Arial"/>
                <w:b/>
                <w:bCs/>
              </w:rPr>
              <w:t>dditional</w:t>
            </w:r>
            <w:r w:rsidR="00F6503C" w:rsidRPr="000C06A7">
              <w:rPr>
                <w:rFonts w:ascii="Arial" w:hAnsi="Arial" w:cs="Arial"/>
                <w:b/>
                <w:bCs/>
              </w:rPr>
              <w:t xml:space="preserve"> funding</w:t>
            </w:r>
          </w:p>
        </w:tc>
        <w:tc>
          <w:tcPr>
            <w:tcW w:w="3934" w:type="dxa"/>
            <w:gridSpan w:val="3"/>
            <w:tcBorders>
              <w:left w:val="single" w:sz="4" w:space="0" w:color="auto"/>
              <w:bottom w:val="single" w:sz="4" w:space="0" w:color="auto"/>
              <w:right w:val="single" w:sz="4" w:space="0" w:color="auto"/>
            </w:tcBorders>
            <w:vAlign w:val="center"/>
          </w:tcPr>
          <w:p w14:paraId="1BA4E91E" w14:textId="2CBC966C" w:rsidR="00FD78FD" w:rsidRPr="000C06A7" w:rsidRDefault="00FD78FD" w:rsidP="00245F9E">
            <w:pPr>
              <w:jc w:val="center"/>
              <w:rPr>
                <w:rFonts w:ascii="Arial" w:hAnsi="Arial" w:cs="Arial"/>
                <w:b/>
                <w:bCs/>
              </w:rPr>
            </w:pPr>
            <w:r w:rsidRPr="000C06A7">
              <w:rPr>
                <w:rFonts w:ascii="Arial" w:hAnsi="Arial" w:cs="Arial"/>
                <w:b/>
                <w:bCs/>
              </w:rPr>
              <w:t xml:space="preserve">Delivery </w:t>
            </w:r>
            <w:r w:rsidR="006D5B86" w:rsidRPr="000C06A7">
              <w:rPr>
                <w:rFonts w:ascii="Arial" w:hAnsi="Arial" w:cs="Arial"/>
                <w:b/>
                <w:bCs/>
              </w:rPr>
              <w:t>s</w:t>
            </w:r>
            <w:r w:rsidRPr="000C06A7">
              <w:rPr>
                <w:rFonts w:ascii="Arial" w:hAnsi="Arial" w:cs="Arial"/>
                <w:b/>
                <w:bCs/>
              </w:rPr>
              <w:t>taff</w:t>
            </w:r>
          </w:p>
        </w:tc>
        <w:tc>
          <w:tcPr>
            <w:tcW w:w="4063" w:type="dxa"/>
            <w:gridSpan w:val="3"/>
            <w:tcBorders>
              <w:left w:val="single" w:sz="4" w:space="0" w:color="auto"/>
              <w:bottom w:val="single" w:sz="4" w:space="0" w:color="auto"/>
            </w:tcBorders>
            <w:vAlign w:val="center"/>
          </w:tcPr>
          <w:p w14:paraId="1FA5D8B8" w14:textId="2CF079BF" w:rsidR="00FD78FD" w:rsidRPr="000C06A7" w:rsidRDefault="00FD78FD" w:rsidP="00245F9E">
            <w:pPr>
              <w:jc w:val="center"/>
              <w:rPr>
                <w:rFonts w:ascii="Arial" w:hAnsi="Arial" w:cs="Arial"/>
                <w:b/>
                <w:bCs/>
              </w:rPr>
            </w:pPr>
            <w:r w:rsidRPr="000C06A7">
              <w:rPr>
                <w:rFonts w:ascii="Arial" w:eastAsia="Calibri" w:hAnsi="Arial" w:cs="Arial"/>
                <w:b/>
                <w:bCs/>
                <w:lang w:eastAsia="en-GB"/>
              </w:rPr>
              <w:t>Management and admin</w:t>
            </w:r>
            <w:r w:rsidR="006D5B86" w:rsidRPr="000C06A7">
              <w:rPr>
                <w:rFonts w:ascii="Arial" w:eastAsia="Calibri" w:hAnsi="Arial" w:cs="Arial"/>
                <w:b/>
                <w:bCs/>
                <w:lang w:eastAsia="en-GB"/>
              </w:rPr>
              <w:t>istration</w:t>
            </w:r>
          </w:p>
        </w:tc>
      </w:tr>
      <w:tr w:rsidR="00862BE1" w:rsidRPr="00B568F3" w14:paraId="4713E6DC" w14:textId="77777777" w:rsidTr="005C3459">
        <w:trPr>
          <w:trHeight w:val="300"/>
        </w:trPr>
        <w:tc>
          <w:tcPr>
            <w:tcW w:w="1260" w:type="dxa"/>
            <w:vMerge/>
            <w:vAlign w:val="center"/>
          </w:tcPr>
          <w:p w14:paraId="5B4C52BA" w14:textId="77777777" w:rsidR="007B2817" w:rsidRPr="000C06A7" w:rsidRDefault="007B2817" w:rsidP="00245F9E">
            <w:pPr>
              <w:jc w:val="center"/>
              <w:rPr>
                <w:rFonts w:ascii="Arial" w:hAnsi="Arial" w:cs="Arial"/>
                <w:b/>
                <w:bCs/>
              </w:rPr>
            </w:pPr>
          </w:p>
        </w:tc>
        <w:tc>
          <w:tcPr>
            <w:tcW w:w="1350" w:type="dxa"/>
            <w:tcBorders>
              <w:top w:val="single" w:sz="4" w:space="0" w:color="auto"/>
              <w:left w:val="single" w:sz="4" w:space="0" w:color="auto"/>
              <w:bottom w:val="single" w:sz="4" w:space="0" w:color="auto"/>
            </w:tcBorders>
            <w:vAlign w:val="center"/>
          </w:tcPr>
          <w:p w14:paraId="1A0E8031" w14:textId="3A4D44CB" w:rsidR="007B2817" w:rsidRPr="000C06A7" w:rsidRDefault="007B2817" w:rsidP="00245F9E">
            <w:pPr>
              <w:jc w:val="center"/>
              <w:rPr>
                <w:rFonts w:ascii="Arial" w:hAnsi="Arial" w:cs="Arial"/>
                <w:b/>
                <w:bCs/>
              </w:rPr>
            </w:pPr>
            <w:r w:rsidRPr="000C06A7">
              <w:rPr>
                <w:rFonts w:ascii="Arial" w:eastAsia="Calibri" w:hAnsi="Arial" w:cs="Arial"/>
                <w:b/>
                <w:bCs/>
                <w:lang w:eastAsia="en-GB"/>
              </w:rPr>
              <w:t>£</w:t>
            </w:r>
          </w:p>
        </w:tc>
        <w:tc>
          <w:tcPr>
            <w:tcW w:w="1273" w:type="dxa"/>
            <w:tcBorders>
              <w:top w:val="single" w:sz="4" w:space="0" w:color="auto"/>
              <w:bottom w:val="single" w:sz="4" w:space="0" w:color="auto"/>
            </w:tcBorders>
            <w:vAlign w:val="center"/>
          </w:tcPr>
          <w:p w14:paraId="39588A61" w14:textId="4154FD7B" w:rsidR="007B2817" w:rsidRPr="000C06A7" w:rsidRDefault="007B2817" w:rsidP="00245F9E">
            <w:pPr>
              <w:jc w:val="center"/>
              <w:rPr>
                <w:rFonts w:ascii="Arial" w:hAnsi="Arial" w:cs="Arial"/>
                <w:b/>
                <w:bCs/>
              </w:rPr>
            </w:pPr>
            <w:r w:rsidRPr="000C06A7">
              <w:rPr>
                <w:rFonts w:ascii="Arial" w:eastAsia="Calibri" w:hAnsi="Arial" w:cs="Arial"/>
                <w:b/>
                <w:bCs/>
                <w:lang w:eastAsia="en-GB"/>
              </w:rPr>
              <w:t>£ change</w:t>
            </w:r>
          </w:p>
        </w:tc>
        <w:tc>
          <w:tcPr>
            <w:tcW w:w="1311" w:type="dxa"/>
            <w:tcBorders>
              <w:top w:val="single" w:sz="4" w:space="0" w:color="auto"/>
              <w:bottom w:val="single" w:sz="4" w:space="0" w:color="auto"/>
              <w:right w:val="single" w:sz="4" w:space="0" w:color="auto"/>
            </w:tcBorders>
            <w:vAlign w:val="center"/>
          </w:tcPr>
          <w:p w14:paraId="14C17605" w14:textId="748D3A70" w:rsidR="007B2817" w:rsidRPr="000C06A7" w:rsidRDefault="007B2817" w:rsidP="00245F9E">
            <w:pPr>
              <w:jc w:val="center"/>
              <w:rPr>
                <w:rFonts w:ascii="Arial" w:hAnsi="Arial" w:cs="Arial"/>
                <w:b/>
                <w:bCs/>
              </w:rPr>
            </w:pPr>
            <w:r w:rsidRPr="000C06A7">
              <w:rPr>
                <w:rFonts w:ascii="Arial" w:eastAsia="Calibri" w:hAnsi="Arial" w:cs="Arial"/>
                <w:b/>
                <w:bCs/>
                <w:lang w:eastAsia="en-GB"/>
              </w:rPr>
              <w:t>% change</w:t>
            </w:r>
          </w:p>
        </w:tc>
        <w:tc>
          <w:tcPr>
            <w:tcW w:w="1561" w:type="dxa"/>
            <w:tcBorders>
              <w:top w:val="single" w:sz="4" w:space="0" w:color="auto"/>
              <w:left w:val="single" w:sz="4" w:space="0" w:color="auto"/>
              <w:bottom w:val="single" w:sz="4" w:space="0" w:color="auto"/>
            </w:tcBorders>
            <w:vAlign w:val="center"/>
          </w:tcPr>
          <w:p w14:paraId="5CD95BEE" w14:textId="6907C3F6" w:rsidR="007B2817" w:rsidRPr="000C06A7" w:rsidRDefault="007B2817" w:rsidP="00245F9E">
            <w:pPr>
              <w:jc w:val="center"/>
              <w:rPr>
                <w:rFonts w:ascii="Arial" w:hAnsi="Arial" w:cs="Arial"/>
                <w:b/>
                <w:bCs/>
              </w:rPr>
            </w:pPr>
            <w:r w:rsidRPr="000C06A7">
              <w:rPr>
                <w:rFonts w:ascii="Arial" w:eastAsia="Calibri" w:hAnsi="Arial" w:cs="Arial"/>
                <w:b/>
                <w:bCs/>
                <w:lang w:eastAsia="en-GB"/>
              </w:rPr>
              <w:t>£</w:t>
            </w:r>
          </w:p>
        </w:tc>
        <w:tc>
          <w:tcPr>
            <w:tcW w:w="1263" w:type="dxa"/>
            <w:tcBorders>
              <w:top w:val="single" w:sz="4" w:space="0" w:color="auto"/>
              <w:bottom w:val="single" w:sz="4" w:space="0" w:color="auto"/>
            </w:tcBorders>
            <w:vAlign w:val="center"/>
          </w:tcPr>
          <w:p w14:paraId="19A8A98E" w14:textId="69F59625" w:rsidR="007B2817" w:rsidRPr="000C06A7" w:rsidRDefault="007B2817" w:rsidP="00245F9E">
            <w:pPr>
              <w:jc w:val="center"/>
              <w:rPr>
                <w:rFonts w:ascii="Arial" w:hAnsi="Arial" w:cs="Arial"/>
                <w:b/>
                <w:bCs/>
              </w:rPr>
            </w:pPr>
            <w:r w:rsidRPr="000C06A7">
              <w:rPr>
                <w:rFonts w:ascii="Arial" w:eastAsia="Calibri" w:hAnsi="Arial" w:cs="Arial"/>
                <w:b/>
                <w:bCs/>
                <w:lang w:eastAsia="en-GB"/>
              </w:rPr>
              <w:t>£ change</w:t>
            </w:r>
          </w:p>
        </w:tc>
        <w:tc>
          <w:tcPr>
            <w:tcW w:w="1239" w:type="dxa"/>
            <w:tcBorders>
              <w:top w:val="single" w:sz="4" w:space="0" w:color="auto"/>
              <w:bottom w:val="single" w:sz="4" w:space="0" w:color="auto"/>
            </w:tcBorders>
            <w:vAlign w:val="center"/>
          </w:tcPr>
          <w:p w14:paraId="767D7C3B" w14:textId="0D8E0B38" w:rsidR="007B2817" w:rsidRPr="000C06A7" w:rsidRDefault="007B2817" w:rsidP="00245F9E">
            <w:pPr>
              <w:jc w:val="center"/>
              <w:rPr>
                <w:rFonts w:ascii="Arial" w:hAnsi="Arial" w:cs="Arial"/>
                <w:b/>
                <w:bCs/>
              </w:rPr>
            </w:pPr>
            <w:r w:rsidRPr="000C06A7">
              <w:rPr>
                <w:rFonts w:ascii="Arial" w:eastAsia="Calibri" w:hAnsi="Arial" w:cs="Arial"/>
                <w:b/>
                <w:bCs/>
                <w:lang w:eastAsia="en-GB"/>
              </w:rPr>
              <w:t>% change</w:t>
            </w:r>
          </w:p>
        </w:tc>
      </w:tr>
      <w:tr w:rsidR="00CE379D" w:rsidRPr="00B568F3" w14:paraId="14A6FA25" w14:textId="77777777" w:rsidTr="00C92ECE">
        <w:trPr>
          <w:trHeight w:val="300"/>
        </w:trPr>
        <w:tc>
          <w:tcPr>
            <w:tcW w:w="1260" w:type="dxa"/>
            <w:tcBorders>
              <w:top w:val="single" w:sz="4" w:space="0" w:color="auto"/>
              <w:right w:val="single" w:sz="4" w:space="0" w:color="auto"/>
            </w:tcBorders>
          </w:tcPr>
          <w:p w14:paraId="5E93B0BD" w14:textId="7880C112" w:rsidR="00CE379D" w:rsidRPr="000C06A7" w:rsidRDefault="009C006A" w:rsidP="007B2817">
            <w:pPr>
              <w:rPr>
                <w:rFonts w:ascii="Arial" w:eastAsia="Calibri" w:hAnsi="Arial" w:cs="Arial"/>
                <w:b/>
                <w:bCs/>
                <w:lang w:eastAsia="en-GB"/>
              </w:rPr>
            </w:pPr>
            <w:r>
              <w:rPr>
                <w:rFonts w:ascii="Arial" w:eastAsia="Calibri" w:hAnsi="Arial" w:cs="Arial"/>
                <w:b/>
                <w:bCs/>
                <w:lang w:eastAsia="en-GB"/>
              </w:rPr>
              <w:t>2024/2025</w:t>
            </w:r>
          </w:p>
        </w:tc>
        <w:tc>
          <w:tcPr>
            <w:tcW w:w="1350" w:type="dxa"/>
            <w:tcBorders>
              <w:top w:val="single" w:sz="4" w:space="0" w:color="auto"/>
              <w:left w:val="single" w:sz="4" w:space="0" w:color="auto"/>
            </w:tcBorders>
          </w:tcPr>
          <w:p w14:paraId="62F03094" w14:textId="2E90F627" w:rsidR="00CE379D" w:rsidRPr="000C06A7" w:rsidRDefault="00372000" w:rsidP="00CD6405">
            <w:pPr>
              <w:jc w:val="center"/>
              <w:rPr>
                <w:rFonts w:ascii="Arial" w:eastAsia="Calibri" w:hAnsi="Arial" w:cs="Arial"/>
                <w:lang w:eastAsia="en-GB"/>
              </w:rPr>
            </w:pPr>
            <w:r>
              <w:rPr>
                <w:rFonts w:ascii="Arial" w:eastAsia="Calibri" w:hAnsi="Arial" w:cs="Arial"/>
                <w:lang w:eastAsia="en-GB"/>
              </w:rPr>
              <w:t>£397,486</w:t>
            </w:r>
          </w:p>
        </w:tc>
        <w:tc>
          <w:tcPr>
            <w:tcW w:w="1273" w:type="dxa"/>
            <w:tcBorders>
              <w:top w:val="single" w:sz="4" w:space="0" w:color="auto"/>
            </w:tcBorders>
          </w:tcPr>
          <w:p w14:paraId="33848983" w14:textId="4B27D407" w:rsidR="00CE379D" w:rsidRPr="000C06A7" w:rsidRDefault="00372000" w:rsidP="00CD6405">
            <w:pPr>
              <w:jc w:val="center"/>
              <w:rPr>
                <w:rFonts w:ascii="Arial" w:eastAsia="Calibri" w:hAnsi="Arial" w:cs="Arial"/>
                <w:lang w:eastAsia="en-GB"/>
              </w:rPr>
            </w:pPr>
            <w:r>
              <w:rPr>
                <w:rFonts w:ascii="Arial" w:eastAsia="Calibri" w:hAnsi="Arial" w:cs="Arial"/>
                <w:lang w:eastAsia="en-GB"/>
              </w:rPr>
              <w:t>+£</w:t>
            </w:r>
            <w:r w:rsidR="00E84E9E">
              <w:rPr>
                <w:rFonts w:ascii="Arial" w:eastAsia="Calibri" w:hAnsi="Arial" w:cs="Arial"/>
                <w:lang w:eastAsia="en-GB"/>
              </w:rPr>
              <w:t>191,181</w:t>
            </w:r>
          </w:p>
        </w:tc>
        <w:tc>
          <w:tcPr>
            <w:tcW w:w="1311" w:type="dxa"/>
            <w:tcBorders>
              <w:top w:val="single" w:sz="4" w:space="0" w:color="auto"/>
              <w:right w:val="single" w:sz="4" w:space="0" w:color="auto"/>
            </w:tcBorders>
          </w:tcPr>
          <w:p w14:paraId="7E9C4811" w14:textId="00D874AC" w:rsidR="00CE379D" w:rsidRPr="000C06A7" w:rsidRDefault="00E84E9E" w:rsidP="00CD6405">
            <w:pPr>
              <w:jc w:val="center"/>
              <w:rPr>
                <w:rFonts w:ascii="Arial" w:eastAsia="Calibri" w:hAnsi="Arial" w:cs="Arial"/>
                <w:lang w:eastAsia="en-GB"/>
              </w:rPr>
            </w:pPr>
            <w:r>
              <w:rPr>
                <w:rFonts w:ascii="Arial" w:eastAsia="Calibri" w:hAnsi="Arial" w:cs="Arial"/>
                <w:lang w:eastAsia="en-GB"/>
              </w:rPr>
              <w:t>+92.7%</w:t>
            </w:r>
          </w:p>
        </w:tc>
        <w:tc>
          <w:tcPr>
            <w:tcW w:w="1561" w:type="dxa"/>
            <w:tcBorders>
              <w:top w:val="single" w:sz="4" w:space="0" w:color="auto"/>
              <w:left w:val="single" w:sz="4" w:space="0" w:color="auto"/>
            </w:tcBorders>
          </w:tcPr>
          <w:p w14:paraId="4C85C071" w14:textId="034EC96E" w:rsidR="00CE379D" w:rsidRPr="000C06A7" w:rsidRDefault="00E84E9E" w:rsidP="00CD6405">
            <w:pPr>
              <w:jc w:val="center"/>
              <w:rPr>
                <w:rFonts w:ascii="Arial" w:eastAsia="Calibri" w:hAnsi="Arial" w:cs="Arial"/>
                <w:lang w:eastAsia="en-GB"/>
              </w:rPr>
            </w:pPr>
            <w:r>
              <w:rPr>
                <w:rFonts w:ascii="Arial" w:eastAsia="Calibri" w:hAnsi="Arial" w:cs="Arial"/>
                <w:lang w:eastAsia="en-GB"/>
              </w:rPr>
              <w:t>£</w:t>
            </w:r>
            <w:r w:rsidR="00C77FDF">
              <w:rPr>
                <w:rFonts w:ascii="Arial" w:eastAsia="Calibri" w:hAnsi="Arial" w:cs="Arial"/>
                <w:lang w:eastAsia="en-GB"/>
              </w:rPr>
              <w:t>276,000</w:t>
            </w:r>
          </w:p>
        </w:tc>
        <w:tc>
          <w:tcPr>
            <w:tcW w:w="1263" w:type="dxa"/>
            <w:tcBorders>
              <w:top w:val="single" w:sz="4" w:space="0" w:color="auto"/>
            </w:tcBorders>
          </w:tcPr>
          <w:p w14:paraId="42348A17" w14:textId="101C1D2E" w:rsidR="00CE379D" w:rsidRPr="000C06A7" w:rsidRDefault="00C77FDF" w:rsidP="00CD6405">
            <w:pPr>
              <w:jc w:val="center"/>
              <w:rPr>
                <w:rFonts w:ascii="Arial" w:eastAsia="Calibri" w:hAnsi="Arial" w:cs="Arial"/>
                <w:lang w:eastAsia="en-GB"/>
              </w:rPr>
            </w:pPr>
            <w:r>
              <w:rPr>
                <w:rFonts w:ascii="Arial" w:eastAsia="Calibri" w:hAnsi="Arial" w:cs="Arial"/>
                <w:lang w:eastAsia="en-GB"/>
              </w:rPr>
              <w:t>£-119,773</w:t>
            </w:r>
          </w:p>
        </w:tc>
        <w:tc>
          <w:tcPr>
            <w:tcW w:w="1239" w:type="dxa"/>
            <w:tcBorders>
              <w:top w:val="single" w:sz="4" w:space="0" w:color="auto"/>
            </w:tcBorders>
          </w:tcPr>
          <w:p w14:paraId="74A2626E" w14:textId="670AE000" w:rsidR="00CE379D" w:rsidRPr="000C06A7" w:rsidRDefault="00C77FDF" w:rsidP="00CD6405">
            <w:pPr>
              <w:jc w:val="center"/>
              <w:rPr>
                <w:rFonts w:ascii="Arial" w:eastAsia="Calibri" w:hAnsi="Arial" w:cs="Arial"/>
                <w:lang w:eastAsia="en-GB"/>
              </w:rPr>
            </w:pPr>
            <w:r>
              <w:rPr>
                <w:rFonts w:ascii="Arial" w:eastAsia="Calibri" w:hAnsi="Arial" w:cs="Arial"/>
                <w:lang w:eastAsia="en-GB"/>
              </w:rPr>
              <w:t>-30.3%</w:t>
            </w:r>
          </w:p>
        </w:tc>
      </w:tr>
      <w:tr w:rsidR="004508B3" w:rsidRPr="00B568F3" w14:paraId="0B9D8315" w14:textId="77777777" w:rsidTr="00C92ECE">
        <w:trPr>
          <w:trHeight w:val="300"/>
        </w:trPr>
        <w:tc>
          <w:tcPr>
            <w:tcW w:w="1260" w:type="dxa"/>
            <w:tcBorders>
              <w:right w:val="single" w:sz="4" w:space="0" w:color="auto"/>
            </w:tcBorders>
          </w:tcPr>
          <w:p w14:paraId="64B1DBBB" w14:textId="2873B931" w:rsidR="007B2817" w:rsidRPr="000C06A7" w:rsidRDefault="007B2817" w:rsidP="007B2817">
            <w:pPr>
              <w:rPr>
                <w:rFonts w:ascii="Arial" w:hAnsi="Arial" w:cs="Arial"/>
              </w:rPr>
            </w:pPr>
            <w:r w:rsidRPr="000C06A7">
              <w:rPr>
                <w:rFonts w:ascii="Arial" w:eastAsia="Calibri" w:hAnsi="Arial" w:cs="Arial"/>
                <w:b/>
                <w:bCs/>
                <w:lang w:eastAsia="en-GB"/>
              </w:rPr>
              <w:t>2023/2024</w:t>
            </w:r>
          </w:p>
        </w:tc>
        <w:tc>
          <w:tcPr>
            <w:tcW w:w="1350" w:type="dxa"/>
            <w:tcBorders>
              <w:left w:val="single" w:sz="4" w:space="0" w:color="auto"/>
            </w:tcBorders>
          </w:tcPr>
          <w:p w14:paraId="16477359" w14:textId="5B97FCBB" w:rsidR="007B2817" w:rsidRPr="000C06A7" w:rsidRDefault="007B2817" w:rsidP="00CD6405">
            <w:pPr>
              <w:jc w:val="center"/>
              <w:rPr>
                <w:rFonts w:ascii="Arial" w:hAnsi="Arial" w:cs="Arial"/>
              </w:rPr>
            </w:pPr>
            <w:r w:rsidRPr="000C06A7">
              <w:rPr>
                <w:rFonts w:ascii="Arial" w:eastAsia="Calibri" w:hAnsi="Arial" w:cs="Arial"/>
                <w:lang w:eastAsia="en-GB"/>
              </w:rPr>
              <w:t>£206,305</w:t>
            </w:r>
          </w:p>
        </w:tc>
        <w:tc>
          <w:tcPr>
            <w:tcW w:w="1273" w:type="dxa"/>
          </w:tcPr>
          <w:p w14:paraId="4E20CBB6" w14:textId="70C76B05" w:rsidR="007B2817" w:rsidRPr="000C06A7" w:rsidRDefault="007B2817" w:rsidP="00CD6405">
            <w:pPr>
              <w:jc w:val="center"/>
              <w:rPr>
                <w:rFonts w:ascii="Arial" w:hAnsi="Arial" w:cs="Arial"/>
              </w:rPr>
            </w:pPr>
            <w:r w:rsidRPr="000C06A7">
              <w:rPr>
                <w:rFonts w:ascii="Arial" w:eastAsia="Calibri" w:hAnsi="Arial" w:cs="Arial"/>
                <w:lang w:eastAsia="en-GB"/>
              </w:rPr>
              <w:t>-£310,521</w:t>
            </w:r>
          </w:p>
        </w:tc>
        <w:tc>
          <w:tcPr>
            <w:tcW w:w="1311" w:type="dxa"/>
            <w:tcBorders>
              <w:right w:val="single" w:sz="4" w:space="0" w:color="auto"/>
            </w:tcBorders>
          </w:tcPr>
          <w:p w14:paraId="5B33EFAA" w14:textId="2D619DE5" w:rsidR="007B2817" w:rsidRPr="000C06A7" w:rsidRDefault="007B2817" w:rsidP="00CD6405">
            <w:pPr>
              <w:jc w:val="center"/>
              <w:rPr>
                <w:rFonts w:ascii="Arial" w:hAnsi="Arial" w:cs="Arial"/>
              </w:rPr>
            </w:pPr>
            <w:r w:rsidRPr="000C06A7">
              <w:rPr>
                <w:rFonts w:ascii="Arial" w:eastAsia="Calibri" w:hAnsi="Arial" w:cs="Arial"/>
                <w:lang w:eastAsia="en-GB"/>
              </w:rPr>
              <w:t>-60.1%</w:t>
            </w:r>
          </w:p>
        </w:tc>
        <w:tc>
          <w:tcPr>
            <w:tcW w:w="1561" w:type="dxa"/>
            <w:tcBorders>
              <w:left w:val="single" w:sz="4" w:space="0" w:color="auto"/>
            </w:tcBorders>
          </w:tcPr>
          <w:p w14:paraId="727E31D5" w14:textId="6D368D5A" w:rsidR="007B2817" w:rsidRPr="000C06A7" w:rsidRDefault="007B2817" w:rsidP="00CD6405">
            <w:pPr>
              <w:jc w:val="center"/>
              <w:rPr>
                <w:rFonts w:ascii="Arial" w:hAnsi="Arial" w:cs="Arial"/>
              </w:rPr>
            </w:pPr>
            <w:r w:rsidRPr="000C06A7">
              <w:rPr>
                <w:rFonts w:ascii="Arial" w:eastAsia="Calibri" w:hAnsi="Arial" w:cs="Arial"/>
                <w:lang w:eastAsia="en-GB"/>
              </w:rPr>
              <w:t>£395,773</w:t>
            </w:r>
          </w:p>
        </w:tc>
        <w:tc>
          <w:tcPr>
            <w:tcW w:w="1263" w:type="dxa"/>
          </w:tcPr>
          <w:p w14:paraId="6E4AB9DA" w14:textId="60D996E0" w:rsidR="007B2817" w:rsidRPr="000C06A7" w:rsidRDefault="007B2817" w:rsidP="00CD6405">
            <w:pPr>
              <w:jc w:val="center"/>
              <w:rPr>
                <w:rFonts w:ascii="Arial" w:hAnsi="Arial" w:cs="Arial"/>
              </w:rPr>
            </w:pPr>
            <w:r w:rsidRPr="000C06A7">
              <w:rPr>
                <w:rFonts w:ascii="Arial" w:eastAsia="Calibri" w:hAnsi="Arial" w:cs="Arial"/>
                <w:lang w:eastAsia="en-GB"/>
              </w:rPr>
              <w:t>-£26,914</w:t>
            </w:r>
          </w:p>
        </w:tc>
        <w:tc>
          <w:tcPr>
            <w:tcW w:w="1239" w:type="dxa"/>
          </w:tcPr>
          <w:p w14:paraId="43C8DB9A" w14:textId="167DFFD8" w:rsidR="007B2817" w:rsidRPr="000C06A7" w:rsidRDefault="007B2817" w:rsidP="00CD6405">
            <w:pPr>
              <w:jc w:val="center"/>
              <w:rPr>
                <w:rFonts w:ascii="Arial" w:hAnsi="Arial" w:cs="Arial"/>
              </w:rPr>
            </w:pPr>
            <w:r w:rsidRPr="000C06A7">
              <w:rPr>
                <w:rFonts w:ascii="Arial" w:eastAsia="Calibri" w:hAnsi="Arial" w:cs="Arial"/>
                <w:lang w:eastAsia="en-GB"/>
              </w:rPr>
              <w:t>-6.4%</w:t>
            </w:r>
          </w:p>
        </w:tc>
      </w:tr>
      <w:tr w:rsidR="004508B3" w:rsidRPr="00B568F3" w14:paraId="603A1A49" w14:textId="77777777" w:rsidTr="00343C94">
        <w:trPr>
          <w:trHeight w:val="300"/>
        </w:trPr>
        <w:tc>
          <w:tcPr>
            <w:tcW w:w="1260" w:type="dxa"/>
            <w:tcBorders>
              <w:right w:val="single" w:sz="4" w:space="0" w:color="auto"/>
            </w:tcBorders>
          </w:tcPr>
          <w:p w14:paraId="31E61040" w14:textId="7A944A8A" w:rsidR="007B2817" w:rsidRPr="000C06A7" w:rsidRDefault="007B2817" w:rsidP="007B2817">
            <w:pPr>
              <w:rPr>
                <w:rFonts w:ascii="Arial" w:hAnsi="Arial" w:cs="Arial"/>
              </w:rPr>
            </w:pPr>
            <w:r w:rsidRPr="000C06A7">
              <w:rPr>
                <w:rFonts w:ascii="Arial" w:eastAsia="Calibri" w:hAnsi="Arial" w:cs="Arial"/>
                <w:b/>
                <w:bCs/>
                <w:lang w:eastAsia="en-GB"/>
              </w:rPr>
              <w:t>2022/2023</w:t>
            </w:r>
          </w:p>
        </w:tc>
        <w:tc>
          <w:tcPr>
            <w:tcW w:w="1350" w:type="dxa"/>
            <w:tcBorders>
              <w:left w:val="single" w:sz="4" w:space="0" w:color="auto"/>
            </w:tcBorders>
          </w:tcPr>
          <w:p w14:paraId="620A4462" w14:textId="14F3366E" w:rsidR="007B2817" w:rsidRPr="000C06A7" w:rsidRDefault="007B2817" w:rsidP="00CD6405">
            <w:pPr>
              <w:jc w:val="center"/>
              <w:rPr>
                <w:rFonts w:ascii="Arial" w:hAnsi="Arial" w:cs="Arial"/>
              </w:rPr>
            </w:pPr>
            <w:r w:rsidRPr="000C06A7">
              <w:rPr>
                <w:rFonts w:ascii="Arial" w:eastAsia="Calibri" w:hAnsi="Arial" w:cs="Arial"/>
                <w:lang w:eastAsia="en-GB"/>
              </w:rPr>
              <w:t>£516,826</w:t>
            </w:r>
          </w:p>
        </w:tc>
        <w:tc>
          <w:tcPr>
            <w:tcW w:w="1273" w:type="dxa"/>
          </w:tcPr>
          <w:p w14:paraId="3EEE5B56" w14:textId="517BE470" w:rsidR="007B2817" w:rsidRPr="000C06A7" w:rsidRDefault="007B2817" w:rsidP="00CD6405">
            <w:pPr>
              <w:jc w:val="center"/>
              <w:rPr>
                <w:rFonts w:ascii="Arial" w:hAnsi="Arial" w:cs="Arial"/>
              </w:rPr>
            </w:pPr>
            <w:r w:rsidRPr="000C06A7">
              <w:rPr>
                <w:rFonts w:ascii="Arial" w:eastAsia="Calibri" w:hAnsi="Arial" w:cs="Arial"/>
                <w:lang w:eastAsia="en-GB"/>
              </w:rPr>
              <w:t>+£270,034</w:t>
            </w:r>
          </w:p>
        </w:tc>
        <w:tc>
          <w:tcPr>
            <w:tcW w:w="1311" w:type="dxa"/>
            <w:tcBorders>
              <w:right w:val="single" w:sz="4" w:space="0" w:color="auto"/>
            </w:tcBorders>
          </w:tcPr>
          <w:p w14:paraId="5932D61F" w14:textId="18F78BA9" w:rsidR="007B2817" w:rsidRPr="000C06A7" w:rsidRDefault="007B2817" w:rsidP="00CD6405">
            <w:pPr>
              <w:jc w:val="center"/>
              <w:rPr>
                <w:rFonts w:ascii="Arial" w:hAnsi="Arial" w:cs="Arial"/>
              </w:rPr>
            </w:pPr>
            <w:r w:rsidRPr="000C06A7">
              <w:rPr>
                <w:rFonts w:ascii="Arial" w:eastAsia="Calibri" w:hAnsi="Arial" w:cs="Arial"/>
                <w:lang w:eastAsia="en-GB"/>
              </w:rPr>
              <w:t>+109.4%</w:t>
            </w:r>
          </w:p>
        </w:tc>
        <w:tc>
          <w:tcPr>
            <w:tcW w:w="1561" w:type="dxa"/>
            <w:tcBorders>
              <w:left w:val="single" w:sz="4" w:space="0" w:color="auto"/>
            </w:tcBorders>
          </w:tcPr>
          <w:p w14:paraId="0E4D41F9" w14:textId="7ACCCD98" w:rsidR="007B2817" w:rsidRPr="000C06A7" w:rsidRDefault="007B2817" w:rsidP="00CD6405">
            <w:pPr>
              <w:jc w:val="center"/>
              <w:rPr>
                <w:rFonts w:ascii="Arial" w:hAnsi="Arial" w:cs="Arial"/>
              </w:rPr>
            </w:pPr>
            <w:r w:rsidRPr="000C06A7">
              <w:rPr>
                <w:rFonts w:ascii="Arial" w:eastAsia="Calibri" w:hAnsi="Arial" w:cs="Arial"/>
                <w:lang w:eastAsia="en-GB"/>
              </w:rPr>
              <w:t>£422,687</w:t>
            </w:r>
          </w:p>
        </w:tc>
        <w:tc>
          <w:tcPr>
            <w:tcW w:w="1263" w:type="dxa"/>
          </w:tcPr>
          <w:p w14:paraId="44E8B7B6" w14:textId="1DF82F0A" w:rsidR="007B2817" w:rsidRPr="000C06A7" w:rsidRDefault="007B2817" w:rsidP="00CD6405">
            <w:pPr>
              <w:jc w:val="center"/>
              <w:rPr>
                <w:rFonts w:ascii="Arial" w:hAnsi="Arial" w:cs="Arial"/>
              </w:rPr>
            </w:pPr>
            <w:r w:rsidRPr="000C06A7">
              <w:rPr>
                <w:rFonts w:ascii="Arial" w:eastAsia="Calibri" w:hAnsi="Arial" w:cs="Arial"/>
                <w:lang w:eastAsia="en-GB"/>
              </w:rPr>
              <w:t>+£176,060</w:t>
            </w:r>
          </w:p>
        </w:tc>
        <w:tc>
          <w:tcPr>
            <w:tcW w:w="1239" w:type="dxa"/>
          </w:tcPr>
          <w:p w14:paraId="2EDC9B2F" w14:textId="55315EFC" w:rsidR="007B2817" w:rsidRPr="000C06A7" w:rsidRDefault="007B2817" w:rsidP="00CD6405">
            <w:pPr>
              <w:jc w:val="center"/>
              <w:rPr>
                <w:rFonts w:ascii="Arial" w:hAnsi="Arial" w:cs="Arial"/>
              </w:rPr>
            </w:pPr>
            <w:r w:rsidRPr="000C06A7">
              <w:rPr>
                <w:rFonts w:ascii="Arial" w:eastAsia="Calibri" w:hAnsi="Arial" w:cs="Arial"/>
                <w:lang w:eastAsia="en-GB"/>
              </w:rPr>
              <w:t>+71.4%</w:t>
            </w:r>
          </w:p>
        </w:tc>
      </w:tr>
      <w:tr w:rsidR="006F1FB1" w:rsidRPr="00B568F3" w14:paraId="578A20D7" w14:textId="77777777" w:rsidTr="00343C94">
        <w:trPr>
          <w:trHeight w:val="300"/>
        </w:trPr>
        <w:tc>
          <w:tcPr>
            <w:tcW w:w="1260" w:type="dxa"/>
            <w:tcBorders>
              <w:top w:val="single" w:sz="4" w:space="0" w:color="auto"/>
            </w:tcBorders>
          </w:tcPr>
          <w:p w14:paraId="0435DA25" w14:textId="77777777" w:rsidR="006F1FB1" w:rsidRPr="000C06A7" w:rsidRDefault="006F1FB1" w:rsidP="007B2817">
            <w:pPr>
              <w:rPr>
                <w:rFonts w:ascii="Arial" w:eastAsia="Calibri" w:hAnsi="Arial" w:cs="Arial"/>
                <w:b/>
                <w:bCs/>
                <w:lang w:eastAsia="en-GB"/>
              </w:rPr>
            </w:pPr>
          </w:p>
        </w:tc>
        <w:tc>
          <w:tcPr>
            <w:tcW w:w="1350" w:type="dxa"/>
            <w:tcBorders>
              <w:top w:val="single" w:sz="4" w:space="0" w:color="auto"/>
            </w:tcBorders>
          </w:tcPr>
          <w:p w14:paraId="20FE6229" w14:textId="77777777" w:rsidR="006F1FB1" w:rsidRPr="000C06A7" w:rsidRDefault="006F1FB1" w:rsidP="00CD6405">
            <w:pPr>
              <w:jc w:val="center"/>
              <w:rPr>
                <w:rFonts w:ascii="Arial" w:eastAsia="Calibri" w:hAnsi="Arial" w:cs="Arial"/>
                <w:lang w:eastAsia="en-GB"/>
              </w:rPr>
            </w:pPr>
          </w:p>
        </w:tc>
        <w:tc>
          <w:tcPr>
            <w:tcW w:w="1273" w:type="dxa"/>
            <w:tcBorders>
              <w:top w:val="single" w:sz="4" w:space="0" w:color="auto"/>
            </w:tcBorders>
          </w:tcPr>
          <w:p w14:paraId="5A087285" w14:textId="77777777" w:rsidR="006F1FB1" w:rsidRPr="000C06A7" w:rsidRDefault="006F1FB1" w:rsidP="00CD6405">
            <w:pPr>
              <w:jc w:val="center"/>
              <w:rPr>
                <w:rFonts w:ascii="Arial" w:hAnsi="Arial" w:cs="Arial"/>
              </w:rPr>
            </w:pPr>
          </w:p>
        </w:tc>
        <w:tc>
          <w:tcPr>
            <w:tcW w:w="1311" w:type="dxa"/>
            <w:tcBorders>
              <w:top w:val="single" w:sz="4" w:space="0" w:color="auto"/>
            </w:tcBorders>
          </w:tcPr>
          <w:p w14:paraId="111E37EE" w14:textId="77777777" w:rsidR="006F1FB1" w:rsidRPr="000C06A7" w:rsidRDefault="006F1FB1" w:rsidP="00CD6405">
            <w:pPr>
              <w:jc w:val="center"/>
              <w:rPr>
                <w:rFonts w:ascii="Arial" w:hAnsi="Arial" w:cs="Arial"/>
              </w:rPr>
            </w:pPr>
          </w:p>
        </w:tc>
        <w:tc>
          <w:tcPr>
            <w:tcW w:w="1561" w:type="dxa"/>
            <w:tcBorders>
              <w:top w:val="single" w:sz="4" w:space="0" w:color="auto"/>
            </w:tcBorders>
          </w:tcPr>
          <w:p w14:paraId="4F54503F" w14:textId="77777777" w:rsidR="006F1FB1" w:rsidRPr="000C06A7" w:rsidRDefault="006F1FB1" w:rsidP="00CD6405">
            <w:pPr>
              <w:jc w:val="center"/>
              <w:rPr>
                <w:rFonts w:ascii="Arial" w:eastAsia="Calibri" w:hAnsi="Arial" w:cs="Arial"/>
                <w:lang w:eastAsia="en-GB"/>
              </w:rPr>
            </w:pPr>
          </w:p>
        </w:tc>
        <w:tc>
          <w:tcPr>
            <w:tcW w:w="1263" w:type="dxa"/>
            <w:tcBorders>
              <w:top w:val="single" w:sz="4" w:space="0" w:color="auto"/>
            </w:tcBorders>
          </w:tcPr>
          <w:p w14:paraId="70974FDC" w14:textId="77777777" w:rsidR="006F1FB1" w:rsidRPr="000C06A7" w:rsidRDefault="006F1FB1" w:rsidP="00CD6405">
            <w:pPr>
              <w:jc w:val="center"/>
              <w:rPr>
                <w:rFonts w:ascii="Arial" w:hAnsi="Arial" w:cs="Arial"/>
              </w:rPr>
            </w:pPr>
          </w:p>
        </w:tc>
        <w:tc>
          <w:tcPr>
            <w:tcW w:w="1239" w:type="dxa"/>
            <w:tcBorders>
              <w:top w:val="single" w:sz="4" w:space="0" w:color="auto"/>
            </w:tcBorders>
          </w:tcPr>
          <w:p w14:paraId="77DF95FE" w14:textId="77777777" w:rsidR="006F1FB1" w:rsidRPr="000C06A7" w:rsidRDefault="006F1FB1" w:rsidP="00CD6405">
            <w:pPr>
              <w:jc w:val="center"/>
              <w:rPr>
                <w:rFonts w:ascii="Arial" w:hAnsi="Arial" w:cs="Arial"/>
              </w:rPr>
            </w:pPr>
          </w:p>
        </w:tc>
      </w:tr>
      <w:tr w:rsidR="0077083D" w:rsidRPr="00B568F3" w14:paraId="574A6E66" w14:textId="77777777" w:rsidTr="005C3459">
        <w:trPr>
          <w:trHeight w:val="300"/>
        </w:trPr>
        <w:tc>
          <w:tcPr>
            <w:tcW w:w="1260" w:type="dxa"/>
            <w:vMerge w:val="restart"/>
            <w:tcBorders>
              <w:bottom w:val="single" w:sz="4" w:space="0" w:color="auto"/>
              <w:right w:val="single" w:sz="4" w:space="0" w:color="auto"/>
            </w:tcBorders>
            <w:vAlign w:val="center"/>
          </w:tcPr>
          <w:p w14:paraId="79C780D4" w14:textId="25814BB6" w:rsidR="006F1FB1" w:rsidRPr="000C06A7" w:rsidRDefault="006F1FB1" w:rsidP="00245F9E">
            <w:pPr>
              <w:jc w:val="center"/>
              <w:rPr>
                <w:rFonts w:ascii="Arial" w:eastAsia="Calibri" w:hAnsi="Arial" w:cs="Arial"/>
                <w:b/>
                <w:bCs/>
                <w:lang w:eastAsia="en-GB"/>
              </w:rPr>
            </w:pPr>
            <w:r w:rsidRPr="000C06A7">
              <w:rPr>
                <w:rFonts w:ascii="Arial" w:eastAsia="Calibri" w:hAnsi="Arial" w:cs="Arial"/>
                <w:b/>
                <w:bCs/>
                <w:lang w:eastAsia="en-GB"/>
              </w:rPr>
              <w:t>Overall</w:t>
            </w:r>
          </w:p>
        </w:tc>
        <w:tc>
          <w:tcPr>
            <w:tcW w:w="3934" w:type="dxa"/>
            <w:gridSpan w:val="3"/>
            <w:tcBorders>
              <w:left w:val="single" w:sz="4" w:space="0" w:color="auto"/>
              <w:bottom w:val="single" w:sz="4" w:space="0" w:color="auto"/>
              <w:right w:val="single" w:sz="4" w:space="0" w:color="auto"/>
            </w:tcBorders>
            <w:vAlign w:val="center"/>
          </w:tcPr>
          <w:p w14:paraId="4B11B769" w14:textId="59E37D08" w:rsidR="006F1FB1" w:rsidRPr="000C06A7" w:rsidRDefault="006F1FB1" w:rsidP="00245F9E">
            <w:pPr>
              <w:jc w:val="center"/>
              <w:rPr>
                <w:rFonts w:ascii="Arial" w:hAnsi="Arial" w:cs="Arial"/>
              </w:rPr>
            </w:pPr>
            <w:r w:rsidRPr="000C06A7">
              <w:rPr>
                <w:rFonts w:ascii="Arial" w:hAnsi="Arial" w:cs="Arial"/>
                <w:b/>
                <w:bCs/>
              </w:rPr>
              <w:t xml:space="preserve">Delivery </w:t>
            </w:r>
            <w:r w:rsidR="0035272F" w:rsidRPr="000C06A7">
              <w:rPr>
                <w:rFonts w:ascii="Arial" w:hAnsi="Arial" w:cs="Arial"/>
                <w:b/>
                <w:bCs/>
              </w:rPr>
              <w:t>s</w:t>
            </w:r>
            <w:r w:rsidRPr="000C06A7">
              <w:rPr>
                <w:rFonts w:ascii="Arial" w:hAnsi="Arial" w:cs="Arial"/>
                <w:b/>
                <w:bCs/>
              </w:rPr>
              <w:t>taff</w:t>
            </w:r>
          </w:p>
        </w:tc>
        <w:tc>
          <w:tcPr>
            <w:tcW w:w="4063" w:type="dxa"/>
            <w:gridSpan w:val="3"/>
            <w:tcBorders>
              <w:left w:val="single" w:sz="4" w:space="0" w:color="auto"/>
              <w:bottom w:val="single" w:sz="4" w:space="0" w:color="auto"/>
            </w:tcBorders>
            <w:vAlign w:val="center"/>
          </w:tcPr>
          <w:p w14:paraId="4DF551A8" w14:textId="6E5CFAF1" w:rsidR="006F1FB1" w:rsidRPr="000C06A7" w:rsidRDefault="006F1FB1" w:rsidP="00245F9E">
            <w:pPr>
              <w:jc w:val="center"/>
              <w:rPr>
                <w:rFonts w:ascii="Arial" w:hAnsi="Arial" w:cs="Arial"/>
              </w:rPr>
            </w:pPr>
            <w:r w:rsidRPr="000C06A7">
              <w:rPr>
                <w:rFonts w:ascii="Arial" w:eastAsia="Calibri" w:hAnsi="Arial" w:cs="Arial"/>
                <w:b/>
                <w:bCs/>
                <w:lang w:eastAsia="en-GB"/>
              </w:rPr>
              <w:t>Management and admin</w:t>
            </w:r>
            <w:r w:rsidR="0035272F" w:rsidRPr="000C06A7">
              <w:rPr>
                <w:rFonts w:ascii="Arial" w:eastAsia="Calibri" w:hAnsi="Arial" w:cs="Arial"/>
                <w:b/>
                <w:bCs/>
                <w:lang w:eastAsia="en-GB"/>
              </w:rPr>
              <w:t>istration</w:t>
            </w:r>
          </w:p>
        </w:tc>
      </w:tr>
      <w:tr w:rsidR="00862BE1" w:rsidRPr="00B568F3" w14:paraId="0A743778" w14:textId="77777777" w:rsidTr="005C3459">
        <w:trPr>
          <w:trHeight w:val="300"/>
        </w:trPr>
        <w:tc>
          <w:tcPr>
            <w:tcW w:w="1260" w:type="dxa"/>
            <w:vMerge/>
            <w:vAlign w:val="center"/>
          </w:tcPr>
          <w:p w14:paraId="67FF7109" w14:textId="48828E3A" w:rsidR="006F1FB1" w:rsidRPr="000C06A7" w:rsidRDefault="006F1FB1" w:rsidP="00245F9E">
            <w:pPr>
              <w:jc w:val="center"/>
              <w:rPr>
                <w:rFonts w:ascii="Arial" w:eastAsia="Calibri" w:hAnsi="Arial" w:cs="Arial"/>
                <w:b/>
                <w:bCs/>
                <w:lang w:eastAsia="en-GB"/>
              </w:rPr>
            </w:pPr>
          </w:p>
        </w:tc>
        <w:tc>
          <w:tcPr>
            <w:tcW w:w="1350" w:type="dxa"/>
            <w:tcBorders>
              <w:top w:val="single" w:sz="4" w:space="0" w:color="auto"/>
              <w:left w:val="single" w:sz="4" w:space="0" w:color="auto"/>
              <w:bottom w:val="single" w:sz="4" w:space="0" w:color="auto"/>
            </w:tcBorders>
            <w:vAlign w:val="center"/>
          </w:tcPr>
          <w:p w14:paraId="4DA055B0" w14:textId="302A7910" w:rsidR="006F1FB1" w:rsidRPr="000C06A7" w:rsidRDefault="006F1FB1" w:rsidP="00245F9E">
            <w:pPr>
              <w:jc w:val="center"/>
              <w:rPr>
                <w:rFonts w:ascii="Arial" w:eastAsia="Calibri" w:hAnsi="Arial" w:cs="Arial"/>
                <w:lang w:eastAsia="en-GB"/>
              </w:rPr>
            </w:pPr>
            <w:r w:rsidRPr="000C06A7">
              <w:rPr>
                <w:rFonts w:ascii="Arial" w:eastAsia="Calibri" w:hAnsi="Arial" w:cs="Arial"/>
                <w:b/>
                <w:bCs/>
                <w:lang w:eastAsia="en-GB"/>
              </w:rPr>
              <w:t>£</w:t>
            </w:r>
          </w:p>
        </w:tc>
        <w:tc>
          <w:tcPr>
            <w:tcW w:w="1273" w:type="dxa"/>
            <w:tcBorders>
              <w:top w:val="single" w:sz="4" w:space="0" w:color="auto"/>
              <w:bottom w:val="single" w:sz="4" w:space="0" w:color="auto"/>
            </w:tcBorders>
            <w:vAlign w:val="center"/>
          </w:tcPr>
          <w:p w14:paraId="1B041E9A" w14:textId="6873266A" w:rsidR="006F1FB1" w:rsidRPr="000C06A7" w:rsidRDefault="006F1FB1" w:rsidP="00245F9E">
            <w:pPr>
              <w:jc w:val="center"/>
              <w:rPr>
                <w:rFonts w:ascii="Arial" w:hAnsi="Arial" w:cs="Arial"/>
              </w:rPr>
            </w:pPr>
            <w:r w:rsidRPr="000C06A7">
              <w:rPr>
                <w:rFonts w:ascii="Arial" w:eastAsia="Calibri" w:hAnsi="Arial" w:cs="Arial"/>
                <w:b/>
                <w:bCs/>
                <w:lang w:eastAsia="en-GB"/>
              </w:rPr>
              <w:t>£ change</w:t>
            </w:r>
          </w:p>
        </w:tc>
        <w:tc>
          <w:tcPr>
            <w:tcW w:w="1311" w:type="dxa"/>
            <w:tcBorders>
              <w:top w:val="single" w:sz="4" w:space="0" w:color="auto"/>
              <w:bottom w:val="single" w:sz="4" w:space="0" w:color="auto"/>
              <w:right w:val="single" w:sz="4" w:space="0" w:color="auto"/>
            </w:tcBorders>
            <w:vAlign w:val="center"/>
          </w:tcPr>
          <w:p w14:paraId="0816AF5F" w14:textId="249594EA" w:rsidR="006F1FB1" w:rsidRPr="000C06A7" w:rsidRDefault="006F1FB1" w:rsidP="00245F9E">
            <w:pPr>
              <w:jc w:val="center"/>
              <w:rPr>
                <w:rFonts w:ascii="Arial" w:hAnsi="Arial" w:cs="Arial"/>
              </w:rPr>
            </w:pPr>
            <w:r w:rsidRPr="000C06A7">
              <w:rPr>
                <w:rFonts w:ascii="Arial" w:eastAsia="Calibri" w:hAnsi="Arial" w:cs="Arial"/>
                <w:b/>
                <w:bCs/>
                <w:lang w:eastAsia="en-GB"/>
              </w:rPr>
              <w:t>% change</w:t>
            </w:r>
          </w:p>
        </w:tc>
        <w:tc>
          <w:tcPr>
            <w:tcW w:w="1561" w:type="dxa"/>
            <w:tcBorders>
              <w:top w:val="single" w:sz="4" w:space="0" w:color="auto"/>
              <w:left w:val="single" w:sz="4" w:space="0" w:color="auto"/>
              <w:bottom w:val="single" w:sz="4" w:space="0" w:color="auto"/>
            </w:tcBorders>
            <w:vAlign w:val="center"/>
          </w:tcPr>
          <w:p w14:paraId="6952968B" w14:textId="6FCACF5D" w:rsidR="006F1FB1" w:rsidRPr="000C06A7" w:rsidRDefault="006F1FB1" w:rsidP="00245F9E">
            <w:pPr>
              <w:jc w:val="center"/>
              <w:rPr>
                <w:rFonts w:ascii="Arial" w:eastAsia="Calibri" w:hAnsi="Arial" w:cs="Arial"/>
                <w:lang w:eastAsia="en-GB"/>
              </w:rPr>
            </w:pPr>
            <w:r w:rsidRPr="000C06A7">
              <w:rPr>
                <w:rFonts w:ascii="Arial" w:eastAsia="Calibri" w:hAnsi="Arial" w:cs="Arial"/>
                <w:b/>
                <w:bCs/>
                <w:lang w:eastAsia="en-GB"/>
              </w:rPr>
              <w:t>£</w:t>
            </w:r>
          </w:p>
        </w:tc>
        <w:tc>
          <w:tcPr>
            <w:tcW w:w="1263" w:type="dxa"/>
            <w:tcBorders>
              <w:top w:val="single" w:sz="4" w:space="0" w:color="auto"/>
              <w:bottom w:val="single" w:sz="4" w:space="0" w:color="auto"/>
            </w:tcBorders>
            <w:vAlign w:val="center"/>
          </w:tcPr>
          <w:p w14:paraId="206633D5" w14:textId="52820A43" w:rsidR="006F1FB1" w:rsidRPr="000C06A7" w:rsidRDefault="006F1FB1" w:rsidP="00245F9E">
            <w:pPr>
              <w:jc w:val="center"/>
              <w:rPr>
                <w:rFonts w:ascii="Arial" w:hAnsi="Arial" w:cs="Arial"/>
              </w:rPr>
            </w:pPr>
            <w:r w:rsidRPr="000C06A7">
              <w:rPr>
                <w:rFonts w:ascii="Arial" w:eastAsia="Calibri" w:hAnsi="Arial" w:cs="Arial"/>
                <w:b/>
                <w:bCs/>
                <w:lang w:eastAsia="en-GB"/>
              </w:rPr>
              <w:t>£ change</w:t>
            </w:r>
          </w:p>
        </w:tc>
        <w:tc>
          <w:tcPr>
            <w:tcW w:w="1239" w:type="dxa"/>
            <w:tcBorders>
              <w:top w:val="single" w:sz="4" w:space="0" w:color="auto"/>
              <w:bottom w:val="single" w:sz="4" w:space="0" w:color="auto"/>
            </w:tcBorders>
            <w:vAlign w:val="center"/>
          </w:tcPr>
          <w:p w14:paraId="0BDF23FC" w14:textId="61D08055" w:rsidR="006F1FB1" w:rsidRPr="000C06A7" w:rsidRDefault="006F1FB1" w:rsidP="00245F9E">
            <w:pPr>
              <w:jc w:val="center"/>
              <w:rPr>
                <w:rFonts w:ascii="Arial" w:hAnsi="Arial" w:cs="Arial"/>
              </w:rPr>
            </w:pPr>
            <w:r w:rsidRPr="000C06A7">
              <w:rPr>
                <w:rFonts w:ascii="Arial" w:eastAsia="Calibri" w:hAnsi="Arial" w:cs="Arial"/>
                <w:b/>
                <w:bCs/>
                <w:lang w:eastAsia="en-GB"/>
              </w:rPr>
              <w:t>% change</w:t>
            </w:r>
          </w:p>
        </w:tc>
      </w:tr>
      <w:tr w:rsidR="00CE379D" w:rsidRPr="00B568F3" w14:paraId="05400DCB" w14:textId="77777777" w:rsidTr="00C92ECE">
        <w:trPr>
          <w:trHeight w:val="300"/>
        </w:trPr>
        <w:tc>
          <w:tcPr>
            <w:tcW w:w="1260" w:type="dxa"/>
            <w:tcBorders>
              <w:top w:val="single" w:sz="4" w:space="0" w:color="auto"/>
              <w:right w:val="single" w:sz="4" w:space="0" w:color="auto"/>
            </w:tcBorders>
          </w:tcPr>
          <w:p w14:paraId="2A64CF31" w14:textId="37BD5C15" w:rsidR="00CE379D" w:rsidRPr="000C06A7" w:rsidRDefault="004459C7" w:rsidP="006F1FB1">
            <w:pPr>
              <w:rPr>
                <w:rFonts w:ascii="Arial" w:eastAsia="Calibri" w:hAnsi="Arial" w:cs="Arial"/>
                <w:b/>
                <w:bCs/>
                <w:lang w:eastAsia="en-GB"/>
              </w:rPr>
            </w:pPr>
            <w:r>
              <w:rPr>
                <w:rFonts w:ascii="Arial" w:eastAsia="Calibri" w:hAnsi="Arial" w:cs="Arial"/>
                <w:b/>
                <w:bCs/>
                <w:lang w:eastAsia="en-GB"/>
              </w:rPr>
              <w:t>2024/2025</w:t>
            </w:r>
          </w:p>
        </w:tc>
        <w:tc>
          <w:tcPr>
            <w:tcW w:w="1350" w:type="dxa"/>
            <w:tcBorders>
              <w:top w:val="single" w:sz="4" w:space="0" w:color="auto"/>
              <w:left w:val="single" w:sz="4" w:space="0" w:color="auto"/>
            </w:tcBorders>
          </w:tcPr>
          <w:p w14:paraId="786D5247" w14:textId="57D67729" w:rsidR="00CE379D" w:rsidRPr="000C06A7" w:rsidRDefault="00C77FDF" w:rsidP="006F1FB1">
            <w:pPr>
              <w:jc w:val="center"/>
              <w:rPr>
                <w:rFonts w:ascii="Arial" w:eastAsia="Calibri" w:hAnsi="Arial" w:cs="Arial"/>
                <w:lang w:eastAsia="en-GB"/>
              </w:rPr>
            </w:pPr>
            <w:r>
              <w:rPr>
                <w:rFonts w:ascii="Arial" w:eastAsia="Calibri" w:hAnsi="Arial" w:cs="Arial"/>
                <w:lang w:eastAsia="en-GB"/>
              </w:rPr>
              <w:t>£5,555,795</w:t>
            </w:r>
          </w:p>
        </w:tc>
        <w:tc>
          <w:tcPr>
            <w:tcW w:w="1273" w:type="dxa"/>
            <w:tcBorders>
              <w:top w:val="single" w:sz="4" w:space="0" w:color="auto"/>
            </w:tcBorders>
          </w:tcPr>
          <w:p w14:paraId="14FA78F0" w14:textId="1FC48BA8" w:rsidR="00CE379D" w:rsidRPr="000C06A7" w:rsidRDefault="00EE5E25" w:rsidP="006F1FB1">
            <w:pPr>
              <w:jc w:val="center"/>
              <w:rPr>
                <w:rFonts w:ascii="Arial" w:hAnsi="Arial" w:cs="Arial"/>
              </w:rPr>
            </w:pPr>
            <w:r>
              <w:rPr>
                <w:rFonts w:ascii="Arial" w:hAnsi="Arial" w:cs="Arial"/>
              </w:rPr>
              <w:t>+£155,648</w:t>
            </w:r>
          </w:p>
        </w:tc>
        <w:tc>
          <w:tcPr>
            <w:tcW w:w="1311" w:type="dxa"/>
            <w:tcBorders>
              <w:top w:val="single" w:sz="4" w:space="0" w:color="auto"/>
              <w:right w:val="single" w:sz="4" w:space="0" w:color="auto"/>
            </w:tcBorders>
          </w:tcPr>
          <w:p w14:paraId="67FE4E80" w14:textId="7787AC43" w:rsidR="00CE379D" w:rsidRPr="000C06A7" w:rsidRDefault="00EE5E25" w:rsidP="006F1FB1">
            <w:pPr>
              <w:jc w:val="center"/>
              <w:rPr>
                <w:rFonts w:ascii="Arial" w:hAnsi="Arial" w:cs="Arial"/>
              </w:rPr>
            </w:pPr>
            <w:r>
              <w:rPr>
                <w:rFonts w:ascii="Arial" w:hAnsi="Arial" w:cs="Arial"/>
              </w:rPr>
              <w:t>+2.9%</w:t>
            </w:r>
          </w:p>
        </w:tc>
        <w:tc>
          <w:tcPr>
            <w:tcW w:w="1561" w:type="dxa"/>
            <w:tcBorders>
              <w:top w:val="single" w:sz="4" w:space="0" w:color="auto"/>
              <w:left w:val="single" w:sz="4" w:space="0" w:color="auto"/>
            </w:tcBorders>
          </w:tcPr>
          <w:p w14:paraId="22167100" w14:textId="78FF3A29" w:rsidR="00CE379D" w:rsidRPr="000C06A7" w:rsidRDefault="00EE5E25" w:rsidP="006F1FB1">
            <w:pPr>
              <w:jc w:val="center"/>
              <w:rPr>
                <w:rFonts w:ascii="Arial" w:eastAsia="Calibri" w:hAnsi="Arial" w:cs="Arial"/>
                <w:lang w:eastAsia="en-GB"/>
              </w:rPr>
            </w:pPr>
            <w:r>
              <w:rPr>
                <w:rFonts w:ascii="Arial" w:eastAsia="Calibri" w:hAnsi="Arial" w:cs="Arial"/>
                <w:lang w:eastAsia="en-GB"/>
              </w:rPr>
              <w:t>£2,819,530</w:t>
            </w:r>
          </w:p>
        </w:tc>
        <w:tc>
          <w:tcPr>
            <w:tcW w:w="1263" w:type="dxa"/>
            <w:tcBorders>
              <w:top w:val="single" w:sz="4" w:space="0" w:color="auto"/>
            </w:tcBorders>
          </w:tcPr>
          <w:p w14:paraId="51F9C113" w14:textId="0CE5523D" w:rsidR="00CE379D" w:rsidRPr="000C06A7" w:rsidRDefault="00A834BB" w:rsidP="006F1FB1">
            <w:pPr>
              <w:jc w:val="center"/>
              <w:rPr>
                <w:rFonts w:ascii="Arial" w:hAnsi="Arial" w:cs="Arial"/>
              </w:rPr>
            </w:pPr>
            <w:r>
              <w:rPr>
                <w:rFonts w:ascii="Arial" w:hAnsi="Arial" w:cs="Arial"/>
              </w:rPr>
              <w:t>+£74,832</w:t>
            </w:r>
          </w:p>
        </w:tc>
        <w:tc>
          <w:tcPr>
            <w:tcW w:w="1239" w:type="dxa"/>
            <w:tcBorders>
              <w:top w:val="single" w:sz="4" w:space="0" w:color="auto"/>
            </w:tcBorders>
          </w:tcPr>
          <w:p w14:paraId="7570D8F4" w14:textId="09C8B888" w:rsidR="00CE379D" w:rsidRPr="000C06A7" w:rsidRDefault="00A834BB" w:rsidP="006F1FB1">
            <w:pPr>
              <w:jc w:val="center"/>
              <w:rPr>
                <w:rFonts w:ascii="Arial" w:hAnsi="Arial" w:cs="Arial"/>
              </w:rPr>
            </w:pPr>
            <w:r>
              <w:rPr>
                <w:rFonts w:ascii="Arial" w:hAnsi="Arial" w:cs="Arial"/>
              </w:rPr>
              <w:t>+2.7%</w:t>
            </w:r>
          </w:p>
        </w:tc>
      </w:tr>
      <w:tr w:rsidR="006F1FB1" w:rsidRPr="00B568F3" w14:paraId="11141ED9" w14:textId="77777777" w:rsidTr="00C92ECE">
        <w:trPr>
          <w:trHeight w:val="300"/>
        </w:trPr>
        <w:tc>
          <w:tcPr>
            <w:tcW w:w="1260" w:type="dxa"/>
            <w:tcBorders>
              <w:right w:val="single" w:sz="4" w:space="0" w:color="auto"/>
            </w:tcBorders>
          </w:tcPr>
          <w:p w14:paraId="6ABE3360" w14:textId="46C5813F" w:rsidR="006F1FB1" w:rsidRPr="000C06A7" w:rsidRDefault="006F1FB1" w:rsidP="006F1FB1">
            <w:pPr>
              <w:rPr>
                <w:rFonts w:ascii="Arial" w:eastAsia="Calibri" w:hAnsi="Arial" w:cs="Arial"/>
                <w:b/>
                <w:bCs/>
                <w:lang w:eastAsia="en-GB"/>
              </w:rPr>
            </w:pPr>
            <w:r w:rsidRPr="000C06A7">
              <w:rPr>
                <w:rFonts w:ascii="Arial" w:eastAsia="Calibri" w:hAnsi="Arial" w:cs="Arial"/>
                <w:b/>
                <w:bCs/>
                <w:lang w:eastAsia="en-GB"/>
              </w:rPr>
              <w:t>2023/2024</w:t>
            </w:r>
          </w:p>
        </w:tc>
        <w:tc>
          <w:tcPr>
            <w:tcW w:w="1350" w:type="dxa"/>
            <w:tcBorders>
              <w:left w:val="single" w:sz="4" w:space="0" w:color="auto"/>
            </w:tcBorders>
          </w:tcPr>
          <w:p w14:paraId="1DC5E79B" w14:textId="4F44F086" w:rsidR="006F1FB1" w:rsidRPr="000C06A7" w:rsidRDefault="002A1CF1" w:rsidP="006F1FB1">
            <w:pPr>
              <w:jc w:val="center"/>
              <w:rPr>
                <w:rFonts w:ascii="Arial" w:eastAsia="Calibri" w:hAnsi="Arial" w:cs="Arial"/>
                <w:lang w:eastAsia="en-GB"/>
              </w:rPr>
            </w:pPr>
            <w:r w:rsidRPr="000C06A7">
              <w:rPr>
                <w:rFonts w:ascii="Arial" w:eastAsia="Calibri" w:hAnsi="Arial" w:cs="Arial"/>
                <w:lang w:eastAsia="en-GB"/>
              </w:rPr>
              <w:t>£</w:t>
            </w:r>
            <w:r w:rsidR="00886C37" w:rsidRPr="000C06A7">
              <w:rPr>
                <w:rFonts w:ascii="Arial" w:eastAsia="Calibri" w:hAnsi="Arial" w:cs="Arial"/>
                <w:lang w:eastAsia="en-GB"/>
              </w:rPr>
              <w:t>5,400,147</w:t>
            </w:r>
          </w:p>
        </w:tc>
        <w:tc>
          <w:tcPr>
            <w:tcW w:w="1273" w:type="dxa"/>
          </w:tcPr>
          <w:p w14:paraId="4C52F734" w14:textId="247C7D67" w:rsidR="006F1FB1" w:rsidRPr="000C06A7" w:rsidRDefault="00886C37" w:rsidP="006F1FB1">
            <w:pPr>
              <w:jc w:val="center"/>
              <w:rPr>
                <w:rFonts w:ascii="Arial" w:hAnsi="Arial" w:cs="Arial"/>
              </w:rPr>
            </w:pPr>
            <w:r w:rsidRPr="000C06A7">
              <w:rPr>
                <w:rFonts w:ascii="Arial" w:hAnsi="Arial" w:cs="Arial"/>
              </w:rPr>
              <w:t>+£128,333</w:t>
            </w:r>
          </w:p>
        </w:tc>
        <w:tc>
          <w:tcPr>
            <w:tcW w:w="1311" w:type="dxa"/>
            <w:tcBorders>
              <w:right w:val="single" w:sz="4" w:space="0" w:color="auto"/>
            </w:tcBorders>
          </w:tcPr>
          <w:p w14:paraId="25E27430" w14:textId="5800AE84" w:rsidR="006F1FB1" w:rsidRPr="000C06A7" w:rsidRDefault="00100357" w:rsidP="006F1FB1">
            <w:pPr>
              <w:jc w:val="center"/>
              <w:rPr>
                <w:rFonts w:ascii="Arial" w:hAnsi="Arial" w:cs="Arial"/>
              </w:rPr>
            </w:pPr>
            <w:r w:rsidRPr="000C06A7">
              <w:rPr>
                <w:rFonts w:ascii="Arial" w:hAnsi="Arial" w:cs="Arial"/>
              </w:rPr>
              <w:t>+2.4%</w:t>
            </w:r>
          </w:p>
        </w:tc>
        <w:tc>
          <w:tcPr>
            <w:tcW w:w="1561" w:type="dxa"/>
            <w:tcBorders>
              <w:left w:val="single" w:sz="4" w:space="0" w:color="auto"/>
            </w:tcBorders>
          </w:tcPr>
          <w:p w14:paraId="7B90174C" w14:textId="3EA256B6" w:rsidR="006F1FB1" w:rsidRPr="000C06A7" w:rsidRDefault="00100357" w:rsidP="006F1FB1">
            <w:pPr>
              <w:jc w:val="center"/>
              <w:rPr>
                <w:rFonts w:ascii="Arial" w:eastAsia="Calibri" w:hAnsi="Arial" w:cs="Arial"/>
                <w:lang w:eastAsia="en-GB"/>
              </w:rPr>
            </w:pPr>
            <w:r w:rsidRPr="000C06A7">
              <w:rPr>
                <w:rFonts w:ascii="Arial" w:eastAsia="Calibri" w:hAnsi="Arial" w:cs="Arial"/>
                <w:lang w:eastAsia="en-GB"/>
              </w:rPr>
              <w:t>£2,744,699</w:t>
            </w:r>
          </w:p>
        </w:tc>
        <w:tc>
          <w:tcPr>
            <w:tcW w:w="1263" w:type="dxa"/>
          </w:tcPr>
          <w:p w14:paraId="61DAB1D9" w14:textId="52E9C155" w:rsidR="006F1FB1" w:rsidRPr="000C06A7" w:rsidRDefault="00766292" w:rsidP="006F1FB1">
            <w:pPr>
              <w:jc w:val="center"/>
              <w:rPr>
                <w:rFonts w:ascii="Arial" w:hAnsi="Arial" w:cs="Arial"/>
              </w:rPr>
            </w:pPr>
            <w:r w:rsidRPr="000C06A7">
              <w:rPr>
                <w:rFonts w:ascii="Arial" w:hAnsi="Arial" w:cs="Arial"/>
              </w:rPr>
              <w:t>-£20,830</w:t>
            </w:r>
          </w:p>
        </w:tc>
        <w:tc>
          <w:tcPr>
            <w:tcW w:w="1239" w:type="dxa"/>
          </w:tcPr>
          <w:p w14:paraId="1DE5B9C3" w14:textId="77F7E365" w:rsidR="006F1FB1" w:rsidRPr="000C06A7" w:rsidRDefault="002B55DA" w:rsidP="006F1FB1">
            <w:pPr>
              <w:jc w:val="center"/>
              <w:rPr>
                <w:rFonts w:ascii="Arial" w:hAnsi="Arial" w:cs="Arial"/>
              </w:rPr>
            </w:pPr>
            <w:r w:rsidRPr="000C06A7">
              <w:rPr>
                <w:rFonts w:ascii="Arial" w:hAnsi="Arial" w:cs="Arial"/>
              </w:rPr>
              <w:t>-0.8%</w:t>
            </w:r>
          </w:p>
        </w:tc>
      </w:tr>
      <w:tr w:rsidR="006F1FB1" w:rsidRPr="00B568F3" w14:paraId="401D94D5" w14:textId="77777777" w:rsidTr="00C92ECE">
        <w:trPr>
          <w:trHeight w:val="300"/>
        </w:trPr>
        <w:tc>
          <w:tcPr>
            <w:tcW w:w="1260" w:type="dxa"/>
            <w:tcBorders>
              <w:bottom w:val="single" w:sz="4" w:space="0" w:color="auto"/>
              <w:right w:val="single" w:sz="4" w:space="0" w:color="auto"/>
            </w:tcBorders>
          </w:tcPr>
          <w:p w14:paraId="0C9CBBE0" w14:textId="21FC1585" w:rsidR="006F1FB1" w:rsidRPr="000C06A7" w:rsidRDefault="006F1FB1" w:rsidP="006F1FB1">
            <w:pPr>
              <w:rPr>
                <w:rFonts w:ascii="Arial" w:eastAsia="Calibri" w:hAnsi="Arial" w:cs="Arial"/>
                <w:b/>
                <w:bCs/>
                <w:lang w:eastAsia="en-GB"/>
              </w:rPr>
            </w:pPr>
            <w:r w:rsidRPr="000C06A7">
              <w:rPr>
                <w:rFonts w:ascii="Arial" w:eastAsia="Calibri" w:hAnsi="Arial" w:cs="Arial"/>
                <w:b/>
                <w:bCs/>
                <w:lang w:eastAsia="en-GB"/>
              </w:rPr>
              <w:t>2022/2023</w:t>
            </w:r>
          </w:p>
        </w:tc>
        <w:tc>
          <w:tcPr>
            <w:tcW w:w="1350" w:type="dxa"/>
            <w:tcBorders>
              <w:left w:val="single" w:sz="4" w:space="0" w:color="auto"/>
              <w:bottom w:val="single" w:sz="4" w:space="0" w:color="auto"/>
            </w:tcBorders>
          </w:tcPr>
          <w:p w14:paraId="73E02E61" w14:textId="30340CFE" w:rsidR="006F1FB1" w:rsidRPr="000C06A7" w:rsidRDefault="002A1CF1" w:rsidP="006F1FB1">
            <w:pPr>
              <w:jc w:val="center"/>
              <w:rPr>
                <w:rFonts w:ascii="Arial" w:eastAsia="Calibri" w:hAnsi="Arial" w:cs="Arial"/>
                <w:lang w:eastAsia="en-GB"/>
              </w:rPr>
            </w:pPr>
            <w:r w:rsidRPr="000C06A7">
              <w:rPr>
                <w:rFonts w:ascii="Arial" w:eastAsia="Calibri" w:hAnsi="Arial" w:cs="Arial"/>
                <w:lang w:eastAsia="en-GB"/>
              </w:rPr>
              <w:t>£5,271,814</w:t>
            </w:r>
          </w:p>
        </w:tc>
        <w:tc>
          <w:tcPr>
            <w:tcW w:w="1273" w:type="dxa"/>
            <w:tcBorders>
              <w:bottom w:val="single" w:sz="4" w:space="0" w:color="auto"/>
            </w:tcBorders>
          </w:tcPr>
          <w:p w14:paraId="7A602D4E" w14:textId="24F2F9A3" w:rsidR="006F1FB1" w:rsidRPr="000C06A7" w:rsidRDefault="00886C37" w:rsidP="006F1FB1">
            <w:pPr>
              <w:jc w:val="center"/>
              <w:rPr>
                <w:rFonts w:ascii="Arial" w:hAnsi="Arial" w:cs="Arial"/>
              </w:rPr>
            </w:pPr>
            <w:r w:rsidRPr="000C06A7">
              <w:rPr>
                <w:rFonts w:ascii="Arial" w:hAnsi="Arial" w:cs="Arial"/>
              </w:rPr>
              <w:t>+£448,805</w:t>
            </w:r>
          </w:p>
        </w:tc>
        <w:tc>
          <w:tcPr>
            <w:tcW w:w="1311" w:type="dxa"/>
            <w:tcBorders>
              <w:bottom w:val="single" w:sz="4" w:space="0" w:color="auto"/>
              <w:right w:val="single" w:sz="4" w:space="0" w:color="auto"/>
            </w:tcBorders>
          </w:tcPr>
          <w:p w14:paraId="56B70318" w14:textId="5B9FB111" w:rsidR="006F1FB1" w:rsidRPr="000C06A7" w:rsidRDefault="00100357" w:rsidP="006F1FB1">
            <w:pPr>
              <w:jc w:val="center"/>
              <w:rPr>
                <w:rFonts w:ascii="Arial" w:hAnsi="Arial" w:cs="Arial"/>
              </w:rPr>
            </w:pPr>
            <w:r w:rsidRPr="000C06A7">
              <w:rPr>
                <w:rFonts w:ascii="Arial" w:hAnsi="Arial" w:cs="Arial"/>
              </w:rPr>
              <w:t>+9.3%</w:t>
            </w:r>
          </w:p>
        </w:tc>
        <w:tc>
          <w:tcPr>
            <w:tcW w:w="1561" w:type="dxa"/>
            <w:tcBorders>
              <w:left w:val="single" w:sz="4" w:space="0" w:color="auto"/>
              <w:bottom w:val="single" w:sz="4" w:space="0" w:color="auto"/>
            </w:tcBorders>
          </w:tcPr>
          <w:p w14:paraId="45FE9000" w14:textId="061987AE" w:rsidR="006F1FB1" w:rsidRPr="000C06A7" w:rsidRDefault="00100357" w:rsidP="006F1FB1">
            <w:pPr>
              <w:jc w:val="center"/>
              <w:rPr>
                <w:rFonts w:ascii="Arial" w:eastAsia="Calibri" w:hAnsi="Arial" w:cs="Arial"/>
                <w:lang w:eastAsia="en-GB"/>
              </w:rPr>
            </w:pPr>
            <w:r w:rsidRPr="000C06A7">
              <w:rPr>
                <w:rFonts w:ascii="Arial" w:eastAsia="Calibri" w:hAnsi="Arial" w:cs="Arial"/>
                <w:lang w:eastAsia="en-GB"/>
              </w:rPr>
              <w:t>£2,765,529</w:t>
            </w:r>
          </w:p>
        </w:tc>
        <w:tc>
          <w:tcPr>
            <w:tcW w:w="1263" w:type="dxa"/>
            <w:tcBorders>
              <w:bottom w:val="single" w:sz="4" w:space="0" w:color="auto"/>
            </w:tcBorders>
          </w:tcPr>
          <w:p w14:paraId="51E73980" w14:textId="761CEB1D" w:rsidR="006F1FB1" w:rsidRPr="000C06A7" w:rsidRDefault="00766292" w:rsidP="006F1FB1">
            <w:pPr>
              <w:jc w:val="center"/>
              <w:rPr>
                <w:rFonts w:ascii="Arial" w:hAnsi="Arial" w:cs="Arial"/>
              </w:rPr>
            </w:pPr>
            <w:r w:rsidRPr="000C06A7">
              <w:rPr>
                <w:rFonts w:ascii="Arial" w:hAnsi="Arial" w:cs="Arial"/>
              </w:rPr>
              <w:t>+</w:t>
            </w:r>
            <w:r w:rsidR="002B55DA" w:rsidRPr="000C06A7">
              <w:rPr>
                <w:rFonts w:ascii="Arial" w:hAnsi="Arial" w:cs="Arial"/>
              </w:rPr>
              <w:t>£</w:t>
            </w:r>
            <w:r w:rsidRPr="000C06A7">
              <w:rPr>
                <w:rFonts w:ascii="Arial" w:hAnsi="Arial" w:cs="Arial"/>
              </w:rPr>
              <w:t>130</w:t>
            </w:r>
            <w:r w:rsidR="002B55DA" w:rsidRPr="000C06A7">
              <w:rPr>
                <w:rFonts w:ascii="Arial" w:hAnsi="Arial" w:cs="Arial"/>
              </w:rPr>
              <w:t>,489</w:t>
            </w:r>
          </w:p>
        </w:tc>
        <w:tc>
          <w:tcPr>
            <w:tcW w:w="1239" w:type="dxa"/>
            <w:tcBorders>
              <w:bottom w:val="single" w:sz="4" w:space="0" w:color="auto"/>
            </w:tcBorders>
          </w:tcPr>
          <w:p w14:paraId="2E95B3C0" w14:textId="3AEBAB1B" w:rsidR="006F1FB1" w:rsidRPr="000C06A7" w:rsidRDefault="002B55DA" w:rsidP="006F1FB1">
            <w:pPr>
              <w:jc w:val="center"/>
              <w:rPr>
                <w:rFonts w:ascii="Arial" w:hAnsi="Arial" w:cs="Arial"/>
              </w:rPr>
            </w:pPr>
            <w:r w:rsidRPr="000C06A7">
              <w:rPr>
                <w:rFonts w:ascii="Arial" w:hAnsi="Arial" w:cs="Arial"/>
              </w:rPr>
              <w:t>+5.0%</w:t>
            </w:r>
          </w:p>
        </w:tc>
      </w:tr>
    </w:tbl>
    <w:p w14:paraId="41748452" w14:textId="269852F6" w:rsidR="002D1B1F" w:rsidRPr="000C06A7" w:rsidRDefault="002D1B1F" w:rsidP="000C06A7">
      <w:pPr>
        <w:pStyle w:val="Heading3"/>
      </w:pPr>
      <w:bookmarkStart w:id="17" w:name="_Toc179481628"/>
      <w:bookmarkStart w:id="18" w:name="_Toc210987764"/>
      <w:bookmarkStart w:id="19" w:name="_Toc211279617"/>
      <w:r w:rsidRPr="000C06A7">
        <w:lastRenderedPageBreak/>
        <w:t>Health and safety</w:t>
      </w:r>
      <w:bookmarkEnd w:id="17"/>
      <w:bookmarkEnd w:id="18"/>
      <w:bookmarkEnd w:id="19"/>
    </w:p>
    <w:p w14:paraId="717CE34B" w14:textId="6BC16764" w:rsidR="00FC0312" w:rsidRDefault="004078BD" w:rsidP="00FC0312">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Health and safety </w:t>
      </w:r>
      <w:r w:rsidR="000064A5" w:rsidRPr="00B568F3">
        <w:rPr>
          <w:rFonts w:ascii="Arial" w:eastAsia="Calibri" w:hAnsi="Arial" w:cs="Arial"/>
          <w:sz w:val="24"/>
          <w:szCs w:val="24"/>
        </w:rPr>
        <w:t>spend is</w:t>
      </w:r>
      <w:r w:rsidR="004A0864" w:rsidRPr="00B568F3">
        <w:rPr>
          <w:rFonts w:ascii="Arial" w:eastAsia="Calibri" w:hAnsi="Arial" w:cs="Arial"/>
          <w:sz w:val="24"/>
          <w:szCs w:val="24"/>
        </w:rPr>
        <w:t xml:space="preserve"> </w:t>
      </w:r>
      <w:r w:rsidR="007A0EA3" w:rsidRPr="00B568F3">
        <w:rPr>
          <w:rFonts w:ascii="Arial" w:eastAsia="Calibri" w:hAnsi="Arial" w:cs="Arial"/>
          <w:sz w:val="24"/>
          <w:szCs w:val="24"/>
        </w:rPr>
        <w:t>capped</w:t>
      </w:r>
      <w:r w:rsidR="00894CD1" w:rsidRPr="00B568F3">
        <w:rPr>
          <w:rFonts w:ascii="Arial" w:eastAsia="Calibri" w:hAnsi="Arial" w:cs="Arial"/>
          <w:sz w:val="24"/>
          <w:szCs w:val="24"/>
        </w:rPr>
        <w:t>,</w:t>
      </w:r>
      <w:r w:rsidR="006C278B" w:rsidRPr="00B568F3">
        <w:rPr>
          <w:rFonts w:ascii="Arial" w:eastAsia="Calibri" w:hAnsi="Arial" w:cs="Arial"/>
          <w:sz w:val="24"/>
          <w:szCs w:val="24"/>
        </w:rPr>
        <w:t xml:space="preserve"> </w:t>
      </w:r>
      <w:r w:rsidRPr="00B568F3">
        <w:rPr>
          <w:rFonts w:ascii="Arial" w:eastAsia="Calibri" w:hAnsi="Arial" w:cs="Arial"/>
          <w:sz w:val="24"/>
          <w:szCs w:val="24"/>
        </w:rPr>
        <w:t xml:space="preserve">and regions </w:t>
      </w:r>
      <w:r w:rsidR="00234EDD" w:rsidRPr="00B568F3">
        <w:rPr>
          <w:rFonts w:ascii="Arial" w:eastAsia="Calibri" w:hAnsi="Arial" w:cs="Arial"/>
          <w:sz w:val="24"/>
          <w:szCs w:val="24"/>
        </w:rPr>
        <w:t>aren’t</w:t>
      </w:r>
      <w:r w:rsidRPr="00B568F3">
        <w:rPr>
          <w:rFonts w:ascii="Arial" w:eastAsia="Calibri" w:hAnsi="Arial" w:cs="Arial"/>
          <w:sz w:val="24"/>
          <w:szCs w:val="24"/>
        </w:rPr>
        <w:t xml:space="preserve"> allowed to spend any more than 10</w:t>
      </w:r>
      <w:r w:rsidR="008F5A25" w:rsidRPr="00B568F3">
        <w:rPr>
          <w:rFonts w:ascii="Arial" w:eastAsia="Calibri" w:hAnsi="Arial" w:cs="Arial"/>
          <w:sz w:val="24"/>
          <w:szCs w:val="24"/>
        </w:rPr>
        <w:t xml:space="preserve"> </w:t>
      </w:r>
      <w:r w:rsidR="006435FD" w:rsidRPr="00B568F3">
        <w:rPr>
          <w:rFonts w:ascii="Arial" w:eastAsia="Calibri" w:hAnsi="Arial" w:cs="Arial"/>
          <w:sz w:val="24"/>
          <w:szCs w:val="24"/>
        </w:rPr>
        <w:t>per cent</w:t>
      </w:r>
      <w:r w:rsidRPr="00B568F3">
        <w:rPr>
          <w:rFonts w:ascii="Arial" w:eastAsia="Calibri" w:hAnsi="Arial" w:cs="Arial"/>
          <w:sz w:val="24"/>
          <w:szCs w:val="24"/>
        </w:rPr>
        <w:t xml:space="preserve"> of their grant on </w:t>
      </w:r>
      <w:r w:rsidR="00EE6C61" w:rsidRPr="00B568F3">
        <w:rPr>
          <w:rFonts w:ascii="Arial" w:eastAsia="Calibri" w:hAnsi="Arial" w:cs="Arial"/>
          <w:sz w:val="24"/>
          <w:szCs w:val="24"/>
        </w:rPr>
        <w:t xml:space="preserve">health and safety </w:t>
      </w:r>
      <w:r w:rsidR="008F2FF2" w:rsidRPr="00B568F3">
        <w:rPr>
          <w:rFonts w:ascii="Arial" w:eastAsia="Calibri" w:hAnsi="Arial" w:cs="Arial"/>
          <w:sz w:val="24"/>
          <w:szCs w:val="24"/>
        </w:rPr>
        <w:t>arrangements</w:t>
      </w:r>
      <w:r w:rsidR="00EE6C61" w:rsidRPr="00B568F3">
        <w:rPr>
          <w:rFonts w:ascii="Arial" w:eastAsia="Calibri" w:hAnsi="Arial" w:cs="Arial"/>
          <w:sz w:val="24"/>
          <w:szCs w:val="24"/>
        </w:rPr>
        <w:t xml:space="preserve"> that employers are responsible for.</w:t>
      </w:r>
    </w:p>
    <w:p w14:paraId="6A5AC0C4" w14:textId="77777777" w:rsidR="00FC0312" w:rsidRPr="00B568F3" w:rsidRDefault="00FC0312" w:rsidP="00C92ECE">
      <w:pPr>
        <w:spacing w:after="200" w:line="276" w:lineRule="auto"/>
        <w:ind w:left="567"/>
        <w:contextualSpacing/>
        <w:rPr>
          <w:rFonts w:ascii="Arial" w:eastAsia="Calibri" w:hAnsi="Arial" w:cs="Arial"/>
          <w:sz w:val="24"/>
          <w:szCs w:val="24"/>
        </w:rPr>
      </w:pPr>
    </w:p>
    <w:p w14:paraId="12828305" w14:textId="64A6B889" w:rsidR="002D1B1F" w:rsidRPr="00006A63" w:rsidRDefault="00AF3E31" w:rsidP="00C92ECE">
      <w:pPr>
        <w:numPr>
          <w:ilvl w:val="0"/>
          <w:numId w:val="6"/>
        </w:numPr>
        <w:spacing w:after="200" w:line="276" w:lineRule="auto"/>
        <w:ind w:left="567" w:hanging="425"/>
        <w:contextualSpacing/>
        <w:rPr>
          <w:rFonts w:ascii="Arial" w:eastAsia="Calibri" w:hAnsi="Arial" w:cs="Arial"/>
          <w:sz w:val="24"/>
          <w:szCs w:val="24"/>
        </w:rPr>
      </w:pPr>
      <w:r w:rsidRPr="00006A63">
        <w:rPr>
          <w:rFonts w:ascii="Arial" w:eastAsia="Calibri" w:hAnsi="Arial" w:cs="Arial"/>
          <w:sz w:val="24"/>
          <w:szCs w:val="24"/>
        </w:rPr>
        <w:t xml:space="preserve">In 2024 to 2025 the spending on health and safety as a proportion of the SCWWDP grant decreased, with 1.7 per cent of the grant spent on health and safety compared to 2.1 per cent the previous year. </w:t>
      </w:r>
      <w:r w:rsidR="00A67E55" w:rsidRPr="00006A63">
        <w:rPr>
          <w:rFonts w:ascii="Arial" w:eastAsia="Calibri" w:hAnsi="Arial" w:cs="Arial"/>
          <w:sz w:val="24"/>
          <w:szCs w:val="24"/>
        </w:rPr>
        <w:t xml:space="preserve">One </w:t>
      </w:r>
      <w:r w:rsidR="00FE5002" w:rsidRPr="00006A63">
        <w:rPr>
          <w:rFonts w:ascii="Arial" w:eastAsia="Calibri" w:hAnsi="Arial" w:cs="Arial"/>
          <w:sz w:val="24"/>
          <w:szCs w:val="24"/>
        </w:rPr>
        <w:t>region</w:t>
      </w:r>
      <w:r w:rsidR="00A67E55" w:rsidRPr="00006A63">
        <w:rPr>
          <w:rFonts w:ascii="Arial" w:eastAsia="Calibri" w:hAnsi="Arial" w:cs="Arial"/>
          <w:sz w:val="24"/>
          <w:szCs w:val="24"/>
        </w:rPr>
        <w:t xml:space="preserve"> </w:t>
      </w:r>
      <w:r w:rsidR="00A913DE" w:rsidRPr="00006A63">
        <w:rPr>
          <w:rFonts w:ascii="Arial" w:eastAsia="Calibri" w:hAnsi="Arial" w:cs="Arial"/>
          <w:sz w:val="24"/>
          <w:szCs w:val="24"/>
        </w:rPr>
        <w:t>didn’t spend any of their SCWWDP grant on health and safety in 2024 to 2025 whil</w:t>
      </w:r>
      <w:r w:rsidR="005378FC">
        <w:rPr>
          <w:rFonts w:ascii="Arial" w:eastAsia="Calibri" w:hAnsi="Arial" w:cs="Arial"/>
          <w:sz w:val="24"/>
          <w:szCs w:val="24"/>
        </w:rPr>
        <w:t>e</w:t>
      </w:r>
      <w:r w:rsidR="00A913DE" w:rsidRPr="00006A63">
        <w:rPr>
          <w:rFonts w:ascii="Arial" w:eastAsia="Calibri" w:hAnsi="Arial" w:cs="Arial"/>
          <w:sz w:val="24"/>
          <w:szCs w:val="24"/>
        </w:rPr>
        <w:t xml:space="preserve"> for the other regions</w:t>
      </w:r>
      <w:r w:rsidR="00CD0D14" w:rsidRPr="00006A63">
        <w:rPr>
          <w:rFonts w:ascii="Arial" w:eastAsia="Calibri" w:hAnsi="Arial" w:cs="Arial"/>
          <w:sz w:val="24"/>
          <w:szCs w:val="24"/>
        </w:rPr>
        <w:t xml:space="preserve"> the spend ranged from </w:t>
      </w:r>
      <w:r w:rsidR="002D1B1F" w:rsidRPr="00006A63">
        <w:rPr>
          <w:rFonts w:ascii="Arial" w:eastAsia="Calibri" w:hAnsi="Arial" w:cs="Arial"/>
          <w:sz w:val="24"/>
          <w:szCs w:val="24"/>
        </w:rPr>
        <w:t>0.6</w:t>
      </w:r>
      <w:r w:rsidR="00201635" w:rsidRPr="00006A63">
        <w:rPr>
          <w:rFonts w:ascii="Arial" w:eastAsia="Calibri" w:hAnsi="Arial" w:cs="Arial"/>
          <w:sz w:val="24"/>
          <w:szCs w:val="24"/>
        </w:rPr>
        <w:t xml:space="preserve"> per cent</w:t>
      </w:r>
      <w:r w:rsidR="002D1B1F" w:rsidRPr="00006A63">
        <w:rPr>
          <w:rFonts w:ascii="Arial" w:eastAsia="Calibri" w:hAnsi="Arial" w:cs="Arial"/>
          <w:sz w:val="24"/>
          <w:szCs w:val="24"/>
        </w:rPr>
        <w:t xml:space="preserve"> to 3.</w:t>
      </w:r>
      <w:r w:rsidR="00006A63" w:rsidRPr="00C92ECE">
        <w:rPr>
          <w:rFonts w:ascii="Arial" w:eastAsia="Calibri" w:hAnsi="Arial" w:cs="Arial"/>
          <w:sz w:val="24"/>
          <w:szCs w:val="24"/>
        </w:rPr>
        <w:t>4</w:t>
      </w:r>
      <w:r w:rsidR="00006A63" w:rsidRPr="00006A63">
        <w:rPr>
          <w:rFonts w:ascii="Arial" w:eastAsia="Calibri" w:hAnsi="Arial" w:cs="Arial"/>
          <w:sz w:val="24"/>
          <w:szCs w:val="24"/>
        </w:rPr>
        <w:t xml:space="preserve"> </w:t>
      </w:r>
      <w:r w:rsidR="00777B37" w:rsidRPr="00006A63">
        <w:rPr>
          <w:rFonts w:ascii="Arial" w:eastAsia="Calibri" w:hAnsi="Arial" w:cs="Arial"/>
          <w:sz w:val="24"/>
          <w:szCs w:val="24"/>
        </w:rPr>
        <w:t>per cent</w:t>
      </w:r>
      <w:r w:rsidR="00C93C7A" w:rsidRPr="00006A63">
        <w:rPr>
          <w:rFonts w:ascii="Arial" w:eastAsia="Calibri" w:hAnsi="Arial" w:cs="Arial"/>
          <w:sz w:val="24"/>
          <w:szCs w:val="24"/>
        </w:rPr>
        <w:t>,</w:t>
      </w:r>
      <w:r w:rsidR="002D1B1F" w:rsidRPr="00006A63">
        <w:rPr>
          <w:rFonts w:ascii="Arial" w:eastAsia="Calibri" w:hAnsi="Arial" w:cs="Arial"/>
          <w:sz w:val="24"/>
          <w:szCs w:val="24"/>
        </w:rPr>
        <w:t xml:space="preserve"> which </w:t>
      </w:r>
      <w:r w:rsidR="00777B37" w:rsidRPr="00006A63">
        <w:rPr>
          <w:rFonts w:ascii="Arial" w:eastAsia="Calibri" w:hAnsi="Arial" w:cs="Arial"/>
          <w:sz w:val="24"/>
          <w:szCs w:val="24"/>
        </w:rPr>
        <w:t xml:space="preserve">is </w:t>
      </w:r>
      <w:r w:rsidR="002D1B1F" w:rsidRPr="00006A63">
        <w:rPr>
          <w:rFonts w:ascii="Arial" w:eastAsia="Calibri" w:hAnsi="Arial" w:cs="Arial"/>
          <w:sz w:val="24"/>
          <w:szCs w:val="24"/>
        </w:rPr>
        <w:t>well within the 10</w:t>
      </w:r>
      <w:r w:rsidR="00777B37" w:rsidRPr="00006A63">
        <w:rPr>
          <w:rFonts w:ascii="Arial" w:eastAsia="Calibri" w:hAnsi="Arial" w:cs="Arial"/>
          <w:sz w:val="24"/>
          <w:szCs w:val="24"/>
        </w:rPr>
        <w:t xml:space="preserve"> per cent</w:t>
      </w:r>
      <w:r w:rsidR="002D1B1F" w:rsidRPr="00006A63">
        <w:rPr>
          <w:rFonts w:ascii="Arial" w:eastAsia="Calibri" w:hAnsi="Arial" w:cs="Arial"/>
          <w:sz w:val="24"/>
          <w:szCs w:val="24"/>
        </w:rPr>
        <w:t xml:space="preserve"> allowance</w:t>
      </w:r>
      <w:r w:rsidR="43B7F088" w:rsidRPr="00006A63">
        <w:rPr>
          <w:rFonts w:ascii="Arial" w:eastAsia="Calibri" w:hAnsi="Arial" w:cs="Arial"/>
          <w:sz w:val="24"/>
          <w:szCs w:val="24"/>
        </w:rPr>
        <w:t xml:space="preserve">. </w:t>
      </w:r>
    </w:p>
    <w:p w14:paraId="5F2B2EC7" w14:textId="77777777" w:rsidR="00B15F40" w:rsidRPr="00B568F3" w:rsidRDefault="00B15F40" w:rsidP="001501DD">
      <w:pPr>
        <w:spacing w:after="200" w:line="276" w:lineRule="auto"/>
        <w:ind w:left="567"/>
        <w:contextualSpacing/>
        <w:rPr>
          <w:rFonts w:ascii="Arial" w:eastAsia="Calibri" w:hAnsi="Arial" w:cs="Arial"/>
          <w:sz w:val="24"/>
          <w:szCs w:val="24"/>
        </w:rPr>
      </w:pPr>
    </w:p>
    <w:p w14:paraId="5B72D390" w14:textId="77653C00" w:rsidR="00B15F40" w:rsidRPr="00B568F3" w:rsidRDefault="00225420"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Table 4 shows that </w:t>
      </w:r>
      <w:r w:rsidR="00E13748" w:rsidRPr="00B568F3">
        <w:rPr>
          <w:rFonts w:ascii="Arial" w:eastAsia="Calibri" w:hAnsi="Arial" w:cs="Arial"/>
          <w:sz w:val="24"/>
          <w:szCs w:val="24"/>
        </w:rPr>
        <w:t xml:space="preserve">SCWWDP </w:t>
      </w:r>
      <w:r w:rsidR="000D26D4" w:rsidRPr="00B568F3">
        <w:rPr>
          <w:rFonts w:ascii="Arial" w:eastAsia="Calibri" w:hAnsi="Arial" w:cs="Arial"/>
          <w:sz w:val="24"/>
          <w:szCs w:val="24"/>
        </w:rPr>
        <w:t xml:space="preserve">funding </w:t>
      </w:r>
      <w:r w:rsidR="00E13748" w:rsidRPr="00B568F3">
        <w:rPr>
          <w:rFonts w:ascii="Arial" w:eastAsia="Calibri" w:hAnsi="Arial" w:cs="Arial"/>
          <w:sz w:val="24"/>
          <w:szCs w:val="24"/>
        </w:rPr>
        <w:t xml:space="preserve">spent on health and safety </w:t>
      </w:r>
      <w:r w:rsidR="00377599" w:rsidRPr="00B568F3">
        <w:rPr>
          <w:rFonts w:ascii="Arial" w:eastAsia="Calibri" w:hAnsi="Arial" w:cs="Arial"/>
          <w:sz w:val="24"/>
          <w:szCs w:val="24"/>
        </w:rPr>
        <w:t xml:space="preserve">has </w:t>
      </w:r>
      <w:r w:rsidR="001C22AB" w:rsidRPr="00B568F3">
        <w:rPr>
          <w:rFonts w:ascii="Arial" w:eastAsia="Calibri" w:hAnsi="Arial" w:cs="Arial"/>
          <w:sz w:val="24"/>
          <w:szCs w:val="24"/>
        </w:rPr>
        <w:t>reduced</w:t>
      </w:r>
      <w:r w:rsidR="00E13748" w:rsidRPr="00B568F3">
        <w:rPr>
          <w:rFonts w:ascii="Arial" w:eastAsia="Calibri" w:hAnsi="Arial" w:cs="Arial"/>
          <w:sz w:val="24"/>
          <w:szCs w:val="24"/>
        </w:rPr>
        <w:t xml:space="preserve"> from </w:t>
      </w:r>
      <w:r w:rsidR="003C55C6" w:rsidRPr="00B568F3">
        <w:rPr>
          <w:rFonts w:ascii="Arial" w:eastAsia="Calibri" w:hAnsi="Arial" w:cs="Arial"/>
          <w:sz w:val="24"/>
          <w:szCs w:val="24"/>
        </w:rPr>
        <w:t xml:space="preserve">£228,451 in </w:t>
      </w:r>
      <w:r w:rsidR="7D7C80A0" w:rsidRPr="00B568F3">
        <w:rPr>
          <w:rFonts w:ascii="Arial" w:eastAsia="Calibri" w:hAnsi="Arial" w:cs="Arial"/>
          <w:sz w:val="24"/>
          <w:szCs w:val="24"/>
        </w:rPr>
        <w:t>20</w:t>
      </w:r>
      <w:r w:rsidR="003C55C6" w:rsidRPr="00B568F3">
        <w:rPr>
          <w:rFonts w:ascii="Arial" w:eastAsia="Calibri" w:hAnsi="Arial" w:cs="Arial"/>
          <w:sz w:val="24"/>
          <w:szCs w:val="24"/>
        </w:rPr>
        <w:t>23</w:t>
      </w:r>
      <w:r w:rsidR="00EE6C61" w:rsidRPr="00B568F3">
        <w:rPr>
          <w:rFonts w:ascii="Arial" w:eastAsia="Calibri" w:hAnsi="Arial" w:cs="Arial"/>
          <w:sz w:val="24"/>
          <w:szCs w:val="24"/>
        </w:rPr>
        <w:t xml:space="preserve"> to 20</w:t>
      </w:r>
      <w:r w:rsidR="003C55C6" w:rsidRPr="00B568F3">
        <w:rPr>
          <w:rFonts w:ascii="Arial" w:eastAsia="Calibri" w:hAnsi="Arial" w:cs="Arial"/>
          <w:sz w:val="24"/>
          <w:szCs w:val="24"/>
        </w:rPr>
        <w:t>24</w:t>
      </w:r>
      <w:r w:rsidR="00B25C50">
        <w:rPr>
          <w:rFonts w:ascii="Arial" w:eastAsia="Calibri" w:hAnsi="Arial" w:cs="Arial"/>
          <w:sz w:val="24"/>
          <w:szCs w:val="24"/>
        </w:rPr>
        <w:t xml:space="preserve"> to £186,400 in 2024 to 2025</w:t>
      </w:r>
      <w:r w:rsidR="003C55C6" w:rsidRPr="00B568F3">
        <w:rPr>
          <w:rFonts w:ascii="Arial" w:eastAsia="Calibri" w:hAnsi="Arial" w:cs="Arial"/>
          <w:sz w:val="24"/>
          <w:szCs w:val="24"/>
        </w:rPr>
        <w:t xml:space="preserve">, </w:t>
      </w:r>
      <w:r w:rsidR="003C55C6" w:rsidRPr="00FE5002">
        <w:rPr>
          <w:rFonts w:ascii="Arial" w:eastAsia="Calibri" w:hAnsi="Arial" w:cs="Arial"/>
          <w:sz w:val="24"/>
          <w:szCs w:val="24"/>
        </w:rPr>
        <w:t xml:space="preserve">a reduction of </w:t>
      </w:r>
      <w:r w:rsidR="00FE5002" w:rsidRPr="00C92ECE">
        <w:rPr>
          <w:rFonts w:ascii="Arial" w:eastAsia="Calibri" w:hAnsi="Arial" w:cs="Arial"/>
          <w:sz w:val="24"/>
          <w:szCs w:val="24"/>
        </w:rPr>
        <w:t>1</w:t>
      </w:r>
      <w:r w:rsidR="003C55C6" w:rsidRPr="00FE5002">
        <w:rPr>
          <w:rFonts w:ascii="Arial" w:eastAsia="Calibri" w:hAnsi="Arial" w:cs="Arial"/>
          <w:sz w:val="24"/>
          <w:szCs w:val="24"/>
        </w:rPr>
        <w:t>8.7</w:t>
      </w:r>
      <w:r w:rsidR="00EE6C61" w:rsidRPr="00FE5002">
        <w:rPr>
          <w:rFonts w:ascii="Arial" w:eastAsia="Calibri" w:hAnsi="Arial" w:cs="Arial"/>
          <w:sz w:val="24"/>
          <w:szCs w:val="24"/>
        </w:rPr>
        <w:t xml:space="preserve"> per cent</w:t>
      </w:r>
      <w:r w:rsidR="00A2717E" w:rsidRPr="00FE5002">
        <w:rPr>
          <w:rFonts w:ascii="Arial" w:eastAsia="Calibri" w:hAnsi="Arial" w:cs="Arial"/>
          <w:sz w:val="24"/>
          <w:szCs w:val="24"/>
        </w:rPr>
        <w:t>.</w:t>
      </w:r>
      <w:r w:rsidR="00A2717E" w:rsidRPr="00B568F3">
        <w:rPr>
          <w:rFonts w:ascii="Arial" w:eastAsia="Calibri" w:hAnsi="Arial" w:cs="Arial"/>
          <w:sz w:val="24"/>
          <w:szCs w:val="24"/>
        </w:rPr>
        <w:t xml:space="preserve"> T</w:t>
      </w:r>
      <w:r w:rsidR="00B15F40" w:rsidRPr="00B568F3">
        <w:rPr>
          <w:rFonts w:ascii="Arial" w:eastAsia="Calibri" w:hAnsi="Arial" w:cs="Arial"/>
          <w:sz w:val="24"/>
          <w:szCs w:val="24"/>
        </w:rPr>
        <w:t xml:space="preserve">his </w:t>
      </w:r>
      <w:r w:rsidR="00CB1D4A">
        <w:rPr>
          <w:rFonts w:ascii="Arial" w:eastAsia="Calibri" w:hAnsi="Arial" w:cs="Arial"/>
          <w:sz w:val="24"/>
          <w:szCs w:val="24"/>
        </w:rPr>
        <w:t xml:space="preserve">continues to be a </w:t>
      </w:r>
      <w:r w:rsidR="00B15F40" w:rsidRPr="00B568F3">
        <w:rPr>
          <w:rFonts w:ascii="Arial" w:eastAsia="Calibri" w:hAnsi="Arial" w:cs="Arial"/>
          <w:sz w:val="24"/>
          <w:szCs w:val="24"/>
        </w:rPr>
        <w:t xml:space="preserve">positive </w:t>
      </w:r>
      <w:r w:rsidR="00DF3D36" w:rsidRPr="00B568F3">
        <w:rPr>
          <w:rFonts w:ascii="Arial" w:eastAsia="Calibri" w:hAnsi="Arial" w:cs="Arial"/>
          <w:sz w:val="24"/>
          <w:szCs w:val="24"/>
        </w:rPr>
        <w:t xml:space="preserve">trend in terms </w:t>
      </w:r>
      <w:r w:rsidR="00B15F40" w:rsidRPr="00B568F3">
        <w:rPr>
          <w:rFonts w:ascii="Arial" w:eastAsia="Calibri" w:hAnsi="Arial" w:cs="Arial"/>
          <w:sz w:val="24"/>
          <w:szCs w:val="24"/>
        </w:rPr>
        <w:t>of</w:t>
      </w:r>
      <w:r w:rsidR="00D247F9" w:rsidRPr="00B568F3">
        <w:rPr>
          <w:rFonts w:ascii="Arial" w:eastAsia="Calibri" w:hAnsi="Arial" w:cs="Arial"/>
          <w:sz w:val="24"/>
          <w:szCs w:val="24"/>
        </w:rPr>
        <w:t xml:space="preserve"> </w:t>
      </w:r>
      <w:r w:rsidR="00B15F40" w:rsidRPr="00B568F3">
        <w:rPr>
          <w:rFonts w:ascii="Arial" w:eastAsia="Calibri" w:hAnsi="Arial" w:cs="Arial"/>
          <w:sz w:val="24"/>
          <w:szCs w:val="24"/>
        </w:rPr>
        <w:t xml:space="preserve">the reduction in </w:t>
      </w:r>
      <w:r w:rsidR="00DF3D36" w:rsidRPr="00B568F3">
        <w:rPr>
          <w:rFonts w:ascii="Arial" w:eastAsia="Calibri" w:hAnsi="Arial" w:cs="Arial"/>
          <w:sz w:val="24"/>
          <w:szCs w:val="24"/>
        </w:rPr>
        <w:t xml:space="preserve">the </w:t>
      </w:r>
      <w:r w:rsidR="00B15F40" w:rsidRPr="00B568F3">
        <w:rPr>
          <w:rFonts w:ascii="Arial" w:eastAsia="Calibri" w:hAnsi="Arial" w:cs="Arial"/>
          <w:sz w:val="24"/>
          <w:szCs w:val="24"/>
        </w:rPr>
        <w:t>SCWWDP</w:t>
      </w:r>
      <w:r w:rsidR="00DF3D36" w:rsidRPr="00B568F3">
        <w:rPr>
          <w:rFonts w:ascii="Arial" w:eastAsia="Calibri" w:hAnsi="Arial" w:cs="Arial"/>
          <w:sz w:val="24"/>
          <w:szCs w:val="24"/>
        </w:rPr>
        <w:t xml:space="preserve"> grant</w:t>
      </w:r>
      <w:r w:rsidR="00B15F40" w:rsidRPr="00B568F3">
        <w:rPr>
          <w:rFonts w:ascii="Arial" w:eastAsia="Calibri" w:hAnsi="Arial" w:cs="Arial"/>
          <w:sz w:val="24"/>
          <w:szCs w:val="24"/>
        </w:rPr>
        <w:t xml:space="preserve"> used for legislative training </w:t>
      </w:r>
      <w:r w:rsidR="00EE6C61" w:rsidRPr="00B568F3">
        <w:rPr>
          <w:rFonts w:ascii="Arial" w:eastAsia="Calibri" w:hAnsi="Arial" w:cs="Arial"/>
          <w:sz w:val="24"/>
          <w:szCs w:val="24"/>
        </w:rPr>
        <w:t>because if the grant was reduced or stopped, the regions would still meet their required legal health and safety needs</w:t>
      </w:r>
      <w:r w:rsidR="00FB3F08" w:rsidRPr="00B568F3">
        <w:rPr>
          <w:rFonts w:ascii="Arial" w:eastAsia="Calibri" w:hAnsi="Arial" w:cs="Arial"/>
          <w:sz w:val="24"/>
          <w:szCs w:val="24"/>
        </w:rPr>
        <w:t>. It</w:t>
      </w:r>
      <w:r w:rsidR="006A1757" w:rsidRPr="00B568F3">
        <w:rPr>
          <w:rFonts w:ascii="Arial" w:eastAsia="Calibri" w:hAnsi="Arial" w:cs="Arial"/>
          <w:sz w:val="24"/>
          <w:szCs w:val="24"/>
        </w:rPr>
        <w:t xml:space="preserve"> shows </w:t>
      </w:r>
      <w:r w:rsidR="00780AE2" w:rsidRPr="00B568F3">
        <w:rPr>
          <w:rFonts w:ascii="Arial" w:eastAsia="Calibri" w:hAnsi="Arial" w:cs="Arial"/>
          <w:sz w:val="24"/>
          <w:szCs w:val="24"/>
        </w:rPr>
        <w:t>how valuable the grant is</w:t>
      </w:r>
      <w:r w:rsidR="00F90009" w:rsidRPr="00B568F3">
        <w:rPr>
          <w:rFonts w:ascii="Arial" w:eastAsia="Calibri" w:hAnsi="Arial" w:cs="Arial"/>
          <w:sz w:val="24"/>
          <w:szCs w:val="24"/>
        </w:rPr>
        <w:t xml:space="preserve"> beyond</w:t>
      </w:r>
      <w:r w:rsidR="00C75353" w:rsidRPr="00B568F3">
        <w:rPr>
          <w:rFonts w:ascii="Arial" w:eastAsia="Calibri" w:hAnsi="Arial" w:cs="Arial"/>
          <w:sz w:val="24"/>
          <w:szCs w:val="24"/>
        </w:rPr>
        <w:t xml:space="preserve"> essential </w:t>
      </w:r>
      <w:r w:rsidR="00AE3CC5" w:rsidRPr="00B568F3">
        <w:rPr>
          <w:rFonts w:ascii="Arial" w:eastAsia="Calibri" w:hAnsi="Arial" w:cs="Arial"/>
          <w:sz w:val="24"/>
          <w:szCs w:val="24"/>
        </w:rPr>
        <w:t>health and safety</w:t>
      </w:r>
      <w:r w:rsidR="004C02E1" w:rsidRPr="00B568F3">
        <w:rPr>
          <w:rFonts w:ascii="Arial" w:eastAsia="Calibri" w:hAnsi="Arial" w:cs="Arial"/>
          <w:sz w:val="24"/>
          <w:szCs w:val="24"/>
        </w:rPr>
        <w:t xml:space="preserve"> training</w:t>
      </w:r>
      <w:r w:rsidR="004E102E" w:rsidRPr="00B568F3">
        <w:rPr>
          <w:rFonts w:ascii="Arial" w:eastAsia="Calibri" w:hAnsi="Arial" w:cs="Arial"/>
          <w:sz w:val="24"/>
          <w:szCs w:val="24"/>
        </w:rPr>
        <w:t>.</w:t>
      </w:r>
      <w:r w:rsidR="00EE6C61" w:rsidRPr="00B568F3">
        <w:rPr>
          <w:rFonts w:ascii="Arial" w:eastAsia="Calibri" w:hAnsi="Arial" w:cs="Arial"/>
          <w:sz w:val="24"/>
          <w:szCs w:val="24"/>
        </w:rPr>
        <w:t xml:space="preserve"> </w:t>
      </w:r>
    </w:p>
    <w:p w14:paraId="2F621927" w14:textId="77777777" w:rsidR="00F37E53" w:rsidRPr="00B568F3" w:rsidRDefault="00F37E53" w:rsidP="001501DD">
      <w:pPr>
        <w:spacing w:after="200" w:line="276" w:lineRule="auto"/>
        <w:ind w:left="567"/>
        <w:contextualSpacing/>
        <w:rPr>
          <w:rFonts w:ascii="Arial" w:eastAsia="Calibri" w:hAnsi="Arial" w:cs="Arial"/>
          <w:sz w:val="24"/>
          <w:szCs w:val="24"/>
        </w:rPr>
      </w:pPr>
    </w:p>
    <w:p w14:paraId="33E90FC3" w14:textId="463302F9" w:rsidR="002D1B1F" w:rsidRPr="0050718D" w:rsidRDefault="002D1B1F" w:rsidP="00632461">
      <w:pPr>
        <w:numPr>
          <w:ilvl w:val="0"/>
          <w:numId w:val="6"/>
        </w:numPr>
        <w:spacing w:after="200" w:line="276" w:lineRule="auto"/>
        <w:ind w:left="567" w:hanging="425"/>
        <w:contextualSpacing/>
        <w:rPr>
          <w:rFonts w:ascii="Arial" w:eastAsia="Calibri" w:hAnsi="Arial" w:cs="Arial"/>
          <w:sz w:val="24"/>
          <w:szCs w:val="24"/>
        </w:rPr>
      </w:pPr>
      <w:r w:rsidRPr="0050718D">
        <w:rPr>
          <w:rFonts w:ascii="Arial" w:eastAsia="Calibri" w:hAnsi="Arial" w:cs="Arial"/>
          <w:sz w:val="24"/>
          <w:szCs w:val="24"/>
        </w:rPr>
        <w:t xml:space="preserve">Health and safety </w:t>
      </w:r>
      <w:r w:rsidR="005C48B7" w:rsidRPr="0050718D">
        <w:rPr>
          <w:rFonts w:ascii="Arial" w:eastAsia="Calibri" w:hAnsi="Arial" w:cs="Arial"/>
          <w:sz w:val="24"/>
          <w:szCs w:val="24"/>
        </w:rPr>
        <w:t>made up</w:t>
      </w:r>
      <w:r w:rsidRPr="0050718D">
        <w:rPr>
          <w:rFonts w:ascii="Arial" w:eastAsia="Calibri" w:hAnsi="Arial" w:cs="Arial"/>
          <w:sz w:val="24"/>
          <w:szCs w:val="24"/>
        </w:rPr>
        <w:t xml:space="preserve"> for </w:t>
      </w:r>
      <w:r w:rsidR="0025007E" w:rsidRPr="0050718D">
        <w:rPr>
          <w:rFonts w:ascii="Arial" w:eastAsia="Calibri" w:hAnsi="Arial" w:cs="Arial"/>
          <w:sz w:val="24"/>
          <w:szCs w:val="24"/>
        </w:rPr>
        <w:t>18.6</w:t>
      </w:r>
      <w:r w:rsidR="00B62C77" w:rsidRPr="0050718D">
        <w:rPr>
          <w:rFonts w:ascii="Arial" w:eastAsia="Calibri" w:hAnsi="Arial" w:cs="Arial"/>
          <w:sz w:val="24"/>
          <w:szCs w:val="24"/>
        </w:rPr>
        <w:t xml:space="preserve"> per cent</w:t>
      </w:r>
      <w:r w:rsidRPr="0050718D">
        <w:rPr>
          <w:rFonts w:ascii="Arial" w:eastAsia="Calibri" w:hAnsi="Arial" w:cs="Arial"/>
          <w:sz w:val="24"/>
          <w:szCs w:val="24"/>
        </w:rPr>
        <w:t xml:space="preserve"> of the </w:t>
      </w:r>
      <w:r w:rsidR="002913A0">
        <w:rPr>
          <w:rFonts w:ascii="Arial" w:eastAsia="Calibri" w:hAnsi="Arial" w:cs="Arial"/>
          <w:sz w:val="24"/>
          <w:szCs w:val="24"/>
        </w:rPr>
        <w:t xml:space="preserve">reported </w:t>
      </w:r>
      <w:r w:rsidRPr="0050718D">
        <w:rPr>
          <w:rFonts w:ascii="Arial" w:eastAsia="Calibri" w:hAnsi="Arial" w:cs="Arial"/>
          <w:sz w:val="24"/>
          <w:szCs w:val="24"/>
        </w:rPr>
        <w:t xml:space="preserve">additional </w:t>
      </w:r>
      <w:r w:rsidR="00B62C77" w:rsidRPr="0050718D">
        <w:rPr>
          <w:rFonts w:ascii="Arial" w:eastAsia="Calibri" w:hAnsi="Arial" w:cs="Arial"/>
          <w:sz w:val="24"/>
          <w:szCs w:val="24"/>
        </w:rPr>
        <w:t>local authority</w:t>
      </w:r>
      <w:r w:rsidR="00FB3F08" w:rsidRPr="0050718D">
        <w:rPr>
          <w:rFonts w:ascii="Arial" w:eastAsia="Calibri" w:hAnsi="Arial" w:cs="Arial"/>
          <w:sz w:val="24"/>
          <w:szCs w:val="24"/>
        </w:rPr>
        <w:t xml:space="preserve"> </w:t>
      </w:r>
      <w:r w:rsidRPr="0050718D">
        <w:rPr>
          <w:rFonts w:ascii="Arial" w:eastAsia="Calibri" w:hAnsi="Arial" w:cs="Arial"/>
          <w:sz w:val="24"/>
          <w:szCs w:val="24"/>
        </w:rPr>
        <w:t xml:space="preserve">funding in </w:t>
      </w:r>
      <w:r w:rsidR="00EA2B81" w:rsidRPr="0050718D">
        <w:rPr>
          <w:rFonts w:ascii="Arial" w:eastAsia="Calibri" w:hAnsi="Arial" w:cs="Arial"/>
          <w:sz w:val="24"/>
          <w:szCs w:val="24"/>
        </w:rPr>
        <w:t xml:space="preserve">2024 </w:t>
      </w:r>
      <w:r w:rsidR="00B62C77" w:rsidRPr="0050718D">
        <w:rPr>
          <w:rFonts w:ascii="Arial" w:eastAsia="Calibri" w:hAnsi="Arial" w:cs="Arial"/>
          <w:sz w:val="24"/>
          <w:szCs w:val="24"/>
        </w:rPr>
        <w:t xml:space="preserve">to </w:t>
      </w:r>
      <w:r w:rsidR="00EA2B81" w:rsidRPr="0050718D">
        <w:rPr>
          <w:rFonts w:ascii="Arial" w:eastAsia="Calibri" w:hAnsi="Arial" w:cs="Arial"/>
          <w:sz w:val="24"/>
          <w:szCs w:val="24"/>
        </w:rPr>
        <w:t>2025</w:t>
      </w:r>
      <w:r w:rsidRPr="0050718D">
        <w:rPr>
          <w:rFonts w:ascii="Arial" w:eastAsia="Calibri" w:hAnsi="Arial" w:cs="Arial"/>
          <w:sz w:val="24"/>
          <w:szCs w:val="24"/>
        </w:rPr>
        <w:t xml:space="preserve">, </w:t>
      </w:r>
      <w:r w:rsidR="0050718D" w:rsidRPr="0050718D">
        <w:rPr>
          <w:rFonts w:ascii="Arial" w:eastAsia="Calibri" w:hAnsi="Arial" w:cs="Arial"/>
          <w:sz w:val="24"/>
          <w:szCs w:val="24"/>
        </w:rPr>
        <w:t>a decrease of 10.6 per cent compared to the previous year.</w:t>
      </w:r>
    </w:p>
    <w:p w14:paraId="78980752" w14:textId="77777777" w:rsidR="00FC0312" w:rsidRDefault="00FC0312" w:rsidP="00C92ECE">
      <w:pPr>
        <w:pStyle w:val="ListParagraph"/>
        <w:rPr>
          <w:rFonts w:ascii="Arial" w:eastAsia="Calibri" w:hAnsi="Arial" w:cs="Arial"/>
          <w:sz w:val="24"/>
          <w:szCs w:val="24"/>
        </w:rPr>
      </w:pPr>
    </w:p>
    <w:p w14:paraId="3B7032C8" w14:textId="3AB5C6B1" w:rsidR="002D1B1F" w:rsidRPr="00B568F3" w:rsidRDefault="002D1B1F" w:rsidP="00343C94">
      <w:pPr>
        <w:spacing w:after="0" w:line="240" w:lineRule="auto"/>
        <w:ind w:left="66"/>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w:t>
      </w:r>
      <w:r w:rsidR="005B3195" w:rsidRPr="00B568F3">
        <w:rPr>
          <w:rFonts w:ascii="Arial" w:eastAsia="Calibri" w:hAnsi="Arial" w:cs="Arial"/>
          <w:b/>
          <w:bCs/>
          <w:sz w:val="24"/>
          <w:szCs w:val="24"/>
          <w:lang w:eastAsia="en-GB"/>
        </w:rPr>
        <w:t>4</w:t>
      </w:r>
      <w:r w:rsidRPr="00B568F3">
        <w:rPr>
          <w:rFonts w:ascii="Arial" w:eastAsia="Calibri" w:hAnsi="Arial" w:cs="Arial"/>
          <w:b/>
          <w:bCs/>
          <w:sz w:val="24"/>
          <w:szCs w:val="24"/>
          <w:lang w:eastAsia="en-GB"/>
        </w:rPr>
        <w:t xml:space="preserve">: Health and </w:t>
      </w:r>
      <w:r w:rsidR="001C2320" w:rsidRPr="00B568F3">
        <w:rPr>
          <w:rFonts w:ascii="Arial" w:eastAsia="Calibri" w:hAnsi="Arial" w:cs="Arial"/>
          <w:b/>
          <w:bCs/>
          <w:sz w:val="24"/>
          <w:szCs w:val="24"/>
          <w:lang w:eastAsia="en-GB"/>
        </w:rPr>
        <w:t>s</w:t>
      </w:r>
      <w:r w:rsidRPr="00B568F3">
        <w:rPr>
          <w:rFonts w:ascii="Arial" w:eastAsia="Calibri" w:hAnsi="Arial" w:cs="Arial"/>
          <w:b/>
          <w:bCs/>
          <w:sz w:val="24"/>
          <w:szCs w:val="24"/>
          <w:lang w:eastAsia="en-GB"/>
        </w:rPr>
        <w:t xml:space="preserve">afety spending, </w:t>
      </w:r>
      <w:r w:rsidR="00040CE7" w:rsidRPr="00B568F3">
        <w:rPr>
          <w:rFonts w:ascii="Arial" w:eastAsia="Calibri" w:hAnsi="Arial" w:cs="Arial"/>
          <w:b/>
          <w:bCs/>
          <w:sz w:val="24"/>
          <w:szCs w:val="24"/>
          <w:lang w:eastAsia="en-GB"/>
        </w:rPr>
        <w:t xml:space="preserve">the </w:t>
      </w:r>
      <w:r w:rsidRPr="00B568F3">
        <w:rPr>
          <w:rFonts w:ascii="Arial" w:eastAsia="Calibri" w:hAnsi="Arial" w:cs="Arial"/>
          <w:b/>
          <w:bCs/>
          <w:sz w:val="24"/>
          <w:szCs w:val="24"/>
        </w:rPr>
        <w:t>three</w:t>
      </w:r>
      <w:r w:rsidR="00B24C33" w:rsidRPr="00B568F3">
        <w:rPr>
          <w:rFonts w:ascii="Arial" w:eastAsia="Calibri" w:hAnsi="Arial" w:cs="Arial"/>
          <w:b/>
          <w:bCs/>
          <w:sz w:val="24"/>
          <w:szCs w:val="24"/>
        </w:rPr>
        <w:t>-</w:t>
      </w:r>
      <w:r w:rsidRPr="00B568F3">
        <w:rPr>
          <w:rFonts w:ascii="Arial" w:eastAsia="Calibri" w:hAnsi="Arial" w:cs="Arial"/>
          <w:b/>
          <w:bCs/>
          <w:sz w:val="24"/>
          <w:szCs w:val="24"/>
        </w:rPr>
        <w:t>year trend</w:t>
      </w:r>
    </w:p>
    <w:p w14:paraId="5A58E5DE" w14:textId="77777777" w:rsidR="002D1B1F" w:rsidRPr="00B568F3" w:rsidRDefault="002D1B1F" w:rsidP="00343C94">
      <w:pPr>
        <w:pStyle w:val="ListParagraph"/>
        <w:spacing w:after="0" w:line="240" w:lineRule="auto"/>
        <w:ind w:left="1506"/>
        <w:rPr>
          <w:rFonts w:ascii="Arial" w:eastAsia="Calibri" w:hAnsi="Arial" w:cs="Arial"/>
          <w:color w:val="FF0000"/>
          <w:sz w:val="24"/>
          <w:szCs w:val="24"/>
          <w:lang w:eastAsia="en-GB"/>
        </w:rPr>
      </w:pPr>
    </w:p>
    <w:tbl>
      <w:tblPr>
        <w:tblStyle w:val="TableGrid"/>
        <w:tblW w:w="9365" w:type="dxa"/>
        <w:tblLook w:val="04A0" w:firstRow="1" w:lastRow="0" w:firstColumn="1" w:lastColumn="0" w:noHBand="0" w:noVBand="1"/>
      </w:tblPr>
      <w:tblGrid>
        <w:gridCol w:w="1423"/>
        <w:gridCol w:w="1467"/>
        <w:gridCol w:w="1327"/>
        <w:gridCol w:w="1037"/>
        <w:gridCol w:w="1799"/>
        <w:gridCol w:w="1275"/>
        <w:gridCol w:w="1037"/>
      </w:tblGrid>
      <w:tr w:rsidR="002D1B1F" w:rsidRPr="00B568F3" w14:paraId="409CA180" w14:textId="77777777" w:rsidTr="00C92ECE">
        <w:trPr>
          <w:trHeight w:val="300"/>
        </w:trPr>
        <w:tc>
          <w:tcPr>
            <w:tcW w:w="1423" w:type="dxa"/>
          </w:tcPr>
          <w:p w14:paraId="1F774CDE" w14:textId="77777777" w:rsidR="002D1B1F" w:rsidRPr="00B568F3" w:rsidRDefault="002D1B1F" w:rsidP="00FC716F">
            <w:pPr>
              <w:pStyle w:val="ListParagraph"/>
              <w:ind w:left="0"/>
              <w:rPr>
                <w:rFonts w:ascii="Arial" w:eastAsia="Calibri" w:hAnsi="Arial" w:cs="Arial"/>
                <w:sz w:val="24"/>
                <w:szCs w:val="24"/>
                <w:lang w:eastAsia="en-GB"/>
              </w:rPr>
            </w:pPr>
          </w:p>
        </w:tc>
        <w:tc>
          <w:tcPr>
            <w:tcW w:w="1467" w:type="dxa"/>
            <w:vAlign w:val="center"/>
          </w:tcPr>
          <w:p w14:paraId="3ECCA49C" w14:textId="77777777" w:rsidR="002D1B1F" w:rsidRPr="00B568F3" w:rsidRDefault="002D1B1F" w:rsidP="00FC716F">
            <w:pPr>
              <w:pStyle w:val="ListParagraph"/>
              <w:ind w:left="0"/>
              <w:jc w:val="center"/>
              <w:rPr>
                <w:rFonts w:ascii="Arial" w:eastAsia="Calibri" w:hAnsi="Arial" w:cs="Arial"/>
                <w:b/>
                <w:bCs/>
                <w:lang w:eastAsia="en-GB"/>
              </w:rPr>
            </w:pPr>
            <w:r w:rsidRPr="00B568F3">
              <w:rPr>
                <w:rFonts w:ascii="Arial" w:eastAsia="Calibri" w:hAnsi="Arial" w:cs="Arial"/>
                <w:b/>
                <w:bCs/>
                <w:lang w:eastAsia="en-GB"/>
              </w:rPr>
              <w:t>SCWWDP grant spend</w:t>
            </w:r>
          </w:p>
        </w:tc>
        <w:tc>
          <w:tcPr>
            <w:tcW w:w="1327" w:type="dxa"/>
            <w:vAlign w:val="center"/>
          </w:tcPr>
          <w:p w14:paraId="4BD3C4D8" w14:textId="77777777" w:rsidR="002D1B1F" w:rsidRPr="00B568F3" w:rsidRDefault="002D1B1F" w:rsidP="00FC716F">
            <w:pPr>
              <w:pStyle w:val="ListParagraph"/>
              <w:ind w:left="0"/>
              <w:jc w:val="center"/>
              <w:rPr>
                <w:rFonts w:ascii="Arial" w:eastAsia="Calibri" w:hAnsi="Arial" w:cs="Arial"/>
                <w:b/>
                <w:bCs/>
                <w:lang w:eastAsia="en-GB"/>
              </w:rPr>
            </w:pPr>
            <w:r w:rsidRPr="00B568F3">
              <w:rPr>
                <w:rFonts w:ascii="Arial" w:eastAsia="Calibri" w:hAnsi="Arial" w:cs="Arial"/>
                <w:b/>
                <w:bCs/>
                <w:lang w:eastAsia="en-GB"/>
              </w:rPr>
              <w:t>% of SCWWDP grant</w:t>
            </w:r>
          </w:p>
        </w:tc>
        <w:tc>
          <w:tcPr>
            <w:tcW w:w="1037" w:type="dxa"/>
            <w:vAlign w:val="center"/>
          </w:tcPr>
          <w:p w14:paraId="163379F3" w14:textId="77777777" w:rsidR="002D1B1F" w:rsidRPr="00B568F3" w:rsidRDefault="002D1B1F" w:rsidP="00FC716F">
            <w:pPr>
              <w:pStyle w:val="ListParagraph"/>
              <w:ind w:left="0"/>
              <w:jc w:val="center"/>
              <w:rPr>
                <w:rFonts w:ascii="Arial" w:eastAsia="Calibri" w:hAnsi="Arial" w:cs="Arial"/>
                <w:b/>
                <w:bCs/>
                <w:lang w:eastAsia="en-GB"/>
              </w:rPr>
            </w:pPr>
            <w:r w:rsidRPr="00B568F3">
              <w:rPr>
                <w:rFonts w:ascii="Arial" w:eastAsia="Calibri" w:hAnsi="Arial" w:cs="Arial"/>
                <w:b/>
                <w:bCs/>
                <w:lang w:eastAsia="en-GB"/>
              </w:rPr>
              <w:t>% change</w:t>
            </w:r>
          </w:p>
        </w:tc>
        <w:tc>
          <w:tcPr>
            <w:tcW w:w="1799" w:type="dxa"/>
            <w:vAlign w:val="center"/>
          </w:tcPr>
          <w:p w14:paraId="4FDA0CD5" w14:textId="6A94399B" w:rsidR="002D1B1F" w:rsidRPr="00B568F3" w:rsidRDefault="002D1B1F" w:rsidP="00FC716F">
            <w:pPr>
              <w:pStyle w:val="ListParagraph"/>
              <w:ind w:left="0"/>
              <w:jc w:val="center"/>
              <w:rPr>
                <w:rFonts w:ascii="Arial" w:eastAsia="Calibri" w:hAnsi="Arial" w:cs="Arial"/>
                <w:b/>
                <w:bCs/>
                <w:lang w:eastAsia="en-GB"/>
              </w:rPr>
            </w:pPr>
            <w:r w:rsidRPr="00B568F3">
              <w:rPr>
                <w:rFonts w:ascii="Arial" w:eastAsia="Calibri" w:hAnsi="Arial" w:cs="Arial"/>
                <w:b/>
                <w:bCs/>
                <w:lang w:eastAsia="en-GB"/>
              </w:rPr>
              <w:t xml:space="preserve">Additional </w:t>
            </w:r>
            <w:r w:rsidR="00040CE7" w:rsidRPr="00B568F3">
              <w:rPr>
                <w:rFonts w:ascii="Arial" w:eastAsia="Calibri" w:hAnsi="Arial" w:cs="Arial"/>
                <w:b/>
                <w:bCs/>
                <w:lang w:eastAsia="en-GB"/>
              </w:rPr>
              <w:t>local authority</w:t>
            </w:r>
            <w:r w:rsidRPr="00B568F3">
              <w:rPr>
                <w:rFonts w:ascii="Arial" w:eastAsia="Calibri" w:hAnsi="Arial" w:cs="Arial"/>
                <w:b/>
                <w:bCs/>
                <w:lang w:eastAsia="en-GB"/>
              </w:rPr>
              <w:t xml:space="preserve"> funding </w:t>
            </w:r>
            <w:proofErr w:type="gramStart"/>
            <w:r w:rsidRPr="00B568F3">
              <w:rPr>
                <w:rFonts w:ascii="Arial" w:eastAsia="Calibri" w:hAnsi="Arial" w:cs="Arial"/>
                <w:b/>
                <w:bCs/>
                <w:lang w:eastAsia="en-GB"/>
              </w:rPr>
              <w:t>spend</w:t>
            </w:r>
            <w:proofErr w:type="gramEnd"/>
          </w:p>
        </w:tc>
        <w:tc>
          <w:tcPr>
            <w:tcW w:w="1275" w:type="dxa"/>
            <w:vAlign w:val="center"/>
          </w:tcPr>
          <w:p w14:paraId="7B2B3200" w14:textId="0019D48F" w:rsidR="002D1B1F" w:rsidRPr="00B568F3" w:rsidRDefault="002D1B1F" w:rsidP="00FC716F">
            <w:pPr>
              <w:pStyle w:val="ListParagraph"/>
              <w:ind w:left="0"/>
              <w:jc w:val="center"/>
              <w:rPr>
                <w:rFonts w:ascii="Arial" w:eastAsia="Calibri" w:hAnsi="Arial" w:cs="Arial"/>
                <w:b/>
                <w:bCs/>
                <w:lang w:eastAsia="en-GB"/>
              </w:rPr>
            </w:pPr>
            <w:r w:rsidRPr="00B568F3">
              <w:rPr>
                <w:rFonts w:ascii="Arial" w:eastAsia="Calibri" w:hAnsi="Arial" w:cs="Arial"/>
                <w:b/>
                <w:bCs/>
                <w:lang w:eastAsia="en-GB"/>
              </w:rPr>
              <w:t>% of additional</w:t>
            </w:r>
            <w:r w:rsidR="007A33B3" w:rsidRPr="00B568F3">
              <w:rPr>
                <w:rFonts w:ascii="Arial" w:eastAsia="Calibri" w:hAnsi="Arial" w:cs="Arial"/>
                <w:b/>
                <w:bCs/>
                <w:lang w:eastAsia="en-GB"/>
              </w:rPr>
              <w:t xml:space="preserve"> </w:t>
            </w:r>
            <w:r w:rsidR="00040CE7" w:rsidRPr="00B568F3">
              <w:rPr>
                <w:rFonts w:ascii="Arial" w:eastAsia="Calibri" w:hAnsi="Arial" w:cs="Arial"/>
                <w:b/>
                <w:bCs/>
                <w:lang w:eastAsia="en-GB"/>
              </w:rPr>
              <w:t xml:space="preserve">local authority </w:t>
            </w:r>
            <w:r w:rsidRPr="00B568F3">
              <w:rPr>
                <w:rFonts w:ascii="Arial" w:eastAsia="Calibri" w:hAnsi="Arial" w:cs="Arial"/>
                <w:b/>
                <w:bCs/>
                <w:lang w:eastAsia="en-GB"/>
              </w:rPr>
              <w:t>funding</w:t>
            </w:r>
          </w:p>
        </w:tc>
        <w:tc>
          <w:tcPr>
            <w:tcW w:w="1037" w:type="dxa"/>
            <w:vAlign w:val="center"/>
          </w:tcPr>
          <w:p w14:paraId="432A160C" w14:textId="77777777" w:rsidR="002D1B1F" w:rsidRPr="00B568F3" w:rsidRDefault="002D1B1F" w:rsidP="00FC716F">
            <w:pPr>
              <w:pStyle w:val="ListParagraph"/>
              <w:ind w:left="0"/>
              <w:jc w:val="center"/>
              <w:rPr>
                <w:rFonts w:ascii="Arial" w:eastAsia="Calibri" w:hAnsi="Arial" w:cs="Arial"/>
                <w:b/>
                <w:bCs/>
                <w:lang w:eastAsia="en-GB"/>
              </w:rPr>
            </w:pPr>
            <w:r w:rsidRPr="00B568F3">
              <w:rPr>
                <w:rFonts w:ascii="Arial" w:eastAsia="Calibri" w:hAnsi="Arial" w:cs="Arial"/>
                <w:b/>
                <w:bCs/>
                <w:lang w:eastAsia="en-GB"/>
              </w:rPr>
              <w:t>% change</w:t>
            </w:r>
          </w:p>
        </w:tc>
      </w:tr>
      <w:tr w:rsidR="00AA305A" w:rsidRPr="00B568F3" w14:paraId="280783B3" w14:textId="77777777" w:rsidTr="00C92ECE">
        <w:trPr>
          <w:trHeight w:val="300"/>
        </w:trPr>
        <w:tc>
          <w:tcPr>
            <w:tcW w:w="1423" w:type="dxa"/>
            <w:vAlign w:val="center"/>
          </w:tcPr>
          <w:p w14:paraId="6F78117D" w14:textId="5736C8F5" w:rsidR="00AA305A" w:rsidRPr="00B568F3" w:rsidRDefault="001F7B91" w:rsidP="00FC716F">
            <w:pPr>
              <w:pStyle w:val="ListParagraph"/>
              <w:ind w:left="0"/>
              <w:rPr>
                <w:rFonts w:ascii="Arial" w:eastAsia="Calibri" w:hAnsi="Arial" w:cs="Arial"/>
                <w:b/>
                <w:bCs/>
                <w:sz w:val="24"/>
                <w:szCs w:val="24"/>
                <w:lang w:eastAsia="en-GB"/>
              </w:rPr>
            </w:pPr>
            <w:r>
              <w:rPr>
                <w:rFonts w:ascii="Arial" w:eastAsia="Calibri" w:hAnsi="Arial" w:cs="Arial"/>
                <w:b/>
                <w:bCs/>
                <w:sz w:val="24"/>
                <w:szCs w:val="24"/>
                <w:lang w:eastAsia="en-GB"/>
              </w:rPr>
              <w:t>2024/2025</w:t>
            </w:r>
          </w:p>
        </w:tc>
        <w:tc>
          <w:tcPr>
            <w:tcW w:w="1467" w:type="dxa"/>
            <w:vAlign w:val="center"/>
          </w:tcPr>
          <w:p w14:paraId="6C43D0B5" w14:textId="5A47C9F8" w:rsidR="00AA305A" w:rsidRPr="00B568F3" w:rsidRDefault="00C54F0D" w:rsidP="00FC716F">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£186,400</w:t>
            </w:r>
          </w:p>
        </w:tc>
        <w:tc>
          <w:tcPr>
            <w:tcW w:w="1327" w:type="dxa"/>
            <w:vAlign w:val="center"/>
          </w:tcPr>
          <w:p w14:paraId="00AAA9F7" w14:textId="374C1281" w:rsidR="00AA305A" w:rsidRPr="00B568F3" w:rsidRDefault="00956C9A" w:rsidP="00FC716F">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1.7%</w:t>
            </w:r>
          </w:p>
        </w:tc>
        <w:tc>
          <w:tcPr>
            <w:tcW w:w="1037" w:type="dxa"/>
            <w:vAlign w:val="center"/>
          </w:tcPr>
          <w:p w14:paraId="2E472619" w14:textId="1F1E7C04" w:rsidR="00AA305A" w:rsidRPr="00B568F3" w:rsidRDefault="0050718D" w:rsidP="00FC716F">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-18.7%</w:t>
            </w:r>
          </w:p>
        </w:tc>
        <w:tc>
          <w:tcPr>
            <w:tcW w:w="1799" w:type="dxa"/>
            <w:vAlign w:val="center"/>
          </w:tcPr>
          <w:p w14:paraId="7A8D5DDA" w14:textId="29803517" w:rsidR="00AA305A" w:rsidRPr="00B568F3" w:rsidRDefault="00C54F0D" w:rsidP="00FC716F">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£345,170</w:t>
            </w:r>
          </w:p>
        </w:tc>
        <w:tc>
          <w:tcPr>
            <w:tcW w:w="1275" w:type="dxa"/>
            <w:vAlign w:val="center"/>
          </w:tcPr>
          <w:p w14:paraId="1C56788F" w14:textId="7151683D" w:rsidR="00AA305A" w:rsidRPr="00B568F3" w:rsidRDefault="001F7B91" w:rsidP="00FC716F">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18.6%</w:t>
            </w:r>
          </w:p>
        </w:tc>
        <w:tc>
          <w:tcPr>
            <w:tcW w:w="1037" w:type="dxa"/>
            <w:vAlign w:val="center"/>
          </w:tcPr>
          <w:p w14:paraId="3C5BC7A9" w14:textId="2F7A041A" w:rsidR="00AA305A" w:rsidRPr="00B568F3" w:rsidRDefault="0050718D" w:rsidP="00FC716F">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-10.6%</w:t>
            </w:r>
          </w:p>
        </w:tc>
      </w:tr>
      <w:tr w:rsidR="002D1B1F" w:rsidRPr="00B568F3" w14:paraId="10C3BFC8" w14:textId="77777777" w:rsidTr="00C92ECE">
        <w:trPr>
          <w:trHeight w:val="300"/>
        </w:trPr>
        <w:tc>
          <w:tcPr>
            <w:tcW w:w="1423" w:type="dxa"/>
            <w:vAlign w:val="center"/>
          </w:tcPr>
          <w:p w14:paraId="53EC8EDB" w14:textId="77777777" w:rsidR="002D1B1F" w:rsidRPr="00B568F3" w:rsidRDefault="002D1B1F" w:rsidP="00FC716F">
            <w:pPr>
              <w:pStyle w:val="ListParagraph"/>
              <w:ind w:left="0"/>
              <w:rPr>
                <w:rFonts w:ascii="Arial" w:eastAsia="Calibri" w:hAnsi="Arial" w:cs="Arial"/>
                <w:sz w:val="24"/>
                <w:szCs w:val="24"/>
                <w:lang w:eastAsia="en-GB"/>
              </w:rPr>
            </w:pPr>
            <w:r w:rsidRPr="00B568F3">
              <w:rPr>
                <w:rFonts w:ascii="Arial" w:eastAsia="Calibri" w:hAnsi="Arial" w:cs="Arial"/>
                <w:b/>
                <w:bCs/>
                <w:sz w:val="24"/>
                <w:szCs w:val="24"/>
                <w:lang w:eastAsia="en-GB"/>
              </w:rPr>
              <w:t>2023/2024</w:t>
            </w:r>
          </w:p>
        </w:tc>
        <w:tc>
          <w:tcPr>
            <w:tcW w:w="1467" w:type="dxa"/>
            <w:vAlign w:val="center"/>
          </w:tcPr>
          <w:p w14:paraId="35313BDB"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£228,451</w:t>
            </w:r>
          </w:p>
        </w:tc>
        <w:tc>
          <w:tcPr>
            <w:tcW w:w="1327" w:type="dxa"/>
            <w:vAlign w:val="center"/>
          </w:tcPr>
          <w:p w14:paraId="3CD2014C"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2.1%</w:t>
            </w:r>
          </w:p>
        </w:tc>
        <w:tc>
          <w:tcPr>
            <w:tcW w:w="1037" w:type="dxa"/>
            <w:vAlign w:val="center"/>
          </w:tcPr>
          <w:p w14:paraId="5F88980D"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-8.7%</w:t>
            </w:r>
          </w:p>
        </w:tc>
        <w:tc>
          <w:tcPr>
            <w:tcW w:w="1799" w:type="dxa"/>
            <w:vAlign w:val="center"/>
          </w:tcPr>
          <w:p w14:paraId="163E0397"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£386,153</w:t>
            </w:r>
          </w:p>
        </w:tc>
        <w:tc>
          <w:tcPr>
            <w:tcW w:w="1275" w:type="dxa"/>
            <w:vAlign w:val="center"/>
          </w:tcPr>
          <w:p w14:paraId="641C7BAA"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21.7%</w:t>
            </w:r>
          </w:p>
        </w:tc>
        <w:tc>
          <w:tcPr>
            <w:tcW w:w="1037" w:type="dxa"/>
            <w:vAlign w:val="center"/>
          </w:tcPr>
          <w:p w14:paraId="33C1115C"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+12.4%</w:t>
            </w:r>
          </w:p>
        </w:tc>
      </w:tr>
      <w:tr w:rsidR="002D1B1F" w:rsidRPr="00B568F3" w14:paraId="455ECB0A" w14:textId="77777777" w:rsidTr="00C92ECE">
        <w:trPr>
          <w:trHeight w:val="300"/>
        </w:trPr>
        <w:tc>
          <w:tcPr>
            <w:tcW w:w="1423" w:type="dxa"/>
            <w:vAlign w:val="center"/>
          </w:tcPr>
          <w:p w14:paraId="40A10877" w14:textId="77777777" w:rsidR="002D1B1F" w:rsidRPr="00B568F3" w:rsidRDefault="002D1B1F" w:rsidP="00FC716F">
            <w:pPr>
              <w:pStyle w:val="ListParagraph"/>
              <w:ind w:left="0"/>
              <w:rPr>
                <w:rFonts w:ascii="Arial" w:eastAsia="Calibri" w:hAnsi="Arial" w:cs="Arial"/>
                <w:sz w:val="24"/>
                <w:szCs w:val="24"/>
                <w:lang w:eastAsia="en-GB"/>
              </w:rPr>
            </w:pPr>
            <w:r w:rsidRPr="00B568F3">
              <w:rPr>
                <w:rFonts w:ascii="Arial" w:eastAsia="Calibri" w:hAnsi="Arial" w:cs="Arial"/>
                <w:b/>
                <w:bCs/>
                <w:sz w:val="24"/>
                <w:szCs w:val="24"/>
                <w:lang w:eastAsia="en-GB"/>
              </w:rPr>
              <w:t>2022/2023</w:t>
            </w:r>
          </w:p>
        </w:tc>
        <w:tc>
          <w:tcPr>
            <w:tcW w:w="1467" w:type="dxa"/>
            <w:vAlign w:val="center"/>
          </w:tcPr>
          <w:p w14:paraId="7CCE8888"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£250,176</w:t>
            </w:r>
          </w:p>
        </w:tc>
        <w:tc>
          <w:tcPr>
            <w:tcW w:w="1327" w:type="dxa"/>
            <w:vAlign w:val="center"/>
          </w:tcPr>
          <w:p w14:paraId="1A58B84E"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2.4%</w:t>
            </w:r>
          </w:p>
        </w:tc>
        <w:tc>
          <w:tcPr>
            <w:tcW w:w="1037" w:type="dxa"/>
            <w:vAlign w:val="center"/>
          </w:tcPr>
          <w:p w14:paraId="58A33538"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+15.7%</w:t>
            </w:r>
          </w:p>
        </w:tc>
        <w:tc>
          <w:tcPr>
            <w:tcW w:w="1799" w:type="dxa"/>
            <w:vAlign w:val="center"/>
          </w:tcPr>
          <w:p w14:paraId="083D779E"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£343,440</w:t>
            </w:r>
          </w:p>
        </w:tc>
        <w:tc>
          <w:tcPr>
            <w:tcW w:w="1275" w:type="dxa"/>
            <w:vAlign w:val="center"/>
          </w:tcPr>
          <w:p w14:paraId="3922ACCF"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15.2%</w:t>
            </w:r>
          </w:p>
        </w:tc>
        <w:tc>
          <w:tcPr>
            <w:tcW w:w="1037" w:type="dxa"/>
            <w:vAlign w:val="center"/>
          </w:tcPr>
          <w:p w14:paraId="024C54D3"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+18.7%</w:t>
            </w:r>
          </w:p>
        </w:tc>
      </w:tr>
      <w:tr w:rsidR="002D1B1F" w:rsidRPr="00B568F3" w14:paraId="11EF0418" w14:textId="77777777" w:rsidTr="00C92ECE">
        <w:trPr>
          <w:trHeight w:val="300"/>
        </w:trPr>
        <w:tc>
          <w:tcPr>
            <w:tcW w:w="1423" w:type="dxa"/>
            <w:vAlign w:val="center"/>
          </w:tcPr>
          <w:p w14:paraId="60A014CD" w14:textId="77777777" w:rsidR="002D1B1F" w:rsidRPr="00B568F3" w:rsidRDefault="002D1B1F" w:rsidP="00FC716F">
            <w:pPr>
              <w:pStyle w:val="ListParagraph"/>
              <w:ind w:left="0"/>
              <w:rPr>
                <w:rFonts w:ascii="Arial" w:eastAsia="Calibri" w:hAnsi="Arial" w:cs="Arial"/>
                <w:sz w:val="24"/>
                <w:szCs w:val="24"/>
                <w:lang w:eastAsia="en-GB"/>
              </w:rPr>
            </w:pPr>
            <w:r w:rsidRPr="00B568F3">
              <w:rPr>
                <w:rFonts w:ascii="Arial" w:eastAsia="Calibri" w:hAnsi="Arial" w:cs="Arial"/>
                <w:b/>
                <w:bCs/>
                <w:sz w:val="24"/>
                <w:szCs w:val="24"/>
                <w:lang w:eastAsia="en-GB"/>
              </w:rPr>
              <w:t>2021/2022</w:t>
            </w:r>
          </w:p>
        </w:tc>
        <w:tc>
          <w:tcPr>
            <w:tcW w:w="1467" w:type="dxa"/>
            <w:vAlign w:val="center"/>
          </w:tcPr>
          <w:p w14:paraId="784AE8F7"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£216,182</w:t>
            </w:r>
          </w:p>
        </w:tc>
        <w:tc>
          <w:tcPr>
            <w:tcW w:w="1327" w:type="dxa"/>
            <w:vAlign w:val="center"/>
          </w:tcPr>
          <w:p w14:paraId="6CD84C88"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2.1%</w:t>
            </w:r>
          </w:p>
        </w:tc>
        <w:tc>
          <w:tcPr>
            <w:tcW w:w="1037" w:type="dxa"/>
            <w:vAlign w:val="center"/>
          </w:tcPr>
          <w:p w14:paraId="40FCE089" w14:textId="61A48F54" w:rsidR="002D1B1F" w:rsidRPr="00B568F3" w:rsidRDefault="008560B5"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+19.2%</w:t>
            </w:r>
          </w:p>
        </w:tc>
        <w:tc>
          <w:tcPr>
            <w:tcW w:w="1799" w:type="dxa"/>
            <w:vAlign w:val="center"/>
          </w:tcPr>
          <w:p w14:paraId="403ECD99"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£289,446</w:t>
            </w:r>
          </w:p>
        </w:tc>
        <w:tc>
          <w:tcPr>
            <w:tcW w:w="1275" w:type="dxa"/>
            <w:vAlign w:val="center"/>
          </w:tcPr>
          <w:p w14:paraId="44623AA7" w14:textId="77777777" w:rsidR="002D1B1F" w:rsidRPr="00B568F3" w:rsidRDefault="002D1B1F"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16.9%</w:t>
            </w:r>
          </w:p>
        </w:tc>
        <w:tc>
          <w:tcPr>
            <w:tcW w:w="1037" w:type="dxa"/>
            <w:vAlign w:val="center"/>
          </w:tcPr>
          <w:p w14:paraId="0770EADE" w14:textId="3E056689" w:rsidR="002D1B1F" w:rsidRPr="00B568F3" w:rsidRDefault="008560B5" w:rsidP="00FC716F">
            <w:pPr>
              <w:pStyle w:val="ListParagraph"/>
              <w:ind w:left="0"/>
              <w:jc w:val="center"/>
              <w:rPr>
                <w:rFonts w:ascii="Arial" w:eastAsia="Calibri" w:hAnsi="Arial" w:cs="Arial"/>
                <w:sz w:val="24"/>
                <w:szCs w:val="24"/>
                <w:lang w:eastAsia="en-GB"/>
              </w:rPr>
            </w:pPr>
            <w:r w:rsidRPr="00B568F3">
              <w:rPr>
                <w:rFonts w:ascii="Arial" w:eastAsia="Calibri" w:hAnsi="Arial" w:cs="Arial"/>
                <w:sz w:val="24"/>
                <w:szCs w:val="24"/>
                <w:lang w:eastAsia="en-GB"/>
              </w:rPr>
              <w:t>+</w:t>
            </w:r>
            <w:r w:rsidR="001C04A5" w:rsidRPr="00B568F3">
              <w:rPr>
                <w:rFonts w:ascii="Arial" w:eastAsia="Calibri" w:hAnsi="Arial" w:cs="Arial"/>
                <w:sz w:val="24"/>
                <w:szCs w:val="24"/>
                <w:lang w:eastAsia="en-GB"/>
              </w:rPr>
              <w:t>15.0%</w:t>
            </w:r>
          </w:p>
        </w:tc>
      </w:tr>
    </w:tbl>
    <w:p w14:paraId="197CBE19" w14:textId="77777777" w:rsidR="002D1B1F" w:rsidRPr="00B568F3" w:rsidRDefault="002D1B1F" w:rsidP="00343C94">
      <w:pPr>
        <w:pStyle w:val="ListParagraph"/>
        <w:spacing w:after="0" w:line="240" w:lineRule="auto"/>
        <w:ind w:left="1506"/>
        <w:rPr>
          <w:rFonts w:ascii="Arial" w:eastAsia="Calibri" w:hAnsi="Arial" w:cs="Arial"/>
          <w:color w:val="FF0000"/>
          <w:sz w:val="24"/>
          <w:szCs w:val="24"/>
          <w:lang w:eastAsia="en-GB"/>
        </w:rPr>
      </w:pPr>
    </w:p>
    <w:p w14:paraId="53398963" w14:textId="77777777" w:rsidR="006303B5" w:rsidRDefault="006303B5" w:rsidP="00343C94">
      <w:pPr>
        <w:pStyle w:val="ListParagraph"/>
        <w:spacing w:after="0" w:line="240" w:lineRule="auto"/>
        <w:ind w:left="1506"/>
        <w:rPr>
          <w:rFonts w:ascii="Arial" w:eastAsia="Calibri" w:hAnsi="Arial" w:cs="Arial"/>
          <w:color w:val="FF0000"/>
          <w:sz w:val="24"/>
          <w:szCs w:val="24"/>
          <w:lang w:eastAsia="en-GB"/>
        </w:rPr>
      </w:pPr>
    </w:p>
    <w:p w14:paraId="45C81427" w14:textId="77777777" w:rsidR="00453784" w:rsidRDefault="00453784" w:rsidP="00343C94">
      <w:pPr>
        <w:pStyle w:val="ListParagraph"/>
        <w:spacing w:after="0" w:line="240" w:lineRule="auto"/>
        <w:ind w:left="1506"/>
        <w:rPr>
          <w:rFonts w:ascii="Arial" w:eastAsia="Calibri" w:hAnsi="Arial" w:cs="Arial"/>
          <w:color w:val="FF0000"/>
          <w:sz w:val="24"/>
          <w:szCs w:val="24"/>
          <w:lang w:eastAsia="en-GB"/>
        </w:rPr>
      </w:pPr>
    </w:p>
    <w:p w14:paraId="2B31D2A2" w14:textId="77777777" w:rsidR="00453784" w:rsidRDefault="00453784" w:rsidP="00343C94">
      <w:pPr>
        <w:pStyle w:val="ListParagraph"/>
        <w:spacing w:after="0" w:line="240" w:lineRule="auto"/>
        <w:ind w:left="1506"/>
        <w:rPr>
          <w:rFonts w:ascii="Arial" w:eastAsia="Calibri" w:hAnsi="Arial" w:cs="Arial"/>
          <w:color w:val="FF0000"/>
          <w:sz w:val="24"/>
          <w:szCs w:val="24"/>
          <w:lang w:eastAsia="en-GB"/>
        </w:rPr>
      </w:pPr>
    </w:p>
    <w:p w14:paraId="64350EAF" w14:textId="77777777" w:rsidR="00453784" w:rsidRDefault="00453784" w:rsidP="00343C94">
      <w:pPr>
        <w:pStyle w:val="ListParagraph"/>
        <w:spacing w:after="0" w:line="240" w:lineRule="auto"/>
        <w:ind w:left="1506"/>
        <w:rPr>
          <w:rFonts w:ascii="Arial" w:eastAsia="Calibri" w:hAnsi="Arial" w:cs="Arial"/>
          <w:color w:val="FF0000"/>
          <w:sz w:val="24"/>
          <w:szCs w:val="24"/>
          <w:lang w:eastAsia="en-GB"/>
        </w:rPr>
      </w:pPr>
    </w:p>
    <w:p w14:paraId="0C30109A" w14:textId="77777777" w:rsidR="00453784" w:rsidRDefault="00453784" w:rsidP="00343C94">
      <w:pPr>
        <w:pStyle w:val="ListParagraph"/>
        <w:spacing w:after="0" w:line="240" w:lineRule="auto"/>
        <w:ind w:left="1506"/>
        <w:rPr>
          <w:rFonts w:ascii="Arial" w:eastAsia="Calibri" w:hAnsi="Arial" w:cs="Arial"/>
          <w:color w:val="FF0000"/>
          <w:sz w:val="24"/>
          <w:szCs w:val="24"/>
          <w:lang w:eastAsia="en-GB"/>
        </w:rPr>
      </w:pPr>
    </w:p>
    <w:p w14:paraId="02D2A082" w14:textId="77777777" w:rsidR="00245248" w:rsidRDefault="00245248" w:rsidP="00343C94">
      <w:pPr>
        <w:pStyle w:val="ListParagraph"/>
        <w:spacing w:after="0" w:line="240" w:lineRule="auto"/>
        <w:ind w:left="1506"/>
        <w:rPr>
          <w:rFonts w:ascii="Arial" w:eastAsia="Calibri" w:hAnsi="Arial" w:cs="Arial"/>
          <w:color w:val="FF0000"/>
          <w:sz w:val="24"/>
          <w:szCs w:val="24"/>
          <w:lang w:eastAsia="en-GB"/>
        </w:rPr>
      </w:pPr>
    </w:p>
    <w:p w14:paraId="23A7B57F" w14:textId="77777777" w:rsidR="00453784" w:rsidRDefault="00453784" w:rsidP="00343C94">
      <w:pPr>
        <w:pStyle w:val="ListParagraph"/>
        <w:spacing w:after="0" w:line="240" w:lineRule="auto"/>
        <w:ind w:left="1506"/>
        <w:rPr>
          <w:rFonts w:ascii="Arial" w:eastAsia="Calibri" w:hAnsi="Arial" w:cs="Arial"/>
          <w:color w:val="FF0000"/>
          <w:sz w:val="24"/>
          <w:szCs w:val="24"/>
          <w:lang w:eastAsia="en-GB"/>
        </w:rPr>
      </w:pPr>
    </w:p>
    <w:p w14:paraId="63329141" w14:textId="77777777" w:rsidR="00453784" w:rsidRPr="00B568F3" w:rsidRDefault="00453784" w:rsidP="00343C94">
      <w:pPr>
        <w:pStyle w:val="ListParagraph"/>
        <w:spacing w:after="0" w:line="240" w:lineRule="auto"/>
        <w:ind w:left="1506"/>
        <w:rPr>
          <w:rFonts w:ascii="Arial" w:eastAsia="Calibri" w:hAnsi="Arial" w:cs="Arial"/>
          <w:color w:val="FF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30EB5" w:rsidRPr="00B568F3" w14:paraId="18020725" w14:textId="77777777" w:rsidTr="00A25471">
        <w:tc>
          <w:tcPr>
            <w:tcW w:w="9026" w:type="dxa"/>
          </w:tcPr>
          <w:p w14:paraId="41E33137" w14:textId="7D4BCA51" w:rsidR="00230EB5" w:rsidRPr="00B568F3" w:rsidRDefault="00230EB5" w:rsidP="00FC716F">
            <w:pPr>
              <w:contextualSpacing/>
              <w:rPr>
                <w:rFonts w:ascii="Arial" w:eastAsia="Calibri" w:hAnsi="Arial" w:cs="Arial"/>
                <w:b/>
                <w:bCs/>
                <w:sz w:val="24"/>
                <w:szCs w:val="24"/>
              </w:rPr>
            </w:pPr>
            <w:r w:rsidRPr="000937D0">
              <w:rPr>
                <w:rFonts w:ascii="Arial" w:eastAsia="Calibri" w:hAnsi="Arial" w:cs="Arial"/>
                <w:b/>
                <w:bCs/>
                <w:sz w:val="24"/>
                <w:szCs w:val="24"/>
              </w:rPr>
              <w:lastRenderedPageBreak/>
              <w:t xml:space="preserve">Figure </w:t>
            </w:r>
            <w:r w:rsidR="009525A6">
              <w:rPr>
                <w:rFonts w:ascii="Arial" w:eastAsia="Calibri" w:hAnsi="Arial" w:cs="Arial"/>
                <w:b/>
                <w:bCs/>
                <w:sz w:val="24"/>
                <w:szCs w:val="24"/>
              </w:rPr>
              <w:t>5</w:t>
            </w:r>
            <w:r w:rsidRPr="000937D0">
              <w:rPr>
                <w:rFonts w:ascii="Arial" w:eastAsia="Calibri" w:hAnsi="Arial" w:cs="Arial"/>
                <w:b/>
                <w:bCs/>
                <w:sz w:val="24"/>
                <w:szCs w:val="24"/>
              </w:rPr>
              <w:t xml:space="preserve">: </w:t>
            </w:r>
            <w:r w:rsidR="00F249DC" w:rsidRPr="000937D0">
              <w:rPr>
                <w:rFonts w:ascii="Arial" w:eastAsia="Calibri" w:hAnsi="Arial" w:cs="Arial"/>
                <w:b/>
                <w:bCs/>
                <w:sz w:val="24"/>
                <w:szCs w:val="24"/>
              </w:rPr>
              <w:t xml:space="preserve">Spend on </w:t>
            </w:r>
            <w:r w:rsidR="00BC3514" w:rsidRPr="000937D0">
              <w:rPr>
                <w:rFonts w:ascii="Arial" w:eastAsia="Calibri" w:hAnsi="Arial" w:cs="Arial"/>
                <w:b/>
                <w:bCs/>
                <w:sz w:val="24"/>
                <w:szCs w:val="24"/>
              </w:rPr>
              <w:t>h</w:t>
            </w:r>
            <w:r w:rsidR="00F249DC" w:rsidRPr="000937D0">
              <w:rPr>
                <w:rFonts w:ascii="Arial" w:eastAsia="Calibri" w:hAnsi="Arial" w:cs="Arial"/>
                <w:b/>
                <w:bCs/>
                <w:sz w:val="24"/>
                <w:szCs w:val="24"/>
              </w:rPr>
              <w:t xml:space="preserve">ealth and </w:t>
            </w:r>
            <w:r w:rsidR="00BC3514" w:rsidRPr="000937D0">
              <w:rPr>
                <w:rFonts w:ascii="Arial" w:eastAsia="Calibri" w:hAnsi="Arial" w:cs="Arial"/>
                <w:b/>
                <w:bCs/>
                <w:sz w:val="24"/>
                <w:szCs w:val="24"/>
              </w:rPr>
              <w:t>s</w:t>
            </w:r>
            <w:r w:rsidR="00F249DC" w:rsidRPr="000937D0">
              <w:rPr>
                <w:rFonts w:ascii="Arial" w:eastAsia="Calibri" w:hAnsi="Arial" w:cs="Arial"/>
                <w:b/>
                <w:bCs/>
                <w:sz w:val="24"/>
                <w:szCs w:val="24"/>
              </w:rPr>
              <w:t xml:space="preserve">afety, </w:t>
            </w:r>
            <w:r w:rsidR="00DD47ED" w:rsidRPr="000937D0">
              <w:rPr>
                <w:rFonts w:ascii="Arial" w:eastAsia="Calibri" w:hAnsi="Arial" w:cs="Arial"/>
                <w:b/>
                <w:bCs/>
                <w:sz w:val="24"/>
                <w:szCs w:val="24"/>
              </w:rPr>
              <w:t xml:space="preserve">2024 </w:t>
            </w:r>
            <w:r w:rsidR="00BC3514" w:rsidRPr="000937D0">
              <w:rPr>
                <w:rFonts w:ascii="Arial" w:eastAsia="Calibri" w:hAnsi="Arial" w:cs="Arial"/>
                <w:b/>
                <w:bCs/>
                <w:sz w:val="24"/>
                <w:szCs w:val="24"/>
              </w:rPr>
              <w:t xml:space="preserve">to </w:t>
            </w:r>
            <w:r w:rsidR="00DD47ED" w:rsidRPr="000937D0">
              <w:rPr>
                <w:rFonts w:ascii="Arial" w:eastAsia="Calibri" w:hAnsi="Arial" w:cs="Arial"/>
                <w:b/>
                <w:bCs/>
                <w:sz w:val="24"/>
                <w:szCs w:val="24"/>
              </w:rPr>
              <w:t>2025</w:t>
            </w:r>
            <w:r w:rsidR="00DD47ED" w:rsidRPr="00B568F3">
              <w:rPr>
                <w:rFonts w:ascii="Arial" w:eastAsia="Calibri" w:hAnsi="Arial" w:cs="Arial"/>
                <w:b/>
                <w:bCs/>
                <w:sz w:val="24"/>
                <w:szCs w:val="24"/>
              </w:rPr>
              <w:t xml:space="preserve"> </w:t>
            </w:r>
          </w:p>
          <w:p w14:paraId="43E3DF80" w14:textId="77777777" w:rsidR="00230EB5" w:rsidRPr="00B568F3" w:rsidRDefault="00230EB5" w:rsidP="00FC716F">
            <w:pPr>
              <w:spacing w:before="120" w:after="120"/>
              <w:contextualSpacing/>
              <w:rPr>
                <w:rFonts w:ascii="Arial" w:eastAsia="Calibri" w:hAnsi="Arial" w:cs="Arial"/>
                <w:b/>
                <w:bCs/>
                <w:color w:val="FF0000"/>
                <w:sz w:val="24"/>
                <w:szCs w:val="24"/>
              </w:rPr>
            </w:pPr>
          </w:p>
        </w:tc>
      </w:tr>
      <w:tr w:rsidR="00230EB5" w:rsidRPr="00B568F3" w14:paraId="3B50854E" w14:textId="77777777" w:rsidTr="00D521A5">
        <w:tc>
          <w:tcPr>
            <w:tcW w:w="9026" w:type="dxa"/>
          </w:tcPr>
          <w:p w14:paraId="20D8E186" w14:textId="5DDDDFC2" w:rsidR="00230EB5" w:rsidRPr="00B568F3" w:rsidRDefault="00D521A5" w:rsidP="00FC716F">
            <w:pPr>
              <w:contextualSpacing/>
              <w:jc w:val="center"/>
              <w:rPr>
                <w:rFonts w:ascii="Arial" w:eastAsia="Calibri" w:hAnsi="Arial" w:cs="Arial"/>
                <w:color w:val="FF0000"/>
                <w:sz w:val="24"/>
                <w:szCs w:val="24"/>
              </w:rPr>
            </w:pPr>
            <w:r>
              <w:rPr>
                <w:noProof/>
              </w:rPr>
              <w:drawing>
                <wp:inline distT="0" distB="0" distL="0" distR="0" wp14:anchorId="074E7828" wp14:editId="3F70CE24">
                  <wp:extent cx="5731510" cy="4229100"/>
                  <wp:effectExtent l="0" t="0" r="2540" b="0"/>
                  <wp:docPr id="1140106846" name="Chart 1" descr="bar graph showing spend on health and safety">
                    <a:extLst xmlns:a="http://schemas.openxmlformats.org/drawingml/2006/main">
                      <a:ext uri="{FF2B5EF4-FFF2-40B4-BE49-F238E27FC236}">
                        <a16:creationId xmlns:a16="http://schemas.microsoft.com/office/drawing/2014/main" id="{3AF0B28F-9FFB-46EA-B61D-DAFDE1F53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3DCBBF6F" w14:textId="77777777" w:rsidR="00B451E7" w:rsidRPr="000C06A7" w:rsidRDefault="00B451E7" w:rsidP="0047174D">
      <w:pPr>
        <w:ind w:left="66"/>
        <w:rPr>
          <w:rFonts w:ascii="Arial" w:hAnsi="Arial" w:cs="Arial"/>
        </w:rPr>
      </w:pPr>
    </w:p>
    <w:p w14:paraId="61959375" w14:textId="70F23A30" w:rsidR="002D1B1F" w:rsidRPr="000C06A7" w:rsidRDefault="002D1B1F" w:rsidP="0019368B">
      <w:pPr>
        <w:pStyle w:val="Heading2"/>
        <w:numPr>
          <w:ilvl w:val="0"/>
          <w:numId w:val="119"/>
        </w:numPr>
      </w:pPr>
      <w:bookmarkStart w:id="20" w:name="_Toc179481629"/>
      <w:bookmarkStart w:id="21" w:name="_Toc210987765"/>
      <w:bookmarkStart w:id="22" w:name="_Toc211279618"/>
      <w:r w:rsidRPr="000C06A7">
        <w:t>National priorities</w:t>
      </w:r>
      <w:bookmarkEnd w:id="20"/>
      <w:bookmarkEnd w:id="21"/>
      <w:bookmarkEnd w:id="22"/>
    </w:p>
    <w:p w14:paraId="30A146E7" w14:textId="77777777" w:rsidR="002D1B1F" w:rsidRPr="00B568F3" w:rsidRDefault="002D1B1F" w:rsidP="0047174D">
      <w:pPr>
        <w:spacing w:after="0" w:line="240" w:lineRule="auto"/>
        <w:ind w:left="66"/>
        <w:rPr>
          <w:rFonts w:ascii="Arial" w:eastAsia="Calibri" w:hAnsi="Arial" w:cs="Arial"/>
          <w:color w:val="FF0000"/>
          <w:sz w:val="24"/>
          <w:szCs w:val="24"/>
          <w:lang w:eastAsia="en-GB"/>
        </w:rPr>
      </w:pPr>
    </w:p>
    <w:p w14:paraId="1E9536C1" w14:textId="11E6539C" w:rsidR="003A30B5" w:rsidRPr="00B568F3" w:rsidRDefault="313CC04F"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The national priorities for workforce development in the grant circular are taken from the themes of the long term </w:t>
      </w:r>
      <w:hyperlink r:id="rId21" w:history="1">
        <w:r w:rsidRPr="00B568F3">
          <w:rPr>
            <w:rStyle w:val="Hyperlink"/>
            <w:rFonts w:ascii="Arial" w:eastAsia="Calibri" w:hAnsi="Arial" w:cs="Arial"/>
            <w:sz w:val="24"/>
            <w:szCs w:val="24"/>
            <w:lang w:eastAsia="en-GB"/>
          </w:rPr>
          <w:t>workforce strategy</w:t>
        </w:r>
      </w:hyperlink>
      <w:r w:rsidR="004A2690" w:rsidRPr="00B568F3">
        <w:rPr>
          <w:rFonts w:ascii="Arial" w:eastAsia="Calibri" w:hAnsi="Arial" w:cs="Arial"/>
          <w:sz w:val="24"/>
          <w:szCs w:val="24"/>
          <w:lang w:eastAsia="en-GB"/>
        </w:rPr>
        <w:t>. These are</w:t>
      </w:r>
      <w:r w:rsidRPr="00B568F3" w:rsidDel="004A2690">
        <w:rPr>
          <w:rFonts w:ascii="Arial" w:eastAsia="Calibri" w:hAnsi="Arial" w:cs="Arial"/>
          <w:sz w:val="24"/>
          <w:szCs w:val="24"/>
          <w:lang w:eastAsia="en-GB"/>
        </w:rPr>
        <w:t>:</w:t>
      </w:r>
    </w:p>
    <w:p w14:paraId="5D625065" w14:textId="77777777" w:rsidR="003A30B5" w:rsidRPr="00B568F3" w:rsidRDefault="003A30B5" w:rsidP="003A30B5">
      <w:pPr>
        <w:spacing w:after="0" w:line="240" w:lineRule="auto"/>
        <w:rPr>
          <w:rFonts w:ascii="Arial" w:eastAsia="Calibri" w:hAnsi="Arial" w:cs="Arial"/>
          <w:sz w:val="24"/>
          <w:szCs w:val="24"/>
        </w:rPr>
      </w:pPr>
    </w:p>
    <w:p w14:paraId="1FB31B12" w14:textId="3EC18392" w:rsidR="003A30B5" w:rsidRPr="00C92ECE" w:rsidRDefault="00FB3F0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b</w:t>
      </w:r>
      <w:r w:rsidR="003A30B5" w:rsidRPr="00C92ECE">
        <w:rPr>
          <w:rFonts w:asciiTheme="minorBidi" w:hAnsiTheme="minorBidi"/>
          <w:sz w:val="24"/>
          <w:szCs w:val="24"/>
        </w:rPr>
        <w:t>uilding a digitally ready workforce  </w:t>
      </w:r>
    </w:p>
    <w:p w14:paraId="352235FD" w14:textId="20E1443E" w:rsidR="003A30B5" w:rsidRPr="00C92ECE" w:rsidRDefault="00FB3F0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e</w:t>
      </w:r>
      <w:r w:rsidR="003A30B5" w:rsidRPr="00C92ECE">
        <w:rPr>
          <w:rFonts w:asciiTheme="minorBidi" w:hAnsiTheme="minorBidi"/>
          <w:sz w:val="24"/>
          <w:szCs w:val="24"/>
        </w:rPr>
        <w:t>xcellent education and learning  </w:t>
      </w:r>
    </w:p>
    <w:p w14:paraId="7C7E0A71" w14:textId="7D03CDF2" w:rsidR="003A30B5" w:rsidRPr="00C92ECE" w:rsidRDefault="00FB3F0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p</w:t>
      </w:r>
      <w:r w:rsidR="003A30B5" w:rsidRPr="00C92ECE">
        <w:rPr>
          <w:rFonts w:asciiTheme="minorBidi" w:hAnsiTheme="minorBidi"/>
          <w:sz w:val="24"/>
          <w:szCs w:val="24"/>
        </w:rPr>
        <w:t>rovision of qualifying and post qualifying social work training  </w:t>
      </w:r>
    </w:p>
    <w:p w14:paraId="0A638199" w14:textId="1600AB70" w:rsidR="003A30B5" w:rsidRPr="00C92ECE" w:rsidRDefault="00FB3F0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l</w:t>
      </w:r>
      <w:r w:rsidR="003A30B5" w:rsidRPr="00C92ECE">
        <w:rPr>
          <w:rFonts w:asciiTheme="minorBidi" w:hAnsiTheme="minorBidi"/>
          <w:sz w:val="24"/>
          <w:szCs w:val="24"/>
        </w:rPr>
        <w:t>eadership and succession  </w:t>
      </w:r>
    </w:p>
    <w:p w14:paraId="266F7777" w14:textId="2E83711B" w:rsidR="003A30B5" w:rsidRPr="00C92ECE" w:rsidRDefault="00FB3F08"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w</w:t>
      </w:r>
      <w:r w:rsidR="003A30B5" w:rsidRPr="00C92ECE">
        <w:rPr>
          <w:rFonts w:asciiTheme="minorBidi" w:hAnsiTheme="minorBidi"/>
          <w:sz w:val="24"/>
          <w:szCs w:val="24"/>
        </w:rPr>
        <w:t>orkforce shape and supply</w:t>
      </w:r>
      <w:r w:rsidRPr="00C92ECE">
        <w:rPr>
          <w:rFonts w:asciiTheme="minorBidi" w:hAnsiTheme="minorBidi"/>
          <w:sz w:val="24"/>
          <w:szCs w:val="24"/>
        </w:rPr>
        <w:t>.</w:t>
      </w:r>
      <w:r w:rsidR="003A30B5" w:rsidRPr="00C92ECE">
        <w:rPr>
          <w:rFonts w:asciiTheme="minorBidi" w:hAnsiTheme="minorBidi"/>
          <w:sz w:val="24"/>
          <w:szCs w:val="24"/>
        </w:rPr>
        <w:t> </w:t>
      </w:r>
    </w:p>
    <w:p w14:paraId="5F2E5E5A" w14:textId="77777777" w:rsidR="00DA5F5B" w:rsidRPr="00B568F3" w:rsidRDefault="00DA5F5B" w:rsidP="00DA5F5B">
      <w:pPr>
        <w:spacing w:after="200" w:line="276" w:lineRule="auto"/>
        <w:ind w:left="2160"/>
        <w:contextualSpacing/>
        <w:rPr>
          <w:rFonts w:ascii="Arial" w:eastAsia="Calibri" w:hAnsi="Arial" w:cs="Arial"/>
          <w:sz w:val="24"/>
          <w:szCs w:val="24"/>
          <w:lang w:eastAsia="en-GB"/>
        </w:rPr>
      </w:pPr>
    </w:p>
    <w:p w14:paraId="08B89A9D" w14:textId="0396D73A" w:rsidR="00311CC8" w:rsidRPr="00B568F3" w:rsidRDefault="00621563"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Regions can also use</w:t>
      </w:r>
      <w:r w:rsidR="00715285" w:rsidRPr="00B568F3">
        <w:rPr>
          <w:rFonts w:ascii="Arial" w:eastAsia="Calibri" w:hAnsi="Arial" w:cs="Arial"/>
          <w:sz w:val="24"/>
          <w:szCs w:val="24"/>
          <w:lang w:eastAsia="en-GB"/>
        </w:rPr>
        <w:t xml:space="preserve"> the</w:t>
      </w:r>
      <w:r w:rsidR="00240643" w:rsidRPr="00B568F3">
        <w:rPr>
          <w:rFonts w:ascii="Arial" w:eastAsia="Calibri" w:hAnsi="Arial" w:cs="Arial"/>
          <w:sz w:val="24"/>
          <w:szCs w:val="24"/>
          <w:lang w:eastAsia="en-GB"/>
        </w:rPr>
        <w:t xml:space="preserve"> funding to support other priorities identified at local and regional level.</w:t>
      </w:r>
    </w:p>
    <w:p w14:paraId="36DB9F4C" w14:textId="77777777" w:rsidR="00ED2BBD" w:rsidRPr="00B568F3" w:rsidRDefault="00ED2BBD" w:rsidP="00EB1A13">
      <w:pPr>
        <w:spacing w:after="200" w:line="276" w:lineRule="auto"/>
        <w:ind w:left="567"/>
        <w:contextualSpacing/>
        <w:rPr>
          <w:rFonts w:ascii="Arial" w:eastAsia="Calibri" w:hAnsi="Arial" w:cs="Arial"/>
          <w:sz w:val="24"/>
          <w:szCs w:val="24"/>
          <w:lang w:eastAsia="en-GB"/>
        </w:rPr>
      </w:pPr>
    </w:p>
    <w:p w14:paraId="59E2B8ED" w14:textId="39FA0D11" w:rsidR="000E2A24" w:rsidRPr="00B568F3" w:rsidRDefault="002D1B1F" w:rsidP="00632461">
      <w:pPr>
        <w:numPr>
          <w:ilvl w:val="0"/>
          <w:numId w:val="6"/>
        </w:numPr>
        <w:spacing w:after="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In </w:t>
      </w:r>
      <w:r w:rsidR="00FA0416" w:rsidRPr="00B568F3">
        <w:rPr>
          <w:rFonts w:ascii="Arial" w:eastAsia="Calibri" w:hAnsi="Arial" w:cs="Arial"/>
          <w:sz w:val="24"/>
          <w:szCs w:val="24"/>
          <w:lang w:eastAsia="en-GB"/>
        </w:rPr>
        <w:t>202</w:t>
      </w:r>
      <w:r w:rsidR="00FA0416">
        <w:rPr>
          <w:rFonts w:ascii="Arial" w:eastAsia="Calibri" w:hAnsi="Arial" w:cs="Arial"/>
          <w:sz w:val="24"/>
          <w:szCs w:val="24"/>
          <w:lang w:eastAsia="en-GB"/>
        </w:rPr>
        <w:t>4</w:t>
      </w:r>
      <w:r w:rsidR="00FA0416" w:rsidRPr="00B568F3">
        <w:rPr>
          <w:rFonts w:ascii="Arial" w:eastAsia="Calibri" w:hAnsi="Arial" w:cs="Arial"/>
          <w:sz w:val="24"/>
          <w:szCs w:val="24"/>
          <w:lang w:eastAsia="en-GB"/>
        </w:rPr>
        <w:t xml:space="preserve"> </w:t>
      </w:r>
      <w:r w:rsidR="00FC4845" w:rsidRPr="00B568F3">
        <w:rPr>
          <w:rFonts w:ascii="Arial" w:eastAsia="Calibri" w:hAnsi="Arial" w:cs="Arial"/>
          <w:sz w:val="24"/>
          <w:szCs w:val="24"/>
          <w:lang w:eastAsia="en-GB"/>
        </w:rPr>
        <w:t xml:space="preserve">to </w:t>
      </w:r>
      <w:r w:rsidR="00FA0416" w:rsidRPr="00B568F3">
        <w:rPr>
          <w:rFonts w:ascii="Arial" w:eastAsia="Calibri" w:hAnsi="Arial" w:cs="Arial"/>
          <w:sz w:val="24"/>
          <w:szCs w:val="24"/>
          <w:lang w:eastAsia="en-GB"/>
        </w:rPr>
        <w:t>202</w:t>
      </w:r>
      <w:r w:rsidR="00FA0416">
        <w:rPr>
          <w:rFonts w:ascii="Arial" w:eastAsia="Calibri" w:hAnsi="Arial" w:cs="Arial"/>
          <w:sz w:val="24"/>
          <w:szCs w:val="24"/>
          <w:lang w:eastAsia="en-GB"/>
        </w:rPr>
        <w:t>5</w:t>
      </w:r>
      <w:r w:rsidRPr="00B568F3">
        <w:rPr>
          <w:rFonts w:ascii="Arial" w:eastAsia="Calibri" w:hAnsi="Arial" w:cs="Arial"/>
          <w:sz w:val="24"/>
          <w:szCs w:val="24"/>
          <w:lang w:eastAsia="en-GB"/>
        </w:rPr>
        <w:t xml:space="preserve">, </w:t>
      </w:r>
      <w:r w:rsidR="00653C55">
        <w:rPr>
          <w:rFonts w:ascii="Arial" w:eastAsia="Calibri" w:hAnsi="Arial" w:cs="Arial"/>
          <w:sz w:val="24"/>
          <w:szCs w:val="24"/>
          <w:lang w:eastAsia="en-GB"/>
        </w:rPr>
        <w:t>27.6</w:t>
      </w:r>
      <w:r w:rsidR="00FC4845" w:rsidRPr="00B568F3">
        <w:rPr>
          <w:rFonts w:ascii="Arial" w:eastAsia="Calibri" w:hAnsi="Arial" w:cs="Arial"/>
          <w:sz w:val="24"/>
          <w:szCs w:val="24"/>
          <w:lang w:eastAsia="en-GB"/>
        </w:rPr>
        <w:t xml:space="preserve"> per cent</w:t>
      </w:r>
      <w:r w:rsidRPr="00B568F3">
        <w:rPr>
          <w:rFonts w:ascii="Arial" w:eastAsia="Calibri" w:hAnsi="Arial" w:cs="Arial"/>
          <w:sz w:val="24"/>
          <w:szCs w:val="24"/>
          <w:lang w:eastAsia="en-GB"/>
        </w:rPr>
        <w:t xml:space="preserve"> of the SCWWDP spend </w:t>
      </w:r>
      <w:r w:rsidR="007B0C64" w:rsidRPr="00B568F3">
        <w:rPr>
          <w:rFonts w:ascii="Arial" w:eastAsia="Calibri" w:hAnsi="Arial" w:cs="Arial"/>
          <w:sz w:val="24"/>
          <w:szCs w:val="24"/>
          <w:lang w:eastAsia="en-GB"/>
        </w:rPr>
        <w:t>(£</w:t>
      </w:r>
      <w:r w:rsidR="00213957" w:rsidRPr="00B568F3">
        <w:rPr>
          <w:rFonts w:ascii="Arial" w:eastAsia="Calibri" w:hAnsi="Arial" w:cs="Arial"/>
          <w:sz w:val="24"/>
          <w:szCs w:val="24"/>
          <w:lang w:eastAsia="en-GB"/>
        </w:rPr>
        <w:t>3,</w:t>
      </w:r>
      <w:r w:rsidR="00653C55">
        <w:rPr>
          <w:rFonts w:ascii="Arial" w:eastAsia="Calibri" w:hAnsi="Arial" w:cs="Arial"/>
          <w:sz w:val="24"/>
          <w:szCs w:val="24"/>
          <w:lang w:eastAsia="en-GB"/>
        </w:rPr>
        <w:t>013,763</w:t>
      </w:r>
      <w:r w:rsidR="007B0C64" w:rsidRPr="00B568F3">
        <w:rPr>
          <w:rFonts w:ascii="Arial" w:eastAsia="Calibri" w:hAnsi="Arial" w:cs="Arial"/>
          <w:sz w:val="24"/>
          <w:szCs w:val="24"/>
          <w:lang w:eastAsia="en-GB"/>
        </w:rPr>
        <w:t xml:space="preserve">) </w:t>
      </w:r>
      <w:r w:rsidRPr="00B568F3">
        <w:rPr>
          <w:rFonts w:ascii="Arial" w:eastAsia="Calibri" w:hAnsi="Arial" w:cs="Arial"/>
          <w:sz w:val="24"/>
          <w:szCs w:val="24"/>
          <w:lang w:eastAsia="en-GB"/>
        </w:rPr>
        <w:t xml:space="preserve">was </w:t>
      </w:r>
      <w:r w:rsidR="00B836C2" w:rsidRPr="00B568F3">
        <w:rPr>
          <w:rFonts w:ascii="Arial" w:eastAsia="Calibri" w:hAnsi="Arial" w:cs="Arial"/>
          <w:sz w:val="24"/>
          <w:szCs w:val="24"/>
          <w:lang w:eastAsia="en-GB"/>
        </w:rPr>
        <w:t>in-line with</w:t>
      </w:r>
      <w:r w:rsidRPr="00B568F3">
        <w:rPr>
          <w:rFonts w:ascii="Arial" w:eastAsia="Calibri" w:hAnsi="Arial" w:cs="Arial"/>
          <w:sz w:val="24"/>
          <w:szCs w:val="24"/>
          <w:lang w:eastAsia="en-GB"/>
        </w:rPr>
        <w:t xml:space="preserve"> the national priorities</w:t>
      </w:r>
      <w:r w:rsidR="009838C0">
        <w:rPr>
          <w:rFonts w:ascii="Arial" w:eastAsia="Calibri" w:hAnsi="Arial" w:cs="Arial"/>
          <w:sz w:val="24"/>
          <w:szCs w:val="24"/>
          <w:lang w:eastAsia="en-GB"/>
        </w:rPr>
        <w:t>, which is a slight decrease compared to the previous year (29.6 per cent</w:t>
      </w:r>
      <w:r w:rsidR="00E03E87">
        <w:rPr>
          <w:rFonts w:ascii="Arial" w:eastAsia="Calibri" w:hAnsi="Arial" w:cs="Arial"/>
          <w:sz w:val="24"/>
          <w:szCs w:val="24"/>
          <w:lang w:eastAsia="en-GB"/>
        </w:rPr>
        <w:t>,</w:t>
      </w:r>
      <w:r w:rsidR="009838C0">
        <w:rPr>
          <w:rFonts w:ascii="Arial" w:eastAsia="Calibri" w:hAnsi="Arial" w:cs="Arial"/>
          <w:sz w:val="24"/>
          <w:szCs w:val="24"/>
          <w:lang w:eastAsia="en-GB"/>
        </w:rPr>
        <w:t xml:space="preserve"> £3,227,248 in 2023 to 2024)</w:t>
      </w:r>
      <w:r w:rsidR="00D967F8">
        <w:rPr>
          <w:rFonts w:ascii="Arial" w:eastAsia="Calibri" w:hAnsi="Arial" w:cs="Arial"/>
          <w:sz w:val="24"/>
          <w:szCs w:val="24"/>
          <w:lang w:eastAsia="en-GB"/>
        </w:rPr>
        <w:t>.</w:t>
      </w:r>
    </w:p>
    <w:p w14:paraId="4A45E902" w14:textId="77777777" w:rsidR="000E2A24" w:rsidRPr="00B568F3" w:rsidRDefault="000E2A24" w:rsidP="00D97576">
      <w:pPr>
        <w:pStyle w:val="ListParagraph"/>
        <w:spacing w:after="0"/>
        <w:rPr>
          <w:rFonts w:ascii="Arial" w:eastAsia="Calibri" w:hAnsi="Arial" w:cs="Arial"/>
          <w:sz w:val="24"/>
          <w:szCs w:val="24"/>
          <w:lang w:eastAsia="en-GB"/>
        </w:rPr>
      </w:pPr>
    </w:p>
    <w:p w14:paraId="209FC8F1" w14:textId="07FD492C" w:rsidR="000E2A24" w:rsidRDefault="000E2A24"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lastRenderedPageBreak/>
        <w:t xml:space="preserve">Delivery staff </w:t>
      </w:r>
      <w:r w:rsidR="00DC25D5" w:rsidRPr="00B568F3">
        <w:rPr>
          <w:rFonts w:ascii="Arial" w:eastAsia="Calibri" w:hAnsi="Arial" w:cs="Arial"/>
          <w:sz w:val="24"/>
          <w:szCs w:val="24"/>
          <w:lang w:eastAsia="en-GB"/>
        </w:rPr>
        <w:t xml:space="preserve">who </w:t>
      </w:r>
      <w:r w:rsidRPr="00B568F3">
        <w:rPr>
          <w:rFonts w:ascii="Arial" w:eastAsia="Calibri" w:hAnsi="Arial" w:cs="Arial"/>
          <w:sz w:val="24"/>
          <w:szCs w:val="24"/>
          <w:lang w:eastAsia="en-GB"/>
        </w:rPr>
        <w:t>provide</w:t>
      </w:r>
      <w:r w:rsidR="001E0B1C" w:rsidRPr="00B568F3">
        <w:rPr>
          <w:rFonts w:ascii="Arial" w:eastAsia="Calibri" w:hAnsi="Arial" w:cs="Arial"/>
          <w:sz w:val="24"/>
          <w:szCs w:val="24"/>
          <w:lang w:eastAsia="en-GB"/>
        </w:rPr>
        <w:t xml:space="preserve"> direct</w:t>
      </w:r>
      <w:r w:rsidRPr="00B568F3">
        <w:rPr>
          <w:rFonts w:ascii="Arial" w:eastAsia="Calibri" w:hAnsi="Arial" w:cs="Arial"/>
          <w:sz w:val="24"/>
          <w:szCs w:val="24"/>
          <w:lang w:eastAsia="en-GB"/>
        </w:rPr>
        <w:t xml:space="preserve"> learning and development</w:t>
      </w:r>
      <w:r w:rsidR="001E0B1C" w:rsidRPr="00B568F3">
        <w:rPr>
          <w:rFonts w:ascii="Arial" w:eastAsia="Calibri" w:hAnsi="Arial" w:cs="Arial"/>
          <w:sz w:val="24"/>
          <w:szCs w:val="24"/>
          <w:lang w:eastAsia="en-GB"/>
        </w:rPr>
        <w:t xml:space="preserve"> </w:t>
      </w:r>
      <w:r w:rsidR="00072990" w:rsidRPr="00B568F3">
        <w:rPr>
          <w:rFonts w:ascii="Arial" w:eastAsia="Calibri" w:hAnsi="Arial" w:cs="Arial"/>
          <w:sz w:val="24"/>
          <w:szCs w:val="24"/>
          <w:lang w:eastAsia="en-GB"/>
        </w:rPr>
        <w:t xml:space="preserve">also deliver activities </w:t>
      </w:r>
      <w:r w:rsidR="00B36CEB" w:rsidRPr="00B568F3">
        <w:rPr>
          <w:rFonts w:ascii="Arial" w:eastAsia="Calibri" w:hAnsi="Arial" w:cs="Arial"/>
          <w:sz w:val="24"/>
          <w:szCs w:val="24"/>
          <w:lang w:eastAsia="en-GB"/>
        </w:rPr>
        <w:t xml:space="preserve">linked </w:t>
      </w:r>
      <w:r w:rsidR="00072990" w:rsidRPr="00B568F3">
        <w:rPr>
          <w:rFonts w:ascii="Arial" w:eastAsia="Calibri" w:hAnsi="Arial" w:cs="Arial"/>
          <w:sz w:val="24"/>
          <w:szCs w:val="24"/>
          <w:lang w:eastAsia="en-GB"/>
        </w:rPr>
        <w:t>to the national priorities</w:t>
      </w:r>
      <w:r w:rsidR="008032AC" w:rsidRPr="00B568F3">
        <w:rPr>
          <w:rFonts w:ascii="Arial" w:eastAsia="Calibri" w:hAnsi="Arial" w:cs="Arial"/>
          <w:sz w:val="24"/>
          <w:szCs w:val="24"/>
          <w:lang w:eastAsia="en-GB"/>
        </w:rPr>
        <w:t xml:space="preserve">. The SCWWDP spend on delivery staff is </w:t>
      </w:r>
      <w:r w:rsidR="00D97576" w:rsidRPr="00B568F3">
        <w:rPr>
          <w:rFonts w:ascii="Arial" w:eastAsia="Calibri" w:hAnsi="Arial" w:cs="Arial"/>
          <w:sz w:val="24"/>
          <w:szCs w:val="24"/>
          <w:lang w:eastAsia="en-GB"/>
        </w:rPr>
        <w:t>mentioned earlier in this report.</w:t>
      </w:r>
    </w:p>
    <w:p w14:paraId="09B8298B" w14:textId="77777777" w:rsidR="002D35D3" w:rsidRPr="00B568F3" w:rsidRDefault="002D35D3" w:rsidP="00D97576">
      <w:pPr>
        <w:spacing w:after="200" w:line="276" w:lineRule="auto"/>
        <w:ind w:left="567"/>
        <w:contextualSpacing/>
        <w:rPr>
          <w:rFonts w:ascii="Arial" w:eastAsia="Calibri" w:hAnsi="Arial" w:cs="Arial"/>
          <w:sz w:val="24"/>
          <w:szCs w:val="24"/>
          <w:lang w:eastAsia="en-GB"/>
        </w:rPr>
      </w:pPr>
    </w:p>
    <w:p w14:paraId="0CBEC649" w14:textId="48D41C3E" w:rsidR="005358E0" w:rsidRDefault="00C51D5F" w:rsidP="005358E0">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SCWWDP</w:t>
      </w:r>
      <w:r w:rsidR="007F6290" w:rsidRPr="00B568F3">
        <w:rPr>
          <w:rFonts w:ascii="Arial" w:eastAsia="Calibri" w:hAnsi="Arial" w:cs="Arial"/>
          <w:sz w:val="24"/>
          <w:szCs w:val="24"/>
          <w:lang w:eastAsia="en-GB"/>
        </w:rPr>
        <w:t xml:space="preserve"> </w:t>
      </w:r>
      <w:r w:rsidR="001914B2" w:rsidRPr="00B568F3">
        <w:rPr>
          <w:rFonts w:ascii="Arial" w:eastAsia="Calibri" w:hAnsi="Arial" w:cs="Arial"/>
          <w:sz w:val="24"/>
          <w:szCs w:val="24"/>
          <w:lang w:eastAsia="en-GB"/>
        </w:rPr>
        <w:t>national priorities spending</w:t>
      </w:r>
      <w:r w:rsidR="00A45E7C">
        <w:rPr>
          <w:rFonts w:ascii="Arial" w:eastAsia="Calibri" w:hAnsi="Arial" w:cs="Arial"/>
          <w:sz w:val="24"/>
          <w:szCs w:val="24"/>
          <w:lang w:eastAsia="en-GB"/>
        </w:rPr>
        <w:t xml:space="preserve"> (</w:t>
      </w:r>
      <w:r w:rsidR="00A45E7C" w:rsidRPr="00B568F3">
        <w:rPr>
          <w:rFonts w:ascii="Arial" w:eastAsia="Calibri" w:hAnsi="Arial" w:cs="Arial"/>
          <w:sz w:val="24"/>
          <w:szCs w:val="24"/>
          <w:lang w:eastAsia="en-GB"/>
        </w:rPr>
        <w:t>£3,</w:t>
      </w:r>
      <w:r w:rsidR="00A45E7C">
        <w:rPr>
          <w:rFonts w:ascii="Arial" w:eastAsia="Calibri" w:hAnsi="Arial" w:cs="Arial"/>
          <w:sz w:val="24"/>
          <w:szCs w:val="24"/>
          <w:lang w:eastAsia="en-GB"/>
        </w:rPr>
        <w:t>013,763)</w:t>
      </w:r>
      <w:r w:rsidR="001914B2" w:rsidRPr="00B568F3">
        <w:rPr>
          <w:rFonts w:ascii="Arial" w:eastAsia="Calibri" w:hAnsi="Arial" w:cs="Arial"/>
          <w:sz w:val="24"/>
          <w:szCs w:val="24"/>
          <w:lang w:eastAsia="en-GB"/>
        </w:rPr>
        <w:t xml:space="preserve"> </w:t>
      </w:r>
      <w:r w:rsidR="00774EBA">
        <w:rPr>
          <w:rFonts w:ascii="Arial" w:eastAsia="Calibri" w:hAnsi="Arial" w:cs="Arial"/>
          <w:sz w:val="24"/>
          <w:szCs w:val="24"/>
          <w:lang w:eastAsia="en-GB"/>
        </w:rPr>
        <w:t xml:space="preserve">continues to be </w:t>
      </w:r>
      <w:r w:rsidR="002D1B1F" w:rsidRPr="00B568F3">
        <w:rPr>
          <w:rFonts w:ascii="Arial" w:eastAsia="Calibri" w:hAnsi="Arial" w:cs="Arial"/>
          <w:sz w:val="24"/>
          <w:szCs w:val="24"/>
          <w:lang w:eastAsia="en-GB"/>
        </w:rPr>
        <w:t xml:space="preserve">dominated </w:t>
      </w:r>
      <w:r w:rsidR="000064A5" w:rsidRPr="00B568F3">
        <w:rPr>
          <w:rFonts w:ascii="Arial" w:eastAsia="Calibri" w:hAnsi="Arial" w:cs="Arial"/>
          <w:sz w:val="24"/>
          <w:szCs w:val="24"/>
          <w:lang w:eastAsia="en-GB"/>
        </w:rPr>
        <w:t>by education</w:t>
      </w:r>
      <w:r w:rsidR="00962B00" w:rsidRPr="00B568F3">
        <w:rPr>
          <w:rFonts w:ascii="Arial" w:eastAsia="Calibri" w:hAnsi="Arial" w:cs="Arial"/>
          <w:sz w:val="24"/>
          <w:szCs w:val="24"/>
          <w:lang w:eastAsia="en-GB"/>
        </w:rPr>
        <w:t xml:space="preserve"> and learning</w:t>
      </w:r>
      <w:r w:rsidR="00434ECE" w:rsidRPr="00B568F3">
        <w:rPr>
          <w:rFonts w:ascii="Arial" w:eastAsia="Calibri" w:hAnsi="Arial" w:cs="Arial"/>
          <w:sz w:val="24"/>
          <w:szCs w:val="24"/>
          <w:lang w:eastAsia="en-GB"/>
        </w:rPr>
        <w:t>,</w:t>
      </w:r>
      <w:r w:rsidR="00962B00" w:rsidRPr="00B568F3">
        <w:rPr>
          <w:rFonts w:ascii="Arial" w:eastAsia="Calibri" w:hAnsi="Arial" w:cs="Arial"/>
          <w:sz w:val="24"/>
          <w:szCs w:val="24"/>
          <w:lang w:eastAsia="en-GB"/>
        </w:rPr>
        <w:t xml:space="preserve"> </w:t>
      </w:r>
      <w:r w:rsidR="004C6D84" w:rsidRPr="00B568F3">
        <w:rPr>
          <w:rFonts w:ascii="Arial" w:eastAsia="Calibri" w:hAnsi="Arial" w:cs="Arial"/>
          <w:sz w:val="24"/>
          <w:szCs w:val="24"/>
          <w:lang w:eastAsia="en-GB"/>
        </w:rPr>
        <w:t xml:space="preserve">which includes vocational qualifications </w:t>
      </w:r>
      <w:r w:rsidR="00962B00" w:rsidRPr="00B568F3">
        <w:rPr>
          <w:rFonts w:ascii="Arial" w:eastAsia="Calibri" w:hAnsi="Arial" w:cs="Arial"/>
          <w:sz w:val="24"/>
          <w:szCs w:val="24"/>
          <w:lang w:eastAsia="en-GB"/>
        </w:rPr>
        <w:t>(</w:t>
      </w:r>
      <w:r w:rsidR="009D1D59">
        <w:rPr>
          <w:rFonts w:ascii="Arial" w:eastAsia="Calibri" w:hAnsi="Arial" w:cs="Arial"/>
          <w:sz w:val="24"/>
          <w:szCs w:val="24"/>
          <w:lang w:eastAsia="en-GB"/>
        </w:rPr>
        <w:t>42</w:t>
      </w:r>
      <w:r w:rsidR="00850CD8" w:rsidRPr="00B568F3">
        <w:rPr>
          <w:rFonts w:ascii="Arial" w:eastAsia="Calibri" w:hAnsi="Arial" w:cs="Arial"/>
          <w:sz w:val="24"/>
          <w:szCs w:val="24"/>
          <w:lang w:eastAsia="en-GB"/>
        </w:rPr>
        <w:t xml:space="preserve"> per cent</w:t>
      </w:r>
      <w:r w:rsidR="00962B00" w:rsidRPr="00B568F3">
        <w:rPr>
          <w:rFonts w:ascii="Arial" w:eastAsia="Calibri" w:hAnsi="Arial" w:cs="Arial"/>
          <w:sz w:val="24"/>
          <w:szCs w:val="24"/>
          <w:lang w:eastAsia="en-GB"/>
        </w:rPr>
        <w:t>, £</w:t>
      </w:r>
      <w:r w:rsidR="00D31651" w:rsidRPr="00B568F3">
        <w:rPr>
          <w:rFonts w:ascii="Arial" w:eastAsia="Calibri" w:hAnsi="Arial" w:cs="Arial"/>
          <w:sz w:val="24"/>
          <w:szCs w:val="24"/>
          <w:lang w:eastAsia="en-GB"/>
        </w:rPr>
        <w:t>1,</w:t>
      </w:r>
      <w:r w:rsidR="009D1D59">
        <w:rPr>
          <w:rFonts w:ascii="Arial" w:eastAsia="Calibri" w:hAnsi="Arial" w:cs="Arial"/>
          <w:sz w:val="24"/>
          <w:szCs w:val="24"/>
          <w:lang w:eastAsia="en-GB"/>
        </w:rPr>
        <w:t>266,534</w:t>
      </w:r>
      <w:r w:rsidR="00D31651" w:rsidRPr="00B568F3">
        <w:rPr>
          <w:rFonts w:ascii="Arial" w:eastAsia="Calibri" w:hAnsi="Arial" w:cs="Arial"/>
          <w:sz w:val="24"/>
          <w:szCs w:val="24"/>
          <w:lang w:eastAsia="en-GB"/>
        </w:rPr>
        <w:t xml:space="preserve">) </w:t>
      </w:r>
      <w:r w:rsidR="002D1B1F" w:rsidRPr="00B568F3">
        <w:rPr>
          <w:rFonts w:ascii="Arial" w:eastAsia="Calibri" w:hAnsi="Arial" w:cs="Arial"/>
          <w:sz w:val="24"/>
          <w:szCs w:val="24"/>
          <w:lang w:eastAsia="en-GB"/>
        </w:rPr>
        <w:t xml:space="preserve">as well as </w:t>
      </w:r>
      <w:r w:rsidR="006E7B4E" w:rsidRPr="00B568F3">
        <w:rPr>
          <w:rFonts w:ascii="Arial" w:eastAsia="Calibri" w:hAnsi="Arial" w:cs="Arial"/>
          <w:sz w:val="24"/>
          <w:szCs w:val="24"/>
          <w:lang w:eastAsia="en-GB"/>
        </w:rPr>
        <w:t>qualifying</w:t>
      </w:r>
      <w:r w:rsidR="00B54BEC" w:rsidRPr="00B568F3">
        <w:rPr>
          <w:rFonts w:ascii="Arial" w:eastAsia="Calibri" w:hAnsi="Arial" w:cs="Arial"/>
          <w:sz w:val="24"/>
          <w:szCs w:val="24"/>
          <w:lang w:eastAsia="en-GB"/>
        </w:rPr>
        <w:t xml:space="preserve"> and post </w:t>
      </w:r>
      <w:r w:rsidR="006E7B4E" w:rsidRPr="00B568F3">
        <w:rPr>
          <w:rFonts w:ascii="Arial" w:eastAsia="Calibri" w:hAnsi="Arial" w:cs="Arial"/>
          <w:sz w:val="24"/>
          <w:szCs w:val="24"/>
          <w:lang w:eastAsia="en-GB"/>
        </w:rPr>
        <w:t>qualifying</w:t>
      </w:r>
      <w:r w:rsidR="00B54BEC" w:rsidRPr="00B568F3">
        <w:rPr>
          <w:rFonts w:ascii="Arial" w:eastAsia="Calibri" w:hAnsi="Arial" w:cs="Arial"/>
          <w:sz w:val="24"/>
          <w:szCs w:val="24"/>
          <w:lang w:eastAsia="en-GB"/>
        </w:rPr>
        <w:t xml:space="preserve"> social work </w:t>
      </w:r>
      <w:r w:rsidR="002D1B1F" w:rsidRPr="00B568F3">
        <w:rPr>
          <w:rFonts w:ascii="Arial" w:eastAsia="Calibri" w:hAnsi="Arial" w:cs="Arial"/>
          <w:sz w:val="24"/>
          <w:szCs w:val="24"/>
          <w:lang w:eastAsia="en-GB"/>
        </w:rPr>
        <w:t>training</w:t>
      </w:r>
      <w:r w:rsidR="00B54BEC" w:rsidRPr="00B568F3">
        <w:rPr>
          <w:rFonts w:ascii="Arial" w:eastAsia="Calibri" w:hAnsi="Arial" w:cs="Arial"/>
          <w:sz w:val="24"/>
          <w:szCs w:val="24"/>
          <w:lang w:eastAsia="en-GB"/>
        </w:rPr>
        <w:t xml:space="preserve"> (</w:t>
      </w:r>
      <w:r w:rsidR="009D1D59">
        <w:rPr>
          <w:rFonts w:ascii="Arial" w:eastAsia="Calibri" w:hAnsi="Arial" w:cs="Arial"/>
          <w:sz w:val="24"/>
          <w:szCs w:val="24"/>
          <w:lang w:eastAsia="en-GB"/>
        </w:rPr>
        <w:t>36.7</w:t>
      </w:r>
      <w:r w:rsidR="00850CD8" w:rsidRPr="00B568F3">
        <w:rPr>
          <w:rFonts w:ascii="Arial" w:eastAsia="Calibri" w:hAnsi="Arial" w:cs="Arial"/>
          <w:sz w:val="24"/>
          <w:szCs w:val="24"/>
          <w:lang w:eastAsia="en-GB"/>
        </w:rPr>
        <w:t xml:space="preserve"> per cent</w:t>
      </w:r>
      <w:r w:rsidR="00336726" w:rsidRPr="00B568F3">
        <w:rPr>
          <w:rFonts w:ascii="Arial" w:eastAsia="Calibri" w:hAnsi="Arial" w:cs="Arial"/>
          <w:sz w:val="24"/>
          <w:szCs w:val="24"/>
          <w:lang w:eastAsia="en-GB"/>
        </w:rPr>
        <w:t>, £1,</w:t>
      </w:r>
      <w:r w:rsidR="00DA0C2F">
        <w:rPr>
          <w:rFonts w:ascii="Arial" w:eastAsia="Calibri" w:hAnsi="Arial" w:cs="Arial"/>
          <w:sz w:val="24"/>
          <w:szCs w:val="24"/>
          <w:lang w:eastAsia="en-GB"/>
        </w:rPr>
        <w:t>104,637</w:t>
      </w:r>
      <w:r w:rsidR="00336726" w:rsidRPr="00B568F3">
        <w:rPr>
          <w:rFonts w:ascii="Arial" w:eastAsia="Calibri" w:hAnsi="Arial" w:cs="Arial"/>
          <w:sz w:val="24"/>
          <w:szCs w:val="24"/>
          <w:lang w:eastAsia="en-GB"/>
        </w:rPr>
        <w:t>)</w:t>
      </w:r>
      <w:r w:rsidR="002D1B1F" w:rsidRPr="00B568F3">
        <w:rPr>
          <w:rFonts w:ascii="Arial" w:eastAsia="Calibri" w:hAnsi="Arial" w:cs="Arial"/>
          <w:sz w:val="24"/>
          <w:szCs w:val="24"/>
          <w:lang w:eastAsia="en-GB"/>
        </w:rPr>
        <w:t>.</w:t>
      </w:r>
    </w:p>
    <w:p w14:paraId="1D0779AF" w14:textId="77777777" w:rsidR="005358E0" w:rsidRPr="00B568F3" w:rsidRDefault="005358E0" w:rsidP="00C92ECE">
      <w:pPr>
        <w:spacing w:after="200" w:line="276" w:lineRule="auto"/>
        <w:ind w:left="567"/>
        <w:contextualSpacing/>
        <w:rPr>
          <w:rFonts w:ascii="Arial" w:eastAsia="Calibri" w:hAnsi="Arial" w:cs="Arial"/>
          <w:sz w:val="24"/>
          <w:szCs w:val="24"/>
          <w:lang w:eastAsia="en-GB"/>
        </w:rPr>
      </w:pPr>
    </w:p>
    <w:p w14:paraId="22B9505A" w14:textId="3B3D1C50" w:rsidR="005358E0" w:rsidRPr="00C5775C" w:rsidRDefault="005358E0" w:rsidP="005358E0">
      <w:pPr>
        <w:numPr>
          <w:ilvl w:val="0"/>
          <w:numId w:val="6"/>
        </w:numPr>
        <w:spacing w:after="200" w:line="276" w:lineRule="auto"/>
        <w:ind w:left="567" w:hanging="425"/>
        <w:contextualSpacing/>
        <w:rPr>
          <w:rFonts w:ascii="Arial" w:eastAsia="Calibri" w:hAnsi="Arial" w:cs="Arial"/>
          <w:sz w:val="24"/>
          <w:szCs w:val="24"/>
          <w:lang w:eastAsia="en-GB"/>
        </w:rPr>
      </w:pPr>
      <w:r w:rsidRPr="005358E0">
        <w:rPr>
          <w:rFonts w:ascii="Arial" w:eastAsia="Calibri" w:hAnsi="Arial" w:cs="Arial"/>
          <w:sz w:val="24"/>
          <w:szCs w:val="24"/>
          <w:lang w:eastAsia="en-GB"/>
        </w:rPr>
        <w:t xml:space="preserve">Training across regions is </w:t>
      </w:r>
      <w:r w:rsidR="00C236B7">
        <w:rPr>
          <w:rFonts w:ascii="Arial" w:eastAsia="Calibri" w:hAnsi="Arial" w:cs="Arial"/>
          <w:sz w:val="24"/>
          <w:szCs w:val="24"/>
          <w:lang w:eastAsia="en-GB"/>
        </w:rPr>
        <w:t>mainly provided</w:t>
      </w:r>
      <w:r w:rsidRPr="005358E0">
        <w:rPr>
          <w:rFonts w:ascii="Arial" w:eastAsia="Calibri" w:hAnsi="Arial" w:cs="Arial"/>
          <w:sz w:val="24"/>
          <w:szCs w:val="24"/>
          <w:lang w:eastAsia="en-GB"/>
        </w:rPr>
        <w:t xml:space="preserve"> at the local authority level, </w:t>
      </w:r>
      <w:r w:rsidR="00614704">
        <w:rPr>
          <w:rFonts w:ascii="Arial" w:eastAsia="Calibri" w:hAnsi="Arial" w:cs="Arial"/>
          <w:sz w:val="24"/>
          <w:szCs w:val="24"/>
          <w:lang w:eastAsia="en-GB"/>
        </w:rPr>
        <w:t>and e</w:t>
      </w:r>
      <w:r w:rsidR="0056107A">
        <w:rPr>
          <w:rFonts w:ascii="Arial" w:eastAsia="Calibri" w:hAnsi="Arial" w:cs="Arial"/>
          <w:sz w:val="24"/>
          <w:szCs w:val="24"/>
          <w:lang w:eastAsia="en-GB"/>
        </w:rPr>
        <w:t>xamples are given by the</w:t>
      </w:r>
      <w:r w:rsidRPr="005358E0">
        <w:rPr>
          <w:rFonts w:ascii="Arial" w:eastAsia="Calibri" w:hAnsi="Arial" w:cs="Arial"/>
          <w:sz w:val="24"/>
          <w:szCs w:val="24"/>
          <w:lang w:eastAsia="en-GB"/>
        </w:rPr>
        <w:t xml:space="preserve"> </w:t>
      </w:r>
      <w:proofErr w:type="gramStart"/>
      <w:r w:rsidRPr="005358E0">
        <w:rPr>
          <w:rFonts w:ascii="Arial" w:eastAsia="Calibri" w:hAnsi="Arial" w:cs="Arial"/>
          <w:sz w:val="24"/>
          <w:szCs w:val="24"/>
          <w:lang w:eastAsia="en-GB"/>
        </w:rPr>
        <w:t>regions  of</w:t>
      </w:r>
      <w:proofErr w:type="gramEnd"/>
      <w:r w:rsidRPr="005358E0">
        <w:rPr>
          <w:rFonts w:ascii="Arial" w:eastAsia="Calibri" w:hAnsi="Arial" w:cs="Arial"/>
          <w:sz w:val="24"/>
          <w:szCs w:val="24"/>
          <w:lang w:eastAsia="en-GB"/>
        </w:rPr>
        <w:t xml:space="preserve"> this </w:t>
      </w:r>
      <w:r w:rsidR="0056107A">
        <w:rPr>
          <w:rFonts w:ascii="Arial" w:eastAsia="Calibri" w:hAnsi="Arial" w:cs="Arial"/>
          <w:sz w:val="24"/>
          <w:szCs w:val="24"/>
          <w:lang w:eastAsia="en-GB"/>
        </w:rPr>
        <w:t xml:space="preserve">range of </w:t>
      </w:r>
      <w:r w:rsidRPr="005358E0">
        <w:rPr>
          <w:rFonts w:ascii="Arial" w:eastAsia="Calibri" w:hAnsi="Arial" w:cs="Arial"/>
          <w:sz w:val="24"/>
          <w:szCs w:val="24"/>
          <w:lang w:eastAsia="en-GB"/>
        </w:rPr>
        <w:t xml:space="preserve">work. Learning and development is offered </w:t>
      </w:r>
      <w:r w:rsidR="0056107A">
        <w:rPr>
          <w:rFonts w:ascii="Arial" w:eastAsia="Calibri" w:hAnsi="Arial" w:cs="Arial"/>
          <w:sz w:val="24"/>
          <w:szCs w:val="24"/>
          <w:lang w:eastAsia="en-GB"/>
        </w:rPr>
        <w:t>by</w:t>
      </w:r>
      <w:r w:rsidRPr="005358E0">
        <w:rPr>
          <w:rFonts w:ascii="Arial" w:eastAsia="Calibri" w:hAnsi="Arial" w:cs="Arial"/>
          <w:sz w:val="24"/>
          <w:szCs w:val="24"/>
          <w:lang w:eastAsia="en-GB"/>
        </w:rPr>
        <w:t xml:space="preserve"> all regions and includes a mix of self-directed learning, online resources, virtual classrooms, and face-to-face training, reflecting a flexible and responsive approach to workforce development.</w:t>
      </w:r>
    </w:p>
    <w:p w14:paraId="03EE3D79" w14:textId="77777777" w:rsidR="002D35D3" w:rsidRPr="00C5775C" w:rsidRDefault="002D35D3" w:rsidP="00D97576">
      <w:pPr>
        <w:spacing w:after="200" w:line="276" w:lineRule="auto"/>
        <w:ind w:left="567"/>
        <w:contextualSpacing/>
        <w:rPr>
          <w:rFonts w:ascii="Arial" w:eastAsia="Calibri" w:hAnsi="Arial" w:cs="Arial"/>
          <w:sz w:val="24"/>
          <w:szCs w:val="24"/>
          <w:lang w:eastAsia="en-GB"/>
        </w:rPr>
      </w:pPr>
    </w:p>
    <w:p w14:paraId="55C475BC" w14:textId="61B0D7BE" w:rsidR="002D1B1F" w:rsidRPr="00C5775C" w:rsidRDefault="002D1B1F" w:rsidP="00632461">
      <w:pPr>
        <w:numPr>
          <w:ilvl w:val="0"/>
          <w:numId w:val="6"/>
        </w:numPr>
        <w:spacing w:after="200" w:line="276" w:lineRule="auto"/>
        <w:ind w:left="567" w:hanging="425"/>
        <w:contextualSpacing/>
        <w:rPr>
          <w:rFonts w:ascii="Arial" w:eastAsia="Calibri" w:hAnsi="Arial" w:cs="Arial"/>
          <w:sz w:val="24"/>
          <w:szCs w:val="24"/>
          <w:lang w:eastAsia="en-GB"/>
        </w:rPr>
      </w:pPr>
      <w:r w:rsidRPr="00C5775C">
        <w:rPr>
          <w:rFonts w:ascii="Arial" w:eastAsia="Calibri" w:hAnsi="Arial" w:cs="Arial"/>
          <w:sz w:val="24"/>
          <w:szCs w:val="24"/>
          <w:lang w:eastAsia="en-GB"/>
        </w:rPr>
        <w:t>All regions u</w:t>
      </w:r>
      <w:r w:rsidR="74444C96" w:rsidRPr="00C5775C">
        <w:rPr>
          <w:rFonts w:ascii="Arial" w:eastAsia="Calibri" w:hAnsi="Arial" w:cs="Arial"/>
          <w:sz w:val="24"/>
          <w:szCs w:val="24"/>
          <w:lang w:eastAsia="en-GB"/>
        </w:rPr>
        <w:t>se</w:t>
      </w:r>
      <w:r w:rsidRPr="00C5775C">
        <w:rPr>
          <w:rFonts w:ascii="Arial" w:eastAsia="Calibri" w:hAnsi="Arial" w:cs="Arial"/>
          <w:sz w:val="24"/>
          <w:szCs w:val="24"/>
          <w:lang w:eastAsia="en-GB"/>
        </w:rPr>
        <w:t xml:space="preserve"> learning platforms that are </w:t>
      </w:r>
      <w:r w:rsidR="00703456" w:rsidRPr="00C5775C">
        <w:rPr>
          <w:rFonts w:ascii="Arial" w:eastAsia="Calibri" w:hAnsi="Arial" w:cs="Arial"/>
          <w:sz w:val="24"/>
          <w:szCs w:val="24"/>
          <w:lang w:eastAsia="en-GB"/>
        </w:rPr>
        <w:t xml:space="preserve">available for </w:t>
      </w:r>
      <w:r w:rsidRPr="00C5775C">
        <w:rPr>
          <w:rFonts w:ascii="Arial" w:eastAsia="Calibri" w:hAnsi="Arial" w:cs="Arial"/>
          <w:sz w:val="24"/>
          <w:szCs w:val="24"/>
          <w:lang w:eastAsia="en-GB"/>
        </w:rPr>
        <w:t>internal and external providers.</w:t>
      </w:r>
    </w:p>
    <w:p w14:paraId="734DE465" w14:textId="77777777" w:rsidR="002477A0" w:rsidRPr="00C92ECE" w:rsidRDefault="002477A0" w:rsidP="00D97576">
      <w:pPr>
        <w:spacing w:after="200" w:line="276" w:lineRule="auto"/>
        <w:ind w:left="567"/>
        <w:contextualSpacing/>
        <w:rPr>
          <w:rFonts w:ascii="Arial" w:eastAsia="Calibri" w:hAnsi="Arial" w:cs="Arial"/>
          <w:sz w:val="24"/>
          <w:szCs w:val="24"/>
          <w:highlight w:val="yellow"/>
          <w:lang w:eastAsia="en-GB"/>
        </w:rPr>
      </w:pPr>
    </w:p>
    <w:p w14:paraId="55427962" w14:textId="77777777" w:rsidR="00BD12A5" w:rsidRPr="00B568F3" w:rsidRDefault="00BD12A5" w:rsidP="00C92ECE">
      <w:pPr>
        <w:spacing w:after="200" w:line="276" w:lineRule="auto"/>
        <w:ind w:left="2301"/>
        <w:contextualSpacing/>
        <w:rPr>
          <w:rFonts w:ascii="Arial" w:eastAsia="Calibri"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93359" w:rsidRPr="00B568F3" w14:paraId="20C620F1" w14:textId="77777777" w:rsidTr="4BA15C28">
        <w:tc>
          <w:tcPr>
            <w:tcW w:w="9026" w:type="dxa"/>
          </w:tcPr>
          <w:p w14:paraId="5C2F70D6" w14:textId="316B1AE1" w:rsidR="00693359" w:rsidRPr="00B568F3" w:rsidRDefault="1B29F7EB" w:rsidP="00FC716F">
            <w:pPr>
              <w:contextualSpacing/>
              <w:rPr>
                <w:rFonts w:ascii="Arial" w:eastAsia="Calibri" w:hAnsi="Arial" w:cs="Arial"/>
                <w:b/>
                <w:bCs/>
                <w:sz w:val="24"/>
                <w:szCs w:val="24"/>
              </w:rPr>
            </w:pPr>
            <w:r w:rsidRPr="00B568F3">
              <w:rPr>
                <w:rFonts w:ascii="Arial" w:eastAsia="Calibri" w:hAnsi="Arial" w:cs="Arial"/>
                <w:b/>
                <w:bCs/>
                <w:sz w:val="24"/>
                <w:szCs w:val="24"/>
              </w:rPr>
              <w:t>F</w:t>
            </w:r>
            <w:r w:rsidR="3C2EA369" w:rsidRPr="00B568F3">
              <w:rPr>
                <w:rFonts w:ascii="Arial" w:eastAsia="Calibri" w:hAnsi="Arial" w:cs="Arial"/>
                <w:b/>
                <w:bCs/>
                <w:sz w:val="24"/>
                <w:szCs w:val="24"/>
              </w:rPr>
              <w:t xml:space="preserve">igure </w:t>
            </w:r>
            <w:r w:rsidR="00453784">
              <w:rPr>
                <w:rFonts w:ascii="Arial" w:eastAsia="Calibri" w:hAnsi="Arial" w:cs="Arial"/>
                <w:b/>
                <w:bCs/>
                <w:sz w:val="24"/>
                <w:szCs w:val="24"/>
              </w:rPr>
              <w:t>6</w:t>
            </w:r>
            <w:r w:rsidR="3C2EA369" w:rsidRPr="00B568F3">
              <w:rPr>
                <w:rFonts w:ascii="Arial" w:eastAsia="Calibri" w:hAnsi="Arial" w:cs="Arial"/>
                <w:b/>
                <w:bCs/>
                <w:sz w:val="24"/>
                <w:szCs w:val="24"/>
              </w:rPr>
              <w:t xml:space="preserve">: </w:t>
            </w:r>
            <w:r w:rsidR="64B835D6" w:rsidRPr="00B568F3">
              <w:rPr>
                <w:rFonts w:ascii="Arial" w:eastAsia="Calibri" w:hAnsi="Arial" w:cs="Arial"/>
                <w:b/>
                <w:bCs/>
                <w:sz w:val="24"/>
                <w:szCs w:val="24"/>
              </w:rPr>
              <w:t xml:space="preserve">National, </w:t>
            </w:r>
            <w:r w:rsidR="008562CE" w:rsidRPr="00B568F3">
              <w:rPr>
                <w:rFonts w:ascii="Arial" w:eastAsia="Calibri" w:hAnsi="Arial" w:cs="Arial"/>
                <w:b/>
                <w:bCs/>
                <w:sz w:val="24"/>
                <w:szCs w:val="24"/>
              </w:rPr>
              <w:t>regional,</w:t>
            </w:r>
            <w:r w:rsidR="64B835D6" w:rsidRPr="00B568F3">
              <w:rPr>
                <w:rFonts w:ascii="Arial" w:eastAsia="Calibri" w:hAnsi="Arial" w:cs="Arial"/>
                <w:b/>
                <w:bCs/>
                <w:sz w:val="24"/>
                <w:szCs w:val="24"/>
              </w:rPr>
              <w:t xml:space="preserve"> and local priorities spend</w:t>
            </w:r>
            <w:r w:rsidR="3C2EA369" w:rsidRPr="00B568F3">
              <w:rPr>
                <w:rFonts w:ascii="Arial" w:eastAsia="Calibri" w:hAnsi="Arial" w:cs="Arial"/>
                <w:b/>
                <w:bCs/>
                <w:sz w:val="24"/>
                <w:szCs w:val="24"/>
              </w:rPr>
              <w:t xml:space="preserve">, </w:t>
            </w:r>
            <w:r w:rsidR="00A751DD" w:rsidRPr="00B568F3">
              <w:rPr>
                <w:rFonts w:ascii="Arial" w:eastAsia="Calibri" w:hAnsi="Arial" w:cs="Arial"/>
                <w:b/>
                <w:bCs/>
                <w:sz w:val="24"/>
                <w:szCs w:val="24"/>
              </w:rPr>
              <w:t>202</w:t>
            </w:r>
            <w:r w:rsidR="00A751DD">
              <w:rPr>
                <w:rFonts w:ascii="Arial" w:eastAsia="Calibri" w:hAnsi="Arial" w:cs="Arial"/>
                <w:b/>
                <w:bCs/>
                <w:sz w:val="24"/>
                <w:szCs w:val="24"/>
              </w:rPr>
              <w:t>4</w:t>
            </w:r>
            <w:r w:rsidR="00A751DD" w:rsidRPr="00B568F3">
              <w:rPr>
                <w:rFonts w:ascii="Arial" w:eastAsia="Calibri" w:hAnsi="Arial" w:cs="Arial"/>
                <w:b/>
                <w:bCs/>
                <w:sz w:val="24"/>
                <w:szCs w:val="24"/>
              </w:rPr>
              <w:t xml:space="preserve"> </w:t>
            </w:r>
            <w:r w:rsidR="001E4E7E" w:rsidRPr="00B568F3">
              <w:rPr>
                <w:rFonts w:ascii="Arial" w:eastAsia="Calibri" w:hAnsi="Arial" w:cs="Arial"/>
                <w:b/>
                <w:bCs/>
                <w:sz w:val="24"/>
                <w:szCs w:val="24"/>
              </w:rPr>
              <w:t xml:space="preserve">to </w:t>
            </w:r>
            <w:r w:rsidR="00A751DD" w:rsidRPr="00B568F3">
              <w:rPr>
                <w:rFonts w:ascii="Arial" w:eastAsia="Calibri" w:hAnsi="Arial" w:cs="Arial"/>
                <w:b/>
                <w:bCs/>
                <w:sz w:val="24"/>
                <w:szCs w:val="24"/>
              </w:rPr>
              <w:t>202</w:t>
            </w:r>
            <w:r w:rsidR="00A751DD">
              <w:rPr>
                <w:rFonts w:ascii="Arial" w:eastAsia="Calibri" w:hAnsi="Arial" w:cs="Arial"/>
                <w:b/>
                <w:bCs/>
                <w:sz w:val="24"/>
                <w:szCs w:val="24"/>
              </w:rPr>
              <w:t>5</w:t>
            </w:r>
            <w:r w:rsidR="00A751DD" w:rsidRPr="00B568F3">
              <w:rPr>
                <w:rFonts w:ascii="Arial" w:eastAsia="Calibri" w:hAnsi="Arial" w:cs="Arial"/>
                <w:b/>
                <w:bCs/>
                <w:sz w:val="24"/>
                <w:szCs w:val="24"/>
              </w:rPr>
              <w:t xml:space="preserve"> </w:t>
            </w:r>
          </w:p>
          <w:p w14:paraId="2308B9A1" w14:textId="77777777" w:rsidR="00693359" w:rsidRPr="00B568F3" w:rsidRDefault="00693359" w:rsidP="00FC716F">
            <w:pPr>
              <w:spacing w:before="120" w:after="120"/>
              <w:contextualSpacing/>
              <w:rPr>
                <w:rFonts w:ascii="Arial" w:eastAsia="Calibri" w:hAnsi="Arial" w:cs="Arial"/>
                <w:b/>
                <w:bCs/>
                <w:color w:val="FF0000"/>
                <w:sz w:val="24"/>
                <w:szCs w:val="24"/>
              </w:rPr>
            </w:pPr>
          </w:p>
        </w:tc>
      </w:tr>
      <w:tr w:rsidR="00693359" w:rsidRPr="00B568F3" w14:paraId="213D4ED2" w14:textId="77777777" w:rsidTr="006129D6">
        <w:tc>
          <w:tcPr>
            <w:tcW w:w="9026" w:type="dxa"/>
          </w:tcPr>
          <w:p w14:paraId="6BEA9404" w14:textId="2EDFF876" w:rsidR="00693359" w:rsidRPr="00B568F3" w:rsidRDefault="006129D6" w:rsidP="00FC716F">
            <w:pPr>
              <w:contextualSpacing/>
              <w:jc w:val="center"/>
              <w:rPr>
                <w:rFonts w:ascii="Arial" w:eastAsia="Calibri" w:hAnsi="Arial" w:cs="Arial"/>
                <w:color w:val="FF0000"/>
                <w:sz w:val="24"/>
                <w:szCs w:val="24"/>
              </w:rPr>
            </w:pPr>
            <w:r>
              <w:rPr>
                <w:noProof/>
              </w:rPr>
              <w:drawing>
                <wp:inline distT="0" distB="0" distL="0" distR="0" wp14:anchorId="614B92EB" wp14:editId="51BF0482">
                  <wp:extent cx="5731510" cy="4055745"/>
                  <wp:effectExtent l="0" t="0" r="2540" b="1905"/>
                  <wp:docPr id="987736913" name="Chart 1" descr="bar graph showing national, regional and local priorities spend">
                    <a:extLst xmlns:a="http://schemas.openxmlformats.org/drawingml/2006/main">
                      <a:ext uri="{FF2B5EF4-FFF2-40B4-BE49-F238E27FC236}">
                        <a16:creationId xmlns:a16="http://schemas.microsoft.com/office/drawing/2014/main" id="{EE4DAB4F-89D3-479F-9730-73B959556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DF0D67" w:rsidRPr="00B568F3" w14:paraId="2FAAE5A8" w14:textId="77777777" w:rsidTr="4BA15C28">
        <w:tc>
          <w:tcPr>
            <w:tcW w:w="9026" w:type="dxa"/>
          </w:tcPr>
          <w:p w14:paraId="2358114E" w14:textId="77777777" w:rsidR="00B31D49" w:rsidRDefault="00B31D49" w:rsidP="00FC716F">
            <w:pPr>
              <w:contextualSpacing/>
              <w:rPr>
                <w:rFonts w:ascii="Arial" w:eastAsia="Calibri" w:hAnsi="Arial" w:cs="Arial"/>
                <w:b/>
                <w:bCs/>
                <w:sz w:val="24"/>
                <w:szCs w:val="24"/>
              </w:rPr>
            </w:pPr>
          </w:p>
          <w:p w14:paraId="1036129F" w14:textId="77777777" w:rsidR="00B31D49" w:rsidRDefault="00B31D49" w:rsidP="00FC716F">
            <w:pPr>
              <w:contextualSpacing/>
              <w:rPr>
                <w:rFonts w:ascii="Arial" w:eastAsia="Calibri" w:hAnsi="Arial" w:cs="Arial"/>
                <w:b/>
                <w:bCs/>
                <w:sz w:val="24"/>
                <w:szCs w:val="24"/>
              </w:rPr>
            </w:pPr>
          </w:p>
          <w:p w14:paraId="4BD118A2" w14:textId="3AA79973" w:rsidR="00DF0D67" w:rsidRPr="00B568F3" w:rsidRDefault="07A36CEA" w:rsidP="00847CC3">
            <w:pPr>
              <w:contextualSpacing/>
              <w:rPr>
                <w:rFonts w:ascii="Arial" w:eastAsia="Calibri" w:hAnsi="Arial" w:cs="Arial"/>
                <w:b/>
                <w:bCs/>
                <w:color w:val="FF0000"/>
                <w:sz w:val="24"/>
                <w:szCs w:val="24"/>
              </w:rPr>
            </w:pPr>
            <w:r w:rsidRPr="001F3610">
              <w:rPr>
                <w:rFonts w:ascii="Arial" w:eastAsia="Calibri" w:hAnsi="Arial" w:cs="Arial"/>
                <w:b/>
                <w:bCs/>
                <w:sz w:val="24"/>
                <w:szCs w:val="24"/>
              </w:rPr>
              <w:lastRenderedPageBreak/>
              <w:t xml:space="preserve">Figure </w:t>
            </w:r>
            <w:r w:rsidR="00547446">
              <w:rPr>
                <w:rFonts w:ascii="Arial" w:eastAsia="Calibri" w:hAnsi="Arial" w:cs="Arial"/>
                <w:b/>
                <w:bCs/>
                <w:sz w:val="24"/>
                <w:szCs w:val="24"/>
              </w:rPr>
              <w:t>7</w:t>
            </w:r>
            <w:r w:rsidRPr="001F3610">
              <w:rPr>
                <w:rFonts w:ascii="Arial" w:eastAsia="Calibri" w:hAnsi="Arial" w:cs="Arial"/>
                <w:b/>
                <w:bCs/>
                <w:sz w:val="24"/>
                <w:szCs w:val="24"/>
              </w:rPr>
              <w:t xml:space="preserve">: National, </w:t>
            </w:r>
            <w:r w:rsidR="008562CE" w:rsidRPr="001F3610">
              <w:rPr>
                <w:rFonts w:ascii="Arial" w:eastAsia="Calibri" w:hAnsi="Arial" w:cs="Arial"/>
                <w:b/>
                <w:bCs/>
                <w:sz w:val="24"/>
                <w:szCs w:val="24"/>
              </w:rPr>
              <w:t>regional,</w:t>
            </w:r>
            <w:r w:rsidRPr="001F3610">
              <w:rPr>
                <w:rFonts w:ascii="Arial" w:eastAsia="Calibri" w:hAnsi="Arial" w:cs="Arial"/>
                <w:b/>
                <w:bCs/>
                <w:sz w:val="24"/>
                <w:szCs w:val="24"/>
              </w:rPr>
              <w:t xml:space="preserve"> and local priorities </w:t>
            </w:r>
            <w:r w:rsidR="001E4E7E" w:rsidRPr="001F3610">
              <w:rPr>
                <w:rFonts w:ascii="Arial" w:eastAsia="Calibri" w:hAnsi="Arial" w:cs="Arial"/>
                <w:b/>
                <w:bCs/>
                <w:sz w:val="24"/>
                <w:szCs w:val="24"/>
              </w:rPr>
              <w:t>percentage</w:t>
            </w:r>
            <w:r w:rsidR="67EE5DDD" w:rsidRPr="001F3610">
              <w:rPr>
                <w:rFonts w:ascii="Arial" w:eastAsia="Calibri" w:hAnsi="Arial" w:cs="Arial"/>
                <w:b/>
                <w:bCs/>
                <w:sz w:val="24"/>
                <w:szCs w:val="24"/>
              </w:rPr>
              <w:t xml:space="preserve"> </w:t>
            </w:r>
            <w:r w:rsidRPr="001F3610">
              <w:rPr>
                <w:rFonts w:ascii="Arial" w:eastAsia="Calibri" w:hAnsi="Arial" w:cs="Arial"/>
                <w:b/>
                <w:bCs/>
                <w:sz w:val="24"/>
                <w:szCs w:val="24"/>
              </w:rPr>
              <w:t xml:space="preserve">spend, </w:t>
            </w:r>
            <w:r w:rsidR="00AA79AC" w:rsidRPr="001F3610">
              <w:rPr>
                <w:rFonts w:ascii="Arial" w:eastAsia="Calibri" w:hAnsi="Arial" w:cs="Arial"/>
                <w:b/>
                <w:bCs/>
                <w:sz w:val="24"/>
                <w:szCs w:val="24"/>
              </w:rPr>
              <w:t>202</w:t>
            </w:r>
            <w:r w:rsidR="00AA79AC" w:rsidRPr="00C92ECE">
              <w:rPr>
                <w:rFonts w:ascii="Arial" w:eastAsia="Calibri" w:hAnsi="Arial" w:cs="Arial"/>
                <w:b/>
                <w:bCs/>
                <w:sz w:val="24"/>
                <w:szCs w:val="24"/>
              </w:rPr>
              <w:t>4</w:t>
            </w:r>
            <w:r w:rsidR="00AA79AC" w:rsidRPr="001F3610">
              <w:rPr>
                <w:rFonts w:ascii="Arial" w:eastAsia="Calibri" w:hAnsi="Arial" w:cs="Arial"/>
                <w:b/>
                <w:bCs/>
                <w:sz w:val="24"/>
                <w:szCs w:val="24"/>
              </w:rPr>
              <w:t xml:space="preserve"> </w:t>
            </w:r>
            <w:r w:rsidR="001E4E7E" w:rsidRPr="001F3610">
              <w:rPr>
                <w:rFonts w:ascii="Arial" w:eastAsia="Calibri" w:hAnsi="Arial" w:cs="Arial"/>
                <w:b/>
                <w:bCs/>
                <w:sz w:val="24"/>
                <w:szCs w:val="24"/>
              </w:rPr>
              <w:t xml:space="preserve">to </w:t>
            </w:r>
            <w:r w:rsidR="00AA79AC" w:rsidRPr="001F3610">
              <w:rPr>
                <w:rFonts w:ascii="Arial" w:eastAsia="Calibri" w:hAnsi="Arial" w:cs="Arial"/>
                <w:b/>
                <w:bCs/>
                <w:sz w:val="24"/>
                <w:szCs w:val="24"/>
              </w:rPr>
              <w:t>2025</w:t>
            </w:r>
            <w:r w:rsidR="00AA79AC" w:rsidRPr="00B568F3">
              <w:rPr>
                <w:rFonts w:ascii="Arial" w:eastAsia="Calibri" w:hAnsi="Arial" w:cs="Arial"/>
                <w:b/>
                <w:bCs/>
                <w:sz w:val="24"/>
                <w:szCs w:val="24"/>
              </w:rPr>
              <w:t xml:space="preserve"> </w:t>
            </w:r>
          </w:p>
        </w:tc>
      </w:tr>
      <w:tr w:rsidR="00DF0D67" w:rsidRPr="00B568F3" w14:paraId="0B97EBEF" w14:textId="77777777" w:rsidTr="00A63F78">
        <w:tc>
          <w:tcPr>
            <w:tcW w:w="9026" w:type="dxa"/>
          </w:tcPr>
          <w:p w14:paraId="4A391999" w14:textId="4B1262C1" w:rsidR="00DF0D67" w:rsidRPr="00B568F3" w:rsidRDefault="00A63F78" w:rsidP="00FC716F">
            <w:pPr>
              <w:contextualSpacing/>
              <w:jc w:val="center"/>
              <w:rPr>
                <w:rFonts w:ascii="Arial" w:eastAsia="Calibri" w:hAnsi="Arial" w:cs="Arial"/>
                <w:color w:val="FF0000"/>
                <w:sz w:val="24"/>
                <w:szCs w:val="24"/>
              </w:rPr>
            </w:pPr>
            <w:r>
              <w:rPr>
                <w:noProof/>
              </w:rPr>
              <w:lastRenderedPageBreak/>
              <w:drawing>
                <wp:inline distT="0" distB="0" distL="0" distR="0" wp14:anchorId="069EBB6F" wp14:editId="1198219A">
                  <wp:extent cx="5731510" cy="3914775"/>
                  <wp:effectExtent l="0" t="0" r="2540" b="0"/>
                  <wp:docPr id="1063389924" name="Chart 1" descr="bar chart showing national, regional and local priorities precentage spend">
                    <a:extLst xmlns:a="http://schemas.openxmlformats.org/drawingml/2006/main">
                      <a:ext uri="{FF2B5EF4-FFF2-40B4-BE49-F238E27FC236}">
                        <a16:creationId xmlns:a16="http://schemas.microsoft.com/office/drawing/2014/main" id="{E06DD931-1C27-4A5F-BB24-3FD82949E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58054E" w:rsidRPr="00B568F3" w14:paraId="6B84FE84" w14:textId="77777777">
        <w:tc>
          <w:tcPr>
            <w:tcW w:w="9026" w:type="dxa"/>
          </w:tcPr>
          <w:p w14:paraId="66DDE86A" w14:textId="72B582C9" w:rsidR="0058054E" w:rsidRPr="00B568F3" w:rsidRDefault="0058054E">
            <w:pPr>
              <w:contextualSpacing/>
              <w:rPr>
                <w:rFonts w:ascii="Arial" w:eastAsia="Calibri" w:hAnsi="Arial" w:cs="Arial"/>
                <w:b/>
                <w:bCs/>
                <w:sz w:val="24"/>
                <w:szCs w:val="24"/>
              </w:rPr>
            </w:pPr>
            <w:r w:rsidRPr="00B568F3">
              <w:rPr>
                <w:rFonts w:ascii="Arial" w:eastAsia="Calibri" w:hAnsi="Arial" w:cs="Arial"/>
                <w:b/>
                <w:bCs/>
                <w:sz w:val="24"/>
                <w:szCs w:val="24"/>
              </w:rPr>
              <w:t xml:space="preserve">Figure </w:t>
            </w:r>
            <w:r w:rsidR="00547446">
              <w:rPr>
                <w:rFonts w:ascii="Arial" w:eastAsia="Calibri" w:hAnsi="Arial" w:cs="Arial"/>
                <w:b/>
                <w:bCs/>
                <w:sz w:val="24"/>
                <w:szCs w:val="24"/>
              </w:rPr>
              <w:t>8</w:t>
            </w:r>
            <w:r w:rsidRPr="00B568F3">
              <w:rPr>
                <w:rFonts w:ascii="Arial" w:eastAsia="Calibri" w:hAnsi="Arial" w:cs="Arial"/>
                <w:b/>
                <w:bCs/>
                <w:sz w:val="24"/>
                <w:szCs w:val="24"/>
              </w:rPr>
              <w:t xml:space="preserve">: National, </w:t>
            </w:r>
            <w:r w:rsidR="008562CE" w:rsidRPr="00B568F3">
              <w:rPr>
                <w:rFonts w:ascii="Arial" w:eastAsia="Calibri" w:hAnsi="Arial" w:cs="Arial"/>
                <w:b/>
                <w:bCs/>
                <w:sz w:val="24"/>
                <w:szCs w:val="24"/>
              </w:rPr>
              <w:t>regional,</w:t>
            </w:r>
            <w:r w:rsidRPr="00B568F3">
              <w:rPr>
                <w:rFonts w:ascii="Arial" w:eastAsia="Calibri" w:hAnsi="Arial" w:cs="Arial"/>
                <w:b/>
                <w:bCs/>
                <w:sz w:val="24"/>
                <w:szCs w:val="24"/>
              </w:rPr>
              <w:t xml:space="preserve"> and local priorities </w:t>
            </w:r>
            <w:r w:rsidR="001E4E7E" w:rsidRPr="00B568F3">
              <w:rPr>
                <w:rFonts w:ascii="Arial" w:eastAsia="Calibri" w:hAnsi="Arial" w:cs="Arial"/>
                <w:b/>
                <w:bCs/>
                <w:sz w:val="24"/>
                <w:szCs w:val="24"/>
              </w:rPr>
              <w:t>percentage</w:t>
            </w:r>
            <w:r w:rsidRPr="00B568F3">
              <w:rPr>
                <w:rFonts w:ascii="Arial" w:eastAsia="Calibri" w:hAnsi="Arial" w:cs="Arial"/>
                <w:b/>
                <w:bCs/>
                <w:sz w:val="24"/>
                <w:szCs w:val="24"/>
              </w:rPr>
              <w:t xml:space="preserve"> change on spend, </w:t>
            </w:r>
            <w:r w:rsidR="00DF6B96" w:rsidRPr="00B568F3">
              <w:rPr>
                <w:rFonts w:ascii="Arial" w:eastAsia="Calibri" w:hAnsi="Arial" w:cs="Arial"/>
                <w:b/>
                <w:bCs/>
                <w:sz w:val="24"/>
                <w:szCs w:val="24"/>
              </w:rPr>
              <w:t>202</w:t>
            </w:r>
            <w:r w:rsidR="00DF6B96">
              <w:rPr>
                <w:rFonts w:ascii="Arial" w:eastAsia="Calibri" w:hAnsi="Arial" w:cs="Arial"/>
                <w:b/>
                <w:bCs/>
                <w:sz w:val="24"/>
                <w:szCs w:val="24"/>
              </w:rPr>
              <w:t>4</w:t>
            </w:r>
            <w:r w:rsidR="00DF6B96" w:rsidRPr="00B568F3">
              <w:rPr>
                <w:rFonts w:ascii="Arial" w:eastAsia="Calibri" w:hAnsi="Arial" w:cs="Arial"/>
                <w:b/>
                <w:bCs/>
                <w:sz w:val="24"/>
                <w:szCs w:val="24"/>
              </w:rPr>
              <w:t xml:space="preserve"> </w:t>
            </w:r>
            <w:r w:rsidR="001E4E7E" w:rsidRPr="00B568F3">
              <w:rPr>
                <w:rFonts w:ascii="Arial" w:eastAsia="Calibri" w:hAnsi="Arial" w:cs="Arial"/>
                <w:b/>
                <w:bCs/>
                <w:sz w:val="24"/>
                <w:szCs w:val="24"/>
              </w:rPr>
              <w:t xml:space="preserve">to </w:t>
            </w:r>
            <w:r w:rsidR="00DF6B96" w:rsidRPr="00B568F3">
              <w:rPr>
                <w:rFonts w:ascii="Arial" w:eastAsia="Calibri" w:hAnsi="Arial" w:cs="Arial"/>
                <w:b/>
                <w:bCs/>
                <w:sz w:val="24"/>
                <w:szCs w:val="24"/>
              </w:rPr>
              <w:t>202</w:t>
            </w:r>
            <w:r w:rsidR="00DF6B96">
              <w:rPr>
                <w:rFonts w:ascii="Arial" w:eastAsia="Calibri" w:hAnsi="Arial" w:cs="Arial"/>
                <w:b/>
                <w:bCs/>
                <w:sz w:val="24"/>
                <w:szCs w:val="24"/>
              </w:rPr>
              <w:t>5</w:t>
            </w:r>
            <w:r w:rsidR="00DF6B96" w:rsidRPr="00B568F3">
              <w:rPr>
                <w:rFonts w:ascii="Arial" w:eastAsia="Calibri" w:hAnsi="Arial" w:cs="Arial"/>
                <w:b/>
                <w:bCs/>
                <w:sz w:val="24"/>
                <w:szCs w:val="24"/>
              </w:rPr>
              <w:t xml:space="preserve"> </w:t>
            </w:r>
          </w:p>
          <w:p w14:paraId="6A2A156E" w14:textId="77777777" w:rsidR="0058054E" w:rsidRPr="00B568F3" w:rsidRDefault="0058054E">
            <w:pPr>
              <w:spacing w:before="120" w:after="120"/>
              <w:contextualSpacing/>
              <w:rPr>
                <w:rFonts w:ascii="Arial" w:eastAsia="Calibri" w:hAnsi="Arial" w:cs="Arial"/>
                <w:b/>
                <w:bCs/>
                <w:color w:val="FF0000"/>
                <w:sz w:val="24"/>
                <w:szCs w:val="24"/>
              </w:rPr>
            </w:pPr>
          </w:p>
        </w:tc>
      </w:tr>
      <w:tr w:rsidR="0058054E" w:rsidRPr="00B568F3" w14:paraId="6DB747A4" w14:textId="77777777" w:rsidTr="00110423">
        <w:tc>
          <w:tcPr>
            <w:tcW w:w="9026" w:type="dxa"/>
          </w:tcPr>
          <w:p w14:paraId="6824FAD2" w14:textId="022A29C8" w:rsidR="0058054E" w:rsidRPr="0014196B" w:rsidRDefault="00110423">
            <w:pPr>
              <w:contextualSpacing/>
              <w:jc w:val="center"/>
              <w:rPr>
                <w:rFonts w:ascii="Arial" w:eastAsia="Calibri" w:hAnsi="Arial" w:cs="Arial"/>
                <w:sz w:val="24"/>
                <w:szCs w:val="24"/>
              </w:rPr>
            </w:pPr>
            <w:r w:rsidRPr="00395A8F">
              <w:rPr>
                <w:noProof/>
              </w:rPr>
              <w:drawing>
                <wp:inline distT="0" distB="0" distL="0" distR="0" wp14:anchorId="0FA31C56" wp14:editId="17000C7E">
                  <wp:extent cx="5731510" cy="4055745"/>
                  <wp:effectExtent l="0" t="0" r="2540" b="1905"/>
                  <wp:docPr id="1918810198" name="Chart 1" descr="bar chart showing national, regional and local priorities precentage change on spend">
                    <a:extLst xmlns:a="http://schemas.openxmlformats.org/drawingml/2006/main">
                      <a:ext uri="{FF2B5EF4-FFF2-40B4-BE49-F238E27FC236}">
                        <a16:creationId xmlns:a16="http://schemas.microsoft.com/office/drawing/2014/main" id="{FD79C9C4-0EB3-400E-B2B9-1066C020F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4196B" w:rsidDel="00110423">
              <w:rPr>
                <w:rFonts w:ascii="Arial" w:eastAsia="Calibri" w:hAnsi="Arial" w:cs="Arial"/>
                <w:noProof/>
                <w:sz w:val="24"/>
                <w:szCs w:val="24"/>
              </w:rPr>
              <w:t xml:space="preserve"> </w:t>
            </w:r>
          </w:p>
        </w:tc>
      </w:tr>
    </w:tbl>
    <w:p w14:paraId="3091E10A" w14:textId="7308B62D" w:rsidR="00882465" w:rsidRPr="00B568F3" w:rsidRDefault="00250FBB"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lastRenderedPageBreak/>
        <w:t xml:space="preserve">Figure </w:t>
      </w:r>
      <w:r w:rsidR="00547446">
        <w:rPr>
          <w:rFonts w:ascii="Arial" w:eastAsia="Calibri" w:hAnsi="Arial" w:cs="Arial"/>
          <w:sz w:val="24"/>
          <w:szCs w:val="24"/>
          <w:lang w:eastAsia="en-GB"/>
        </w:rPr>
        <w:t>8</w:t>
      </w:r>
      <w:r w:rsidR="00547446" w:rsidRPr="00B568F3">
        <w:rPr>
          <w:rFonts w:ascii="Arial" w:eastAsia="Calibri" w:hAnsi="Arial" w:cs="Arial"/>
          <w:sz w:val="24"/>
          <w:szCs w:val="24"/>
          <w:lang w:eastAsia="en-GB"/>
        </w:rPr>
        <w:t xml:space="preserve"> </w:t>
      </w:r>
      <w:r w:rsidRPr="00B568F3">
        <w:rPr>
          <w:rFonts w:ascii="Arial" w:eastAsia="Calibri" w:hAnsi="Arial" w:cs="Arial"/>
          <w:sz w:val="24"/>
          <w:szCs w:val="24"/>
          <w:lang w:eastAsia="en-GB"/>
        </w:rPr>
        <w:t>shows the change in spend</w:t>
      </w:r>
      <w:r w:rsidRPr="00B568F3" w:rsidDel="00740706">
        <w:rPr>
          <w:rFonts w:ascii="Arial" w:eastAsia="Calibri" w:hAnsi="Arial" w:cs="Arial"/>
          <w:sz w:val="24"/>
          <w:szCs w:val="24"/>
          <w:lang w:eastAsia="en-GB"/>
        </w:rPr>
        <w:t xml:space="preserve"> </w:t>
      </w:r>
      <w:r w:rsidRPr="00B568F3">
        <w:rPr>
          <w:rFonts w:ascii="Arial" w:eastAsia="Calibri" w:hAnsi="Arial" w:cs="Arial"/>
          <w:sz w:val="24"/>
          <w:szCs w:val="24"/>
          <w:lang w:eastAsia="en-GB"/>
        </w:rPr>
        <w:t xml:space="preserve">on </w:t>
      </w:r>
      <w:r w:rsidR="00193E64" w:rsidRPr="00B568F3">
        <w:rPr>
          <w:rFonts w:ascii="Arial" w:eastAsia="Calibri" w:hAnsi="Arial" w:cs="Arial"/>
          <w:sz w:val="24"/>
          <w:szCs w:val="24"/>
          <w:lang w:eastAsia="en-GB"/>
        </w:rPr>
        <w:t>national</w:t>
      </w:r>
      <w:r w:rsidR="007610F2" w:rsidRPr="00B568F3">
        <w:rPr>
          <w:rFonts w:ascii="Arial" w:eastAsia="Calibri" w:hAnsi="Arial" w:cs="Arial"/>
          <w:sz w:val="24"/>
          <w:szCs w:val="24"/>
          <w:lang w:eastAsia="en-GB"/>
        </w:rPr>
        <w:t xml:space="preserve"> and other </w:t>
      </w:r>
      <w:r w:rsidR="00193E64" w:rsidRPr="00B568F3">
        <w:rPr>
          <w:rFonts w:ascii="Arial" w:eastAsia="Calibri" w:hAnsi="Arial" w:cs="Arial"/>
          <w:sz w:val="24"/>
          <w:szCs w:val="24"/>
          <w:lang w:eastAsia="en-GB"/>
        </w:rPr>
        <w:t>priorities</w:t>
      </w:r>
      <w:r w:rsidR="00C978C8" w:rsidRPr="00B568F3">
        <w:rPr>
          <w:rFonts w:ascii="Arial" w:eastAsia="Calibri" w:hAnsi="Arial" w:cs="Arial"/>
          <w:sz w:val="24"/>
          <w:szCs w:val="24"/>
          <w:lang w:eastAsia="en-GB"/>
        </w:rPr>
        <w:t xml:space="preserve"> and </w:t>
      </w:r>
      <w:r w:rsidR="00B41E85">
        <w:rPr>
          <w:rFonts w:ascii="Arial" w:eastAsia="Calibri" w:hAnsi="Arial" w:cs="Arial"/>
          <w:sz w:val="24"/>
          <w:szCs w:val="24"/>
          <w:lang w:eastAsia="en-GB"/>
        </w:rPr>
        <w:t>t</w:t>
      </w:r>
      <w:r w:rsidR="00C978C8" w:rsidRPr="00B568F3">
        <w:rPr>
          <w:rFonts w:ascii="Arial" w:eastAsia="Calibri" w:hAnsi="Arial" w:cs="Arial"/>
          <w:sz w:val="24"/>
          <w:szCs w:val="24"/>
          <w:lang w:eastAsia="en-GB"/>
        </w:rPr>
        <w:t>able 5</w:t>
      </w:r>
      <w:r w:rsidR="00C978C8" w:rsidRPr="00B568F3" w:rsidDel="00684287">
        <w:rPr>
          <w:rFonts w:ascii="Arial" w:eastAsia="Calibri" w:hAnsi="Arial" w:cs="Arial"/>
          <w:sz w:val="24"/>
          <w:szCs w:val="24"/>
          <w:lang w:eastAsia="en-GB"/>
        </w:rPr>
        <w:t xml:space="preserve"> </w:t>
      </w:r>
      <w:r w:rsidR="00684287" w:rsidRPr="00B568F3">
        <w:rPr>
          <w:rFonts w:ascii="Arial" w:eastAsia="Calibri" w:hAnsi="Arial" w:cs="Arial"/>
          <w:sz w:val="24"/>
          <w:szCs w:val="24"/>
          <w:lang w:eastAsia="en-GB"/>
        </w:rPr>
        <w:t>shows</w:t>
      </w:r>
      <w:r w:rsidR="00DA1CB0" w:rsidRPr="00B568F3">
        <w:rPr>
          <w:rFonts w:ascii="Arial" w:eastAsia="Calibri" w:hAnsi="Arial" w:cs="Arial"/>
          <w:sz w:val="24"/>
          <w:szCs w:val="24"/>
          <w:lang w:eastAsia="en-GB"/>
        </w:rPr>
        <w:t xml:space="preserve"> </w:t>
      </w:r>
      <w:r w:rsidR="00C978C8" w:rsidRPr="00B568F3">
        <w:rPr>
          <w:rFonts w:ascii="Arial" w:eastAsia="Calibri" w:hAnsi="Arial" w:cs="Arial"/>
          <w:sz w:val="24"/>
          <w:szCs w:val="24"/>
          <w:lang w:eastAsia="en-GB"/>
        </w:rPr>
        <w:t xml:space="preserve">the information for the last </w:t>
      </w:r>
      <w:r w:rsidR="00666CCE">
        <w:rPr>
          <w:rFonts w:ascii="Arial" w:eastAsia="Calibri" w:hAnsi="Arial" w:cs="Arial"/>
          <w:sz w:val="24"/>
          <w:szCs w:val="24"/>
          <w:lang w:eastAsia="en-GB"/>
        </w:rPr>
        <w:t>three</w:t>
      </w:r>
      <w:r w:rsidR="00C978C8" w:rsidRPr="00B568F3">
        <w:rPr>
          <w:rFonts w:ascii="Arial" w:eastAsia="Calibri" w:hAnsi="Arial" w:cs="Arial"/>
          <w:sz w:val="24"/>
          <w:szCs w:val="24"/>
          <w:lang w:eastAsia="en-GB"/>
        </w:rPr>
        <w:t xml:space="preserve"> financial years.</w:t>
      </w:r>
      <w:r w:rsidRPr="00B568F3">
        <w:rPr>
          <w:rFonts w:ascii="Arial" w:eastAsia="Calibri" w:hAnsi="Arial" w:cs="Arial"/>
          <w:sz w:val="24"/>
          <w:szCs w:val="24"/>
          <w:lang w:eastAsia="en-GB"/>
        </w:rPr>
        <w:t xml:space="preserve"> </w:t>
      </w:r>
    </w:p>
    <w:p w14:paraId="10E92EE7" w14:textId="77777777" w:rsidR="009E1FFF" w:rsidRPr="00B568F3" w:rsidRDefault="009E1FFF" w:rsidP="003766F9">
      <w:pPr>
        <w:spacing w:after="200" w:line="276" w:lineRule="auto"/>
        <w:ind w:left="567"/>
        <w:contextualSpacing/>
        <w:rPr>
          <w:rFonts w:ascii="Arial" w:eastAsia="Calibri" w:hAnsi="Arial" w:cs="Arial"/>
          <w:sz w:val="24"/>
          <w:szCs w:val="24"/>
          <w:lang w:eastAsia="en-GB"/>
        </w:rPr>
      </w:pPr>
    </w:p>
    <w:p w14:paraId="6C696DC9" w14:textId="3041E3BF" w:rsidR="000C47DF" w:rsidRPr="00791BCD" w:rsidRDefault="003354F9" w:rsidP="000C47DF">
      <w:pPr>
        <w:numPr>
          <w:ilvl w:val="0"/>
          <w:numId w:val="6"/>
        </w:numPr>
        <w:spacing w:after="200" w:line="276" w:lineRule="auto"/>
        <w:ind w:left="567" w:hanging="425"/>
        <w:contextualSpacing/>
        <w:rPr>
          <w:rFonts w:ascii="Arial" w:eastAsia="Calibri" w:hAnsi="Arial" w:cs="Arial"/>
          <w:sz w:val="24"/>
          <w:szCs w:val="24"/>
          <w:lang w:eastAsia="en-GB"/>
        </w:rPr>
      </w:pPr>
      <w:r w:rsidRPr="52203127">
        <w:rPr>
          <w:rFonts w:ascii="Arial" w:eastAsia="Calibri" w:hAnsi="Arial" w:cs="Arial"/>
          <w:sz w:val="24"/>
          <w:szCs w:val="24"/>
          <w:lang w:eastAsia="en-GB"/>
        </w:rPr>
        <w:t>T</w:t>
      </w:r>
      <w:r w:rsidR="00F51E2F" w:rsidRPr="52203127">
        <w:rPr>
          <w:rFonts w:ascii="Arial" w:eastAsia="Calibri" w:hAnsi="Arial" w:cs="Arial"/>
          <w:sz w:val="24"/>
          <w:szCs w:val="24"/>
          <w:lang w:eastAsia="en-GB"/>
        </w:rPr>
        <w:t xml:space="preserve">here was an increase in </w:t>
      </w:r>
      <w:r w:rsidRPr="52203127">
        <w:rPr>
          <w:rFonts w:ascii="Arial" w:eastAsia="Calibri" w:hAnsi="Arial" w:cs="Arial"/>
          <w:sz w:val="24"/>
          <w:szCs w:val="24"/>
          <w:lang w:eastAsia="en-GB"/>
        </w:rPr>
        <w:t xml:space="preserve">SCWWDP </w:t>
      </w:r>
      <w:r w:rsidR="00F51E2F" w:rsidRPr="52203127">
        <w:rPr>
          <w:rFonts w:ascii="Arial" w:eastAsia="Calibri" w:hAnsi="Arial" w:cs="Arial"/>
          <w:sz w:val="24"/>
          <w:szCs w:val="24"/>
          <w:lang w:eastAsia="en-GB"/>
        </w:rPr>
        <w:t xml:space="preserve">spend on </w:t>
      </w:r>
      <w:r w:rsidR="008447DB" w:rsidRPr="52203127">
        <w:rPr>
          <w:rFonts w:ascii="Arial" w:eastAsia="Calibri" w:hAnsi="Arial" w:cs="Arial"/>
          <w:sz w:val="24"/>
          <w:szCs w:val="24"/>
          <w:lang w:eastAsia="en-GB"/>
        </w:rPr>
        <w:t>workforce shape and supply</w:t>
      </w:r>
      <w:r w:rsidR="000405DA" w:rsidRPr="52203127">
        <w:rPr>
          <w:rFonts w:ascii="Arial" w:eastAsia="Calibri" w:hAnsi="Arial" w:cs="Arial"/>
          <w:sz w:val="24"/>
          <w:szCs w:val="24"/>
          <w:lang w:eastAsia="en-GB"/>
        </w:rPr>
        <w:t xml:space="preserve"> </w:t>
      </w:r>
      <w:r w:rsidR="00F51E2F" w:rsidRPr="52203127">
        <w:rPr>
          <w:rFonts w:ascii="Arial" w:eastAsia="Calibri" w:hAnsi="Arial" w:cs="Arial"/>
          <w:sz w:val="24"/>
          <w:szCs w:val="24"/>
          <w:lang w:eastAsia="en-GB"/>
        </w:rPr>
        <w:t>(+</w:t>
      </w:r>
      <w:r w:rsidR="000E7C20" w:rsidRPr="52203127">
        <w:rPr>
          <w:rFonts w:ascii="Arial" w:eastAsia="Calibri" w:hAnsi="Arial" w:cs="Arial"/>
          <w:sz w:val="24"/>
          <w:szCs w:val="24"/>
          <w:lang w:eastAsia="en-GB"/>
        </w:rPr>
        <w:t>24.2</w:t>
      </w:r>
      <w:r w:rsidR="001F4342" w:rsidRPr="52203127">
        <w:rPr>
          <w:rFonts w:ascii="Arial" w:eastAsia="Calibri" w:hAnsi="Arial" w:cs="Arial"/>
          <w:sz w:val="24"/>
          <w:szCs w:val="24"/>
          <w:lang w:eastAsia="en-GB"/>
        </w:rPr>
        <w:t xml:space="preserve"> per cent</w:t>
      </w:r>
      <w:r w:rsidR="00F51E2F" w:rsidRPr="52203127">
        <w:rPr>
          <w:rFonts w:ascii="Arial" w:eastAsia="Calibri" w:hAnsi="Arial" w:cs="Arial"/>
          <w:sz w:val="24"/>
          <w:szCs w:val="24"/>
          <w:lang w:eastAsia="en-GB"/>
        </w:rPr>
        <w:t xml:space="preserve">) </w:t>
      </w:r>
      <w:r w:rsidR="009F4EFF" w:rsidRPr="52203127">
        <w:rPr>
          <w:rFonts w:ascii="Arial" w:eastAsia="Calibri" w:hAnsi="Arial" w:cs="Arial"/>
          <w:sz w:val="24"/>
          <w:szCs w:val="24"/>
          <w:lang w:eastAsia="en-GB"/>
        </w:rPr>
        <w:t>compared to the previous year</w:t>
      </w:r>
      <w:r w:rsidR="006276ED" w:rsidRPr="52203127">
        <w:rPr>
          <w:rFonts w:ascii="Arial" w:eastAsia="Calibri" w:hAnsi="Arial" w:cs="Arial"/>
          <w:sz w:val="24"/>
          <w:szCs w:val="24"/>
          <w:lang w:eastAsia="en-GB"/>
        </w:rPr>
        <w:t>, whi</w:t>
      </w:r>
      <w:r w:rsidR="00DA1CB0" w:rsidRPr="52203127">
        <w:rPr>
          <w:rFonts w:ascii="Arial" w:eastAsia="Calibri" w:hAnsi="Arial" w:cs="Arial"/>
          <w:sz w:val="24"/>
          <w:szCs w:val="24"/>
          <w:lang w:eastAsia="en-GB"/>
        </w:rPr>
        <w:t>le</w:t>
      </w:r>
      <w:r w:rsidR="006276ED" w:rsidRPr="52203127">
        <w:rPr>
          <w:rFonts w:ascii="Arial" w:eastAsia="Calibri" w:hAnsi="Arial" w:cs="Arial"/>
          <w:sz w:val="24"/>
          <w:szCs w:val="24"/>
          <w:lang w:eastAsia="en-GB"/>
        </w:rPr>
        <w:t xml:space="preserve"> spend on all other priorities declined</w:t>
      </w:r>
      <w:r w:rsidR="00320A31" w:rsidRPr="52203127">
        <w:rPr>
          <w:rFonts w:ascii="Arial" w:eastAsia="Calibri" w:hAnsi="Arial" w:cs="Arial"/>
          <w:sz w:val="24"/>
          <w:szCs w:val="24"/>
          <w:lang w:eastAsia="en-GB"/>
        </w:rPr>
        <w:t xml:space="preserve">. </w:t>
      </w:r>
      <w:r w:rsidR="00CE3F4B" w:rsidRPr="52203127">
        <w:rPr>
          <w:rFonts w:ascii="Arial" w:eastAsia="Calibri" w:hAnsi="Arial" w:cs="Arial"/>
          <w:sz w:val="24"/>
          <w:szCs w:val="24"/>
          <w:lang w:eastAsia="en-GB"/>
        </w:rPr>
        <w:t>Althoug</w:t>
      </w:r>
      <w:r w:rsidR="00542398" w:rsidRPr="52203127">
        <w:rPr>
          <w:rFonts w:ascii="Arial" w:eastAsia="Calibri" w:hAnsi="Arial" w:cs="Arial"/>
          <w:sz w:val="24"/>
          <w:szCs w:val="24"/>
          <w:lang w:eastAsia="en-GB"/>
        </w:rPr>
        <w:t xml:space="preserve">h a decline in spend compared to the previous year it must be noted that when </w:t>
      </w:r>
      <w:r w:rsidR="004804E8" w:rsidRPr="52203127">
        <w:rPr>
          <w:rFonts w:ascii="Arial" w:eastAsia="Calibri" w:hAnsi="Arial" w:cs="Arial"/>
          <w:sz w:val="24"/>
          <w:szCs w:val="24"/>
          <w:lang w:eastAsia="en-GB"/>
        </w:rPr>
        <w:t xml:space="preserve">looking over the last three years the </w:t>
      </w:r>
      <w:r w:rsidR="003B16E6" w:rsidRPr="52203127">
        <w:rPr>
          <w:rFonts w:ascii="Arial" w:eastAsia="Calibri" w:hAnsi="Arial" w:cs="Arial"/>
          <w:sz w:val="24"/>
          <w:szCs w:val="24"/>
          <w:lang w:eastAsia="en-GB"/>
        </w:rPr>
        <w:t xml:space="preserve">spend as a </w:t>
      </w:r>
      <w:r w:rsidR="004804E8" w:rsidRPr="52203127">
        <w:rPr>
          <w:rFonts w:ascii="Arial" w:eastAsia="Calibri" w:hAnsi="Arial" w:cs="Arial"/>
          <w:sz w:val="24"/>
          <w:szCs w:val="24"/>
          <w:lang w:eastAsia="en-GB"/>
        </w:rPr>
        <w:t xml:space="preserve">proportion of the SCWWDP grant on each of the national priorities has </w:t>
      </w:r>
      <w:r w:rsidR="00D751BA">
        <w:rPr>
          <w:rFonts w:ascii="Arial" w:eastAsia="Calibri" w:hAnsi="Arial" w:cs="Arial"/>
          <w:sz w:val="24"/>
          <w:szCs w:val="24"/>
          <w:lang w:eastAsia="en-GB"/>
        </w:rPr>
        <w:t>stayed about the same</w:t>
      </w:r>
      <w:r w:rsidR="4BA011E9" w:rsidRPr="52203127">
        <w:rPr>
          <w:rFonts w:ascii="Arial" w:eastAsia="Calibri" w:hAnsi="Arial" w:cs="Arial"/>
          <w:sz w:val="24"/>
          <w:szCs w:val="24"/>
          <w:lang w:eastAsia="en-GB"/>
        </w:rPr>
        <w:t>.</w:t>
      </w:r>
    </w:p>
    <w:p w14:paraId="06B4E791" w14:textId="77777777" w:rsidR="000C47DF" w:rsidRDefault="000C47DF" w:rsidP="00C92ECE">
      <w:pPr>
        <w:spacing w:after="200" w:line="276" w:lineRule="auto"/>
        <w:ind w:left="567"/>
        <w:contextualSpacing/>
        <w:rPr>
          <w:rFonts w:ascii="Arial" w:eastAsia="Calibri" w:hAnsi="Arial" w:cs="Arial"/>
          <w:sz w:val="24"/>
          <w:szCs w:val="24"/>
          <w:lang w:eastAsia="en-GB"/>
        </w:rPr>
      </w:pPr>
    </w:p>
    <w:p w14:paraId="33DCBF08" w14:textId="240610C1" w:rsidR="006B2A6B" w:rsidRDefault="001617AD" w:rsidP="006B2A6B">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The </w:t>
      </w:r>
      <w:r w:rsidR="006F0EC2">
        <w:rPr>
          <w:rFonts w:ascii="Arial" w:eastAsia="Calibri" w:hAnsi="Arial" w:cs="Arial"/>
          <w:sz w:val="24"/>
          <w:szCs w:val="24"/>
          <w:lang w:eastAsia="en-GB"/>
        </w:rPr>
        <w:t>greatest</w:t>
      </w:r>
      <w:r>
        <w:rPr>
          <w:rFonts w:ascii="Arial" w:eastAsia="Calibri" w:hAnsi="Arial" w:cs="Arial"/>
          <w:sz w:val="24"/>
          <w:szCs w:val="24"/>
          <w:lang w:eastAsia="en-GB"/>
        </w:rPr>
        <w:t xml:space="preserve"> increase </w:t>
      </w:r>
      <w:r w:rsidR="00084823">
        <w:rPr>
          <w:rFonts w:ascii="Arial" w:eastAsia="Calibri" w:hAnsi="Arial" w:cs="Arial"/>
          <w:sz w:val="24"/>
          <w:szCs w:val="24"/>
          <w:lang w:eastAsia="en-GB"/>
        </w:rPr>
        <w:t xml:space="preserve">SCWWDP spend and </w:t>
      </w:r>
      <w:r>
        <w:rPr>
          <w:rFonts w:ascii="Arial" w:eastAsia="Calibri" w:hAnsi="Arial" w:cs="Arial"/>
          <w:sz w:val="24"/>
          <w:szCs w:val="24"/>
          <w:lang w:eastAsia="en-GB"/>
        </w:rPr>
        <w:t xml:space="preserve">local authority spending </w:t>
      </w:r>
      <w:r w:rsidR="00084823">
        <w:rPr>
          <w:rFonts w:ascii="Arial" w:eastAsia="Calibri" w:hAnsi="Arial" w:cs="Arial"/>
          <w:sz w:val="24"/>
          <w:szCs w:val="24"/>
          <w:lang w:eastAsia="en-GB"/>
        </w:rPr>
        <w:t xml:space="preserve">on national </w:t>
      </w:r>
      <w:r w:rsidR="00CF46C4">
        <w:rPr>
          <w:rFonts w:ascii="Arial" w:eastAsia="Calibri" w:hAnsi="Arial" w:cs="Arial"/>
          <w:sz w:val="24"/>
          <w:szCs w:val="24"/>
          <w:lang w:eastAsia="en-GB"/>
        </w:rPr>
        <w:t>priorities</w:t>
      </w:r>
      <w:r w:rsidR="00084823">
        <w:rPr>
          <w:rFonts w:ascii="Arial" w:eastAsia="Calibri" w:hAnsi="Arial" w:cs="Arial"/>
          <w:sz w:val="24"/>
          <w:szCs w:val="24"/>
          <w:lang w:eastAsia="en-GB"/>
        </w:rPr>
        <w:t xml:space="preserve"> was on </w:t>
      </w:r>
      <w:r w:rsidR="0035469E">
        <w:rPr>
          <w:rFonts w:ascii="Arial" w:eastAsia="Calibri" w:hAnsi="Arial" w:cs="Arial"/>
          <w:sz w:val="24"/>
          <w:szCs w:val="24"/>
          <w:lang w:eastAsia="en-GB"/>
        </w:rPr>
        <w:t>the workforce</w:t>
      </w:r>
      <w:r w:rsidR="00991854">
        <w:rPr>
          <w:rFonts w:ascii="Arial" w:eastAsia="Calibri" w:hAnsi="Arial" w:cs="Arial"/>
          <w:sz w:val="24"/>
          <w:szCs w:val="24"/>
          <w:lang w:eastAsia="en-GB"/>
        </w:rPr>
        <w:t xml:space="preserve"> shape and supply </w:t>
      </w:r>
      <w:r w:rsidR="006B759E">
        <w:rPr>
          <w:rFonts w:ascii="Arial" w:eastAsia="Calibri" w:hAnsi="Arial" w:cs="Arial"/>
          <w:sz w:val="24"/>
          <w:szCs w:val="24"/>
          <w:lang w:eastAsia="en-GB"/>
        </w:rPr>
        <w:t xml:space="preserve">national priority </w:t>
      </w:r>
      <w:r w:rsidR="00991854">
        <w:rPr>
          <w:rFonts w:ascii="Arial" w:eastAsia="Calibri" w:hAnsi="Arial" w:cs="Arial"/>
          <w:sz w:val="24"/>
          <w:szCs w:val="24"/>
          <w:lang w:eastAsia="en-GB"/>
        </w:rPr>
        <w:t>(</w:t>
      </w:r>
      <w:r w:rsidR="00084823">
        <w:rPr>
          <w:rFonts w:ascii="Arial" w:eastAsia="Calibri" w:hAnsi="Arial" w:cs="Arial"/>
          <w:sz w:val="24"/>
          <w:szCs w:val="24"/>
          <w:lang w:eastAsia="en-GB"/>
        </w:rPr>
        <w:t xml:space="preserve">+ 24.2 per cent and </w:t>
      </w:r>
      <w:r w:rsidR="00991854">
        <w:rPr>
          <w:rFonts w:ascii="Arial" w:eastAsia="Calibri" w:hAnsi="Arial" w:cs="Arial"/>
          <w:sz w:val="24"/>
          <w:szCs w:val="24"/>
          <w:lang w:eastAsia="en-GB"/>
        </w:rPr>
        <w:t>+102.7 per cent</w:t>
      </w:r>
      <w:r w:rsidR="00084823">
        <w:rPr>
          <w:rFonts w:ascii="Arial" w:eastAsia="Calibri" w:hAnsi="Arial" w:cs="Arial"/>
          <w:sz w:val="24"/>
          <w:szCs w:val="24"/>
          <w:lang w:eastAsia="en-GB"/>
        </w:rPr>
        <w:t xml:space="preserve"> </w:t>
      </w:r>
      <w:r w:rsidR="00CF46C4">
        <w:rPr>
          <w:rFonts w:ascii="Arial" w:eastAsia="Calibri" w:hAnsi="Arial" w:cs="Arial"/>
          <w:sz w:val="24"/>
          <w:szCs w:val="24"/>
          <w:lang w:eastAsia="en-GB"/>
        </w:rPr>
        <w:t>respectively</w:t>
      </w:r>
      <w:r w:rsidR="00991854">
        <w:rPr>
          <w:rFonts w:ascii="Arial" w:eastAsia="Calibri" w:hAnsi="Arial" w:cs="Arial"/>
          <w:sz w:val="24"/>
          <w:szCs w:val="24"/>
          <w:lang w:eastAsia="en-GB"/>
        </w:rPr>
        <w:t>)</w:t>
      </w:r>
      <w:r w:rsidR="002478A7">
        <w:rPr>
          <w:rFonts w:ascii="Arial" w:eastAsia="Calibri" w:hAnsi="Arial" w:cs="Arial"/>
          <w:sz w:val="24"/>
          <w:szCs w:val="24"/>
          <w:lang w:eastAsia="en-GB"/>
        </w:rPr>
        <w:t xml:space="preserve">. </w:t>
      </w:r>
    </w:p>
    <w:p w14:paraId="074969B1" w14:textId="77777777" w:rsidR="006B2A6B" w:rsidRPr="00C92ECE" w:rsidRDefault="006B2A6B" w:rsidP="00C92ECE">
      <w:pPr>
        <w:spacing w:after="200" w:line="276" w:lineRule="auto"/>
        <w:contextualSpacing/>
        <w:rPr>
          <w:rFonts w:ascii="Arial" w:eastAsia="Calibri" w:hAnsi="Arial" w:cs="Arial"/>
          <w:sz w:val="24"/>
          <w:szCs w:val="24"/>
          <w:lang w:eastAsia="en-GB"/>
        </w:rPr>
      </w:pPr>
    </w:p>
    <w:p w14:paraId="211EDD0C" w14:textId="26A988B7" w:rsidR="006F0EC2" w:rsidRPr="00C92ECE" w:rsidRDefault="00FD0F26" w:rsidP="006F0EC2">
      <w:pPr>
        <w:numPr>
          <w:ilvl w:val="0"/>
          <w:numId w:val="6"/>
        </w:numPr>
        <w:spacing w:after="200" w:line="276" w:lineRule="auto"/>
        <w:ind w:left="567" w:hanging="425"/>
        <w:contextualSpacing/>
        <w:rPr>
          <w:rFonts w:ascii="Arial" w:eastAsia="Calibri" w:hAnsi="Arial" w:cs="Arial"/>
          <w:sz w:val="24"/>
          <w:szCs w:val="24"/>
          <w:lang w:eastAsia="en-GB"/>
        </w:rPr>
      </w:pPr>
      <w:r w:rsidRPr="00C92ECE">
        <w:rPr>
          <w:rFonts w:ascii="Arial" w:eastAsia="Calibri" w:hAnsi="Arial" w:cs="Arial"/>
          <w:sz w:val="24"/>
          <w:szCs w:val="24"/>
          <w:lang w:eastAsia="en-GB"/>
        </w:rPr>
        <w:t>It</w:t>
      </w:r>
      <w:r w:rsidR="00744AB7">
        <w:rPr>
          <w:rFonts w:ascii="Arial" w:eastAsia="Calibri" w:hAnsi="Arial" w:cs="Arial"/>
          <w:sz w:val="24"/>
          <w:szCs w:val="24"/>
          <w:lang w:eastAsia="en-GB"/>
        </w:rPr>
        <w:t>’</w:t>
      </w:r>
      <w:r w:rsidRPr="00C92ECE">
        <w:rPr>
          <w:rFonts w:ascii="Arial" w:eastAsia="Calibri" w:hAnsi="Arial" w:cs="Arial"/>
          <w:sz w:val="24"/>
          <w:szCs w:val="24"/>
          <w:lang w:eastAsia="en-GB"/>
        </w:rPr>
        <w:t>s encouraging to see an increase</w:t>
      </w:r>
      <w:r w:rsidR="00D21113">
        <w:rPr>
          <w:rFonts w:ascii="Arial" w:eastAsia="Calibri" w:hAnsi="Arial" w:cs="Arial"/>
          <w:sz w:val="24"/>
          <w:szCs w:val="24"/>
          <w:lang w:eastAsia="en-GB"/>
        </w:rPr>
        <w:t>d focus</w:t>
      </w:r>
      <w:r w:rsidRPr="00C92ECE">
        <w:rPr>
          <w:rFonts w:ascii="Arial" w:eastAsia="Calibri" w:hAnsi="Arial" w:cs="Arial"/>
          <w:sz w:val="24"/>
          <w:szCs w:val="24"/>
          <w:lang w:eastAsia="en-GB"/>
        </w:rPr>
        <w:t xml:space="preserve"> in </w:t>
      </w:r>
      <w:r w:rsidR="002478A7">
        <w:rPr>
          <w:rFonts w:ascii="Arial" w:eastAsia="Calibri" w:hAnsi="Arial" w:cs="Arial"/>
          <w:sz w:val="24"/>
          <w:szCs w:val="24"/>
          <w:lang w:eastAsia="en-GB"/>
        </w:rPr>
        <w:t xml:space="preserve">this </w:t>
      </w:r>
      <w:r w:rsidRPr="00C92ECE">
        <w:rPr>
          <w:rFonts w:ascii="Arial" w:eastAsia="Calibri" w:hAnsi="Arial" w:cs="Arial"/>
          <w:sz w:val="24"/>
          <w:szCs w:val="24"/>
          <w:lang w:eastAsia="en-GB"/>
        </w:rPr>
        <w:t xml:space="preserve">national priority, reflecting the targeted work and support around workforce planning over recent years. In 2023, we carried out a </w:t>
      </w:r>
      <w:hyperlink r:id="rId25" w:history="1">
        <w:r w:rsidRPr="00EF3799">
          <w:rPr>
            <w:rStyle w:val="Hyperlink"/>
            <w:rFonts w:ascii="Arial" w:eastAsia="Calibri" w:hAnsi="Arial" w:cs="Arial"/>
            <w:sz w:val="24"/>
            <w:szCs w:val="24"/>
            <w:lang w:eastAsia="en-GB"/>
          </w:rPr>
          <w:t>maturity scoping exercise</w:t>
        </w:r>
      </w:hyperlink>
      <w:r w:rsidRPr="00C92ECE">
        <w:rPr>
          <w:rFonts w:ascii="Arial" w:eastAsia="Calibri" w:hAnsi="Arial" w:cs="Arial"/>
          <w:sz w:val="24"/>
          <w:szCs w:val="24"/>
          <w:lang w:eastAsia="en-GB"/>
        </w:rPr>
        <w:t xml:space="preserve"> to assess where each local authority was on its workforce planning journey. Building on these insights, we partnered with the WLGA and commissioned the Local Government Association (England) to deliver a series of workshops and sessions </w:t>
      </w:r>
      <w:r w:rsidR="001F06FD" w:rsidRPr="00C92ECE">
        <w:rPr>
          <w:rFonts w:ascii="Arial" w:eastAsia="Calibri" w:hAnsi="Arial" w:cs="Arial"/>
          <w:sz w:val="24"/>
          <w:szCs w:val="24"/>
          <w:lang w:eastAsia="en-GB"/>
        </w:rPr>
        <w:t>during 2024 to 2025</w:t>
      </w:r>
      <w:r w:rsidRPr="00C92ECE">
        <w:rPr>
          <w:rFonts w:ascii="Arial" w:eastAsia="Calibri" w:hAnsi="Arial" w:cs="Arial"/>
          <w:sz w:val="24"/>
          <w:szCs w:val="24"/>
          <w:lang w:eastAsia="en-GB"/>
        </w:rPr>
        <w:t xml:space="preserve">. These </w:t>
      </w:r>
      <w:r w:rsidR="00A836AA" w:rsidRPr="00C92ECE">
        <w:rPr>
          <w:rFonts w:ascii="Arial" w:eastAsia="Calibri" w:hAnsi="Arial" w:cs="Arial"/>
          <w:sz w:val="24"/>
          <w:szCs w:val="24"/>
          <w:lang w:eastAsia="en-GB"/>
        </w:rPr>
        <w:t xml:space="preserve">were </w:t>
      </w:r>
      <w:r w:rsidRPr="00C92ECE">
        <w:rPr>
          <w:rFonts w:ascii="Arial" w:eastAsia="Calibri" w:hAnsi="Arial" w:cs="Arial"/>
          <w:sz w:val="24"/>
          <w:szCs w:val="24"/>
          <w:lang w:eastAsia="en-GB"/>
        </w:rPr>
        <w:t>designed to further strengthen workforce planning approaches, with a particular focus on social services.</w:t>
      </w:r>
      <w:r w:rsidR="000A2305">
        <w:rPr>
          <w:rFonts w:ascii="Arial" w:eastAsia="Calibri" w:hAnsi="Arial" w:cs="Arial"/>
          <w:sz w:val="24"/>
          <w:szCs w:val="24"/>
          <w:lang w:eastAsia="en-GB"/>
        </w:rPr>
        <w:t xml:space="preserve"> </w:t>
      </w:r>
      <w:r w:rsidR="0061276F" w:rsidRPr="000A2305">
        <w:rPr>
          <w:rFonts w:ascii="Arial" w:eastAsia="Calibri" w:hAnsi="Arial" w:cs="Arial"/>
          <w:sz w:val="24"/>
          <w:szCs w:val="24"/>
          <w:lang w:eastAsia="en-GB"/>
        </w:rPr>
        <w:t>In 2025 to 2026 w</w:t>
      </w:r>
      <w:r w:rsidR="008A4793" w:rsidRPr="000A2305">
        <w:rPr>
          <w:rFonts w:ascii="Arial" w:eastAsia="Calibri" w:hAnsi="Arial" w:cs="Arial"/>
          <w:sz w:val="24"/>
          <w:szCs w:val="24"/>
          <w:lang w:eastAsia="en-GB"/>
        </w:rPr>
        <w:t>e</w:t>
      </w:r>
      <w:r w:rsidR="00742157">
        <w:rPr>
          <w:rFonts w:ascii="Arial" w:eastAsia="Calibri" w:hAnsi="Arial" w:cs="Arial"/>
          <w:sz w:val="24"/>
          <w:szCs w:val="24"/>
          <w:lang w:eastAsia="en-GB"/>
        </w:rPr>
        <w:t>’ll</w:t>
      </w:r>
      <w:r w:rsidR="0061276F" w:rsidRPr="000A2305">
        <w:rPr>
          <w:rFonts w:ascii="Arial" w:eastAsia="Calibri" w:hAnsi="Arial" w:cs="Arial"/>
          <w:sz w:val="24"/>
          <w:szCs w:val="24"/>
          <w:lang w:eastAsia="en-GB"/>
        </w:rPr>
        <w:t xml:space="preserve"> be continuing with the </w:t>
      </w:r>
      <w:r w:rsidR="008A4793" w:rsidRPr="000A2305">
        <w:rPr>
          <w:rFonts w:ascii="Arial" w:eastAsia="Calibri" w:hAnsi="Arial" w:cs="Arial"/>
          <w:sz w:val="24"/>
          <w:szCs w:val="24"/>
          <w:lang w:eastAsia="en-GB"/>
        </w:rPr>
        <w:t xml:space="preserve">next phase of this work </w:t>
      </w:r>
      <w:r w:rsidR="0061276F" w:rsidRPr="000A2305">
        <w:rPr>
          <w:rFonts w:ascii="Arial" w:eastAsia="Calibri" w:hAnsi="Arial" w:cs="Arial"/>
          <w:sz w:val="24"/>
          <w:szCs w:val="24"/>
          <w:lang w:eastAsia="en-GB"/>
        </w:rPr>
        <w:t xml:space="preserve">by engaging directly with each local authority </w:t>
      </w:r>
      <w:r w:rsidR="008A4793" w:rsidRPr="000A2305">
        <w:rPr>
          <w:rFonts w:ascii="Arial" w:eastAsia="Calibri" w:hAnsi="Arial" w:cs="Arial"/>
          <w:sz w:val="24"/>
          <w:szCs w:val="24"/>
          <w:lang w:eastAsia="en-GB"/>
        </w:rPr>
        <w:t xml:space="preserve">to establish what tailored support is needed to further develop </w:t>
      </w:r>
      <w:r w:rsidR="0061276F" w:rsidRPr="000A2305">
        <w:rPr>
          <w:rFonts w:ascii="Arial" w:eastAsia="Calibri" w:hAnsi="Arial" w:cs="Arial"/>
          <w:sz w:val="24"/>
          <w:szCs w:val="24"/>
          <w:lang w:eastAsia="en-GB"/>
        </w:rPr>
        <w:t xml:space="preserve">their </w:t>
      </w:r>
      <w:r w:rsidR="008A4793" w:rsidRPr="000A2305">
        <w:rPr>
          <w:rFonts w:ascii="Arial" w:eastAsia="Calibri" w:hAnsi="Arial" w:cs="Arial"/>
          <w:sz w:val="24"/>
          <w:szCs w:val="24"/>
          <w:lang w:eastAsia="en-GB"/>
        </w:rPr>
        <w:t>workforce planning approach</w:t>
      </w:r>
      <w:r w:rsidR="0061276F" w:rsidRPr="000A2305">
        <w:rPr>
          <w:rFonts w:ascii="Arial" w:eastAsia="Calibri" w:hAnsi="Arial" w:cs="Arial"/>
          <w:sz w:val="24"/>
          <w:szCs w:val="24"/>
          <w:lang w:eastAsia="en-GB"/>
        </w:rPr>
        <w:t>es</w:t>
      </w:r>
      <w:r w:rsidR="008A4793" w:rsidRPr="000A2305">
        <w:rPr>
          <w:rFonts w:ascii="Arial" w:eastAsia="Calibri" w:hAnsi="Arial" w:cs="Arial"/>
          <w:sz w:val="24"/>
          <w:szCs w:val="24"/>
          <w:lang w:eastAsia="en-GB"/>
        </w:rPr>
        <w:t xml:space="preserve"> in social services.</w:t>
      </w:r>
    </w:p>
    <w:p w14:paraId="47225145" w14:textId="77777777" w:rsidR="006F0EC2" w:rsidRDefault="006F0EC2" w:rsidP="00C92ECE">
      <w:pPr>
        <w:spacing w:after="200" w:line="276" w:lineRule="auto"/>
        <w:ind w:left="567"/>
        <w:contextualSpacing/>
        <w:rPr>
          <w:rFonts w:ascii="Arial" w:eastAsia="Calibri" w:hAnsi="Arial" w:cs="Arial"/>
          <w:sz w:val="24"/>
          <w:szCs w:val="24"/>
          <w:lang w:eastAsia="en-GB"/>
        </w:rPr>
      </w:pPr>
    </w:p>
    <w:p w14:paraId="5EBCD40D" w14:textId="0B856D36" w:rsidR="00B81F41" w:rsidRPr="00C92ECE" w:rsidRDefault="00B81F41" w:rsidP="00C92ECE">
      <w:pPr>
        <w:numPr>
          <w:ilvl w:val="0"/>
          <w:numId w:val="6"/>
        </w:numPr>
        <w:spacing w:after="200" w:line="276" w:lineRule="auto"/>
        <w:ind w:left="567" w:hanging="425"/>
        <w:contextualSpacing/>
        <w:rPr>
          <w:rFonts w:ascii="Arial" w:eastAsia="Calibri" w:hAnsi="Arial" w:cs="Arial"/>
          <w:sz w:val="24"/>
          <w:szCs w:val="24"/>
          <w:lang w:eastAsia="en-GB"/>
        </w:rPr>
      </w:pPr>
      <w:r w:rsidRPr="00B81F41">
        <w:rPr>
          <w:rFonts w:ascii="Arial" w:eastAsia="Calibri" w:hAnsi="Arial" w:cs="Arial"/>
          <w:sz w:val="24"/>
          <w:szCs w:val="24"/>
          <w:lang w:eastAsia="en-GB"/>
        </w:rPr>
        <w:t xml:space="preserve">Local authorities also </w:t>
      </w:r>
      <w:r w:rsidR="00BC6E4C">
        <w:rPr>
          <w:rFonts w:ascii="Arial" w:eastAsia="Calibri" w:hAnsi="Arial" w:cs="Arial"/>
          <w:sz w:val="24"/>
          <w:szCs w:val="24"/>
          <w:lang w:eastAsia="en-GB"/>
        </w:rPr>
        <w:t>provide staff to help with</w:t>
      </w:r>
      <w:r w:rsidRPr="00B81F41">
        <w:rPr>
          <w:rFonts w:ascii="Arial" w:eastAsia="Calibri" w:hAnsi="Arial" w:cs="Arial"/>
          <w:sz w:val="24"/>
          <w:szCs w:val="24"/>
          <w:lang w:eastAsia="en-GB"/>
        </w:rPr>
        <w:t xml:space="preserve"> the national priority of workforce shape and supply, with associated costs often reported under delivery staff spending where roles are SCWWDP</w:t>
      </w:r>
      <w:r w:rsidR="005C69CF">
        <w:rPr>
          <w:rFonts w:ascii="Arial" w:eastAsia="Calibri" w:hAnsi="Arial" w:cs="Arial"/>
          <w:sz w:val="24"/>
          <w:szCs w:val="24"/>
          <w:lang w:eastAsia="en-GB"/>
        </w:rPr>
        <w:t xml:space="preserve"> </w:t>
      </w:r>
      <w:r w:rsidRPr="00B81F41">
        <w:rPr>
          <w:rFonts w:ascii="Arial" w:eastAsia="Calibri" w:hAnsi="Arial" w:cs="Arial"/>
          <w:sz w:val="24"/>
          <w:szCs w:val="24"/>
          <w:lang w:eastAsia="en-GB"/>
        </w:rPr>
        <w:t xml:space="preserve">funded. However, </w:t>
      </w:r>
      <w:r w:rsidR="00BC6E4C">
        <w:rPr>
          <w:rFonts w:ascii="Arial" w:eastAsia="Calibri" w:hAnsi="Arial" w:cs="Arial"/>
          <w:sz w:val="24"/>
          <w:szCs w:val="24"/>
          <w:lang w:eastAsia="en-GB"/>
        </w:rPr>
        <w:t>some staff are</w:t>
      </w:r>
      <w:r w:rsidRPr="00B81F41">
        <w:rPr>
          <w:rFonts w:ascii="Arial" w:eastAsia="Calibri" w:hAnsi="Arial" w:cs="Arial"/>
          <w:sz w:val="24"/>
          <w:szCs w:val="24"/>
          <w:lang w:eastAsia="en-GB"/>
        </w:rPr>
        <w:t xml:space="preserve"> funded entirely by local authorities that may not be </w:t>
      </w:r>
      <w:r w:rsidR="00BC6E4C">
        <w:rPr>
          <w:rFonts w:ascii="Arial" w:eastAsia="Calibri" w:hAnsi="Arial" w:cs="Arial"/>
          <w:sz w:val="24"/>
          <w:szCs w:val="24"/>
          <w:lang w:eastAsia="en-GB"/>
        </w:rPr>
        <w:t>shown in</w:t>
      </w:r>
      <w:r w:rsidRPr="00B81F41">
        <w:rPr>
          <w:rFonts w:ascii="Arial" w:eastAsia="Calibri" w:hAnsi="Arial" w:cs="Arial"/>
          <w:sz w:val="24"/>
          <w:szCs w:val="24"/>
          <w:lang w:eastAsia="en-GB"/>
        </w:rPr>
        <w:t xml:space="preserve"> report</w:t>
      </w:r>
      <w:r w:rsidR="00BC6E4C">
        <w:rPr>
          <w:rFonts w:ascii="Arial" w:eastAsia="Calibri" w:hAnsi="Arial" w:cs="Arial"/>
          <w:sz w:val="24"/>
          <w:szCs w:val="24"/>
          <w:lang w:eastAsia="en-GB"/>
        </w:rPr>
        <w:t>s</w:t>
      </w:r>
      <w:r w:rsidRPr="00B81F41">
        <w:rPr>
          <w:rFonts w:ascii="Arial" w:eastAsia="Calibri" w:hAnsi="Arial" w:cs="Arial"/>
          <w:sz w:val="24"/>
          <w:szCs w:val="24"/>
          <w:lang w:eastAsia="en-GB"/>
        </w:rPr>
        <w:t xml:space="preserve">. For example, in some local authorities, workforce planning, shape, and supply fall under the remit of human resources rather than workforce development teams supported by SCWWDP, which can </w:t>
      </w:r>
      <w:r w:rsidR="00BC6E4C">
        <w:rPr>
          <w:rFonts w:ascii="Arial" w:eastAsia="Calibri" w:hAnsi="Arial" w:cs="Arial"/>
          <w:sz w:val="24"/>
          <w:szCs w:val="24"/>
          <w:lang w:eastAsia="en-GB"/>
        </w:rPr>
        <w:t>mean this work isn’t fully reported.</w:t>
      </w:r>
    </w:p>
    <w:p w14:paraId="10A3DC9A" w14:textId="77777777" w:rsidR="00786CE5" w:rsidRPr="00B568F3" w:rsidRDefault="00786CE5" w:rsidP="003766F9">
      <w:pPr>
        <w:spacing w:after="200" w:line="276" w:lineRule="auto"/>
        <w:ind w:left="567"/>
        <w:contextualSpacing/>
        <w:rPr>
          <w:rFonts w:ascii="Arial" w:eastAsia="Calibri" w:hAnsi="Arial" w:cs="Arial"/>
          <w:sz w:val="24"/>
          <w:szCs w:val="24"/>
          <w:lang w:eastAsia="en-GB"/>
        </w:rPr>
      </w:pPr>
    </w:p>
    <w:p w14:paraId="0538F8B1" w14:textId="68A276E3" w:rsidR="006B2A6B" w:rsidRDefault="00D84A23" w:rsidP="003B5CF2">
      <w:pPr>
        <w:numPr>
          <w:ilvl w:val="0"/>
          <w:numId w:val="6"/>
        </w:numPr>
        <w:spacing w:after="200" w:line="276" w:lineRule="auto"/>
        <w:ind w:left="567" w:hanging="425"/>
        <w:contextualSpacing/>
        <w:rPr>
          <w:rFonts w:ascii="Arial" w:eastAsia="Calibri" w:hAnsi="Arial" w:cs="Arial"/>
          <w:sz w:val="24"/>
          <w:szCs w:val="24"/>
          <w:lang w:eastAsia="en-GB"/>
        </w:rPr>
      </w:pPr>
      <w:r w:rsidRPr="00D84A23">
        <w:rPr>
          <w:rFonts w:ascii="Arial" w:eastAsia="Calibri" w:hAnsi="Arial" w:cs="Arial"/>
          <w:sz w:val="24"/>
          <w:szCs w:val="24"/>
          <w:lang w:eastAsia="en-GB"/>
        </w:rPr>
        <w:t xml:space="preserve">The most significant decline in SCWWDP spend and </w:t>
      </w:r>
      <w:r w:rsidR="00117473">
        <w:rPr>
          <w:rFonts w:ascii="Arial" w:eastAsia="Calibri" w:hAnsi="Arial" w:cs="Arial"/>
          <w:sz w:val="24"/>
          <w:szCs w:val="24"/>
          <w:lang w:eastAsia="en-GB"/>
        </w:rPr>
        <w:t xml:space="preserve">reported </w:t>
      </w:r>
      <w:r w:rsidRPr="00D84A23">
        <w:rPr>
          <w:rFonts w:ascii="Arial" w:eastAsia="Calibri" w:hAnsi="Arial" w:cs="Arial"/>
          <w:sz w:val="24"/>
          <w:szCs w:val="24"/>
          <w:lang w:eastAsia="en-GB"/>
        </w:rPr>
        <w:t>additional local authority funding on national priorities was in building a digitally ready workforce, with reductions of 18.8</w:t>
      </w:r>
      <w:r>
        <w:rPr>
          <w:rFonts w:ascii="Arial" w:eastAsia="Calibri" w:hAnsi="Arial" w:cs="Arial"/>
          <w:sz w:val="24"/>
          <w:szCs w:val="24"/>
          <w:lang w:eastAsia="en-GB"/>
        </w:rPr>
        <w:t xml:space="preserve"> per cent</w:t>
      </w:r>
      <w:r w:rsidRPr="00D84A23">
        <w:rPr>
          <w:rFonts w:ascii="Arial" w:eastAsia="Calibri" w:hAnsi="Arial" w:cs="Arial"/>
          <w:sz w:val="24"/>
          <w:szCs w:val="24"/>
          <w:lang w:eastAsia="en-GB"/>
        </w:rPr>
        <w:t xml:space="preserve"> and 91.8</w:t>
      </w:r>
      <w:r w:rsidR="00F30903">
        <w:rPr>
          <w:rFonts w:ascii="Arial" w:eastAsia="Calibri" w:hAnsi="Arial" w:cs="Arial"/>
          <w:sz w:val="24"/>
          <w:szCs w:val="24"/>
          <w:lang w:eastAsia="en-GB"/>
        </w:rPr>
        <w:t xml:space="preserve"> per cent </w:t>
      </w:r>
      <w:r w:rsidRPr="00D84A23">
        <w:rPr>
          <w:rFonts w:ascii="Arial" w:eastAsia="Calibri" w:hAnsi="Arial" w:cs="Arial"/>
          <w:sz w:val="24"/>
          <w:szCs w:val="24"/>
          <w:lang w:eastAsia="en-GB"/>
        </w:rPr>
        <w:t>respectively</w:t>
      </w:r>
      <w:r w:rsidR="00F30903">
        <w:rPr>
          <w:rFonts w:ascii="Arial" w:eastAsia="Calibri" w:hAnsi="Arial" w:cs="Arial"/>
          <w:sz w:val="24"/>
          <w:szCs w:val="24"/>
          <w:lang w:eastAsia="en-GB"/>
        </w:rPr>
        <w:t xml:space="preserve">. </w:t>
      </w:r>
    </w:p>
    <w:p w14:paraId="3501B463" w14:textId="77777777" w:rsidR="006B2A6B" w:rsidRDefault="006B2A6B" w:rsidP="00C92ECE">
      <w:pPr>
        <w:spacing w:after="200" w:line="276" w:lineRule="auto"/>
        <w:ind w:left="567"/>
        <w:contextualSpacing/>
        <w:rPr>
          <w:rFonts w:ascii="Arial" w:eastAsia="Calibri" w:hAnsi="Arial" w:cs="Arial"/>
          <w:sz w:val="24"/>
          <w:szCs w:val="24"/>
          <w:lang w:eastAsia="en-GB"/>
        </w:rPr>
      </w:pPr>
    </w:p>
    <w:p w14:paraId="28ECFECE" w14:textId="5BE0C7F8" w:rsidR="00D81941" w:rsidRDefault="004A67FB" w:rsidP="003B5CF2">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Regions</w:t>
      </w:r>
      <w:r w:rsidR="001768CE" w:rsidRPr="001768CE">
        <w:rPr>
          <w:rFonts w:ascii="Arial" w:eastAsia="Calibri" w:hAnsi="Arial" w:cs="Arial"/>
          <w:sz w:val="24"/>
          <w:szCs w:val="24"/>
          <w:lang w:eastAsia="en-GB"/>
        </w:rPr>
        <w:t xml:space="preserve"> have shared that digital skills development and building a digitally ready workforce </w:t>
      </w:r>
      <w:r w:rsidR="006665BE">
        <w:rPr>
          <w:rFonts w:ascii="Arial" w:eastAsia="Calibri" w:hAnsi="Arial" w:cs="Arial"/>
          <w:sz w:val="24"/>
          <w:szCs w:val="24"/>
          <w:lang w:eastAsia="en-GB"/>
        </w:rPr>
        <w:t xml:space="preserve">is </w:t>
      </w:r>
      <w:r w:rsidR="001768CE" w:rsidRPr="001768CE">
        <w:rPr>
          <w:rFonts w:ascii="Arial" w:eastAsia="Calibri" w:hAnsi="Arial" w:cs="Arial"/>
          <w:sz w:val="24"/>
          <w:szCs w:val="24"/>
          <w:lang w:eastAsia="en-GB"/>
        </w:rPr>
        <w:t xml:space="preserve">often </w:t>
      </w:r>
      <w:r w:rsidR="00740829">
        <w:rPr>
          <w:rFonts w:ascii="Arial" w:eastAsia="Calibri" w:hAnsi="Arial" w:cs="Arial"/>
          <w:sz w:val="24"/>
          <w:szCs w:val="24"/>
          <w:lang w:eastAsia="en-GB"/>
        </w:rPr>
        <w:t>the lowest priority because of</w:t>
      </w:r>
      <w:r w:rsidR="001768CE" w:rsidRPr="001768CE">
        <w:rPr>
          <w:rFonts w:ascii="Arial" w:eastAsia="Calibri" w:hAnsi="Arial" w:cs="Arial"/>
          <w:sz w:val="24"/>
          <w:szCs w:val="24"/>
          <w:lang w:eastAsia="en-GB"/>
        </w:rPr>
        <w:t xml:space="preserve"> limited funding. However, during 2024</w:t>
      </w:r>
      <w:r w:rsidR="003B17AF">
        <w:rPr>
          <w:rFonts w:ascii="Arial" w:eastAsia="Calibri" w:hAnsi="Arial" w:cs="Arial"/>
          <w:sz w:val="24"/>
          <w:szCs w:val="24"/>
          <w:lang w:eastAsia="en-GB"/>
        </w:rPr>
        <w:t xml:space="preserve"> to </w:t>
      </w:r>
      <w:r w:rsidR="001768CE" w:rsidRPr="001768CE">
        <w:rPr>
          <w:rFonts w:ascii="Arial" w:eastAsia="Calibri" w:hAnsi="Arial" w:cs="Arial"/>
          <w:sz w:val="24"/>
          <w:szCs w:val="24"/>
          <w:lang w:eastAsia="en-GB"/>
        </w:rPr>
        <w:t>2025, regions and local authorities were aware of</w:t>
      </w:r>
      <w:r w:rsidR="003B17AF">
        <w:rPr>
          <w:rFonts w:ascii="Arial" w:eastAsia="Calibri" w:hAnsi="Arial" w:cs="Arial"/>
          <w:sz w:val="24"/>
          <w:szCs w:val="24"/>
          <w:lang w:eastAsia="en-GB"/>
        </w:rPr>
        <w:t xml:space="preserve">, </w:t>
      </w:r>
      <w:r w:rsidR="001768CE" w:rsidRPr="001768CE">
        <w:rPr>
          <w:rFonts w:ascii="Arial" w:eastAsia="Calibri" w:hAnsi="Arial" w:cs="Arial"/>
          <w:sz w:val="24"/>
          <w:szCs w:val="24"/>
          <w:lang w:eastAsia="en-GB"/>
        </w:rPr>
        <w:t>and in some cases actively involved in</w:t>
      </w:r>
      <w:r w:rsidR="003B17AF">
        <w:rPr>
          <w:rFonts w:ascii="Arial" w:eastAsia="Calibri" w:hAnsi="Arial" w:cs="Arial"/>
          <w:sz w:val="24"/>
          <w:szCs w:val="24"/>
          <w:lang w:eastAsia="en-GB"/>
        </w:rPr>
        <w:t xml:space="preserve">, </w:t>
      </w:r>
      <w:r w:rsidR="001768CE" w:rsidRPr="001768CE">
        <w:rPr>
          <w:rFonts w:ascii="Arial" w:eastAsia="Calibri" w:hAnsi="Arial" w:cs="Arial"/>
          <w:sz w:val="24"/>
          <w:szCs w:val="24"/>
          <w:lang w:eastAsia="en-GB"/>
        </w:rPr>
        <w:t xml:space="preserve">the development of </w:t>
      </w:r>
      <w:r w:rsidR="001F3AA4">
        <w:rPr>
          <w:rFonts w:ascii="Arial" w:eastAsia="Calibri" w:hAnsi="Arial" w:cs="Arial"/>
          <w:sz w:val="24"/>
          <w:szCs w:val="24"/>
          <w:lang w:eastAsia="en-GB"/>
        </w:rPr>
        <w:t xml:space="preserve">our </w:t>
      </w:r>
      <w:hyperlink r:id="rId26" w:history="1">
        <w:r w:rsidR="001768CE" w:rsidRPr="00872AF1">
          <w:rPr>
            <w:rStyle w:val="Hyperlink"/>
            <w:rFonts w:ascii="Arial" w:eastAsia="Calibri" w:hAnsi="Arial" w:cs="Arial"/>
            <w:sz w:val="24"/>
            <w:szCs w:val="24"/>
            <w:lang w:eastAsia="en-GB"/>
          </w:rPr>
          <w:t xml:space="preserve">Digital Potential </w:t>
        </w:r>
        <w:r w:rsidR="001768CE" w:rsidRPr="00872AF1">
          <w:rPr>
            <w:rStyle w:val="Hyperlink"/>
            <w:rFonts w:ascii="Arial" w:eastAsia="Calibri" w:hAnsi="Arial" w:cs="Arial"/>
            <w:sz w:val="24"/>
            <w:szCs w:val="24"/>
            <w:lang w:eastAsia="en-GB"/>
          </w:rPr>
          <w:lastRenderedPageBreak/>
          <w:t>Tool</w:t>
        </w:r>
      </w:hyperlink>
      <w:r w:rsidR="001768CE" w:rsidRPr="001768CE">
        <w:rPr>
          <w:rFonts w:ascii="Arial" w:eastAsia="Calibri" w:hAnsi="Arial" w:cs="Arial"/>
          <w:sz w:val="24"/>
          <w:szCs w:val="24"/>
          <w:lang w:eastAsia="en-GB"/>
        </w:rPr>
        <w:t xml:space="preserve">. </w:t>
      </w:r>
      <w:r w:rsidR="00CD3E33">
        <w:rPr>
          <w:rFonts w:ascii="Arial" w:eastAsia="Calibri" w:hAnsi="Arial" w:cs="Arial"/>
          <w:sz w:val="24"/>
          <w:szCs w:val="24"/>
          <w:lang w:eastAsia="en-GB"/>
        </w:rPr>
        <w:t>They were waiting</w:t>
      </w:r>
      <w:r w:rsidR="00D274F6">
        <w:rPr>
          <w:rFonts w:ascii="Arial" w:eastAsia="Calibri" w:hAnsi="Arial" w:cs="Arial"/>
          <w:sz w:val="24"/>
          <w:szCs w:val="24"/>
          <w:lang w:eastAsia="en-GB"/>
        </w:rPr>
        <w:t xml:space="preserve"> for</w:t>
      </w:r>
      <w:r w:rsidR="001768CE" w:rsidRPr="001768CE">
        <w:rPr>
          <w:rFonts w:ascii="Arial" w:eastAsia="Calibri" w:hAnsi="Arial" w:cs="Arial"/>
          <w:sz w:val="24"/>
          <w:szCs w:val="24"/>
          <w:lang w:eastAsia="en-GB"/>
        </w:rPr>
        <w:t xml:space="preserve"> its findings, </w:t>
      </w:r>
      <w:r w:rsidR="00D274F6">
        <w:rPr>
          <w:rFonts w:ascii="Arial" w:eastAsia="Calibri" w:hAnsi="Arial" w:cs="Arial"/>
          <w:sz w:val="24"/>
          <w:szCs w:val="24"/>
          <w:lang w:eastAsia="en-GB"/>
        </w:rPr>
        <w:t>as the</w:t>
      </w:r>
      <w:r w:rsidR="001768CE" w:rsidRPr="001768CE">
        <w:rPr>
          <w:rFonts w:ascii="Arial" w:eastAsia="Calibri" w:hAnsi="Arial" w:cs="Arial"/>
          <w:sz w:val="24"/>
          <w:szCs w:val="24"/>
          <w:lang w:eastAsia="en-GB"/>
        </w:rPr>
        <w:t xml:space="preserve"> recommendations would </w:t>
      </w:r>
      <w:r w:rsidR="00DF5C4E">
        <w:rPr>
          <w:rFonts w:ascii="Arial" w:eastAsia="Calibri" w:hAnsi="Arial" w:cs="Arial"/>
          <w:sz w:val="24"/>
          <w:szCs w:val="24"/>
          <w:lang w:eastAsia="en-GB"/>
        </w:rPr>
        <w:t xml:space="preserve">guide </w:t>
      </w:r>
      <w:r w:rsidR="001768CE" w:rsidRPr="001768CE">
        <w:rPr>
          <w:rFonts w:ascii="Arial" w:eastAsia="Calibri" w:hAnsi="Arial" w:cs="Arial"/>
          <w:sz w:val="24"/>
          <w:szCs w:val="24"/>
          <w:lang w:eastAsia="en-GB"/>
        </w:rPr>
        <w:t>workforce development and digital skills training</w:t>
      </w:r>
      <w:r w:rsidR="00072F67">
        <w:rPr>
          <w:rFonts w:ascii="Arial" w:eastAsia="Calibri" w:hAnsi="Arial" w:cs="Arial"/>
          <w:sz w:val="24"/>
          <w:szCs w:val="24"/>
          <w:lang w:eastAsia="en-GB"/>
        </w:rPr>
        <w:t xml:space="preserve"> from 2026 to 2027 onwards.</w:t>
      </w:r>
    </w:p>
    <w:p w14:paraId="3F2A07AE" w14:textId="77777777" w:rsidR="00EB440A" w:rsidRDefault="00EB440A" w:rsidP="00C92ECE">
      <w:pPr>
        <w:spacing w:after="200" w:line="276" w:lineRule="auto"/>
        <w:ind w:left="567"/>
        <w:contextualSpacing/>
        <w:rPr>
          <w:rFonts w:ascii="Arial" w:eastAsia="Calibri" w:hAnsi="Arial" w:cs="Arial"/>
          <w:sz w:val="24"/>
          <w:szCs w:val="24"/>
          <w:lang w:eastAsia="en-GB"/>
        </w:rPr>
      </w:pPr>
    </w:p>
    <w:p w14:paraId="63D90154" w14:textId="59644B09" w:rsidR="0044179E" w:rsidRDefault="00600E5F" w:rsidP="0044179E">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Although overall </w:t>
      </w:r>
      <w:r w:rsidRPr="00542398">
        <w:rPr>
          <w:rFonts w:ascii="Arial" w:eastAsia="Calibri" w:hAnsi="Arial" w:cs="Arial"/>
          <w:sz w:val="24"/>
          <w:szCs w:val="24"/>
          <w:lang w:eastAsia="en-GB"/>
        </w:rPr>
        <w:t xml:space="preserve">the proportion of the SCWWDP grant spent </w:t>
      </w:r>
      <w:r w:rsidR="00A32F39">
        <w:rPr>
          <w:rFonts w:ascii="Arial" w:eastAsia="Calibri" w:hAnsi="Arial" w:cs="Arial"/>
          <w:sz w:val="24"/>
          <w:szCs w:val="24"/>
          <w:lang w:eastAsia="en-GB"/>
        </w:rPr>
        <w:t>on q</w:t>
      </w:r>
      <w:r w:rsidR="00A32F39" w:rsidRPr="00B568D1">
        <w:rPr>
          <w:rFonts w:ascii="Arial" w:eastAsia="Calibri" w:hAnsi="Arial" w:cs="Arial"/>
          <w:sz w:val="24"/>
          <w:szCs w:val="24"/>
          <w:lang w:eastAsia="en-GB"/>
        </w:rPr>
        <w:t>ualifying and post-qualifying social work awards</w:t>
      </w:r>
      <w:r w:rsidR="00A32F39">
        <w:rPr>
          <w:rFonts w:ascii="Arial" w:eastAsia="Calibri" w:hAnsi="Arial" w:cs="Arial"/>
          <w:sz w:val="24"/>
          <w:szCs w:val="24"/>
          <w:lang w:eastAsia="en-GB"/>
        </w:rPr>
        <w:t xml:space="preserve"> remains </w:t>
      </w:r>
      <w:r w:rsidR="008463BD">
        <w:rPr>
          <w:rFonts w:ascii="Arial" w:eastAsia="Calibri" w:hAnsi="Arial" w:cs="Arial"/>
          <w:sz w:val="24"/>
          <w:szCs w:val="24"/>
          <w:lang w:eastAsia="en-GB"/>
        </w:rPr>
        <w:t>about the same</w:t>
      </w:r>
      <w:r w:rsidR="00734F77">
        <w:rPr>
          <w:rFonts w:ascii="Arial" w:eastAsia="Calibri" w:hAnsi="Arial" w:cs="Arial"/>
          <w:sz w:val="24"/>
          <w:szCs w:val="24"/>
          <w:lang w:eastAsia="en-GB"/>
        </w:rPr>
        <w:t xml:space="preserve">, </w:t>
      </w:r>
      <w:r w:rsidR="00A32F39">
        <w:rPr>
          <w:rFonts w:ascii="Arial" w:eastAsia="Calibri" w:hAnsi="Arial" w:cs="Arial"/>
          <w:sz w:val="24"/>
          <w:szCs w:val="24"/>
          <w:lang w:eastAsia="en-GB"/>
        </w:rPr>
        <w:t>when considering the proportion</w:t>
      </w:r>
      <w:r w:rsidR="00E8363A">
        <w:rPr>
          <w:rFonts w:ascii="Arial" w:eastAsia="Calibri" w:hAnsi="Arial" w:cs="Arial"/>
          <w:sz w:val="24"/>
          <w:szCs w:val="24"/>
          <w:lang w:eastAsia="en-GB"/>
        </w:rPr>
        <w:t xml:space="preserve"> as a total of the n</w:t>
      </w:r>
      <w:r w:rsidR="00FC1FEB">
        <w:rPr>
          <w:rFonts w:ascii="Arial" w:eastAsia="Calibri" w:hAnsi="Arial" w:cs="Arial"/>
          <w:sz w:val="24"/>
          <w:szCs w:val="24"/>
          <w:lang w:eastAsia="en-GB"/>
        </w:rPr>
        <w:t>ational priority spend</w:t>
      </w:r>
      <w:r w:rsidR="002D4C30">
        <w:rPr>
          <w:rFonts w:ascii="Arial" w:eastAsia="Calibri" w:hAnsi="Arial" w:cs="Arial"/>
          <w:sz w:val="24"/>
          <w:szCs w:val="24"/>
          <w:lang w:eastAsia="en-GB"/>
        </w:rPr>
        <w:t>, once again there has been an increase</w:t>
      </w:r>
      <w:r w:rsidR="0052637B">
        <w:rPr>
          <w:rFonts w:ascii="Arial" w:eastAsia="Calibri" w:hAnsi="Arial" w:cs="Arial"/>
          <w:sz w:val="24"/>
          <w:szCs w:val="24"/>
          <w:lang w:eastAsia="en-GB"/>
        </w:rPr>
        <w:t xml:space="preserve">. </w:t>
      </w:r>
    </w:p>
    <w:p w14:paraId="3BF837FF" w14:textId="77777777" w:rsidR="0044179E" w:rsidRPr="00C92ECE" w:rsidRDefault="0044179E" w:rsidP="00C92ECE">
      <w:pPr>
        <w:spacing w:after="200" w:line="276" w:lineRule="auto"/>
        <w:contextualSpacing/>
        <w:rPr>
          <w:rFonts w:ascii="Arial" w:eastAsia="Calibri" w:hAnsi="Arial" w:cs="Arial"/>
          <w:sz w:val="24"/>
          <w:szCs w:val="24"/>
          <w:lang w:eastAsia="en-GB"/>
        </w:rPr>
      </w:pPr>
    </w:p>
    <w:p w14:paraId="50E37A0D" w14:textId="77777777" w:rsidR="0084001A" w:rsidRDefault="0052637B" w:rsidP="007134CE">
      <w:pPr>
        <w:numPr>
          <w:ilvl w:val="0"/>
          <w:numId w:val="6"/>
        </w:numPr>
        <w:spacing w:after="200" w:line="276" w:lineRule="auto"/>
        <w:ind w:left="567" w:hanging="425"/>
        <w:contextualSpacing/>
        <w:rPr>
          <w:rFonts w:ascii="Arial" w:eastAsia="Calibri" w:hAnsi="Arial" w:cs="Arial"/>
          <w:sz w:val="24"/>
          <w:szCs w:val="24"/>
          <w:lang w:eastAsia="en-GB"/>
        </w:rPr>
      </w:pPr>
      <w:r w:rsidRPr="005725A1">
        <w:rPr>
          <w:rFonts w:ascii="Arial" w:eastAsia="Calibri" w:hAnsi="Arial" w:cs="Arial"/>
          <w:sz w:val="24"/>
          <w:szCs w:val="24"/>
          <w:lang w:eastAsia="en-GB"/>
        </w:rPr>
        <w:t>In 2024 to</w:t>
      </w:r>
      <w:r>
        <w:rPr>
          <w:rFonts w:ascii="Arial" w:eastAsia="Calibri" w:hAnsi="Arial" w:cs="Arial"/>
          <w:sz w:val="24"/>
          <w:szCs w:val="24"/>
          <w:lang w:eastAsia="en-GB"/>
        </w:rPr>
        <w:t xml:space="preserve"> </w:t>
      </w:r>
      <w:r w:rsidRPr="005725A1">
        <w:rPr>
          <w:rFonts w:ascii="Arial" w:eastAsia="Calibri" w:hAnsi="Arial" w:cs="Arial"/>
          <w:sz w:val="24"/>
          <w:szCs w:val="24"/>
          <w:lang w:eastAsia="en-GB"/>
        </w:rPr>
        <w:t xml:space="preserve">2025, </w:t>
      </w:r>
      <w:r w:rsidR="00B859A7">
        <w:rPr>
          <w:rFonts w:ascii="Arial" w:eastAsia="Calibri" w:hAnsi="Arial" w:cs="Arial"/>
          <w:sz w:val="24"/>
          <w:szCs w:val="24"/>
          <w:lang w:eastAsia="en-GB"/>
        </w:rPr>
        <w:t>the spend</w:t>
      </w:r>
      <w:r w:rsidR="00B859A7" w:rsidRPr="00542398">
        <w:rPr>
          <w:rFonts w:ascii="Arial" w:eastAsia="Calibri" w:hAnsi="Arial" w:cs="Arial"/>
          <w:sz w:val="24"/>
          <w:szCs w:val="24"/>
          <w:lang w:eastAsia="en-GB"/>
        </w:rPr>
        <w:t xml:space="preserve"> </w:t>
      </w:r>
      <w:r w:rsidR="00B859A7">
        <w:rPr>
          <w:rFonts w:ascii="Arial" w:eastAsia="Calibri" w:hAnsi="Arial" w:cs="Arial"/>
          <w:sz w:val="24"/>
          <w:szCs w:val="24"/>
          <w:lang w:eastAsia="en-GB"/>
        </w:rPr>
        <w:t>on q</w:t>
      </w:r>
      <w:r w:rsidR="00B859A7" w:rsidRPr="00B568D1">
        <w:rPr>
          <w:rFonts w:ascii="Arial" w:eastAsia="Calibri" w:hAnsi="Arial" w:cs="Arial"/>
          <w:sz w:val="24"/>
          <w:szCs w:val="24"/>
          <w:lang w:eastAsia="en-GB"/>
        </w:rPr>
        <w:t xml:space="preserve">ualifying and post-qualifying social work </w:t>
      </w:r>
      <w:r w:rsidRPr="005725A1">
        <w:rPr>
          <w:rFonts w:ascii="Arial" w:eastAsia="Calibri" w:hAnsi="Arial" w:cs="Arial"/>
          <w:sz w:val="24"/>
          <w:szCs w:val="24"/>
          <w:lang w:eastAsia="en-GB"/>
        </w:rPr>
        <w:t xml:space="preserve">accounted for 36.7 per cent of the SCWWDP spend on national priorities, up from 35.5 per cent in 2023 to 2024 and 32.4 per cent in 2022 to 2023. </w:t>
      </w:r>
    </w:p>
    <w:p w14:paraId="41CE32A2" w14:textId="77777777" w:rsidR="0084001A" w:rsidRPr="005F2939" w:rsidRDefault="0084001A" w:rsidP="005F2939">
      <w:pPr>
        <w:rPr>
          <w:rFonts w:ascii="Arial" w:eastAsia="Calibri" w:hAnsi="Arial" w:cs="Arial"/>
          <w:sz w:val="24"/>
          <w:szCs w:val="24"/>
          <w:lang w:eastAsia="en-GB"/>
        </w:rPr>
      </w:pPr>
    </w:p>
    <w:p w14:paraId="0DBA2F24" w14:textId="63EAFECE" w:rsidR="007134CE" w:rsidRDefault="0052637B" w:rsidP="007134CE">
      <w:pPr>
        <w:numPr>
          <w:ilvl w:val="0"/>
          <w:numId w:val="6"/>
        </w:numPr>
        <w:spacing w:after="200" w:line="276" w:lineRule="auto"/>
        <w:ind w:left="567" w:hanging="425"/>
        <w:contextualSpacing/>
        <w:rPr>
          <w:rFonts w:ascii="Arial" w:eastAsia="Calibri" w:hAnsi="Arial" w:cs="Arial"/>
          <w:sz w:val="24"/>
          <w:szCs w:val="24"/>
          <w:lang w:eastAsia="en-GB"/>
        </w:rPr>
      </w:pPr>
      <w:r w:rsidRPr="005725A1">
        <w:rPr>
          <w:rFonts w:ascii="Arial" w:eastAsia="Calibri" w:hAnsi="Arial" w:cs="Arial"/>
          <w:sz w:val="24"/>
          <w:szCs w:val="24"/>
          <w:lang w:eastAsia="en-GB"/>
        </w:rPr>
        <w:t>While investment in social work is essential</w:t>
      </w:r>
      <w:r w:rsidR="004C2F5C">
        <w:rPr>
          <w:rFonts w:ascii="Arial" w:eastAsia="Calibri" w:hAnsi="Arial" w:cs="Arial"/>
          <w:sz w:val="24"/>
          <w:szCs w:val="24"/>
          <w:lang w:eastAsia="en-GB"/>
        </w:rPr>
        <w:t xml:space="preserve">, </w:t>
      </w:r>
      <w:r w:rsidRPr="005725A1">
        <w:rPr>
          <w:rFonts w:ascii="Arial" w:eastAsia="Calibri" w:hAnsi="Arial" w:cs="Arial"/>
          <w:sz w:val="24"/>
          <w:szCs w:val="24"/>
          <w:lang w:eastAsia="en-GB"/>
        </w:rPr>
        <w:t>the sector can</w:t>
      </w:r>
      <w:r w:rsidR="00995D76">
        <w:rPr>
          <w:rFonts w:ascii="Arial" w:eastAsia="Calibri" w:hAnsi="Arial" w:cs="Arial"/>
          <w:sz w:val="24"/>
          <w:szCs w:val="24"/>
          <w:lang w:eastAsia="en-GB"/>
        </w:rPr>
        <w:t>’</w:t>
      </w:r>
      <w:r w:rsidRPr="005725A1">
        <w:rPr>
          <w:rFonts w:ascii="Arial" w:eastAsia="Calibri" w:hAnsi="Arial" w:cs="Arial"/>
          <w:sz w:val="24"/>
          <w:szCs w:val="24"/>
          <w:lang w:eastAsia="en-GB"/>
        </w:rPr>
        <w:t>t function without a well-developed social work workforce</w:t>
      </w:r>
      <w:r w:rsidR="00995D76">
        <w:rPr>
          <w:rFonts w:ascii="Arial" w:eastAsia="Calibri" w:hAnsi="Arial" w:cs="Arial"/>
          <w:sz w:val="24"/>
          <w:szCs w:val="24"/>
          <w:lang w:eastAsia="en-GB"/>
        </w:rPr>
        <w:t>. T</w:t>
      </w:r>
      <w:r w:rsidRPr="005725A1">
        <w:rPr>
          <w:rFonts w:ascii="Arial" w:eastAsia="Calibri" w:hAnsi="Arial" w:cs="Arial"/>
          <w:sz w:val="24"/>
          <w:szCs w:val="24"/>
          <w:lang w:eastAsia="en-GB"/>
        </w:rPr>
        <w:t>ere</w:t>
      </w:r>
      <w:r w:rsidR="00995D76">
        <w:rPr>
          <w:rFonts w:ascii="Arial" w:eastAsia="Calibri" w:hAnsi="Arial" w:cs="Arial"/>
          <w:sz w:val="24"/>
          <w:szCs w:val="24"/>
          <w:lang w:eastAsia="en-GB"/>
        </w:rPr>
        <w:t>’s</w:t>
      </w:r>
      <w:r w:rsidRPr="005725A1">
        <w:rPr>
          <w:rFonts w:ascii="Arial" w:eastAsia="Calibri" w:hAnsi="Arial" w:cs="Arial"/>
          <w:sz w:val="24"/>
          <w:szCs w:val="24"/>
          <w:lang w:eastAsia="en-GB"/>
        </w:rPr>
        <w:t xml:space="preserve"> a continued risk that </w:t>
      </w:r>
      <w:r w:rsidR="00A9125F">
        <w:rPr>
          <w:rFonts w:ascii="Arial" w:eastAsia="Calibri" w:hAnsi="Arial" w:cs="Arial"/>
          <w:sz w:val="24"/>
          <w:szCs w:val="24"/>
          <w:lang w:eastAsia="en-GB"/>
        </w:rPr>
        <w:t>focusing</w:t>
      </w:r>
      <w:r w:rsidR="005F193F">
        <w:rPr>
          <w:rFonts w:ascii="Arial" w:eastAsia="Calibri" w:hAnsi="Arial" w:cs="Arial"/>
          <w:sz w:val="24"/>
          <w:szCs w:val="24"/>
          <w:lang w:eastAsia="en-GB"/>
        </w:rPr>
        <w:t xml:space="preserve"> spending </w:t>
      </w:r>
      <w:r w:rsidRPr="005725A1">
        <w:rPr>
          <w:rFonts w:ascii="Arial" w:eastAsia="Calibri" w:hAnsi="Arial" w:cs="Arial"/>
          <w:sz w:val="24"/>
          <w:szCs w:val="24"/>
          <w:lang w:eastAsia="en-GB"/>
        </w:rPr>
        <w:t xml:space="preserve">in this area may lead to under-investment in the wider non-social worker workforce, which </w:t>
      </w:r>
      <w:r w:rsidR="00BE7A15">
        <w:rPr>
          <w:rFonts w:ascii="Arial" w:eastAsia="Calibri" w:hAnsi="Arial" w:cs="Arial"/>
          <w:sz w:val="24"/>
          <w:szCs w:val="24"/>
          <w:lang w:eastAsia="en-GB"/>
        </w:rPr>
        <w:t xml:space="preserve">is </w:t>
      </w:r>
      <w:r w:rsidRPr="005725A1">
        <w:rPr>
          <w:rFonts w:ascii="Arial" w:eastAsia="Calibri" w:hAnsi="Arial" w:cs="Arial"/>
          <w:sz w:val="24"/>
          <w:szCs w:val="24"/>
          <w:lang w:eastAsia="en-GB"/>
        </w:rPr>
        <w:t xml:space="preserve">also </w:t>
      </w:r>
      <w:r w:rsidR="00BE7A15">
        <w:rPr>
          <w:rFonts w:ascii="Arial" w:eastAsia="Calibri" w:hAnsi="Arial" w:cs="Arial"/>
          <w:sz w:val="24"/>
          <w:szCs w:val="24"/>
          <w:lang w:eastAsia="en-GB"/>
        </w:rPr>
        <w:t>vital</w:t>
      </w:r>
      <w:r w:rsidRPr="005725A1">
        <w:rPr>
          <w:rFonts w:ascii="Arial" w:eastAsia="Calibri" w:hAnsi="Arial" w:cs="Arial"/>
          <w:sz w:val="24"/>
          <w:szCs w:val="24"/>
          <w:lang w:eastAsia="en-GB"/>
        </w:rPr>
        <w:t xml:space="preserve"> in delivering high-quality care and support.</w:t>
      </w:r>
      <w:r w:rsidR="00387765">
        <w:rPr>
          <w:rFonts w:ascii="Arial" w:eastAsia="Calibri" w:hAnsi="Arial" w:cs="Arial"/>
          <w:sz w:val="24"/>
          <w:szCs w:val="24"/>
          <w:lang w:eastAsia="en-GB"/>
        </w:rPr>
        <w:t xml:space="preserve"> </w:t>
      </w:r>
      <w:r w:rsidR="001C499A">
        <w:rPr>
          <w:rFonts w:ascii="Arial" w:eastAsia="Calibri" w:hAnsi="Arial" w:cs="Arial"/>
          <w:sz w:val="24"/>
          <w:szCs w:val="24"/>
          <w:lang w:eastAsia="en-GB"/>
        </w:rPr>
        <w:t>Qualified social workers are 11.2</w:t>
      </w:r>
      <w:r w:rsidR="001C499A">
        <w:rPr>
          <w:rStyle w:val="FootnoteReference"/>
          <w:rFonts w:ascii="Arial" w:eastAsia="Calibri" w:hAnsi="Arial" w:cs="Arial"/>
          <w:sz w:val="24"/>
          <w:szCs w:val="24"/>
          <w:lang w:eastAsia="en-GB"/>
        </w:rPr>
        <w:footnoteReference w:id="9"/>
      </w:r>
      <w:r w:rsidR="001C499A">
        <w:rPr>
          <w:rFonts w:ascii="Arial" w:eastAsia="Calibri" w:hAnsi="Arial" w:cs="Arial"/>
          <w:sz w:val="24"/>
          <w:szCs w:val="24"/>
          <w:lang w:eastAsia="en-GB"/>
        </w:rPr>
        <w:t xml:space="preserve"> per cent of the total registered social care workforce.  </w:t>
      </w:r>
    </w:p>
    <w:p w14:paraId="59465A89" w14:textId="77777777" w:rsidR="007134CE" w:rsidRDefault="007134CE" w:rsidP="00C92ECE">
      <w:pPr>
        <w:spacing w:after="200" w:line="276" w:lineRule="auto"/>
        <w:ind w:left="567"/>
        <w:contextualSpacing/>
        <w:rPr>
          <w:rFonts w:ascii="Arial" w:eastAsia="Calibri" w:hAnsi="Arial" w:cs="Arial"/>
          <w:sz w:val="24"/>
          <w:szCs w:val="24"/>
          <w:lang w:eastAsia="en-GB"/>
        </w:rPr>
      </w:pPr>
    </w:p>
    <w:p w14:paraId="48F09AB1" w14:textId="493E2078" w:rsidR="008C6213" w:rsidRDefault="007134CE" w:rsidP="00221DE1">
      <w:pPr>
        <w:numPr>
          <w:ilvl w:val="0"/>
          <w:numId w:val="6"/>
        </w:numPr>
        <w:spacing w:after="0" w:line="276" w:lineRule="auto"/>
        <w:ind w:left="567" w:hanging="425"/>
        <w:contextualSpacing/>
        <w:rPr>
          <w:rFonts w:ascii="Arial" w:eastAsia="Calibri" w:hAnsi="Arial" w:cs="Arial"/>
          <w:sz w:val="24"/>
          <w:szCs w:val="24"/>
          <w:lang w:eastAsia="en-GB"/>
        </w:rPr>
      </w:pPr>
      <w:r w:rsidRPr="00C92ECE">
        <w:rPr>
          <w:rFonts w:ascii="Arial" w:eastAsia="Calibri" w:hAnsi="Arial" w:cs="Arial"/>
          <w:sz w:val="24"/>
          <w:szCs w:val="24"/>
          <w:lang w:eastAsia="en-GB"/>
        </w:rPr>
        <w:t xml:space="preserve">Interestingly, </w:t>
      </w:r>
      <w:r w:rsidR="00B605CF">
        <w:rPr>
          <w:rFonts w:ascii="Arial" w:eastAsia="Calibri" w:hAnsi="Arial" w:cs="Arial"/>
          <w:sz w:val="24"/>
          <w:szCs w:val="24"/>
          <w:lang w:eastAsia="en-GB"/>
        </w:rPr>
        <w:t xml:space="preserve">reported </w:t>
      </w:r>
      <w:r w:rsidRPr="00C92ECE">
        <w:rPr>
          <w:rFonts w:ascii="Arial" w:eastAsia="Calibri" w:hAnsi="Arial" w:cs="Arial"/>
          <w:sz w:val="24"/>
          <w:szCs w:val="24"/>
          <w:lang w:eastAsia="en-GB"/>
        </w:rPr>
        <w:t>additional local authority funding for qualifying and post-qualifying social work decreased significantly in 2024</w:t>
      </w:r>
      <w:r>
        <w:rPr>
          <w:rFonts w:ascii="Arial" w:eastAsia="Calibri" w:hAnsi="Arial" w:cs="Arial"/>
          <w:sz w:val="24"/>
          <w:szCs w:val="24"/>
          <w:lang w:eastAsia="en-GB"/>
        </w:rPr>
        <w:t xml:space="preserve"> to </w:t>
      </w:r>
      <w:r w:rsidRPr="00C92ECE">
        <w:rPr>
          <w:rFonts w:ascii="Arial" w:eastAsia="Calibri" w:hAnsi="Arial" w:cs="Arial"/>
          <w:sz w:val="24"/>
          <w:szCs w:val="24"/>
          <w:lang w:eastAsia="en-GB"/>
        </w:rPr>
        <w:t>2025, by 48.4</w:t>
      </w:r>
      <w:r>
        <w:rPr>
          <w:rFonts w:ascii="Arial" w:eastAsia="Calibri" w:hAnsi="Arial" w:cs="Arial"/>
          <w:sz w:val="24"/>
          <w:szCs w:val="24"/>
          <w:lang w:eastAsia="en-GB"/>
        </w:rPr>
        <w:t xml:space="preserve"> per cent</w:t>
      </w:r>
      <w:r w:rsidRPr="00C92ECE">
        <w:rPr>
          <w:rFonts w:ascii="Arial" w:eastAsia="Calibri" w:hAnsi="Arial" w:cs="Arial"/>
          <w:sz w:val="24"/>
          <w:szCs w:val="24"/>
          <w:lang w:eastAsia="en-GB"/>
        </w:rPr>
        <w:t>. However, as data on additional local authority funding is</w:t>
      </w:r>
      <w:r w:rsidR="003C4A46">
        <w:rPr>
          <w:rFonts w:ascii="Arial" w:eastAsia="Calibri" w:hAnsi="Arial" w:cs="Arial"/>
          <w:sz w:val="24"/>
          <w:szCs w:val="24"/>
          <w:lang w:eastAsia="en-GB"/>
        </w:rPr>
        <w:t>n’t</w:t>
      </w:r>
      <w:r w:rsidRPr="00C92ECE">
        <w:rPr>
          <w:rFonts w:ascii="Arial" w:eastAsia="Calibri" w:hAnsi="Arial" w:cs="Arial"/>
          <w:sz w:val="24"/>
          <w:szCs w:val="24"/>
          <w:lang w:eastAsia="en-GB"/>
        </w:rPr>
        <w:t xml:space="preserve"> always consistently reported, this figure may not fully reflect the actual level of investment.</w:t>
      </w:r>
    </w:p>
    <w:p w14:paraId="6A475EDB" w14:textId="77777777" w:rsidR="00F41E1C" w:rsidRDefault="00F41E1C" w:rsidP="00C92ECE">
      <w:pPr>
        <w:pStyle w:val="ListParagraph"/>
        <w:spacing w:after="0"/>
        <w:rPr>
          <w:rFonts w:ascii="Arial" w:eastAsia="Calibri" w:hAnsi="Arial" w:cs="Arial"/>
          <w:sz w:val="24"/>
          <w:szCs w:val="24"/>
          <w:lang w:eastAsia="en-GB"/>
        </w:rPr>
      </w:pPr>
    </w:p>
    <w:p w14:paraId="615415AF" w14:textId="713C0259" w:rsidR="00F649C6" w:rsidRPr="00F649C6" w:rsidRDefault="00E31A87" w:rsidP="00C92ECE">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Feedback suggests</w:t>
      </w:r>
      <w:r w:rsidR="00B92E6A">
        <w:rPr>
          <w:rFonts w:ascii="Arial" w:eastAsia="Calibri" w:hAnsi="Arial" w:cs="Arial"/>
          <w:sz w:val="24"/>
          <w:szCs w:val="24"/>
          <w:lang w:eastAsia="en-GB"/>
        </w:rPr>
        <w:t xml:space="preserve"> that </w:t>
      </w:r>
      <w:r w:rsidR="001D7823">
        <w:rPr>
          <w:rFonts w:ascii="Arial" w:eastAsia="Calibri" w:hAnsi="Arial" w:cs="Arial"/>
          <w:sz w:val="24"/>
          <w:szCs w:val="24"/>
          <w:lang w:eastAsia="en-GB"/>
        </w:rPr>
        <w:t>funding strongly influences the focus on</w:t>
      </w:r>
      <w:r w:rsidR="00E45007">
        <w:rPr>
          <w:rFonts w:ascii="Arial" w:eastAsia="Calibri" w:hAnsi="Arial" w:cs="Arial"/>
          <w:sz w:val="24"/>
          <w:szCs w:val="24"/>
          <w:lang w:eastAsia="en-GB"/>
        </w:rPr>
        <w:t xml:space="preserve"> </w:t>
      </w:r>
      <w:r w:rsidR="00897E2E">
        <w:rPr>
          <w:rFonts w:ascii="Arial" w:eastAsia="Calibri" w:hAnsi="Arial" w:cs="Arial"/>
          <w:sz w:val="24"/>
          <w:szCs w:val="24"/>
          <w:lang w:eastAsia="en-GB"/>
        </w:rPr>
        <w:t>q</w:t>
      </w:r>
      <w:r w:rsidR="00897E2E" w:rsidRPr="00B568D1">
        <w:rPr>
          <w:rFonts w:ascii="Arial" w:eastAsia="Calibri" w:hAnsi="Arial" w:cs="Arial"/>
          <w:sz w:val="24"/>
          <w:szCs w:val="24"/>
          <w:lang w:eastAsia="en-GB"/>
        </w:rPr>
        <w:t>ualifying and post-qualifying social work</w:t>
      </w:r>
      <w:r w:rsidR="00AF3CCF">
        <w:rPr>
          <w:rFonts w:ascii="Arial" w:eastAsia="Calibri" w:hAnsi="Arial" w:cs="Arial"/>
          <w:sz w:val="24"/>
          <w:szCs w:val="24"/>
          <w:lang w:eastAsia="en-GB"/>
        </w:rPr>
        <w:t>. As</w:t>
      </w:r>
      <w:r w:rsidR="00F649C6" w:rsidRPr="00F649C6">
        <w:rPr>
          <w:rFonts w:ascii="Arial" w:eastAsia="Calibri" w:hAnsi="Arial" w:cs="Arial"/>
          <w:sz w:val="24"/>
          <w:szCs w:val="24"/>
          <w:lang w:eastAsia="en-GB"/>
        </w:rPr>
        <w:t xml:space="preserve"> part of our ongoing engagement with the social work sector, we gather and </w:t>
      </w:r>
      <w:r w:rsidR="00AF3CCF">
        <w:rPr>
          <w:rFonts w:ascii="Arial" w:eastAsia="Calibri" w:hAnsi="Arial" w:cs="Arial"/>
          <w:sz w:val="24"/>
          <w:szCs w:val="24"/>
          <w:lang w:eastAsia="en-GB"/>
        </w:rPr>
        <w:t xml:space="preserve">share </w:t>
      </w:r>
      <w:r w:rsidR="00207829">
        <w:rPr>
          <w:rFonts w:ascii="Arial" w:eastAsia="Calibri" w:hAnsi="Arial" w:cs="Arial"/>
          <w:sz w:val="24"/>
          <w:szCs w:val="24"/>
          <w:lang w:eastAsia="en-GB"/>
        </w:rPr>
        <w:t xml:space="preserve">the </w:t>
      </w:r>
      <w:r w:rsidR="00F649C6" w:rsidRPr="00F649C6">
        <w:rPr>
          <w:rFonts w:ascii="Arial" w:eastAsia="Calibri" w:hAnsi="Arial" w:cs="Arial"/>
          <w:sz w:val="24"/>
          <w:szCs w:val="24"/>
          <w:lang w:eastAsia="en-GB"/>
        </w:rPr>
        <w:t xml:space="preserve">feedback </w:t>
      </w:r>
      <w:r w:rsidR="00207829">
        <w:rPr>
          <w:rFonts w:ascii="Arial" w:eastAsia="Calibri" w:hAnsi="Arial" w:cs="Arial"/>
          <w:sz w:val="24"/>
          <w:szCs w:val="24"/>
          <w:lang w:eastAsia="en-GB"/>
        </w:rPr>
        <w:t>with Welsh Government</w:t>
      </w:r>
      <w:r w:rsidR="00065F72">
        <w:rPr>
          <w:rFonts w:ascii="Arial" w:eastAsia="Calibri" w:hAnsi="Arial" w:cs="Arial"/>
          <w:sz w:val="24"/>
          <w:szCs w:val="24"/>
          <w:lang w:eastAsia="en-GB"/>
        </w:rPr>
        <w:t>, including concerns about</w:t>
      </w:r>
      <w:r w:rsidR="00F649C6" w:rsidRPr="00F649C6">
        <w:rPr>
          <w:rFonts w:ascii="Arial" w:eastAsia="Calibri" w:hAnsi="Arial" w:cs="Arial"/>
          <w:sz w:val="24"/>
          <w:szCs w:val="24"/>
          <w:lang w:eastAsia="en-GB"/>
        </w:rPr>
        <w:t xml:space="preserve"> bursary levels and funding</w:t>
      </w:r>
      <w:r w:rsidR="00207829">
        <w:rPr>
          <w:rFonts w:ascii="Arial" w:eastAsia="Calibri" w:hAnsi="Arial" w:cs="Arial"/>
          <w:sz w:val="24"/>
          <w:szCs w:val="24"/>
          <w:lang w:eastAsia="en-GB"/>
        </w:rPr>
        <w:t xml:space="preserve">. </w:t>
      </w:r>
      <w:r w:rsidR="007314CE">
        <w:rPr>
          <w:rFonts w:ascii="Arial" w:eastAsia="Calibri" w:hAnsi="Arial" w:cs="Arial"/>
          <w:sz w:val="24"/>
          <w:szCs w:val="24"/>
          <w:lang w:eastAsia="en-GB"/>
        </w:rPr>
        <w:t>We also</w:t>
      </w:r>
      <w:r w:rsidR="00F649C6" w:rsidRPr="00F649C6">
        <w:rPr>
          <w:rFonts w:ascii="Arial" w:eastAsia="Calibri" w:hAnsi="Arial" w:cs="Arial"/>
          <w:sz w:val="24"/>
          <w:szCs w:val="24"/>
          <w:lang w:eastAsia="en-GB"/>
        </w:rPr>
        <w:t xml:space="preserve"> highlight </w:t>
      </w:r>
      <w:r w:rsidR="003A6791">
        <w:rPr>
          <w:rFonts w:ascii="Arial" w:eastAsia="Calibri" w:hAnsi="Arial" w:cs="Arial"/>
          <w:sz w:val="24"/>
          <w:szCs w:val="24"/>
          <w:lang w:eastAsia="en-GB"/>
        </w:rPr>
        <w:t xml:space="preserve">how </w:t>
      </w:r>
      <w:r w:rsidR="00F649C6" w:rsidRPr="00F649C6">
        <w:rPr>
          <w:rFonts w:ascii="Arial" w:eastAsia="Calibri" w:hAnsi="Arial" w:cs="Arial"/>
          <w:sz w:val="24"/>
          <w:szCs w:val="24"/>
          <w:lang w:eastAsia="en-GB"/>
        </w:rPr>
        <w:t>current funding arrangements</w:t>
      </w:r>
      <w:r w:rsidR="003A6791">
        <w:rPr>
          <w:rFonts w:ascii="Arial" w:eastAsia="Calibri" w:hAnsi="Arial" w:cs="Arial"/>
          <w:sz w:val="24"/>
          <w:szCs w:val="24"/>
          <w:lang w:eastAsia="en-GB"/>
        </w:rPr>
        <w:t xml:space="preserve"> could affect</w:t>
      </w:r>
      <w:r w:rsidR="00F649C6" w:rsidRPr="00F649C6">
        <w:rPr>
          <w:rFonts w:ascii="Arial" w:eastAsia="Calibri" w:hAnsi="Arial" w:cs="Arial"/>
          <w:sz w:val="24"/>
          <w:szCs w:val="24"/>
          <w:lang w:eastAsia="en-GB"/>
        </w:rPr>
        <w:t xml:space="preserve"> the recruitment and retention of social work students</w:t>
      </w:r>
      <w:r w:rsidR="008C6213">
        <w:rPr>
          <w:rFonts w:ascii="Arial" w:eastAsia="Calibri" w:hAnsi="Arial" w:cs="Arial"/>
          <w:sz w:val="24"/>
          <w:szCs w:val="24"/>
          <w:lang w:eastAsia="en-GB"/>
        </w:rPr>
        <w:t>, to</w:t>
      </w:r>
      <w:r w:rsidR="00477361">
        <w:rPr>
          <w:rFonts w:ascii="Arial" w:eastAsia="Calibri" w:hAnsi="Arial" w:cs="Arial"/>
          <w:sz w:val="24"/>
          <w:szCs w:val="24"/>
          <w:lang w:eastAsia="en-GB"/>
        </w:rPr>
        <w:t xml:space="preserve"> help shape</w:t>
      </w:r>
      <w:r w:rsidR="008C6213">
        <w:rPr>
          <w:rFonts w:ascii="Arial" w:eastAsia="Calibri" w:hAnsi="Arial" w:cs="Arial"/>
          <w:sz w:val="24"/>
          <w:szCs w:val="24"/>
          <w:lang w:eastAsia="en-GB"/>
        </w:rPr>
        <w:t xml:space="preserve"> future policy decisions</w:t>
      </w:r>
      <w:r w:rsidR="00F649C6" w:rsidRPr="00F649C6">
        <w:rPr>
          <w:rFonts w:ascii="Arial" w:eastAsia="Calibri" w:hAnsi="Arial" w:cs="Arial"/>
          <w:sz w:val="24"/>
          <w:szCs w:val="24"/>
          <w:lang w:eastAsia="en-GB"/>
        </w:rPr>
        <w:t xml:space="preserve">. </w:t>
      </w:r>
    </w:p>
    <w:p w14:paraId="3648054A" w14:textId="77777777" w:rsidR="00F649C6" w:rsidRDefault="00F649C6" w:rsidP="00C92ECE">
      <w:pPr>
        <w:spacing w:after="200" w:line="276" w:lineRule="auto"/>
        <w:ind w:left="567"/>
        <w:contextualSpacing/>
        <w:rPr>
          <w:rFonts w:ascii="Arial" w:eastAsia="Calibri" w:hAnsi="Arial" w:cs="Arial"/>
          <w:sz w:val="24"/>
          <w:szCs w:val="24"/>
          <w:lang w:eastAsia="en-GB"/>
        </w:rPr>
      </w:pPr>
    </w:p>
    <w:p w14:paraId="3605FE40" w14:textId="0844248B" w:rsidR="00024642" w:rsidRDefault="00237353" w:rsidP="00C92ECE">
      <w:pPr>
        <w:numPr>
          <w:ilvl w:val="0"/>
          <w:numId w:val="6"/>
        </w:numPr>
        <w:spacing w:after="200" w:line="276" w:lineRule="auto"/>
        <w:ind w:left="567" w:hanging="425"/>
        <w:contextualSpacing/>
        <w:rPr>
          <w:rFonts w:ascii="Arial" w:eastAsia="Calibri" w:hAnsi="Arial" w:cs="Arial"/>
          <w:sz w:val="24"/>
          <w:szCs w:val="24"/>
          <w:lang w:eastAsia="en-GB"/>
        </w:rPr>
      </w:pPr>
      <w:r w:rsidRPr="00237353">
        <w:rPr>
          <w:rFonts w:ascii="Arial" w:eastAsia="Calibri" w:hAnsi="Arial" w:cs="Arial"/>
          <w:sz w:val="24"/>
          <w:szCs w:val="24"/>
          <w:lang w:eastAsia="en-GB"/>
        </w:rPr>
        <w:t>Following a significant decline in 2023</w:t>
      </w:r>
      <w:r>
        <w:rPr>
          <w:rFonts w:ascii="Arial" w:eastAsia="Calibri" w:hAnsi="Arial" w:cs="Arial"/>
          <w:sz w:val="24"/>
          <w:szCs w:val="24"/>
          <w:lang w:eastAsia="en-GB"/>
        </w:rPr>
        <w:t xml:space="preserve"> to </w:t>
      </w:r>
      <w:r w:rsidRPr="00237353">
        <w:rPr>
          <w:rFonts w:ascii="Arial" w:eastAsia="Calibri" w:hAnsi="Arial" w:cs="Arial"/>
          <w:sz w:val="24"/>
          <w:szCs w:val="24"/>
          <w:lang w:eastAsia="en-GB"/>
        </w:rPr>
        <w:t xml:space="preserve">2024, </w:t>
      </w:r>
      <w:r w:rsidR="00BD5764">
        <w:rPr>
          <w:rFonts w:ascii="Arial" w:eastAsia="Calibri" w:hAnsi="Arial" w:cs="Arial"/>
          <w:sz w:val="24"/>
          <w:szCs w:val="24"/>
          <w:lang w:eastAsia="en-GB"/>
        </w:rPr>
        <w:t xml:space="preserve">reported </w:t>
      </w:r>
      <w:r w:rsidRPr="00237353">
        <w:rPr>
          <w:rFonts w:ascii="Arial" w:eastAsia="Calibri" w:hAnsi="Arial" w:cs="Arial"/>
          <w:sz w:val="24"/>
          <w:szCs w:val="24"/>
          <w:lang w:eastAsia="en-GB"/>
        </w:rPr>
        <w:t xml:space="preserve">additional local authority funding for leadership and succession </w:t>
      </w:r>
      <w:r w:rsidR="00344F3A">
        <w:rPr>
          <w:rFonts w:ascii="Arial" w:eastAsia="Calibri" w:hAnsi="Arial" w:cs="Arial"/>
          <w:sz w:val="24"/>
          <w:szCs w:val="24"/>
          <w:lang w:eastAsia="en-GB"/>
        </w:rPr>
        <w:t>increased</w:t>
      </w:r>
      <w:r w:rsidR="00392682">
        <w:rPr>
          <w:rFonts w:ascii="Arial" w:eastAsia="Calibri" w:hAnsi="Arial" w:cs="Arial"/>
          <w:sz w:val="24"/>
          <w:szCs w:val="24"/>
          <w:lang w:eastAsia="en-GB"/>
        </w:rPr>
        <w:t xml:space="preserve"> by </w:t>
      </w:r>
      <w:r w:rsidR="00392682" w:rsidRPr="00237353">
        <w:rPr>
          <w:rFonts w:ascii="Arial" w:eastAsia="Calibri" w:hAnsi="Arial" w:cs="Arial"/>
          <w:sz w:val="24"/>
          <w:szCs w:val="24"/>
          <w:lang w:eastAsia="en-GB"/>
        </w:rPr>
        <w:t>24.7</w:t>
      </w:r>
      <w:r w:rsidR="00392682">
        <w:rPr>
          <w:rFonts w:ascii="Arial" w:eastAsia="Calibri" w:hAnsi="Arial" w:cs="Arial"/>
          <w:sz w:val="24"/>
          <w:szCs w:val="24"/>
          <w:lang w:eastAsia="en-GB"/>
        </w:rPr>
        <w:t xml:space="preserve"> per </w:t>
      </w:r>
      <w:proofErr w:type="gramStart"/>
      <w:r w:rsidR="00392682">
        <w:rPr>
          <w:rFonts w:ascii="Arial" w:eastAsia="Calibri" w:hAnsi="Arial" w:cs="Arial"/>
          <w:sz w:val="24"/>
          <w:szCs w:val="24"/>
          <w:lang w:eastAsia="en-GB"/>
        </w:rPr>
        <w:t>cent</w:t>
      </w:r>
      <w:r w:rsidR="00392682" w:rsidRPr="00237353" w:rsidDel="00392682">
        <w:rPr>
          <w:rFonts w:ascii="Arial" w:eastAsia="Calibri" w:hAnsi="Arial" w:cs="Arial"/>
          <w:sz w:val="24"/>
          <w:szCs w:val="24"/>
          <w:lang w:eastAsia="en-GB"/>
        </w:rPr>
        <w:t xml:space="preserve"> </w:t>
      </w:r>
      <w:r w:rsidR="00392682">
        <w:rPr>
          <w:rFonts w:ascii="Arial" w:eastAsia="Calibri" w:hAnsi="Arial" w:cs="Arial"/>
          <w:sz w:val="24"/>
          <w:szCs w:val="24"/>
          <w:lang w:eastAsia="en-GB"/>
        </w:rPr>
        <w:t xml:space="preserve"> </w:t>
      </w:r>
      <w:r w:rsidRPr="00237353">
        <w:rPr>
          <w:rFonts w:ascii="Arial" w:eastAsia="Calibri" w:hAnsi="Arial" w:cs="Arial"/>
          <w:sz w:val="24"/>
          <w:szCs w:val="24"/>
          <w:lang w:eastAsia="en-GB"/>
        </w:rPr>
        <w:t>in</w:t>
      </w:r>
      <w:proofErr w:type="gramEnd"/>
      <w:r w:rsidRPr="00237353">
        <w:rPr>
          <w:rFonts w:ascii="Arial" w:eastAsia="Calibri" w:hAnsi="Arial" w:cs="Arial"/>
          <w:sz w:val="24"/>
          <w:szCs w:val="24"/>
          <w:lang w:eastAsia="en-GB"/>
        </w:rPr>
        <w:t xml:space="preserve"> 2024</w:t>
      </w:r>
      <w:r>
        <w:rPr>
          <w:rFonts w:ascii="Arial" w:eastAsia="Calibri" w:hAnsi="Arial" w:cs="Arial"/>
          <w:sz w:val="24"/>
          <w:szCs w:val="24"/>
          <w:lang w:eastAsia="en-GB"/>
        </w:rPr>
        <w:t xml:space="preserve"> to </w:t>
      </w:r>
      <w:proofErr w:type="gramStart"/>
      <w:r w:rsidRPr="00237353">
        <w:rPr>
          <w:rFonts w:ascii="Arial" w:eastAsia="Calibri" w:hAnsi="Arial" w:cs="Arial"/>
          <w:sz w:val="24"/>
          <w:szCs w:val="24"/>
          <w:lang w:eastAsia="en-GB"/>
        </w:rPr>
        <w:t>2025</w:t>
      </w:r>
      <w:r w:rsidR="001379E0">
        <w:rPr>
          <w:rFonts w:ascii="Arial" w:eastAsia="Calibri" w:hAnsi="Arial" w:cs="Arial"/>
          <w:sz w:val="24"/>
          <w:szCs w:val="24"/>
          <w:lang w:eastAsia="en-GB"/>
        </w:rPr>
        <w:t>.</w:t>
      </w:r>
      <w:r w:rsidRPr="00237353">
        <w:rPr>
          <w:rFonts w:ascii="Arial" w:eastAsia="Calibri" w:hAnsi="Arial" w:cs="Arial"/>
          <w:sz w:val="24"/>
          <w:szCs w:val="24"/>
          <w:lang w:eastAsia="en-GB"/>
        </w:rPr>
        <w:t>.</w:t>
      </w:r>
      <w:proofErr w:type="gramEnd"/>
      <w:r w:rsidRPr="00237353">
        <w:rPr>
          <w:rFonts w:ascii="Arial" w:eastAsia="Calibri" w:hAnsi="Arial" w:cs="Arial"/>
          <w:sz w:val="24"/>
          <w:szCs w:val="24"/>
          <w:lang w:eastAsia="en-GB"/>
        </w:rPr>
        <w:t xml:space="preserve"> We’ve been working closely with local authorities to </w:t>
      </w:r>
      <w:r w:rsidR="00900FE1">
        <w:rPr>
          <w:rFonts w:ascii="Arial" w:eastAsia="Calibri" w:hAnsi="Arial" w:cs="Arial"/>
          <w:sz w:val="24"/>
          <w:szCs w:val="24"/>
          <w:lang w:eastAsia="en-GB"/>
        </w:rPr>
        <w:t>give</w:t>
      </w:r>
      <w:r w:rsidRPr="00237353">
        <w:rPr>
          <w:rFonts w:ascii="Arial" w:eastAsia="Calibri" w:hAnsi="Arial" w:cs="Arial"/>
          <w:sz w:val="24"/>
          <w:szCs w:val="24"/>
          <w:lang w:eastAsia="en-GB"/>
        </w:rPr>
        <w:t xml:space="preserve"> clearer guidance on how </w:t>
      </w:r>
      <w:r w:rsidR="00900FE1">
        <w:rPr>
          <w:rFonts w:ascii="Arial" w:eastAsia="Calibri" w:hAnsi="Arial" w:cs="Arial"/>
          <w:sz w:val="24"/>
          <w:szCs w:val="24"/>
          <w:lang w:eastAsia="en-GB"/>
        </w:rPr>
        <w:t xml:space="preserve">to report </w:t>
      </w:r>
      <w:r w:rsidRPr="00237353">
        <w:rPr>
          <w:rFonts w:ascii="Arial" w:eastAsia="Calibri" w:hAnsi="Arial" w:cs="Arial"/>
          <w:sz w:val="24"/>
          <w:szCs w:val="24"/>
          <w:lang w:eastAsia="en-GB"/>
        </w:rPr>
        <w:t xml:space="preserve">financial information </w:t>
      </w:r>
      <w:r w:rsidR="00477C53">
        <w:rPr>
          <w:rFonts w:ascii="Arial" w:eastAsia="Calibri" w:hAnsi="Arial" w:cs="Arial"/>
          <w:sz w:val="24"/>
          <w:szCs w:val="24"/>
          <w:lang w:eastAsia="en-GB"/>
        </w:rPr>
        <w:t xml:space="preserve">for </w:t>
      </w:r>
      <w:r w:rsidRPr="00237353">
        <w:rPr>
          <w:rFonts w:ascii="Arial" w:eastAsia="Calibri" w:hAnsi="Arial" w:cs="Arial"/>
          <w:sz w:val="24"/>
          <w:szCs w:val="24"/>
          <w:lang w:eastAsia="en-GB"/>
        </w:rPr>
        <w:t xml:space="preserve">national priorities. This improvement may </w:t>
      </w:r>
      <w:r w:rsidR="00472D87">
        <w:rPr>
          <w:rFonts w:ascii="Arial" w:eastAsia="Calibri" w:hAnsi="Arial" w:cs="Arial"/>
          <w:sz w:val="24"/>
          <w:szCs w:val="24"/>
          <w:lang w:eastAsia="en-GB"/>
        </w:rPr>
        <w:t>show</w:t>
      </w:r>
      <w:r w:rsidRPr="00237353">
        <w:rPr>
          <w:rFonts w:ascii="Arial" w:eastAsia="Calibri" w:hAnsi="Arial" w:cs="Arial"/>
          <w:sz w:val="24"/>
          <w:szCs w:val="24"/>
          <w:lang w:eastAsia="en-GB"/>
        </w:rPr>
        <w:t xml:space="preserve"> both </w:t>
      </w:r>
      <w:r w:rsidR="00950211">
        <w:rPr>
          <w:rFonts w:ascii="Arial" w:eastAsia="Calibri" w:hAnsi="Arial" w:cs="Arial"/>
          <w:sz w:val="24"/>
          <w:szCs w:val="24"/>
          <w:lang w:eastAsia="en-GB"/>
        </w:rPr>
        <w:t>better</w:t>
      </w:r>
      <w:r w:rsidRPr="00237353">
        <w:rPr>
          <w:rFonts w:ascii="Arial" w:eastAsia="Calibri" w:hAnsi="Arial" w:cs="Arial"/>
          <w:sz w:val="24"/>
          <w:szCs w:val="24"/>
          <w:lang w:eastAsia="en-GB"/>
        </w:rPr>
        <w:t xml:space="preserve"> reporting and a continued local focus on strengthening leadership and succession planning.</w:t>
      </w:r>
    </w:p>
    <w:p w14:paraId="1CE4D8FC" w14:textId="77777777" w:rsidR="004F6CB2" w:rsidRDefault="004F6CB2" w:rsidP="00C92ECE">
      <w:pPr>
        <w:spacing w:after="200" w:line="276" w:lineRule="auto"/>
        <w:ind w:left="567"/>
        <w:contextualSpacing/>
        <w:rPr>
          <w:rFonts w:ascii="Arial" w:eastAsia="Calibri" w:hAnsi="Arial" w:cs="Arial"/>
          <w:sz w:val="24"/>
          <w:szCs w:val="24"/>
          <w:lang w:eastAsia="en-GB"/>
        </w:rPr>
      </w:pPr>
    </w:p>
    <w:p w14:paraId="54EF2AC4" w14:textId="15F1EE7D" w:rsidR="009353C9" w:rsidRDefault="009F1DD0" w:rsidP="009353C9">
      <w:pPr>
        <w:numPr>
          <w:ilvl w:val="0"/>
          <w:numId w:val="6"/>
        </w:numPr>
        <w:spacing w:after="200" w:line="276" w:lineRule="auto"/>
        <w:ind w:left="567" w:hanging="425"/>
        <w:contextualSpacing/>
        <w:rPr>
          <w:rFonts w:ascii="Arial" w:eastAsia="Calibri" w:hAnsi="Arial" w:cs="Arial"/>
          <w:sz w:val="24"/>
          <w:szCs w:val="24"/>
          <w:lang w:eastAsia="en-GB"/>
        </w:rPr>
      </w:pPr>
      <w:r w:rsidRPr="00C92ECE">
        <w:rPr>
          <w:rFonts w:ascii="Arial" w:eastAsia="Calibri" w:hAnsi="Arial" w:cs="Arial"/>
          <w:sz w:val="24"/>
          <w:szCs w:val="24"/>
          <w:lang w:eastAsia="en-GB"/>
        </w:rPr>
        <w:t>In 2024</w:t>
      </w:r>
      <w:r>
        <w:rPr>
          <w:rFonts w:ascii="Arial" w:eastAsia="Calibri" w:hAnsi="Arial" w:cs="Arial"/>
          <w:sz w:val="24"/>
          <w:szCs w:val="24"/>
          <w:lang w:eastAsia="en-GB"/>
        </w:rPr>
        <w:t xml:space="preserve"> to </w:t>
      </w:r>
      <w:r w:rsidRPr="00C92ECE">
        <w:rPr>
          <w:rFonts w:ascii="Arial" w:eastAsia="Calibri" w:hAnsi="Arial" w:cs="Arial"/>
          <w:sz w:val="24"/>
          <w:szCs w:val="24"/>
          <w:lang w:eastAsia="en-GB"/>
        </w:rPr>
        <w:t>2025, there was a notable 69.9</w:t>
      </w:r>
      <w:r>
        <w:rPr>
          <w:rFonts w:ascii="Arial" w:eastAsia="Calibri" w:hAnsi="Arial" w:cs="Arial"/>
          <w:sz w:val="24"/>
          <w:szCs w:val="24"/>
          <w:lang w:eastAsia="en-GB"/>
        </w:rPr>
        <w:t xml:space="preserve"> per cent</w:t>
      </w:r>
      <w:r w:rsidRPr="00C92ECE">
        <w:rPr>
          <w:rFonts w:ascii="Arial" w:eastAsia="Calibri" w:hAnsi="Arial" w:cs="Arial"/>
          <w:sz w:val="24"/>
          <w:szCs w:val="24"/>
          <w:lang w:eastAsia="en-GB"/>
        </w:rPr>
        <w:t xml:space="preserve"> increase in </w:t>
      </w:r>
      <w:r w:rsidR="00BD5764">
        <w:rPr>
          <w:rFonts w:ascii="Arial" w:eastAsia="Calibri" w:hAnsi="Arial" w:cs="Arial"/>
          <w:sz w:val="24"/>
          <w:szCs w:val="24"/>
          <w:lang w:eastAsia="en-GB"/>
        </w:rPr>
        <w:t xml:space="preserve">reported </w:t>
      </w:r>
      <w:r w:rsidRPr="00C92ECE">
        <w:rPr>
          <w:rFonts w:ascii="Arial" w:eastAsia="Calibri" w:hAnsi="Arial" w:cs="Arial"/>
          <w:sz w:val="24"/>
          <w:szCs w:val="24"/>
          <w:lang w:eastAsia="en-GB"/>
        </w:rPr>
        <w:t xml:space="preserve">additional local authority funding </w:t>
      </w:r>
      <w:r w:rsidR="006445F9">
        <w:rPr>
          <w:rFonts w:ascii="Arial" w:eastAsia="Calibri" w:hAnsi="Arial" w:cs="Arial"/>
          <w:sz w:val="24"/>
          <w:szCs w:val="24"/>
          <w:lang w:eastAsia="en-GB"/>
        </w:rPr>
        <w:t>for</w:t>
      </w:r>
      <w:r w:rsidRPr="00C92ECE">
        <w:rPr>
          <w:rFonts w:ascii="Arial" w:eastAsia="Calibri" w:hAnsi="Arial" w:cs="Arial"/>
          <w:sz w:val="24"/>
          <w:szCs w:val="24"/>
          <w:lang w:eastAsia="en-GB"/>
        </w:rPr>
        <w:t xml:space="preserve"> 'other priorities' compared to 2023</w:t>
      </w:r>
      <w:r>
        <w:rPr>
          <w:rFonts w:ascii="Arial" w:eastAsia="Calibri" w:hAnsi="Arial" w:cs="Arial"/>
          <w:sz w:val="24"/>
          <w:szCs w:val="24"/>
          <w:lang w:eastAsia="en-GB"/>
        </w:rPr>
        <w:t xml:space="preserve"> to </w:t>
      </w:r>
      <w:r w:rsidRPr="00C92ECE">
        <w:rPr>
          <w:rFonts w:ascii="Arial" w:eastAsia="Calibri" w:hAnsi="Arial" w:cs="Arial"/>
          <w:sz w:val="24"/>
          <w:szCs w:val="24"/>
          <w:lang w:eastAsia="en-GB"/>
        </w:rPr>
        <w:t xml:space="preserve">2024. </w:t>
      </w:r>
      <w:r w:rsidRPr="00C92ECE">
        <w:rPr>
          <w:rFonts w:ascii="Arial" w:eastAsia="Calibri" w:hAnsi="Arial" w:cs="Arial"/>
          <w:sz w:val="24"/>
          <w:szCs w:val="24"/>
          <w:lang w:eastAsia="en-GB"/>
        </w:rPr>
        <w:lastRenderedPageBreak/>
        <w:t xml:space="preserve">This category often reflects specific local and regional priorities, and in this reporting period, the data </w:t>
      </w:r>
      <w:r w:rsidR="006B0158">
        <w:rPr>
          <w:rFonts w:ascii="Arial" w:eastAsia="Calibri" w:hAnsi="Arial" w:cs="Arial"/>
          <w:sz w:val="24"/>
          <w:szCs w:val="24"/>
          <w:lang w:eastAsia="en-GB"/>
        </w:rPr>
        <w:t>came from</w:t>
      </w:r>
      <w:r w:rsidRPr="00C92ECE">
        <w:rPr>
          <w:rFonts w:ascii="Arial" w:eastAsia="Calibri" w:hAnsi="Arial" w:cs="Arial"/>
          <w:sz w:val="24"/>
          <w:szCs w:val="24"/>
          <w:lang w:eastAsia="en-GB"/>
        </w:rPr>
        <w:t xml:space="preserve"> five regions. The spend included:</w:t>
      </w:r>
    </w:p>
    <w:p w14:paraId="2DCC27F7" w14:textId="77777777" w:rsidR="00AF5220" w:rsidRDefault="00AF5220" w:rsidP="00C92ECE">
      <w:pPr>
        <w:spacing w:after="200" w:line="276" w:lineRule="auto"/>
        <w:ind w:left="567"/>
        <w:contextualSpacing/>
        <w:rPr>
          <w:rFonts w:ascii="Arial" w:eastAsia="Calibri" w:hAnsi="Arial" w:cs="Arial"/>
          <w:sz w:val="24"/>
          <w:szCs w:val="24"/>
          <w:lang w:eastAsia="en-GB"/>
        </w:rPr>
      </w:pPr>
    </w:p>
    <w:p w14:paraId="275CE7DB" w14:textId="77777777" w:rsidR="009353C9" w:rsidRPr="00C92ECE" w:rsidRDefault="009F1DD0" w:rsidP="00AF5220">
      <w:pPr>
        <w:numPr>
          <w:ilvl w:val="1"/>
          <w:numId w:val="6"/>
        </w:numPr>
        <w:spacing w:after="200" w:line="276" w:lineRule="auto"/>
        <w:ind w:left="993" w:hanging="426"/>
        <w:contextualSpacing/>
        <w:rPr>
          <w:rFonts w:asciiTheme="minorBidi" w:eastAsia="Calibri" w:hAnsiTheme="minorBidi"/>
          <w:sz w:val="24"/>
          <w:szCs w:val="24"/>
          <w:lang w:eastAsia="en-GB"/>
        </w:rPr>
      </w:pPr>
      <w:r w:rsidRPr="00C92ECE">
        <w:rPr>
          <w:rFonts w:asciiTheme="minorBidi" w:hAnsiTheme="minorBidi"/>
          <w:sz w:val="24"/>
          <w:szCs w:val="24"/>
        </w:rPr>
        <w:t>Additional investment in regional attraction, recruitment, and retention initiatives</w:t>
      </w:r>
    </w:p>
    <w:p w14:paraId="67E5963C" w14:textId="77777777" w:rsidR="009353C9" w:rsidRPr="00C92ECE" w:rsidRDefault="009F1DD0" w:rsidP="00C92ECE">
      <w:pPr>
        <w:numPr>
          <w:ilvl w:val="1"/>
          <w:numId w:val="6"/>
        </w:numPr>
        <w:spacing w:after="200" w:line="276" w:lineRule="auto"/>
        <w:ind w:left="993" w:hanging="426"/>
        <w:contextualSpacing/>
        <w:rPr>
          <w:rFonts w:asciiTheme="minorBidi" w:eastAsia="Calibri" w:hAnsiTheme="minorBidi"/>
          <w:sz w:val="24"/>
          <w:szCs w:val="24"/>
          <w:lang w:eastAsia="en-GB"/>
        </w:rPr>
      </w:pPr>
      <w:r w:rsidRPr="00C92ECE">
        <w:rPr>
          <w:rFonts w:asciiTheme="minorBidi" w:hAnsiTheme="minorBidi"/>
          <w:sz w:val="24"/>
          <w:szCs w:val="24"/>
        </w:rPr>
        <w:t>Regional overheads and unallocated budgets</w:t>
      </w:r>
    </w:p>
    <w:p w14:paraId="7237182C" w14:textId="77777777" w:rsidR="009353C9" w:rsidRPr="00C92ECE" w:rsidRDefault="009F1DD0" w:rsidP="00C92ECE">
      <w:pPr>
        <w:numPr>
          <w:ilvl w:val="1"/>
          <w:numId w:val="6"/>
        </w:numPr>
        <w:spacing w:after="200" w:line="276" w:lineRule="auto"/>
        <w:ind w:left="993" w:hanging="426"/>
        <w:contextualSpacing/>
        <w:rPr>
          <w:rFonts w:asciiTheme="minorBidi" w:eastAsia="Calibri" w:hAnsiTheme="minorBidi"/>
          <w:sz w:val="24"/>
          <w:szCs w:val="24"/>
          <w:lang w:eastAsia="en-GB"/>
        </w:rPr>
      </w:pPr>
      <w:r w:rsidRPr="00C92ECE">
        <w:rPr>
          <w:rFonts w:asciiTheme="minorBidi" w:hAnsiTheme="minorBidi"/>
          <w:sz w:val="24"/>
          <w:szCs w:val="24"/>
        </w:rPr>
        <w:t>Purchase of resources and equipment</w:t>
      </w:r>
    </w:p>
    <w:p w14:paraId="3D486896" w14:textId="77777777" w:rsidR="00AF5220" w:rsidRDefault="009F1DD0" w:rsidP="00AF5220">
      <w:pPr>
        <w:numPr>
          <w:ilvl w:val="1"/>
          <w:numId w:val="6"/>
        </w:numPr>
        <w:spacing w:after="200" w:line="276" w:lineRule="auto"/>
        <w:ind w:left="993" w:hanging="426"/>
        <w:contextualSpacing/>
        <w:rPr>
          <w:rFonts w:asciiTheme="minorBidi" w:eastAsia="Calibri" w:hAnsiTheme="minorBidi"/>
          <w:sz w:val="24"/>
          <w:szCs w:val="24"/>
          <w:lang w:eastAsia="en-GB"/>
        </w:rPr>
      </w:pPr>
      <w:r w:rsidRPr="00C92ECE">
        <w:rPr>
          <w:rFonts w:asciiTheme="minorBidi" w:hAnsiTheme="minorBidi"/>
          <w:sz w:val="24"/>
          <w:szCs w:val="24"/>
        </w:rPr>
        <w:t>Localised training on specific service areas, including:</w:t>
      </w:r>
    </w:p>
    <w:p w14:paraId="4102CADE" w14:textId="77777777" w:rsidR="00AF5220" w:rsidRDefault="009F1DD0" w:rsidP="00AF5220">
      <w:pPr>
        <w:numPr>
          <w:ilvl w:val="2"/>
          <w:numId w:val="6"/>
        </w:numPr>
        <w:spacing w:after="200" w:line="276" w:lineRule="auto"/>
        <w:ind w:left="1276" w:hanging="283"/>
        <w:contextualSpacing/>
        <w:rPr>
          <w:rFonts w:asciiTheme="minorBidi" w:eastAsia="Calibri" w:hAnsiTheme="minorBidi"/>
          <w:sz w:val="24"/>
          <w:szCs w:val="24"/>
          <w:lang w:eastAsia="en-GB"/>
        </w:rPr>
      </w:pPr>
      <w:r w:rsidRPr="00C92ECE">
        <w:rPr>
          <w:rFonts w:asciiTheme="minorBidi" w:hAnsiTheme="minorBidi"/>
          <w:sz w:val="24"/>
          <w:szCs w:val="24"/>
        </w:rPr>
        <w:t>Safeguarding</w:t>
      </w:r>
    </w:p>
    <w:p w14:paraId="4919C4E4" w14:textId="77777777" w:rsidR="00AF5220" w:rsidRDefault="009F1DD0" w:rsidP="00AF5220">
      <w:pPr>
        <w:numPr>
          <w:ilvl w:val="2"/>
          <w:numId w:val="6"/>
        </w:numPr>
        <w:spacing w:after="200" w:line="276" w:lineRule="auto"/>
        <w:ind w:left="1276" w:hanging="283"/>
        <w:contextualSpacing/>
        <w:rPr>
          <w:rFonts w:asciiTheme="minorBidi" w:eastAsia="Calibri" w:hAnsiTheme="minorBidi"/>
          <w:sz w:val="24"/>
          <w:szCs w:val="24"/>
          <w:lang w:eastAsia="en-GB"/>
        </w:rPr>
      </w:pPr>
      <w:r w:rsidRPr="00C92ECE">
        <w:rPr>
          <w:rFonts w:asciiTheme="minorBidi" w:hAnsiTheme="minorBidi"/>
          <w:sz w:val="24"/>
          <w:szCs w:val="24"/>
        </w:rPr>
        <w:t>Strengths-based practice</w:t>
      </w:r>
    </w:p>
    <w:p w14:paraId="657A69D9" w14:textId="17BD7510" w:rsidR="00AF5220" w:rsidRDefault="009F1DD0" w:rsidP="00AF5220">
      <w:pPr>
        <w:numPr>
          <w:ilvl w:val="2"/>
          <w:numId w:val="6"/>
        </w:numPr>
        <w:spacing w:after="200" w:line="276" w:lineRule="auto"/>
        <w:ind w:left="1276" w:hanging="283"/>
        <w:contextualSpacing/>
        <w:rPr>
          <w:rFonts w:asciiTheme="minorBidi" w:eastAsia="Calibri" w:hAnsiTheme="minorBidi"/>
          <w:sz w:val="24"/>
          <w:szCs w:val="24"/>
          <w:lang w:eastAsia="en-GB"/>
        </w:rPr>
      </w:pPr>
      <w:r w:rsidRPr="00C92ECE">
        <w:rPr>
          <w:rFonts w:asciiTheme="minorBidi" w:hAnsiTheme="minorBidi"/>
          <w:sz w:val="24"/>
          <w:szCs w:val="24"/>
        </w:rPr>
        <w:t>Mental health (</w:t>
      </w:r>
      <w:r w:rsidR="005B0355" w:rsidRPr="005B0355">
        <w:rPr>
          <w:rFonts w:asciiTheme="minorBidi" w:hAnsiTheme="minorBidi"/>
          <w:sz w:val="24"/>
          <w:szCs w:val="24"/>
        </w:rPr>
        <w:t xml:space="preserve">Deprivation of Liberty Safeguards </w:t>
      </w:r>
      <w:r w:rsidR="00B83C9B">
        <w:rPr>
          <w:rFonts w:asciiTheme="minorBidi" w:hAnsiTheme="minorBidi"/>
          <w:sz w:val="24"/>
          <w:szCs w:val="24"/>
        </w:rPr>
        <w:t>(</w:t>
      </w:r>
      <w:proofErr w:type="spellStart"/>
      <w:r w:rsidRPr="00C92ECE">
        <w:rPr>
          <w:rFonts w:asciiTheme="minorBidi" w:hAnsiTheme="minorBidi"/>
          <w:sz w:val="24"/>
          <w:szCs w:val="24"/>
        </w:rPr>
        <w:t>DoLS</w:t>
      </w:r>
      <w:proofErr w:type="spellEnd"/>
      <w:r w:rsidR="00B83C9B">
        <w:rPr>
          <w:rFonts w:asciiTheme="minorBidi" w:hAnsiTheme="minorBidi"/>
          <w:sz w:val="24"/>
          <w:szCs w:val="24"/>
        </w:rPr>
        <w:t>)</w:t>
      </w:r>
      <w:r w:rsidRPr="00C92ECE">
        <w:rPr>
          <w:rFonts w:asciiTheme="minorBidi" w:hAnsiTheme="minorBidi"/>
          <w:sz w:val="24"/>
          <w:szCs w:val="24"/>
        </w:rPr>
        <w:t xml:space="preserve">, </w:t>
      </w:r>
      <w:r w:rsidR="00B83C9B">
        <w:rPr>
          <w:rFonts w:asciiTheme="minorBidi" w:hAnsiTheme="minorBidi"/>
          <w:sz w:val="24"/>
          <w:szCs w:val="24"/>
        </w:rPr>
        <w:t>Liberty Protection Safeguards</w:t>
      </w:r>
      <w:r w:rsidR="00C74440">
        <w:rPr>
          <w:rFonts w:asciiTheme="minorBidi" w:hAnsiTheme="minorBidi"/>
          <w:sz w:val="24"/>
          <w:szCs w:val="24"/>
        </w:rPr>
        <w:t xml:space="preserve"> (</w:t>
      </w:r>
      <w:r w:rsidRPr="00C92ECE">
        <w:rPr>
          <w:rFonts w:asciiTheme="minorBidi" w:hAnsiTheme="minorBidi"/>
          <w:sz w:val="24"/>
          <w:szCs w:val="24"/>
        </w:rPr>
        <w:t>LPS</w:t>
      </w:r>
      <w:r w:rsidR="00C74440">
        <w:rPr>
          <w:rFonts w:asciiTheme="minorBidi" w:hAnsiTheme="minorBidi"/>
          <w:sz w:val="24"/>
          <w:szCs w:val="24"/>
        </w:rPr>
        <w:t>)</w:t>
      </w:r>
      <w:r w:rsidRPr="00C92ECE">
        <w:rPr>
          <w:rFonts w:asciiTheme="minorBidi" w:hAnsiTheme="minorBidi"/>
          <w:sz w:val="24"/>
          <w:szCs w:val="24"/>
        </w:rPr>
        <w:t xml:space="preserve">, and </w:t>
      </w:r>
      <w:r w:rsidR="00C74440">
        <w:rPr>
          <w:rFonts w:asciiTheme="minorBidi" w:hAnsiTheme="minorBidi"/>
          <w:sz w:val="24"/>
          <w:szCs w:val="24"/>
        </w:rPr>
        <w:t>The Mental Capacity Act (</w:t>
      </w:r>
      <w:r w:rsidRPr="00C92ECE">
        <w:rPr>
          <w:rFonts w:asciiTheme="minorBidi" w:hAnsiTheme="minorBidi"/>
          <w:sz w:val="24"/>
          <w:szCs w:val="24"/>
        </w:rPr>
        <w:t>MCA</w:t>
      </w:r>
      <w:r w:rsidR="00C74440">
        <w:rPr>
          <w:rFonts w:asciiTheme="minorBidi" w:hAnsiTheme="minorBidi"/>
          <w:sz w:val="24"/>
          <w:szCs w:val="24"/>
        </w:rPr>
        <w:t>)</w:t>
      </w:r>
      <w:r w:rsidRPr="00C92ECE">
        <w:rPr>
          <w:rFonts w:asciiTheme="minorBidi" w:hAnsiTheme="minorBidi"/>
          <w:sz w:val="24"/>
          <w:szCs w:val="24"/>
        </w:rPr>
        <w:t>)</w:t>
      </w:r>
    </w:p>
    <w:p w14:paraId="259B5AE9" w14:textId="77777777" w:rsidR="00AF5220" w:rsidRDefault="009F1DD0" w:rsidP="00AF5220">
      <w:pPr>
        <w:numPr>
          <w:ilvl w:val="2"/>
          <w:numId w:val="6"/>
        </w:numPr>
        <w:spacing w:after="200" w:line="276" w:lineRule="auto"/>
        <w:ind w:left="1276" w:hanging="283"/>
        <w:contextualSpacing/>
        <w:rPr>
          <w:rFonts w:asciiTheme="minorBidi" w:eastAsia="Calibri" w:hAnsiTheme="minorBidi"/>
          <w:sz w:val="24"/>
          <w:szCs w:val="24"/>
          <w:lang w:eastAsia="en-GB"/>
        </w:rPr>
      </w:pPr>
      <w:r w:rsidRPr="00C92ECE">
        <w:rPr>
          <w:rFonts w:asciiTheme="minorBidi" w:hAnsiTheme="minorBidi"/>
          <w:sz w:val="24"/>
          <w:szCs w:val="24"/>
        </w:rPr>
        <w:t>Induction programmes</w:t>
      </w:r>
    </w:p>
    <w:p w14:paraId="540BD2B6" w14:textId="6259D123" w:rsidR="009353C9" w:rsidRPr="00C92ECE" w:rsidRDefault="009F1DD0" w:rsidP="00C92ECE">
      <w:pPr>
        <w:numPr>
          <w:ilvl w:val="2"/>
          <w:numId w:val="6"/>
        </w:numPr>
        <w:spacing w:after="200" w:line="276" w:lineRule="auto"/>
        <w:ind w:left="1276" w:hanging="283"/>
        <w:contextualSpacing/>
        <w:rPr>
          <w:rFonts w:asciiTheme="minorBidi" w:eastAsia="Calibri" w:hAnsiTheme="minorBidi"/>
          <w:sz w:val="24"/>
          <w:szCs w:val="24"/>
          <w:lang w:eastAsia="en-GB"/>
        </w:rPr>
      </w:pPr>
      <w:r w:rsidRPr="00C92ECE">
        <w:rPr>
          <w:rFonts w:asciiTheme="minorBidi" w:hAnsiTheme="minorBidi"/>
          <w:sz w:val="24"/>
          <w:szCs w:val="24"/>
        </w:rPr>
        <w:t>Well</w:t>
      </w:r>
      <w:r w:rsidR="00454BEF">
        <w:rPr>
          <w:rFonts w:asciiTheme="minorBidi" w:hAnsiTheme="minorBidi"/>
          <w:sz w:val="24"/>
          <w:szCs w:val="24"/>
        </w:rPr>
        <w:t>-</w:t>
      </w:r>
      <w:r w:rsidRPr="00C92ECE">
        <w:rPr>
          <w:rFonts w:asciiTheme="minorBidi" w:hAnsiTheme="minorBidi"/>
          <w:sz w:val="24"/>
          <w:szCs w:val="24"/>
        </w:rPr>
        <w:t>being initiatives</w:t>
      </w:r>
    </w:p>
    <w:p w14:paraId="19D99FED" w14:textId="0BBCB170" w:rsidR="009353C9" w:rsidRPr="00C92ECE" w:rsidRDefault="009F1DD0" w:rsidP="00C92ECE">
      <w:pPr>
        <w:numPr>
          <w:ilvl w:val="1"/>
          <w:numId w:val="6"/>
        </w:numPr>
        <w:spacing w:after="200" w:line="276" w:lineRule="auto"/>
        <w:ind w:left="993" w:hanging="426"/>
        <w:contextualSpacing/>
        <w:rPr>
          <w:rFonts w:asciiTheme="minorBidi" w:eastAsia="Calibri" w:hAnsiTheme="minorBidi"/>
          <w:sz w:val="24"/>
          <w:szCs w:val="24"/>
          <w:lang w:eastAsia="en-GB"/>
        </w:rPr>
      </w:pPr>
      <w:r w:rsidRPr="00C92ECE">
        <w:rPr>
          <w:rFonts w:asciiTheme="minorBidi" w:hAnsiTheme="minorBidi"/>
          <w:sz w:val="24"/>
          <w:szCs w:val="24"/>
        </w:rPr>
        <w:t xml:space="preserve">Workforce development </w:t>
      </w:r>
      <w:r w:rsidR="00B51261">
        <w:rPr>
          <w:rFonts w:asciiTheme="minorBidi" w:hAnsiTheme="minorBidi"/>
          <w:sz w:val="24"/>
          <w:szCs w:val="24"/>
        </w:rPr>
        <w:t>in line</w:t>
      </w:r>
      <w:r w:rsidRPr="00C92ECE">
        <w:rPr>
          <w:rFonts w:asciiTheme="minorBidi" w:hAnsiTheme="minorBidi"/>
          <w:sz w:val="24"/>
          <w:szCs w:val="24"/>
        </w:rPr>
        <w:t xml:space="preserve"> with the Children’s National Fostering Framework</w:t>
      </w:r>
    </w:p>
    <w:p w14:paraId="52C209F0" w14:textId="3276FD21" w:rsidR="009F1DD0" w:rsidRPr="00C92ECE" w:rsidRDefault="009F1DD0" w:rsidP="00C92ECE">
      <w:pPr>
        <w:numPr>
          <w:ilvl w:val="1"/>
          <w:numId w:val="6"/>
        </w:numPr>
        <w:spacing w:after="200" w:line="276" w:lineRule="auto"/>
        <w:ind w:left="993" w:hanging="426"/>
        <w:contextualSpacing/>
        <w:rPr>
          <w:rFonts w:asciiTheme="minorBidi" w:eastAsia="Calibri" w:hAnsiTheme="minorBidi"/>
          <w:sz w:val="24"/>
          <w:szCs w:val="24"/>
          <w:lang w:eastAsia="en-GB"/>
        </w:rPr>
      </w:pPr>
      <w:r w:rsidRPr="00C92ECE">
        <w:rPr>
          <w:rFonts w:asciiTheme="minorBidi" w:hAnsiTheme="minorBidi"/>
          <w:sz w:val="24"/>
          <w:szCs w:val="24"/>
        </w:rPr>
        <w:t>Additional contributions towards delivery staff in child and family teams</w:t>
      </w:r>
    </w:p>
    <w:p w14:paraId="49C8BBCA" w14:textId="77777777" w:rsidR="00F64016" w:rsidRPr="00C92ECE" w:rsidRDefault="00F64016" w:rsidP="00C92ECE">
      <w:pPr>
        <w:spacing w:after="200" w:line="276" w:lineRule="auto"/>
        <w:ind w:left="2301"/>
        <w:contextualSpacing/>
        <w:rPr>
          <w:rFonts w:ascii="Arial" w:eastAsia="Calibri" w:hAnsi="Arial" w:cs="Arial"/>
          <w:sz w:val="24"/>
          <w:szCs w:val="24"/>
          <w:lang w:eastAsia="en-GB"/>
        </w:rPr>
      </w:pPr>
    </w:p>
    <w:p w14:paraId="05F062DC" w14:textId="77777777" w:rsidR="00672562" w:rsidRDefault="00672562" w:rsidP="00672562">
      <w:pPr>
        <w:spacing w:after="100" w:afterAutospacing="1" w:line="276" w:lineRule="auto"/>
        <w:ind w:left="709"/>
        <w:contextualSpacing/>
        <w:rPr>
          <w:rFonts w:ascii="Arial" w:eastAsia="Calibri" w:hAnsi="Arial" w:cs="Arial"/>
          <w:sz w:val="24"/>
          <w:szCs w:val="24"/>
          <w:lang w:eastAsia="en-GB"/>
        </w:rPr>
      </w:pPr>
    </w:p>
    <w:p w14:paraId="667BF3FC"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3DE30F12"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745319B6"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44F3E720"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3F85EF21"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119F1D01"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3C72B633"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0FFFFD6C"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701514D0"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0A5A0D4D"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75CD4D95"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1DEC8E9F"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7A40F502"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59CBDEF4"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05BBA887"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16E38F23"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4434BE83" w14:textId="77777777" w:rsidR="00CB01D8" w:rsidRDefault="00CB01D8" w:rsidP="00993096">
      <w:pPr>
        <w:spacing w:after="100" w:afterAutospacing="1" w:line="276" w:lineRule="auto"/>
        <w:ind w:left="709"/>
        <w:contextualSpacing/>
        <w:rPr>
          <w:rFonts w:ascii="Arial" w:eastAsia="Calibri" w:hAnsi="Arial" w:cs="Arial"/>
          <w:sz w:val="24"/>
          <w:szCs w:val="24"/>
          <w:lang w:eastAsia="en-GB"/>
        </w:rPr>
      </w:pPr>
    </w:p>
    <w:p w14:paraId="404E1318" w14:textId="77777777" w:rsidR="00993096" w:rsidRDefault="00993096" w:rsidP="00993096">
      <w:pPr>
        <w:spacing w:after="100" w:afterAutospacing="1" w:line="276" w:lineRule="auto"/>
        <w:ind w:left="709"/>
        <w:contextualSpacing/>
        <w:rPr>
          <w:rFonts w:ascii="Arial" w:eastAsia="Calibri" w:hAnsi="Arial" w:cs="Arial"/>
          <w:sz w:val="24"/>
          <w:szCs w:val="24"/>
          <w:lang w:eastAsia="en-GB"/>
        </w:rPr>
      </w:pPr>
    </w:p>
    <w:p w14:paraId="2EE43C06" w14:textId="77777777" w:rsidR="00993096" w:rsidRDefault="00993096" w:rsidP="00993096">
      <w:pPr>
        <w:spacing w:after="100" w:afterAutospacing="1" w:line="276" w:lineRule="auto"/>
        <w:ind w:left="709"/>
        <w:contextualSpacing/>
        <w:rPr>
          <w:rFonts w:ascii="Arial" w:eastAsia="Calibri" w:hAnsi="Arial" w:cs="Arial"/>
          <w:sz w:val="24"/>
          <w:szCs w:val="24"/>
          <w:lang w:eastAsia="en-GB"/>
        </w:rPr>
      </w:pPr>
    </w:p>
    <w:p w14:paraId="6388FA3B" w14:textId="77777777" w:rsidR="00993096" w:rsidRDefault="00993096" w:rsidP="00993096">
      <w:pPr>
        <w:spacing w:after="100" w:afterAutospacing="1" w:line="276" w:lineRule="auto"/>
        <w:ind w:left="709"/>
        <w:contextualSpacing/>
        <w:rPr>
          <w:rFonts w:ascii="Arial" w:eastAsia="Calibri" w:hAnsi="Arial" w:cs="Arial"/>
          <w:sz w:val="24"/>
          <w:szCs w:val="24"/>
          <w:lang w:eastAsia="en-GB"/>
        </w:rPr>
      </w:pPr>
    </w:p>
    <w:p w14:paraId="41DD9EA0" w14:textId="77777777" w:rsidR="00993096" w:rsidRDefault="00993096" w:rsidP="00993096">
      <w:pPr>
        <w:spacing w:after="100" w:afterAutospacing="1" w:line="276" w:lineRule="auto"/>
        <w:ind w:left="709"/>
        <w:contextualSpacing/>
        <w:rPr>
          <w:rFonts w:ascii="Arial" w:eastAsia="Calibri" w:hAnsi="Arial" w:cs="Arial"/>
          <w:sz w:val="24"/>
          <w:szCs w:val="24"/>
          <w:lang w:eastAsia="en-GB"/>
        </w:rPr>
      </w:pPr>
    </w:p>
    <w:p w14:paraId="63E9D3A1"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44D9F9E9"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778E35F8"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64ADFA64" w14:textId="77777777" w:rsidR="00CB01D8" w:rsidRDefault="00CB01D8" w:rsidP="00672562">
      <w:pPr>
        <w:spacing w:after="100" w:afterAutospacing="1" w:line="276" w:lineRule="auto"/>
        <w:ind w:left="709"/>
        <w:contextualSpacing/>
        <w:rPr>
          <w:rFonts w:ascii="Arial" w:eastAsia="Calibri" w:hAnsi="Arial" w:cs="Arial"/>
          <w:sz w:val="24"/>
          <w:szCs w:val="24"/>
          <w:lang w:eastAsia="en-GB"/>
        </w:rPr>
      </w:pPr>
    </w:p>
    <w:p w14:paraId="7F955E41" w14:textId="56B77035" w:rsidR="002E4C81" w:rsidRPr="00B568F3" w:rsidRDefault="002E4C81" w:rsidP="002E4C81">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lastRenderedPageBreak/>
        <w:t xml:space="preserve">Table 5: </w:t>
      </w:r>
      <w:r w:rsidRPr="00B568F3">
        <w:rPr>
          <w:rFonts w:ascii="Arial" w:eastAsia="Calibri" w:hAnsi="Arial" w:cs="Arial"/>
          <w:b/>
          <w:bCs/>
          <w:sz w:val="24"/>
          <w:szCs w:val="24"/>
        </w:rPr>
        <w:t xml:space="preserve">National, </w:t>
      </w:r>
      <w:r w:rsidR="008562CE" w:rsidRPr="00B568F3">
        <w:rPr>
          <w:rFonts w:ascii="Arial" w:eastAsia="Calibri" w:hAnsi="Arial" w:cs="Arial"/>
          <w:b/>
          <w:bCs/>
          <w:sz w:val="24"/>
          <w:szCs w:val="24"/>
        </w:rPr>
        <w:t>regional,</w:t>
      </w:r>
      <w:r w:rsidRPr="00B568F3">
        <w:rPr>
          <w:rFonts w:ascii="Arial" w:eastAsia="Calibri" w:hAnsi="Arial" w:cs="Arial"/>
          <w:b/>
          <w:bCs/>
          <w:sz w:val="24"/>
          <w:szCs w:val="24"/>
        </w:rPr>
        <w:t xml:space="preserve"> and local priorities spend</w:t>
      </w:r>
      <w:r w:rsidRPr="00B568F3">
        <w:rPr>
          <w:rFonts w:ascii="Arial" w:eastAsia="Calibri" w:hAnsi="Arial" w:cs="Arial"/>
          <w:b/>
          <w:bCs/>
          <w:sz w:val="24"/>
          <w:szCs w:val="24"/>
          <w:lang w:eastAsia="en-GB"/>
        </w:rPr>
        <w:t xml:space="preserve">, </w:t>
      </w:r>
      <w:r w:rsidR="0096338D" w:rsidRPr="00B568F3">
        <w:rPr>
          <w:rFonts w:ascii="Arial" w:eastAsia="Calibri" w:hAnsi="Arial" w:cs="Arial"/>
          <w:b/>
          <w:bCs/>
          <w:sz w:val="24"/>
          <w:szCs w:val="24"/>
          <w:lang w:eastAsia="en-GB"/>
        </w:rPr>
        <w:t xml:space="preserve">the </w:t>
      </w:r>
      <w:r w:rsidR="00BD12A5">
        <w:rPr>
          <w:rFonts w:ascii="Arial" w:eastAsia="Calibri" w:hAnsi="Arial" w:cs="Arial"/>
          <w:b/>
          <w:bCs/>
          <w:sz w:val="24"/>
          <w:szCs w:val="24"/>
          <w:lang w:eastAsia="en-GB"/>
        </w:rPr>
        <w:t>three</w:t>
      </w:r>
      <w:r w:rsidR="00C31723" w:rsidRPr="00B568F3">
        <w:rPr>
          <w:rFonts w:ascii="Arial" w:eastAsia="Calibri" w:hAnsi="Arial" w:cs="Arial"/>
          <w:b/>
          <w:bCs/>
          <w:sz w:val="24"/>
          <w:szCs w:val="24"/>
        </w:rPr>
        <w:t>-year</w:t>
      </w:r>
      <w:r w:rsidRPr="00B568F3">
        <w:rPr>
          <w:rFonts w:ascii="Arial" w:eastAsia="Calibri" w:hAnsi="Arial" w:cs="Arial"/>
          <w:b/>
          <w:bCs/>
          <w:sz w:val="24"/>
          <w:szCs w:val="24"/>
        </w:rPr>
        <w:t xml:space="preserve"> trend</w:t>
      </w:r>
    </w:p>
    <w:p w14:paraId="204DD0F0" w14:textId="77777777" w:rsidR="002E4C81" w:rsidRPr="00B568F3" w:rsidRDefault="002E4C81" w:rsidP="002E4C81">
      <w:pPr>
        <w:pStyle w:val="ListParagraph"/>
        <w:spacing w:after="0" w:line="240" w:lineRule="auto"/>
        <w:ind w:left="1440"/>
        <w:rPr>
          <w:rFonts w:ascii="Arial" w:eastAsia="Calibri" w:hAnsi="Arial" w:cs="Arial"/>
          <w:color w:val="FF0000"/>
          <w:sz w:val="24"/>
          <w:szCs w:val="24"/>
          <w:lang w:eastAsia="en-GB"/>
        </w:rPr>
      </w:pPr>
    </w:p>
    <w:tbl>
      <w:tblPr>
        <w:tblStyle w:val="TableGrid"/>
        <w:tblW w:w="9935" w:type="dxa"/>
        <w:tblLook w:val="04A0" w:firstRow="1" w:lastRow="0" w:firstColumn="1" w:lastColumn="0" w:noHBand="0" w:noVBand="1"/>
      </w:tblPr>
      <w:tblGrid>
        <w:gridCol w:w="1524"/>
        <w:gridCol w:w="1531"/>
        <w:gridCol w:w="1320"/>
        <w:gridCol w:w="1032"/>
        <w:gridCol w:w="1755"/>
        <w:gridCol w:w="1757"/>
        <w:gridCol w:w="684"/>
        <w:gridCol w:w="332"/>
      </w:tblGrid>
      <w:tr w:rsidR="002E4C81" w:rsidRPr="005A4656" w14:paraId="34CF5C65" w14:textId="77777777" w:rsidTr="00E976C7">
        <w:trPr>
          <w:gridAfter w:val="1"/>
          <w:wAfter w:w="332" w:type="dxa"/>
          <w:trHeight w:val="300"/>
        </w:trPr>
        <w:tc>
          <w:tcPr>
            <w:tcW w:w="9603" w:type="dxa"/>
            <w:gridSpan w:val="7"/>
            <w:tcBorders>
              <w:top w:val="nil"/>
              <w:left w:val="nil"/>
              <w:right w:val="nil"/>
            </w:tcBorders>
          </w:tcPr>
          <w:p w14:paraId="64553B43" w14:textId="77777777" w:rsidR="002E4C81" w:rsidRPr="005A4656" w:rsidRDefault="002E4C81">
            <w:pPr>
              <w:pStyle w:val="ListParagraph"/>
              <w:ind w:left="0"/>
              <w:rPr>
                <w:rFonts w:ascii="Arial" w:eastAsia="Calibri" w:hAnsi="Arial" w:cs="Arial"/>
                <w:b/>
                <w:lang w:eastAsia="en-GB"/>
              </w:rPr>
            </w:pPr>
            <w:r w:rsidRPr="005A4656">
              <w:rPr>
                <w:rFonts w:ascii="Arial" w:eastAsia="Calibri" w:hAnsi="Arial" w:cs="Arial"/>
                <w:b/>
                <w:lang w:eastAsia="en-GB"/>
              </w:rPr>
              <w:t>Build a digitally ready workforce</w:t>
            </w:r>
          </w:p>
        </w:tc>
      </w:tr>
      <w:tr w:rsidR="000B1078" w:rsidRPr="005A4656" w14:paraId="443D647D" w14:textId="77777777" w:rsidTr="00E976C7">
        <w:trPr>
          <w:trHeight w:val="300"/>
        </w:trPr>
        <w:tc>
          <w:tcPr>
            <w:tcW w:w="1524" w:type="dxa"/>
          </w:tcPr>
          <w:p w14:paraId="12186D7B" w14:textId="77777777" w:rsidR="002E4C81" w:rsidRPr="00C92ECE" w:rsidRDefault="002E4C81">
            <w:pPr>
              <w:pStyle w:val="ListParagraph"/>
              <w:ind w:left="0"/>
              <w:rPr>
                <w:rFonts w:ascii="Arial" w:eastAsia="Calibri" w:hAnsi="Arial" w:cs="Arial"/>
                <w:sz w:val="20"/>
                <w:szCs w:val="20"/>
                <w:lang w:eastAsia="en-GB"/>
              </w:rPr>
            </w:pPr>
          </w:p>
        </w:tc>
        <w:tc>
          <w:tcPr>
            <w:tcW w:w="1531" w:type="dxa"/>
            <w:vAlign w:val="center"/>
          </w:tcPr>
          <w:p w14:paraId="4E2CB28B" w14:textId="77777777" w:rsidR="002E4C81" w:rsidRPr="00C92ECE" w:rsidRDefault="002E4C81">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SCWWDP grant spend</w:t>
            </w:r>
          </w:p>
        </w:tc>
        <w:tc>
          <w:tcPr>
            <w:tcW w:w="1320" w:type="dxa"/>
            <w:vAlign w:val="center"/>
          </w:tcPr>
          <w:p w14:paraId="23CA5471" w14:textId="77777777" w:rsidR="002E4C81" w:rsidRPr="00C92ECE" w:rsidRDefault="002E4C81">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of SCWWDP grant</w:t>
            </w:r>
          </w:p>
        </w:tc>
        <w:tc>
          <w:tcPr>
            <w:tcW w:w="1032" w:type="dxa"/>
            <w:vAlign w:val="center"/>
          </w:tcPr>
          <w:p w14:paraId="241633A4" w14:textId="77777777" w:rsidR="002E4C81" w:rsidRPr="00C92ECE" w:rsidRDefault="002E4C81">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c>
          <w:tcPr>
            <w:tcW w:w="1755" w:type="dxa"/>
            <w:vAlign w:val="center"/>
          </w:tcPr>
          <w:p w14:paraId="02C7E416" w14:textId="1CF6D7F5" w:rsidR="002E4C81" w:rsidRPr="00C92ECE" w:rsidRDefault="002E4C81">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Additional </w:t>
            </w:r>
            <w:r w:rsidR="0071621E"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 </w:t>
            </w:r>
            <w:proofErr w:type="gramStart"/>
            <w:r w:rsidRPr="00C92ECE">
              <w:rPr>
                <w:rFonts w:ascii="Arial" w:eastAsia="Calibri" w:hAnsi="Arial" w:cs="Arial"/>
                <w:b/>
                <w:bCs/>
                <w:sz w:val="20"/>
                <w:szCs w:val="20"/>
                <w:lang w:eastAsia="en-GB"/>
              </w:rPr>
              <w:t>spend</w:t>
            </w:r>
            <w:proofErr w:type="gramEnd"/>
          </w:p>
        </w:tc>
        <w:tc>
          <w:tcPr>
            <w:tcW w:w="1757" w:type="dxa"/>
            <w:vAlign w:val="center"/>
          </w:tcPr>
          <w:p w14:paraId="4985DABC" w14:textId="44C793A5" w:rsidR="002E4C81" w:rsidRPr="00C92ECE" w:rsidRDefault="002E4C81">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 of additional </w:t>
            </w:r>
            <w:r w:rsidR="0071621E"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w:t>
            </w:r>
          </w:p>
        </w:tc>
        <w:tc>
          <w:tcPr>
            <w:tcW w:w="1016" w:type="dxa"/>
            <w:gridSpan w:val="2"/>
            <w:vAlign w:val="center"/>
          </w:tcPr>
          <w:p w14:paraId="2F2547BA" w14:textId="77777777" w:rsidR="002E4C81" w:rsidRPr="00C92ECE" w:rsidRDefault="002E4C81">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r>
      <w:tr w:rsidR="006265D5" w:rsidRPr="005A4656" w14:paraId="10D66A7A" w14:textId="77777777" w:rsidTr="00E976C7">
        <w:trPr>
          <w:trHeight w:val="300"/>
        </w:trPr>
        <w:tc>
          <w:tcPr>
            <w:tcW w:w="1524" w:type="dxa"/>
            <w:vAlign w:val="center"/>
          </w:tcPr>
          <w:p w14:paraId="00258DDA" w14:textId="5F673E05" w:rsidR="006265D5" w:rsidRPr="00C92ECE" w:rsidRDefault="006265D5">
            <w:pPr>
              <w:pStyle w:val="ListParagraph"/>
              <w:ind w:left="0"/>
              <w:rPr>
                <w:rFonts w:ascii="Arial" w:eastAsia="Calibri" w:hAnsi="Arial" w:cs="Arial"/>
                <w:b/>
                <w:bCs/>
                <w:sz w:val="20"/>
                <w:szCs w:val="20"/>
                <w:lang w:eastAsia="en-GB"/>
              </w:rPr>
            </w:pPr>
            <w:r w:rsidRPr="00C92ECE">
              <w:rPr>
                <w:rFonts w:ascii="Arial" w:eastAsia="Calibri" w:hAnsi="Arial" w:cs="Arial"/>
                <w:b/>
                <w:bCs/>
                <w:sz w:val="20"/>
                <w:szCs w:val="20"/>
                <w:lang w:eastAsia="en-GB"/>
              </w:rPr>
              <w:t>2024/2025</w:t>
            </w:r>
          </w:p>
        </w:tc>
        <w:tc>
          <w:tcPr>
            <w:tcW w:w="1531" w:type="dxa"/>
            <w:vAlign w:val="center"/>
          </w:tcPr>
          <w:p w14:paraId="3BBF9D4B" w14:textId="7087F466" w:rsidR="006265D5" w:rsidRPr="00C92ECE" w:rsidRDefault="00342AE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£161,193</w:t>
            </w:r>
          </w:p>
        </w:tc>
        <w:tc>
          <w:tcPr>
            <w:tcW w:w="1320" w:type="dxa"/>
            <w:vAlign w:val="center"/>
          </w:tcPr>
          <w:p w14:paraId="41020975" w14:textId="11E0A1D4" w:rsidR="006265D5" w:rsidRPr="00C92ECE" w:rsidRDefault="0085512F">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1.5%</w:t>
            </w:r>
          </w:p>
        </w:tc>
        <w:tc>
          <w:tcPr>
            <w:tcW w:w="1032" w:type="dxa"/>
            <w:vAlign w:val="center"/>
          </w:tcPr>
          <w:p w14:paraId="0631B31C" w14:textId="3189974B" w:rsidR="006265D5" w:rsidRPr="00C92ECE" w:rsidRDefault="00FB2843">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-18.8%</w:t>
            </w:r>
          </w:p>
        </w:tc>
        <w:tc>
          <w:tcPr>
            <w:tcW w:w="1755" w:type="dxa"/>
            <w:vAlign w:val="center"/>
          </w:tcPr>
          <w:p w14:paraId="3BB0F856" w14:textId="09E98B0E" w:rsidR="006265D5" w:rsidRPr="00C92ECE" w:rsidRDefault="00762D94">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£1,432</w:t>
            </w:r>
          </w:p>
        </w:tc>
        <w:tc>
          <w:tcPr>
            <w:tcW w:w="1757" w:type="dxa"/>
            <w:vAlign w:val="center"/>
          </w:tcPr>
          <w:p w14:paraId="0F33D9CE" w14:textId="61200523" w:rsidR="006265D5" w:rsidRPr="00C92ECE" w:rsidRDefault="005E38F9">
            <w:pPr>
              <w:pStyle w:val="ListParagraph"/>
              <w:ind w:left="0"/>
              <w:jc w:val="center"/>
              <w:rPr>
                <w:rFonts w:ascii="Arial" w:eastAsia="Calibri" w:hAnsi="Arial" w:cs="Arial"/>
                <w:sz w:val="20"/>
                <w:szCs w:val="20"/>
                <w:lang w:eastAsia="en-GB"/>
              </w:rPr>
            </w:pPr>
            <w:r w:rsidRPr="009B5693">
              <w:rPr>
                <w:rFonts w:ascii="Arial" w:eastAsia="Calibri" w:hAnsi="Arial" w:cs="Arial"/>
                <w:sz w:val="20"/>
                <w:szCs w:val="20"/>
                <w:lang w:eastAsia="en-GB"/>
              </w:rPr>
              <w:t>0.1%</w:t>
            </w:r>
          </w:p>
        </w:tc>
        <w:tc>
          <w:tcPr>
            <w:tcW w:w="1016" w:type="dxa"/>
            <w:gridSpan w:val="2"/>
            <w:vAlign w:val="center"/>
          </w:tcPr>
          <w:p w14:paraId="53377027" w14:textId="2FAC2099" w:rsidR="006265D5" w:rsidRPr="00C92ECE" w:rsidRDefault="00881999">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-91.8%</w:t>
            </w:r>
          </w:p>
        </w:tc>
      </w:tr>
      <w:tr w:rsidR="000B1078" w:rsidRPr="005A4656" w14:paraId="684082DD" w14:textId="77777777" w:rsidTr="00E976C7">
        <w:trPr>
          <w:trHeight w:val="300"/>
        </w:trPr>
        <w:tc>
          <w:tcPr>
            <w:tcW w:w="1524" w:type="dxa"/>
            <w:vAlign w:val="center"/>
          </w:tcPr>
          <w:p w14:paraId="0244F8EA"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2023/2024</w:t>
            </w:r>
          </w:p>
        </w:tc>
        <w:tc>
          <w:tcPr>
            <w:tcW w:w="1531" w:type="dxa"/>
            <w:vAlign w:val="center"/>
          </w:tcPr>
          <w:p w14:paraId="2B0DD2E5"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£198,534</w:t>
            </w:r>
          </w:p>
        </w:tc>
        <w:tc>
          <w:tcPr>
            <w:tcW w:w="1320" w:type="dxa"/>
            <w:vAlign w:val="center"/>
          </w:tcPr>
          <w:p w14:paraId="4C606346"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1.8%</w:t>
            </w:r>
          </w:p>
        </w:tc>
        <w:tc>
          <w:tcPr>
            <w:tcW w:w="1032" w:type="dxa"/>
            <w:vAlign w:val="center"/>
          </w:tcPr>
          <w:p w14:paraId="28CD5B3C"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-5.3%</w:t>
            </w:r>
          </w:p>
        </w:tc>
        <w:tc>
          <w:tcPr>
            <w:tcW w:w="1755" w:type="dxa"/>
            <w:vAlign w:val="center"/>
          </w:tcPr>
          <w:p w14:paraId="6931C85D"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£17,464</w:t>
            </w:r>
          </w:p>
        </w:tc>
        <w:tc>
          <w:tcPr>
            <w:tcW w:w="1757" w:type="dxa"/>
            <w:vAlign w:val="center"/>
          </w:tcPr>
          <w:p w14:paraId="35E08123"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1.0%</w:t>
            </w:r>
          </w:p>
        </w:tc>
        <w:tc>
          <w:tcPr>
            <w:tcW w:w="1016" w:type="dxa"/>
            <w:gridSpan w:val="2"/>
            <w:vAlign w:val="center"/>
          </w:tcPr>
          <w:p w14:paraId="00C6DE08"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+12.7%</w:t>
            </w:r>
          </w:p>
        </w:tc>
      </w:tr>
      <w:tr w:rsidR="000B1078" w:rsidRPr="005A4656" w14:paraId="1DC4E592" w14:textId="77777777" w:rsidTr="00E976C7">
        <w:trPr>
          <w:trHeight w:val="300"/>
        </w:trPr>
        <w:tc>
          <w:tcPr>
            <w:tcW w:w="1524" w:type="dxa"/>
            <w:vAlign w:val="center"/>
          </w:tcPr>
          <w:p w14:paraId="0DE94DB4"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2022/2023</w:t>
            </w:r>
          </w:p>
        </w:tc>
        <w:tc>
          <w:tcPr>
            <w:tcW w:w="1531" w:type="dxa"/>
            <w:vAlign w:val="center"/>
          </w:tcPr>
          <w:p w14:paraId="4A56A32B"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£209,710</w:t>
            </w:r>
          </w:p>
        </w:tc>
        <w:tc>
          <w:tcPr>
            <w:tcW w:w="1320" w:type="dxa"/>
            <w:vAlign w:val="center"/>
          </w:tcPr>
          <w:p w14:paraId="78BE8BF9"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2.1%</w:t>
            </w:r>
          </w:p>
        </w:tc>
        <w:tc>
          <w:tcPr>
            <w:tcW w:w="1032" w:type="dxa"/>
            <w:shd w:val="clear" w:color="auto" w:fill="BFBFBF" w:themeFill="background1" w:themeFillShade="BF"/>
            <w:vAlign w:val="center"/>
          </w:tcPr>
          <w:p w14:paraId="410CCA1D" w14:textId="77777777" w:rsidR="002E4C81" w:rsidRPr="00C92ECE" w:rsidRDefault="002E4C81">
            <w:pPr>
              <w:pStyle w:val="ListParagraph"/>
              <w:ind w:left="0"/>
              <w:jc w:val="center"/>
              <w:rPr>
                <w:rFonts w:ascii="Arial" w:eastAsia="Calibri" w:hAnsi="Arial" w:cs="Arial"/>
                <w:sz w:val="20"/>
                <w:szCs w:val="20"/>
                <w:lang w:eastAsia="en-GB"/>
              </w:rPr>
            </w:pPr>
          </w:p>
        </w:tc>
        <w:tc>
          <w:tcPr>
            <w:tcW w:w="1755" w:type="dxa"/>
            <w:vAlign w:val="center"/>
          </w:tcPr>
          <w:p w14:paraId="22B2A1B7"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£15,500</w:t>
            </w:r>
          </w:p>
        </w:tc>
        <w:tc>
          <w:tcPr>
            <w:tcW w:w="1757" w:type="dxa"/>
            <w:vAlign w:val="center"/>
          </w:tcPr>
          <w:p w14:paraId="39F2A187"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0.7%</w:t>
            </w:r>
          </w:p>
        </w:tc>
        <w:tc>
          <w:tcPr>
            <w:tcW w:w="1016" w:type="dxa"/>
            <w:gridSpan w:val="2"/>
            <w:shd w:val="clear" w:color="auto" w:fill="BFBFBF" w:themeFill="background1" w:themeFillShade="BF"/>
            <w:vAlign w:val="center"/>
          </w:tcPr>
          <w:p w14:paraId="2C2B8CCA"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6E0EC7" w14:paraId="3200573A" w14:textId="77777777" w:rsidTr="00C92ECE">
        <w:trPr>
          <w:gridAfter w:val="1"/>
          <w:wAfter w:w="332" w:type="dxa"/>
          <w:trHeight w:val="113"/>
        </w:trPr>
        <w:tc>
          <w:tcPr>
            <w:tcW w:w="9603" w:type="dxa"/>
            <w:gridSpan w:val="7"/>
            <w:tcBorders>
              <w:left w:val="nil"/>
              <w:bottom w:val="nil"/>
              <w:right w:val="nil"/>
            </w:tcBorders>
            <w:vAlign w:val="center"/>
          </w:tcPr>
          <w:p w14:paraId="25A7D0C2"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5A4656" w14:paraId="0F463599" w14:textId="77777777" w:rsidTr="00E976C7">
        <w:trPr>
          <w:gridAfter w:val="1"/>
          <w:wAfter w:w="332" w:type="dxa"/>
          <w:trHeight w:val="300"/>
        </w:trPr>
        <w:tc>
          <w:tcPr>
            <w:tcW w:w="9603" w:type="dxa"/>
            <w:gridSpan w:val="7"/>
            <w:tcBorders>
              <w:top w:val="nil"/>
              <w:left w:val="nil"/>
              <w:right w:val="nil"/>
            </w:tcBorders>
            <w:vAlign w:val="center"/>
          </w:tcPr>
          <w:p w14:paraId="521F211D" w14:textId="77777777" w:rsidR="002E4C81" w:rsidRPr="005A4656" w:rsidRDefault="002E4C81">
            <w:pPr>
              <w:pStyle w:val="ListParagraph"/>
              <w:ind w:left="0"/>
              <w:rPr>
                <w:rFonts w:ascii="Arial" w:eastAsia="Calibri" w:hAnsi="Arial" w:cs="Arial"/>
                <w:lang w:eastAsia="en-GB"/>
              </w:rPr>
            </w:pPr>
            <w:r w:rsidRPr="005A4656">
              <w:rPr>
                <w:rFonts w:ascii="Arial" w:eastAsia="Calibri" w:hAnsi="Arial" w:cs="Arial"/>
                <w:b/>
                <w:lang w:eastAsia="en-GB"/>
              </w:rPr>
              <w:t>Excellent education and learning</w:t>
            </w:r>
          </w:p>
        </w:tc>
      </w:tr>
      <w:tr w:rsidR="000B1078" w:rsidRPr="005A4656" w14:paraId="3FA61105" w14:textId="77777777" w:rsidTr="00E976C7">
        <w:trPr>
          <w:trHeight w:val="300"/>
        </w:trPr>
        <w:tc>
          <w:tcPr>
            <w:tcW w:w="1524" w:type="dxa"/>
          </w:tcPr>
          <w:p w14:paraId="1382DCD1" w14:textId="77777777" w:rsidR="002E4C81" w:rsidRPr="00C92ECE" w:rsidRDefault="002E4C81">
            <w:pPr>
              <w:pStyle w:val="ListParagraph"/>
              <w:ind w:left="0"/>
              <w:rPr>
                <w:rFonts w:ascii="Arial" w:eastAsia="Calibri" w:hAnsi="Arial" w:cs="Arial"/>
                <w:sz w:val="20"/>
                <w:szCs w:val="20"/>
                <w:lang w:eastAsia="en-GB"/>
              </w:rPr>
            </w:pPr>
          </w:p>
        </w:tc>
        <w:tc>
          <w:tcPr>
            <w:tcW w:w="1531" w:type="dxa"/>
            <w:vAlign w:val="center"/>
          </w:tcPr>
          <w:p w14:paraId="1E5DF42D"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SCWWDP grant spend</w:t>
            </w:r>
          </w:p>
        </w:tc>
        <w:tc>
          <w:tcPr>
            <w:tcW w:w="1320" w:type="dxa"/>
            <w:vAlign w:val="center"/>
          </w:tcPr>
          <w:p w14:paraId="156D294F"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of SCWWDP grant</w:t>
            </w:r>
          </w:p>
        </w:tc>
        <w:tc>
          <w:tcPr>
            <w:tcW w:w="1032" w:type="dxa"/>
            <w:vAlign w:val="center"/>
          </w:tcPr>
          <w:p w14:paraId="17D66FB4"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c>
          <w:tcPr>
            <w:tcW w:w="1755" w:type="dxa"/>
            <w:vAlign w:val="center"/>
          </w:tcPr>
          <w:p w14:paraId="1888021E" w14:textId="3777EFEB"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Additional </w:t>
            </w:r>
            <w:r w:rsidR="00480EC6"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 </w:t>
            </w:r>
            <w:proofErr w:type="gramStart"/>
            <w:r w:rsidRPr="00C92ECE">
              <w:rPr>
                <w:rFonts w:ascii="Arial" w:eastAsia="Calibri" w:hAnsi="Arial" w:cs="Arial"/>
                <w:b/>
                <w:bCs/>
                <w:sz w:val="20"/>
                <w:szCs w:val="20"/>
                <w:lang w:eastAsia="en-GB"/>
              </w:rPr>
              <w:t>spend</w:t>
            </w:r>
            <w:proofErr w:type="gramEnd"/>
          </w:p>
        </w:tc>
        <w:tc>
          <w:tcPr>
            <w:tcW w:w="1757" w:type="dxa"/>
            <w:vAlign w:val="center"/>
          </w:tcPr>
          <w:p w14:paraId="34C5F571" w14:textId="0F3BCF15"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 of additional </w:t>
            </w:r>
            <w:r w:rsidR="00480EC6"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w:t>
            </w:r>
          </w:p>
        </w:tc>
        <w:tc>
          <w:tcPr>
            <w:tcW w:w="1016" w:type="dxa"/>
            <w:gridSpan w:val="2"/>
            <w:vAlign w:val="center"/>
          </w:tcPr>
          <w:p w14:paraId="2965C0E6"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r>
      <w:tr w:rsidR="006265D5" w:rsidRPr="005A4656" w14:paraId="3B126F11" w14:textId="77777777" w:rsidTr="00E976C7">
        <w:trPr>
          <w:trHeight w:val="300"/>
        </w:trPr>
        <w:tc>
          <w:tcPr>
            <w:tcW w:w="1524" w:type="dxa"/>
          </w:tcPr>
          <w:p w14:paraId="39425570" w14:textId="760D5D8F" w:rsidR="006265D5" w:rsidRPr="00C92ECE" w:rsidRDefault="0092093D">
            <w:pPr>
              <w:pStyle w:val="ListParagraph"/>
              <w:ind w:left="0"/>
              <w:rPr>
                <w:rFonts w:ascii="Arial" w:eastAsia="Calibri" w:hAnsi="Arial" w:cs="Arial"/>
                <w:b/>
                <w:bCs/>
                <w:sz w:val="20"/>
                <w:szCs w:val="20"/>
                <w:lang w:eastAsia="en-GB"/>
              </w:rPr>
            </w:pPr>
            <w:r w:rsidRPr="00C92ECE">
              <w:rPr>
                <w:rFonts w:ascii="Arial" w:eastAsia="Calibri" w:hAnsi="Arial" w:cs="Arial"/>
                <w:b/>
                <w:bCs/>
                <w:sz w:val="20"/>
                <w:szCs w:val="20"/>
                <w:lang w:eastAsia="en-GB"/>
              </w:rPr>
              <w:t>2024/2025</w:t>
            </w:r>
          </w:p>
        </w:tc>
        <w:tc>
          <w:tcPr>
            <w:tcW w:w="1531" w:type="dxa"/>
          </w:tcPr>
          <w:p w14:paraId="40D47358" w14:textId="57B34C79" w:rsidR="006265D5" w:rsidRPr="00C92ECE" w:rsidRDefault="00342AE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£1,266,534</w:t>
            </w:r>
          </w:p>
        </w:tc>
        <w:tc>
          <w:tcPr>
            <w:tcW w:w="1320" w:type="dxa"/>
          </w:tcPr>
          <w:p w14:paraId="3159BFA7" w14:textId="6DA96DD4" w:rsidR="006265D5" w:rsidRPr="00C92ECE" w:rsidRDefault="005503C1">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11.6%</w:t>
            </w:r>
          </w:p>
        </w:tc>
        <w:tc>
          <w:tcPr>
            <w:tcW w:w="1032" w:type="dxa"/>
          </w:tcPr>
          <w:p w14:paraId="5B1A247C" w14:textId="2563A942" w:rsidR="006265D5" w:rsidRPr="00C92ECE" w:rsidRDefault="00881999">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-9.4%</w:t>
            </w:r>
          </w:p>
        </w:tc>
        <w:tc>
          <w:tcPr>
            <w:tcW w:w="1755" w:type="dxa"/>
          </w:tcPr>
          <w:p w14:paraId="14F69971" w14:textId="2E3B561D" w:rsidR="006265D5" w:rsidRPr="00C92ECE" w:rsidRDefault="00762D94">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w:t>
            </w:r>
            <w:r w:rsidR="00770A45">
              <w:rPr>
                <w:rFonts w:ascii="Arial" w:eastAsia="Calibri" w:hAnsi="Arial" w:cs="Arial"/>
                <w:sz w:val="20"/>
                <w:szCs w:val="20"/>
                <w:lang w:eastAsia="en-GB"/>
              </w:rPr>
              <w:t>243,067</w:t>
            </w:r>
          </w:p>
        </w:tc>
        <w:tc>
          <w:tcPr>
            <w:tcW w:w="1757" w:type="dxa"/>
          </w:tcPr>
          <w:p w14:paraId="53694935" w14:textId="0B34E6A9" w:rsidR="006265D5" w:rsidRPr="00C92ECE" w:rsidRDefault="001045C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13.1%</w:t>
            </w:r>
          </w:p>
        </w:tc>
        <w:tc>
          <w:tcPr>
            <w:tcW w:w="1016" w:type="dxa"/>
            <w:gridSpan w:val="2"/>
          </w:tcPr>
          <w:p w14:paraId="092A6933" w14:textId="6556BB04" w:rsidR="006265D5" w:rsidRPr="00C92ECE" w:rsidRDefault="00881999">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-8.7%</w:t>
            </w:r>
          </w:p>
        </w:tc>
      </w:tr>
      <w:tr w:rsidR="000B1078" w:rsidRPr="005A4656" w14:paraId="61757007" w14:textId="77777777" w:rsidTr="00E976C7">
        <w:trPr>
          <w:trHeight w:val="300"/>
        </w:trPr>
        <w:tc>
          <w:tcPr>
            <w:tcW w:w="1524" w:type="dxa"/>
          </w:tcPr>
          <w:p w14:paraId="60E7C202"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2023/2024</w:t>
            </w:r>
          </w:p>
        </w:tc>
        <w:tc>
          <w:tcPr>
            <w:tcW w:w="1531" w:type="dxa"/>
          </w:tcPr>
          <w:p w14:paraId="360AB4B9"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£1,397,797</w:t>
            </w:r>
          </w:p>
        </w:tc>
        <w:tc>
          <w:tcPr>
            <w:tcW w:w="1320" w:type="dxa"/>
          </w:tcPr>
          <w:p w14:paraId="53C3E98F"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12.8%</w:t>
            </w:r>
          </w:p>
        </w:tc>
        <w:tc>
          <w:tcPr>
            <w:tcW w:w="1032" w:type="dxa"/>
          </w:tcPr>
          <w:p w14:paraId="1DE3F050"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+17.8%</w:t>
            </w:r>
          </w:p>
        </w:tc>
        <w:tc>
          <w:tcPr>
            <w:tcW w:w="1755" w:type="dxa"/>
          </w:tcPr>
          <w:p w14:paraId="4C86ECFA"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£266,321</w:t>
            </w:r>
          </w:p>
        </w:tc>
        <w:tc>
          <w:tcPr>
            <w:tcW w:w="1757" w:type="dxa"/>
          </w:tcPr>
          <w:p w14:paraId="6F3E0A56"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15.0%</w:t>
            </w:r>
          </w:p>
        </w:tc>
        <w:tc>
          <w:tcPr>
            <w:tcW w:w="1016" w:type="dxa"/>
            <w:gridSpan w:val="2"/>
          </w:tcPr>
          <w:p w14:paraId="3A1F6513"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-28.4%</w:t>
            </w:r>
          </w:p>
        </w:tc>
      </w:tr>
      <w:tr w:rsidR="000B1078" w:rsidRPr="005A4656" w14:paraId="57FE48AA" w14:textId="77777777" w:rsidTr="00E976C7">
        <w:trPr>
          <w:trHeight w:val="300"/>
        </w:trPr>
        <w:tc>
          <w:tcPr>
            <w:tcW w:w="1524" w:type="dxa"/>
          </w:tcPr>
          <w:p w14:paraId="7157AC7C"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2022/2023</w:t>
            </w:r>
          </w:p>
        </w:tc>
        <w:tc>
          <w:tcPr>
            <w:tcW w:w="1531" w:type="dxa"/>
          </w:tcPr>
          <w:p w14:paraId="4B80F91F"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£1,186,963</w:t>
            </w:r>
          </w:p>
        </w:tc>
        <w:tc>
          <w:tcPr>
            <w:tcW w:w="1320" w:type="dxa"/>
          </w:tcPr>
          <w:p w14:paraId="2DE1FFA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11.6%</w:t>
            </w:r>
          </w:p>
        </w:tc>
        <w:tc>
          <w:tcPr>
            <w:tcW w:w="1032" w:type="dxa"/>
            <w:shd w:val="clear" w:color="auto" w:fill="BFBFBF" w:themeFill="background1" w:themeFillShade="BF"/>
          </w:tcPr>
          <w:p w14:paraId="52190733" w14:textId="77777777" w:rsidR="002E4C81" w:rsidRPr="00C92ECE" w:rsidRDefault="002E4C81">
            <w:pPr>
              <w:pStyle w:val="ListParagraph"/>
              <w:ind w:left="0"/>
              <w:jc w:val="center"/>
              <w:rPr>
                <w:rFonts w:ascii="Arial" w:eastAsia="Calibri" w:hAnsi="Arial" w:cs="Arial"/>
                <w:sz w:val="20"/>
                <w:szCs w:val="20"/>
                <w:lang w:eastAsia="en-GB"/>
              </w:rPr>
            </w:pPr>
          </w:p>
        </w:tc>
        <w:tc>
          <w:tcPr>
            <w:tcW w:w="1755" w:type="dxa"/>
          </w:tcPr>
          <w:p w14:paraId="25361A7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£371,891</w:t>
            </w:r>
          </w:p>
        </w:tc>
        <w:tc>
          <w:tcPr>
            <w:tcW w:w="1757" w:type="dxa"/>
          </w:tcPr>
          <w:p w14:paraId="27A18F56"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16.4%</w:t>
            </w:r>
          </w:p>
        </w:tc>
        <w:tc>
          <w:tcPr>
            <w:tcW w:w="1016" w:type="dxa"/>
            <w:gridSpan w:val="2"/>
            <w:shd w:val="clear" w:color="auto" w:fill="BFBFBF" w:themeFill="background1" w:themeFillShade="BF"/>
          </w:tcPr>
          <w:p w14:paraId="7C049CBF"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6E0EC7" w14:paraId="363B3FB3" w14:textId="77777777" w:rsidTr="00C92ECE">
        <w:trPr>
          <w:gridAfter w:val="1"/>
          <w:wAfter w:w="332" w:type="dxa"/>
          <w:trHeight w:val="170"/>
        </w:trPr>
        <w:tc>
          <w:tcPr>
            <w:tcW w:w="9603" w:type="dxa"/>
            <w:gridSpan w:val="7"/>
            <w:tcBorders>
              <w:left w:val="nil"/>
              <w:bottom w:val="nil"/>
              <w:right w:val="nil"/>
            </w:tcBorders>
            <w:vAlign w:val="center"/>
          </w:tcPr>
          <w:p w14:paraId="51369692"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5A4656" w14:paraId="2B38F696" w14:textId="77777777" w:rsidTr="00E976C7">
        <w:trPr>
          <w:gridAfter w:val="1"/>
          <w:wAfter w:w="332" w:type="dxa"/>
          <w:trHeight w:val="300"/>
        </w:trPr>
        <w:tc>
          <w:tcPr>
            <w:tcW w:w="9603" w:type="dxa"/>
            <w:gridSpan w:val="7"/>
            <w:tcBorders>
              <w:top w:val="nil"/>
              <w:left w:val="nil"/>
              <w:right w:val="nil"/>
            </w:tcBorders>
            <w:vAlign w:val="center"/>
          </w:tcPr>
          <w:p w14:paraId="1A0775A5" w14:textId="05742F76" w:rsidR="002E4C81" w:rsidRPr="005A4656" w:rsidRDefault="002E4C81">
            <w:pPr>
              <w:pStyle w:val="ListParagraph"/>
              <w:ind w:left="0"/>
              <w:rPr>
                <w:rFonts w:ascii="Arial" w:eastAsia="Calibri" w:hAnsi="Arial" w:cs="Arial"/>
                <w:lang w:eastAsia="en-GB"/>
              </w:rPr>
            </w:pPr>
            <w:r w:rsidRPr="005A4656">
              <w:rPr>
                <w:rFonts w:ascii="Arial" w:eastAsia="Calibri" w:hAnsi="Arial" w:cs="Arial"/>
                <w:b/>
                <w:bCs/>
                <w:lang w:eastAsia="en-GB"/>
              </w:rPr>
              <w:t xml:space="preserve">Qualifying and </w:t>
            </w:r>
            <w:r w:rsidR="00A92597" w:rsidRPr="005A4656">
              <w:rPr>
                <w:rFonts w:ascii="Arial" w:eastAsia="Calibri" w:hAnsi="Arial" w:cs="Arial"/>
                <w:b/>
                <w:bCs/>
                <w:lang w:eastAsia="en-GB"/>
              </w:rPr>
              <w:t>p</w:t>
            </w:r>
            <w:r w:rsidRPr="005A4656">
              <w:rPr>
                <w:rFonts w:ascii="Arial" w:eastAsia="Calibri" w:hAnsi="Arial" w:cs="Arial"/>
                <w:b/>
                <w:bCs/>
                <w:lang w:eastAsia="en-GB"/>
              </w:rPr>
              <w:t xml:space="preserve">ost </w:t>
            </w:r>
            <w:r w:rsidR="00A92597" w:rsidRPr="005A4656">
              <w:rPr>
                <w:rFonts w:ascii="Arial" w:eastAsia="Calibri" w:hAnsi="Arial" w:cs="Arial"/>
                <w:b/>
                <w:bCs/>
                <w:lang w:eastAsia="en-GB"/>
              </w:rPr>
              <w:t>q</w:t>
            </w:r>
            <w:r w:rsidRPr="005A4656">
              <w:rPr>
                <w:rFonts w:ascii="Arial" w:eastAsia="Calibri" w:hAnsi="Arial" w:cs="Arial"/>
                <w:b/>
                <w:bCs/>
                <w:lang w:eastAsia="en-GB"/>
              </w:rPr>
              <w:t xml:space="preserve">ualifying </w:t>
            </w:r>
            <w:r w:rsidR="00A92597" w:rsidRPr="005A4656">
              <w:rPr>
                <w:rFonts w:ascii="Arial" w:eastAsia="Calibri" w:hAnsi="Arial" w:cs="Arial"/>
                <w:b/>
                <w:bCs/>
                <w:lang w:eastAsia="en-GB"/>
              </w:rPr>
              <w:t>s</w:t>
            </w:r>
            <w:r w:rsidRPr="005A4656">
              <w:rPr>
                <w:rFonts w:ascii="Arial" w:eastAsia="Calibri" w:hAnsi="Arial" w:cs="Arial"/>
                <w:b/>
                <w:bCs/>
                <w:lang w:eastAsia="en-GB"/>
              </w:rPr>
              <w:t xml:space="preserve">ocial </w:t>
            </w:r>
            <w:r w:rsidR="00A92597" w:rsidRPr="005A4656">
              <w:rPr>
                <w:rFonts w:ascii="Arial" w:eastAsia="Calibri" w:hAnsi="Arial" w:cs="Arial"/>
                <w:b/>
                <w:bCs/>
                <w:lang w:eastAsia="en-GB"/>
              </w:rPr>
              <w:t>w</w:t>
            </w:r>
            <w:r w:rsidRPr="005A4656">
              <w:rPr>
                <w:rFonts w:ascii="Arial" w:eastAsia="Calibri" w:hAnsi="Arial" w:cs="Arial"/>
                <w:b/>
                <w:bCs/>
                <w:lang w:eastAsia="en-GB"/>
              </w:rPr>
              <w:t xml:space="preserve">ork </w:t>
            </w:r>
            <w:r w:rsidR="00A92597" w:rsidRPr="005A4656">
              <w:rPr>
                <w:rFonts w:ascii="Arial" w:eastAsia="Calibri" w:hAnsi="Arial" w:cs="Arial"/>
                <w:b/>
                <w:bCs/>
                <w:lang w:eastAsia="en-GB"/>
              </w:rPr>
              <w:t>a</w:t>
            </w:r>
            <w:r w:rsidRPr="005A4656">
              <w:rPr>
                <w:rFonts w:ascii="Arial" w:eastAsia="Calibri" w:hAnsi="Arial" w:cs="Arial"/>
                <w:b/>
                <w:bCs/>
                <w:lang w:eastAsia="en-GB"/>
              </w:rPr>
              <w:t>wards</w:t>
            </w:r>
          </w:p>
        </w:tc>
      </w:tr>
      <w:tr w:rsidR="000B1078" w:rsidRPr="005A4656" w14:paraId="5DC3D5AE" w14:textId="77777777" w:rsidTr="00E976C7">
        <w:trPr>
          <w:trHeight w:val="300"/>
        </w:trPr>
        <w:tc>
          <w:tcPr>
            <w:tcW w:w="1524" w:type="dxa"/>
          </w:tcPr>
          <w:p w14:paraId="4358A272" w14:textId="77777777" w:rsidR="002E4C81" w:rsidRPr="00C92ECE" w:rsidRDefault="002E4C81">
            <w:pPr>
              <w:pStyle w:val="ListParagraph"/>
              <w:ind w:left="0"/>
              <w:rPr>
                <w:rFonts w:ascii="Arial" w:eastAsia="Calibri" w:hAnsi="Arial" w:cs="Arial"/>
                <w:sz w:val="20"/>
                <w:szCs w:val="20"/>
                <w:lang w:eastAsia="en-GB"/>
              </w:rPr>
            </w:pPr>
          </w:p>
        </w:tc>
        <w:tc>
          <w:tcPr>
            <w:tcW w:w="1531" w:type="dxa"/>
            <w:vAlign w:val="center"/>
          </w:tcPr>
          <w:p w14:paraId="3A5CD3F8"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SCWWDP grant spend</w:t>
            </w:r>
          </w:p>
        </w:tc>
        <w:tc>
          <w:tcPr>
            <w:tcW w:w="1320" w:type="dxa"/>
            <w:vAlign w:val="center"/>
          </w:tcPr>
          <w:p w14:paraId="163CA1CB"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of SCWWDP grant</w:t>
            </w:r>
          </w:p>
        </w:tc>
        <w:tc>
          <w:tcPr>
            <w:tcW w:w="1032" w:type="dxa"/>
            <w:vAlign w:val="center"/>
          </w:tcPr>
          <w:p w14:paraId="2F17B446"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c>
          <w:tcPr>
            <w:tcW w:w="1755" w:type="dxa"/>
            <w:vAlign w:val="center"/>
          </w:tcPr>
          <w:p w14:paraId="3B6BBEDE" w14:textId="554D65D5"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Additional </w:t>
            </w:r>
            <w:r w:rsidR="00A92597"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 </w:t>
            </w:r>
            <w:proofErr w:type="gramStart"/>
            <w:r w:rsidRPr="00C92ECE">
              <w:rPr>
                <w:rFonts w:ascii="Arial" w:eastAsia="Calibri" w:hAnsi="Arial" w:cs="Arial"/>
                <w:b/>
                <w:bCs/>
                <w:sz w:val="20"/>
                <w:szCs w:val="20"/>
                <w:lang w:eastAsia="en-GB"/>
              </w:rPr>
              <w:t>spend</w:t>
            </w:r>
            <w:proofErr w:type="gramEnd"/>
          </w:p>
        </w:tc>
        <w:tc>
          <w:tcPr>
            <w:tcW w:w="1757" w:type="dxa"/>
            <w:vAlign w:val="center"/>
          </w:tcPr>
          <w:p w14:paraId="2F861188" w14:textId="15487D6A"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 of additional </w:t>
            </w:r>
            <w:r w:rsidR="002364D0"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w:t>
            </w:r>
          </w:p>
        </w:tc>
        <w:tc>
          <w:tcPr>
            <w:tcW w:w="1016" w:type="dxa"/>
            <w:gridSpan w:val="2"/>
            <w:vAlign w:val="center"/>
          </w:tcPr>
          <w:p w14:paraId="455B61CD"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r>
      <w:tr w:rsidR="006265D5" w:rsidRPr="005A4656" w14:paraId="0EFED1D3" w14:textId="77777777" w:rsidTr="00E976C7">
        <w:trPr>
          <w:trHeight w:val="300"/>
        </w:trPr>
        <w:tc>
          <w:tcPr>
            <w:tcW w:w="1524" w:type="dxa"/>
          </w:tcPr>
          <w:p w14:paraId="58F25B07" w14:textId="6D324BAD" w:rsidR="006265D5" w:rsidRPr="00C92ECE" w:rsidRDefault="0092093D">
            <w:pPr>
              <w:pStyle w:val="ListParagraph"/>
              <w:ind w:left="0"/>
              <w:rPr>
                <w:rFonts w:ascii="Arial" w:eastAsia="Calibri" w:hAnsi="Arial" w:cs="Arial"/>
                <w:b/>
                <w:bCs/>
                <w:sz w:val="20"/>
                <w:szCs w:val="20"/>
                <w:lang w:eastAsia="en-GB"/>
              </w:rPr>
            </w:pPr>
            <w:r w:rsidRPr="00C92ECE">
              <w:rPr>
                <w:rFonts w:ascii="Arial" w:eastAsia="Calibri" w:hAnsi="Arial" w:cs="Arial"/>
                <w:b/>
                <w:bCs/>
                <w:sz w:val="20"/>
                <w:szCs w:val="20"/>
                <w:lang w:eastAsia="en-GB"/>
              </w:rPr>
              <w:t>2024/2025</w:t>
            </w:r>
          </w:p>
        </w:tc>
        <w:tc>
          <w:tcPr>
            <w:tcW w:w="1531" w:type="dxa"/>
          </w:tcPr>
          <w:p w14:paraId="649B0890" w14:textId="43272CA5" w:rsidR="006265D5" w:rsidRPr="00C92ECE" w:rsidRDefault="00342AE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£1,104,637</w:t>
            </w:r>
          </w:p>
        </w:tc>
        <w:tc>
          <w:tcPr>
            <w:tcW w:w="1320" w:type="dxa"/>
          </w:tcPr>
          <w:p w14:paraId="2AA4612B" w14:textId="4B4FB55E" w:rsidR="006265D5" w:rsidRPr="00C92ECE" w:rsidRDefault="005503C1">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10.1%</w:t>
            </w:r>
          </w:p>
        </w:tc>
        <w:tc>
          <w:tcPr>
            <w:tcW w:w="1032" w:type="dxa"/>
          </w:tcPr>
          <w:p w14:paraId="7F3074D3" w14:textId="5E31509F" w:rsidR="006265D5" w:rsidRPr="00C92ECE" w:rsidRDefault="00881999">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-3.6%</w:t>
            </w:r>
          </w:p>
        </w:tc>
        <w:tc>
          <w:tcPr>
            <w:tcW w:w="1755" w:type="dxa"/>
          </w:tcPr>
          <w:p w14:paraId="00FECA6D" w14:textId="667D39D3" w:rsidR="006265D5" w:rsidRPr="00C92ECE" w:rsidRDefault="00770A4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£118,486</w:t>
            </w:r>
          </w:p>
        </w:tc>
        <w:tc>
          <w:tcPr>
            <w:tcW w:w="1757" w:type="dxa"/>
          </w:tcPr>
          <w:p w14:paraId="49A8702B" w14:textId="6D9B5CA4" w:rsidR="006265D5" w:rsidRPr="00C92ECE" w:rsidRDefault="001045C5">
            <w:pPr>
              <w:pStyle w:val="ListParagraph"/>
              <w:ind w:left="0"/>
              <w:jc w:val="center"/>
              <w:rPr>
                <w:rFonts w:ascii="Arial" w:eastAsia="Calibri" w:hAnsi="Arial" w:cs="Arial"/>
                <w:sz w:val="20"/>
                <w:szCs w:val="20"/>
                <w:lang w:eastAsia="en-GB"/>
              </w:rPr>
            </w:pPr>
            <w:r w:rsidRPr="00F75457">
              <w:rPr>
                <w:rFonts w:ascii="Arial" w:eastAsia="Calibri" w:hAnsi="Arial" w:cs="Arial"/>
                <w:sz w:val="20"/>
                <w:szCs w:val="20"/>
                <w:lang w:eastAsia="en-GB"/>
              </w:rPr>
              <w:t>6.4%</w:t>
            </w:r>
          </w:p>
        </w:tc>
        <w:tc>
          <w:tcPr>
            <w:tcW w:w="1016" w:type="dxa"/>
            <w:gridSpan w:val="2"/>
          </w:tcPr>
          <w:p w14:paraId="5DE400C8" w14:textId="535B92FD" w:rsidR="006265D5" w:rsidRPr="00C92ECE" w:rsidRDefault="00234F0A">
            <w:pPr>
              <w:pStyle w:val="ListParagraph"/>
              <w:ind w:left="0"/>
              <w:jc w:val="center"/>
              <w:rPr>
                <w:rFonts w:ascii="Arial" w:eastAsia="Calibri" w:hAnsi="Arial" w:cs="Arial"/>
                <w:sz w:val="20"/>
                <w:szCs w:val="20"/>
                <w:lang w:eastAsia="en-GB"/>
              </w:rPr>
            </w:pPr>
            <w:r w:rsidRPr="00F75457">
              <w:rPr>
                <w:rFonts w:ascii="Arial" w:eastAsia="Calibri" w:hAnsi="Arial" w:cs="Arial"/>
                <w:sz w:val="20"/>
                <w:szCs w:val="20"/>
                <w:lang w:eastAsia="en-GB"/>
              </w:rPr>
              <w:t>-48.4%</w:t>
            </w:r>
          </w:p>
        </w:tc>
      </w:tr>
      <w:tr w:rsidR="000B1078" w:rsidRPr="005A4656" w14:paraId="76C3F28D" w14:textId="77777777" w:rsidTr="00E976C7">
        <w:trPr>
          <w:trHeight w:val="300"/>
        </w:trPr>
        <w:tc>
          <w:tcPr>
            <w:tcW w:w="1524" w:type="dxa"/>
          </w:tcPr>
          <w:p w14:paraId="3CE956BE"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2023/2024</w:t>
            </w:r>
          </w:p>
        </w:tc>
        <w:tc>
          <w:tcPr>
            <w:tcW w:w="1531" w:type="dxa"/>
          </w:tcPr>
          <w:p w14:paraId="5EB18B6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£1,146,467</w:t>
            </w:r>
          </w:p>
        </w:tc>
        <w:tc>
          <w:tcPr>
            <w:tcW w:w="1320" w:type="dxa"/>
          </w:tcPr>
          <w:p w14:paraId="5C3D6965"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10.5%</w:t>
            </w:r>
          </w:p>
        </w:tc>
        <w:tc>
          <w:tcPr>
            <w:tcW w:w="1032" w:type="dxa"/>
          </w:tcPr>
          <w:p w14:paraId="3B014160"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+21.0%</w:t>
            </w:r>
          </w:p>
        </w:tc>
        <w:tc>
          <w:tcPr>
            <w:tcW w:w="1755" w:type="dxa"/>
          </w:tcPr>
          <w:p w14:paraId="3A35D91E"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£229,677</w:t>
            </w:r>
          </w:p>
        </w:tc>
        <w:tc>
          <w:tcPr>
            <w:tcW w:w="1757" w:type="dxa"/>
          </w:tcPr>
          <w:p w14:paraId="3ED71430"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12.9%</w:t>
            </w:r>
          </w:p>
        </w:tc>
        <w:tc>
          <w:tcPr>
            <w:tcW w:w="1016" w:type="dxa"/>
            <w:gridSpan w:val="2"/>
          </w:tcPr>
          <w:p w14:paraId="5C2E496E"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+71.9%</w:t>
            </w:r>
          </w:p>
        </w:tc>
      </w:tr>
      <w:tr w:rsidR="000B1078" w:rsidRPr="005A4656" w14:paraId="540527EF" w14:textId="77777777" w:rsidTr="00E976C7">
        <w:trPr>
          <w:trHeight w:val="300"/>
        </w:trPr>
        <w:tc>
          <w:tcPr>
            <w:tcW w:w="1524" w:type="dxa"/>
          </w:tcPr>
          <w:p w14:paraId="563CF326"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2022/2023</w:t>
            </w:r>
          </w:p>
        </w:tc>
        <w:tc>
          <w:tcPr>
            <w:tcW w:w="1531" w:type="dxa"/>
          </w:tcPr>
          <w:p w14:paraId="7B48D03E"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£947,860</w:t>
            </w:r>
          </w:p>
        </w:tc>
        <w:tc>
          <w:tcPr>
            <w:tcW w:w="1320" w:type="dxa"/>
          </w:tcPr>
          <w:p w14:paraId="3369D9C1"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9.3%</w:t>
            </w:r>
          </w:p>
        </w:tc>
        <w:tc>
          <w:tcPr>
            <w:tcW w:w="1032" w:type="dxa"/>
            <w:shd w:val="clear" w:color="auto" w:fill="BFBFBF" w:themeFill="background1" w:themeFillShade="BF"/>
          </w:tcPr>
          <w:p w14:paraId="7ED38512" w14:textId="77777777" w:rsidR="002E4C81" w:rsidRPr="00C92ECE" w:rsidRDefault="002E4C81">
            <w:pPr>
              <w:pStyle w:val="ListParagraph"/>
              <w:ind w:left="0"/>
              <w:jc w:val="center"/>
              <w:rPr>
                <w:rFonts w:ascii="Arial" w:eastAsia="Calibri" w:hAnsi="Arial" w:cs="Arial"/>
                <w:sz w:val="20"/>
                <w:szCs w:val="20"/>
                <w:lang w:eastAsia="en-GB"/>
              </w:rPr>
            </w:pPr>
          </w:p>
        </w:tc>
        <w:tc>
          <w:tcPr>
            <w:tcW w:w="1755" w:type="dxa"/>
          </w:tcPr>
          <w:p w14:paraId="13A4FA1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£133,585</w:t>
            </w:r>
          </w:p>
        </w:tc>
        <w:tc>
          <w:tcPr>
            <w:tcW w:w="1757" w:type="dxa"/>
          </w:tcPr>
          <w:p w14:paraId="3B1A9287"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5.9%</w:t>
            </w:r>
          </w:p>
        </w:tc>
        <w:tc>
          <w:tcPr>
            <w:tcW w:w="1016" w:type="dxa"/>
            <w:gridSpan w:val="2"/>
            <w:shd w:val="clear" w:color="auto" w:fill="BFBFBF" w:themeFill="background1" w:themeFillShade="BF"/>
          </w:tcPr>
          <w:p w14:paraId="057426E7"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6E0EC7" w14:paraId="16BDEBB7" w14:textId="77777777" w:rsidTr="00C92ECE">
        <w:trPr>
          <w:gridAfter w:val="1"/>
          <w:wAfter w:w="332" w:type="dxa"/>
          <w:trHeight w:val="170"/>
        </w:trPr>
        <w:tc>
          <w:tcPr>
            <w:tcW w:w="9603" w:type="dxa"/>
            <w:gridSpan w:val="7"/>
            <w:tcBorders>
              <w:left w:val="nil"/>
              <w:bottom w:val="nil"/>
              <w:right w:val="nil"/>
            </w:tcBorders>
            <w:vAlign w:val="center"/>
          </w:tcPr>
          <w:p w14:paraId="64D9E89E"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5A4656" w14:paraId="52E47B38" w14:textId="77777777" w:rsidTr="00E976C7">
        <w:trPr>
          <w:gridAfter w:val="1"/>
          <w:wAfter w:w="332" w:type="dxa"/>
          <w:trHeight w:val="300"/>
        </w:trPr>
        <w:tc>
          <w:tcPr>
            <w:tcW w:w="9603" w:type="dxa"/>
            <w:gridSpan w:val="7"/>
            <w:tcBorders>
              <w:top w:val="nil"/>
              <w:left w:val="nil"/>
              <w:right w:val="nil"/>
            </w:tcBorders>
            <w:vAlign w:val="center"/>
          </w:tcPr>
          <w:p w14:paraId="0F0877B1" w14:textId="77777777" w:rsidR="002E4C81" w:rsidRPr="005A4656" w:rsidRDefault="002E4C81">
            <w:pPr>
              <w:pStyle w:val="ListParagraph"/>
              <w:ind w:left="0"/>
              <w:rPr>
                <w:rFonts w:ascii="Arial" w:eastAsia="Calibri" w:hAnsi="Arial" w:cs="Arial"/>
                <w:lang w:eastAsia="en-GB"/>
              </w:rPr>
            </w:pPr>
            <w:r w:rsidRPr="005A4656">
              <w:rPr>
                <w:rFonts w:ascii="Arial" w:eastAsia="Calibri" w:hAnsi="Arial" w:cs="Arial"/>
                <w:b/>
                <w:bCs/>
                <w:lang w:eastAsia="en-GB"/>
              </w:rPr>
              <w:t>Leadership and succession</w:t>
            </w:r>
          </w:p>
        </w:tc>
      </w:tr>
      <w:tr w:rsidR="000B1078" w:rsidRPr="005A4656" w14:paraId="33A45057" w14:textId="77777777" w:rsidTr="00E976C7">
        <w:trPr>
          <w:trHeight w:val="300"/>
        </w:trPr>
        <w:tc>
          <w:tcPr>
            <w:tcW w:w="1524" w:type="dxa"/>
          </w:tcPr>
          <w:p w14:paraId="2257FCD8" w14:textId="77777777" w:rsidR="002E4C81" w:rsidRPr="00C92ECE" w:rsidRDefault="002E4C81">
            <w:pPr>
              <w:pStyle w:val="ListParagraph"/>
              <w:ind w:left="0"/>
              <w:rPr>
                <w:rFonts w:ascii="Arial" w:eastAsia="Calibri" w:hAnsi="Arial" w:cs="Arial"/>
                <w:sz w:val="20"/>
                <w:szCs w:val="20"/>
                <w:lang w:eastAsia="en-GB"/>
              </w:rPr>
            </w:pPr>
          </w:p>
        </w:tc>
        <w:tc>
          <w:tcPr>
            <w:tcW w:w="1531" w:type="dxa"/>
            <w:vAlign w:val="center"/>
          </w:tcPr>
          <w:p w14:paraId="248BBAB8"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SCWWDP grant spend</w:t>
            </w:r>
          </w:p>
        </w:tc>
        <w:tc>
          <w:tcPr>
            <w:tcW w:w="1320" w:type="dxa"/>
            <w:vAlign w:val="center"/>
          </w:tcPr>
          <w:p w14:paraId="1F86ECED"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of SCWWDP grant</w:t>
            </w:r>
          </w:p>
        </w:tc>
        <w:tc>
          <w:tcPr>
            <w:tcW w:w="1032" w:type="dxa"/>
            <w:vAlign w:val="center"/>
          </w:tcPr>
          <w:p w14:paraId="163C0FE6"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c>
          <w:tcPr>
            <w:tcW w:w="1755" w:type="dxa"/>
            <w:vAlign w:val="center"/>
          </w:tcPr>
          <w:p w14:paraId="193AAF31" w14:textId="1900079A"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Additional </w:t>
            </w:r>
            <w:r w:rsidR="002364D0"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 </w:t>
            </w:r>
            <w:proofErr w:type="gramStart"/>
            <w:r w:rsidRPr="00C92ECE">
              <w:rPr>
                <w:rFonts w:ascii="Arial" w:eastAsia="Calibri" w:hAnsi="Arial" w:cs="Arial"/>
                <w:b/>
                <w:bCs/>
                <w:sz w:val="20"/>
                <w:szCs w:val="20"/>
                <w:lang w:eastAsia="en-GB"/>
              </w:rPr>
              <w:t>spend</w:t>
            </w:r>
            <w:proofErr w:type="gramEnd"/>
          </w:p>
        </w:tc>
        <w:tc>
          <w:tcPr>
            <w:tcW w:w="1757" w:type="dxa"/>
            <w:vAlign w:val="center"/>
          </w:tcPr>
          <w:p w14:paraId="7B5FACF6" w14:textId="31306C59"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 of additional </w:t>
            </w:r>
            <w:r w:rsidR="002364D0"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w:t>
            </w:r>
          </w:p>
        </w:tc>
        <w:tc>
          <w:tcPr>
            <w:tcW w:w="1016" w:type="dxa"/>
            <w:gridSpan w:val="2"/>
            <w:vAlign w:val="center"/>
          </w:tcPr>
          <w:p w14:paraId="207B421F"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r>
      <w:tr w:rsidR="006265D5" w:rsidRPr="005A4656" w14:paraId="6C16BD81" w14:textId="77777777" w:rsidTr="00E976C7">
        <w:trPr>
          <w:trHeight w:val="300"/>
        </w:trPr>
        <w:tc>
          <w:tcPr>
            <w:tcW w:w="1524" w:type="dxa"/>
          </w:tcPr>
          <w:p w14:paraId="54DAD67E" w14:textId="06EF8E07" w:rsidR="006265D5" w:rsidRPr="00C92ECE" w:rsidRDefault="0092093D">
            <w:pPr>
              <w:pStyle w:val="ListParagraph"/>
              <w:ind w:left="0"/>
              <w:rPr>
                <w:rFonts w:ascii="Arial" w:eastAsia="Calibri" w:hAnsi="Arial" w:cs="Arial"/>
                <w:b/>
                <w:bCs/>
                <w:sz w:val="20"/>
                <w:szCs w:val="20"/>
                <w:lang w:eastAsia="en-GB"/>
              </w:rPr>
            </w:pPr>
            <w:r w:rsidRPr="00C92ECE">
              <w:rPr>
                <w:rFonts w:ascii="Arial" w:eastAsia="Calibri" w:hAnsi="Arial" w:cs="Arial"/>
                <w:b/>
                <w:bCs/>
                <w:sz w:val="20"/>
                <w:szCs w:val="20"/>
                <w:lang w:eastAsia="en-GB"/>
              </w:rPr>
              <w:t>2024/2025</w:t>
            </w:r>
          </w:p>
        </w:tc>
        <w:tc>
          <w:tcPr>
            <w:tcW w:w="1531" w:type="dxa"/>
          </w:tcPr>
          <w:p w14:paraId="6A637DCF" w14:textId="20B19D2A" w:rsidR="006265D5" w:rsidRPr="00C92ECE" w:rsidRDefault="00342AE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w:t>
            </w:r>
            <w:r w:rsidR="008F068E">
              <w:rPr>
                <w:rFonts w:ascii="Arial" w:eastAsia="Calibri" w:hAnsi="Arial" w:cs="Arial"/>
                <w:sz w:val="20"/>
                <w:szCs w:val="20"/>
                <w:lang w:eastAsia="en-GB"/>
              </w:rPr>
              <w:t>182,360</w:t>
            </w:r>
          </w:p>
        </w:tc>
        <w:tc>
          <w:tcPr>
            <w:tcW w:w="1320" w:type="dxa"/>
          </w:tcPr>
          <w:p w14:paraId="05DE5D79" w14:textId="0A78E470" w:rsidR="006265D5" w:rsidRPr="00C92ECE" w:rsidRDefault="005503C1">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1.7%</w:t>
            </w:r>
          </w:p>
        </w:tc>
        <w:tc>
          <w:tcPr>
            <w:tcW w:w="1032" w:type="dxa"/>
          </w:tcPr>
          <w:p w14:paraId="3EB49451" w14:textId="205500EC" w:rsidR="006265D5" w:rsidRPr="00C92ECE" w:rsidRDefault="00234F0A">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-6.2%</w:t>
            </w:r>
          </w:p>
        </w:tc>
        <w:tc>
          <w:tcPr>
            <w:tcW w:w="1755" w:type="dxa"/>
          </w:tcPr>
          <w:p w14:paraId="30AACB75" w14:textId="7EAD5B22" w:rsidR="006265D5" w:rsidRPr="00C92ECE" w:rsidRDefault="00770A4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£18,680</w:t>
            </w:r>
          </w:p>
        </w:tc>
        <w:tc>
          <w:tcPr>
            <w:tcW w:w="1757" w:type="dxa"/>
          </w:tcPr>
          <w:p w14:paraId="234C0DCA" w14:textId="066651EB" w:rsidR="006265D5" w:rsidRPr="00C92ECE" w:rsidRDefault="001045C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1.0%</w:t>
            </w:r>
          </w:p>
        </w:tc>
        <w:tc>
          <w:tcPr>
            <w:tcW w:w="1016" w:type="dxa"/>
            <w:gridSpan w:val="2"/>
          </w:tcPr>
          <w:p w14:paraId="37B9C065" w14:textId="020505AD" w:rsidR="006265D5" w:rsidRPr="00C92ECE" w:rsidRDefault="00234F0A">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+24.7%</w:t>
            </w:r>
          </w:p>
        </w:tc>
      </w:tr>
      <w:tr w:rsidR="000B1078" w:rsidRPr="005A4656" w14:paraId="2B0399F0" w14:textId="77777777" w:rsidTr="00E976C7">
        <w:trPr>
          <w:trHeight w:val="300"/>
        </w:trPr>
        <w:tc>
          <w:tcPr>
            <w:tcW w:w="1524" w:type="dxa"/>
          </w:tcPr>
          <w:p w14:paraId="41AAF278"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2023/2024</w:t>
            </w:r>
          </w:p>
        </w:tc>
        <w:tc>
          <w:tcPr>
            <w:tcW w:w="1531" w:type="dxa"/>
          </w:tcPr>
          <w:p w14:paraId="5624CFC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£194,489</w:t>
            </w:r>
          </w:p>
        </w:tc>
        <w:tc>
          <w:tcPr>
            <w:tcW w:w="1320" w:type="dxa"/>
          </w:tcPr>
          <w:p w14:paraId="5D437ACD"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1.8%</w:t>
            </w:r>
          </w:p>
        </w:tc>
        <w:tc>
          <w:tcPr>
            <w:tcW w:w="1032" w:type="dxa"/>
          </w:tcPr>
          <w:p w14:paraId="00CAFA32"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-2.8%</w:t>
            </w:r>
          </w:p>
        </w:tc>
        <w:tc>
          <w:tcPr>
            <w:tcW w:w="1755" w:type="dxa"/>
          </w:tcPr>
          <w:p w14:paraId="05ECFCFA"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£14,974</w:t>
            </w:r>
          </w:p>
        </w:tc>
        <w:tc>
          <w:tcPr>
            <w:tcW w:w="1757" w:type="dxa"/>
          </w:tcPr>
          <w:p w14:paraId="6FB1A7C2"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0.8%</w:t>
            </w:r>
          </w:p>
        </w:tc>
        <w:tc>
          <w:tcPr>
            <w:tcW w:w="1016" w:type="dxa"/>
            <w:gridSpan w:val="2"/>
          </w:tcPr>
          <w:p w14:paraId="0D7DB7DF"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-68.0%</w:t>
            </w:r>
          </w:p>
        </w:tc>
      </w:tr>
      <w:tr w:rsidR="000B1078" w:rsidRPr="005A4656" w14:paraId="0804E0EC" w14:textId="77777777" w:rsidTr="00E976C7">
        <w:trPr>
          <w:trHeight w:val="300"/>
        </w:trPr>
        <w:tc>
          <w:tcPr>
            <w:tcW w:w="1524" w:type="dxa"/>
          </w:tcPr>
          <w:p w14:paraId="4435614E"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2022/2023</w:t>
            </w:r>
          </w:p>
        </w:tc>
        <w:tc>
          <w:tcPr>
            <w:tcW w:w="1531" w:type="dxa"/>
          </w:tcPr>
          <w:p w14:paraId="4EE2D45D"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£200,177</w:t>
            </w:r>
          </w:p>
        </w:tc>
        <w:tc>
          <w:tcPr>
            <w:tcW w:w="1320" w:type="dxa"/>
          </w:tcPr>
          <w:p w14:paraId="6EF9C441"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2.0%</w:t>
            </w:r>
          </w:p>
        </w:tc>
        <w:tc>
          <w:tcPr>
            <w:tcW w:w="1032" w:type="dxa"/>
            <w:shd w:val="clear" w:color="auto" w:fill="BFBFBF" w:themeFill="background1" w:themeFillShade="BF"/>
          </w:tcPr>
          <w:p w14:paraId="7EEAF4F6" w14:textId="77777777" w:rsidR="002E4C81" w:rsidRPr="00C92ECE" w:rsidRDefault="002E4C81">
            <w:pPr>
              <w:pStyle w:val="ListParagraph"/>
              <w:ind w:left="0"/>
              <w:jc w:val="center"/>
              <w:rPr>
                <w:rFonts w:ascii="Arial" w:eastAsia="Calibri" w:hAnsi="Arial" w:cs="Arial"/>
                <w:sz w:val="20"/>
                <w:szCs w:val="20"/>
                <w:lang w:eastAsia="en-GB"/>
              </w:rPr>
            </w:pPr>
          </w:p>
        </w:tc>
        <w:tc>
          <w:tcPr>
            <w:tcW w:w="1755" w:type="dxa"/>
          </w:tcPr>
          <w:p w14:paraId="16C46B3E"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£46,822</w:t>
            </w:r>
          </w:p>
        </w:tc>
        <w:tc>
          <w:tcPr>
            <w:tcW w:w="1757" w:type="dxa"/>
          </w:tcPr>
          <w:p w14:paraId="0852F65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2.1%</w:t>
            </w:r>
          </w:p>
        </w:tc>
        <w:tc>
          <w:tcPr>
            <w:tcW w:w="1016" w:type="dxa"/>
            <w:gridSpan w:val="2"/>
            <w:shd w:val="clear" w:color="auto" w:fill="BFBFBF" w:themeFill="background1" w:themeFillShade="BF"/>
          </w:tcPr>
          <w:p w14:paraId="71C0AEF5"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6E0EC7" w14:paraId="2344F64B" w14:textId="77777777" w:rsidTr="00C92ECE">
        <w:trPr>
          <w:gridAfter w:val="1"/>
          <w:wAfter w:w="332" w:type="dxa"/>
          <w:trHeight w:val="170"/>
        </w:trPr>
        <w:tc>
          <w:tcPr>
            <w:tcW w:w="9603" w:type="dxa"/>
            <w:gridSpan w:val="7"/>
            <w:tcBorders>
              <w:left w:val="nil"/>
              <w:bottom w:val="nil"/>
              <w:right w:val="nil"/>
            </w:tcBorders>
            <w:vAlign w:val="center"/>
          </w:tcPr>
          <w:p w14:paraId="3E357136"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5A4656" w14:paraId="252CA1A8" w14:textId="77777777" w:rsidTr="00E976C7">
        <w:trPr>
          <w:gridAfter w:val="1"/>
          <w:wAfter w:w="332" w:type="dxa"/>
          <w:trHeight w:val="300"/>
        </w:trPr>
        <w:tc>
          <w:tcPr>
            <w:tcW w:w="9603" w:type="dxa"/>
            <w:gridSpan w:val="7"/>
            <w:tcBorders>
              <w:top w:val="nil"/>
              <w:left w:val="nil"/>
              <w:right w:val="nil"/>
            </w:tcBorders>
            <w:vAlign w:val="center"/>
          </w:tcPr>
          <w:p w14:paraId="27A94E46" w14:textId="77777777" w:rsidR="002E4C81" w:rsidRPr="005A4656" w:rsidRDefault="002E4C81">
            <w:pPr>
              <w:pStyle w:val="ListParagraph"/>
              <w:ind w:left="0"/>
              <w:rPr>
                <w:rFonts w:ascii="Arial" w:eastAsia="Calibri" w:hAnsi="Arial" w:cs="Arial"/>
                <w:lang w:eastAsia="en-GB"/>
              </w:rPr>
            </w:pPr>
            <w:r w:rsidRPr="005A4656">
              <w:rPr>
                <w:rFonts w:ascii="Arial" w:eastAsia="Calibri" w:hAnsi="Arial" w:cs="Arial"/>
                <w:b/>
                <w:bCs/>
                <w:lang w:eastAsia="en-GB"/>
              </w:rPr>
              <w:t>Workforce shape and supply</w:t>
            </w:r>
          </w:p>
        </w:tc>
      </w:tr>
      <w:tr w:rsidR="000B1078" w:rsidRPr="005A4656" w14:paraId="5913D227" w14:textId="77777777" w:rsidTr="00E976C7">
        <w:trPr>
          <w:trHeight w:val="300"/>
        </w:trPr>
        <w:tc>
          <w:tcPr>
            <w:tcW w:w="1524" w:type="dxa"/>
          </w:tcPr>
          <w:p w14:paraId="3C4275C9" w14:textId="77777777" w:rsidR="002E4C81" w:rsidRPr="00C92ECE" w:rsidRDefault="002E4C81">
            <w:pPr>
              <w:pStyle w:val="ListParagraph"/>
              <w:ind w:left="0"/>
              <w:rPr>
                <w:rFonts w:ascii="Arial" w:eastAsia="Calibri" w:hAnsi="Arial" w:cs="Arial"/>
                <w:sz w:val="20"/>
                <w:szCs w:val="20"/>
                <w:lang w:eastAsia="en-GB"/>
              </w:rPr>
            </w:pPr>
          </w:p>
        </w:tc>
        <w:tc>
          <w:tcPr>
            <w:tcW w:w="1531" w:type="dxa"/>
            <w:vAlign w:val="center"/>
          </w:tcPr>
          <w:p w14:paraId="5CAD6BFF"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SCWWDP grant spend</w:t>
            </w:r>
          </w:p>
        </w:tc>
        <w:tc>
          <w:tcPr>
            <w:tcW w:w="1320" w:type="dxa"/>
            <w:vAlign w:val="center"/>
          </w:tcPr>
          <w:p w14:paraId="0414F686"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of SCWWDP grant</w:t>
            </w:r>
          </w:p>
        </w:tc>
        <w:tc>
          <w:tcPr>
            <w:tcW w:w="1032" w:type="dxa"/>
            <w:vAlign w:val="center"/>
          </w:tcPr>
          <w:p w14:paraId="334220D6"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c>
          <w:tcPr>
            <w:tcW w:w="1755" w:type="dxa"/>
            <w:vAlign w:val="center"/>
          </w:tcPr>
          <w:p w14:paraId="0AF28764" w14:textId="29B95E29"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Additional </w:t>
            </w:r>
            <w:r w:rsidR="002364D0" w:rsidRPr="00C92ECE">
              <w:rPr>
                <w:rFonts w:ascii="Arial" w:eastAsia="Calibri" w:hAnsi="Arial" w:cs="Arial"/>
                <w:b/>
                <w:bCs/>
                <w:sz w:val="20"/>
                <w:szCs w:val="20"/>
                <w:lang w:eastAsia="en-GB"/>
              </w:rPr>
              <w:t>local a</w:t>
            </w:r>
            <w:r w:rsidR="00BF1A99" w:rsidRPr="00C92ECE">
              <w:rPr>
                <w:rFonts w:ascii="Arial" w:eastAsia="Calibri" w:hAnsi="Arial" w:cs="Arial"/>
                <w:b/>
                <w:bCs/>
                <w:sz w:val="20"/>
                <w:szCs w:val="20"/>
                <w:lang w:eastAsia="en-GB"/>
              </w:rPr>
              <w:t>uthority</w:t>
            </w:r>
            <w:r w:rsidRPr="00C92ECE">
              <w:rPr>
                <w:rFonts w:ascii="Arial" w:eastAsia="Calibri" w:hAnsi="Arial" w:cs="Arial"/>
                <w:b/>
                <w:bCs/>
                <w:sz w:val="20"/>
                <w:szCs w:val="20"/>
                <w:lang w:eastAsia="en-GB"/>
              </w:rPr>
              <w:t xml:space="preserve"> funding </w:t>
            </w:r>
            <w:proofErr w:type="gramStart"/>
            <w:r w:rsidRPr="00C92ECE">
              <w:rPr>
                <w:rFonts w:ascii="Arial" w:eastAsia="Calibri" w:hAnsi="Arial" w:cs="Arial"/>
                <w:b/>
                <w:bCs/>
                <w:sz w:val="20"/>
                <w:szCs w:val="20"/>
                <w:lang w:eastAsia="en-GB"/>
              </w:rPr>
              <w:t>spend</w:t>
            </w:r>
            <w:proofErr w:type="gramEnd"/>
          </w:p>
        </w:tc>
        <w:tc>
          <w:tcPr>
            <w:tcW w:w="1757" w:type="dxa"/>
            <w:vAlign w:val="center"/>
          </w:tcPr>
          <w:p w14:paraId="1540AC0C" w14:textId="475E1DD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 of additional </w:t>
            </w:r>
            <w:r w:rsidR="00BF1A99"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w:t>
            </w:r>
          </w:p>
        </w:tc>
        <w:tc>
          <w:tcPr>
            <w:tcW w:w="1016" w:type="dxa"/>
            <w:gridSpan w:val="2"/>
            <w:vAlign w:val="center"/>
          </w:tcPr>
          <w:p w14:paraId="6D14FBFC"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r>
      <w:tr w:rsidR="006265D5" w:rsidRPr="005A4656" w14:paraId="68B505BE" w14:textId="77777777" w:rsidTr="00E976C7">
        <w:trPr>
          <w:trHeight w:val="300"/>
        </w:trPr>
        <w:tc>
          <w:tcPr>
            <w:tcW w:w="1524" w:type="dxa"/>
          </w:tcPr>
          <w:p w14:paraId="6128E815" w14:textId="2B325CDF" w:rsidR="006265D5" w:rsidRPr="00C92ECE" w:rsidRDefault="0092093D">
            <w:pPr>
              <w:pStyle w:val="ListParagraph"/>
              <w:ind w:left="0"/>
              <w:rPr>
                <w:rFonts w:ascii="Arial" w:eastAsia="Calibri" w:hAnsi="Arial" w:cs="Arial"/>
                <w:b/>
                <w:bCs/>
                <w:sz w:val="20"/>
                <w:szCs w:val="20"/>
                <w:lang w:eastAsia="en-GB"/>
              </w:rPr>
            </w:pPr>
            <w:r w:rsidRPr="00C92ECE">
              <w:rPr>
                <w:rFonts w:ascii="Arial" w:eastAsia="Calibri" w:hAnsi="Arial" w:cs="Arial"/>
                <w:b/>
                <w:bCs/>
                <w:sz w:val="20"/>
                <w:szCs w:val="20"/>
                <w:lang w:eastAsia="en-GB"/>
              </w:rPr>
              <w:t>2024/2025</w:t>
            </w:r>
          </w:p>
        </w:tc>
        <w:tc>
          <w:tcPr>
            <w:tcW w:w="1531" w:type="dxa"/>
          </w:tcPr>
          <w:p w14:paraId="795C48D0" w14:textId="3AC2530F" w:rsidR="006265D5" w:rsidRPr="00C92ECE" w:rsidRDefault="008F068E">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£147,977</w:t>
            </w:r>
          </w:p>
        </w:tc>
        <w:tc>
          <w:tcPr>
            <w:tcW w:w="1320" w:type="dxa"/>
          </w:tcPr>
          <w:p w14:paraId="646255F0" w14:textId="01137E6F" w:rsidR="006265D5" w:rsidRPr="00C92ECE" w:rsidRDefault="005503C1">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1.4%</w:t>
            </w:r>
          </w:p>
        </w:tc>
        <w:tc>
          <w:tcPr>
            <w:tcW w:w="1032" w:type="dxa"/>
          </w:tcPr>
          <w:p w14:paraId="2B87B420" w14:textId="554245D3" w:rsidR="006265D5" w:rsidRPr="00C92ECE" w:rsidRDefault="00C360E3">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+24.2%</w:t>
            </w:r>
          </w:p>
        </w:tc>
        <w:tc>
          <w:tcPr>
            <w:tcW w:w="1755" w:type="dxa"/>
          </w:tcPr>
          <w:p w14:paraId="10160499" w14:textId="2ADFE726" w:rsidR="006265D5" w:rsidRPr="00C92ECE" w:rsidRDefault="00770A45">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w:t>
            </w:r>
            <w:r w:rsidR="0092555C">
              <w:rPr>
                <w:rFonts w:ascii="Arial" w:eastAsia="Calibri" w:hAnsi="Arial" w:cs="Arial"/>
                <w:sz w:val="20"/>
                <w:szCs w:val="20"/>
                <w:lang w:eastAsia="en-GB"/>
              </w:rPr>
              <w:t>39,116</w:t>
            </w:r>
          </w:p>
        </w:tc>
        <w:tc>
          <w:tcPr>
            <w:tcW w:w="1757" w:type="dxa"/>
          </w:tcPr>
          <w:p w14:paraId="37BB144F" w14:textId="68AB4623" w:rsidR="006265D5" w:rsidRPr="00C92ECE" w:rsidRDefault="00A53C6B">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2.1%</w:t>
            </w:r>
          </w:p>
        </w:tc>
        <w:tc>
          <w:tcPr>
            <w:tcW w:w="1016" w:type="dxa"/>
            <w:gridSpan w:val="2"/>
          </w:tcPr>
          <w:p w14:paraId="1F06F36B" w14:textId="393935CA" w:rsidR="006265D5" w:rsidRPr="00C92ECE" w:rsidRDefault="00C360E3">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+102.7%</w:t>
            </w:r>
          </w:p>
        </w:tc>
      </w:tr>
      <w:tr w:rsidR="000B1078" w:rsidRPr="005A4656" w14:paraId="0DEECCA4" w14:textId="77777777" w:rsidTr="00E976C7">
        <w:trPr>
          <w:trHeight w:val="300"/>
        </w:trPr>
        <w:tc>
          <w:tcPr>
            <w:tcW w:w="1524" w:type="dxa"/>
          </w:tcPr>
          <w:p w14:paraId="687219AD"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2023/2024</w:t>
            </w:r>
          </w:p>
        </w:tc>
        <w:tc>
          <w:tcPr>
            <w:tcW w:w="1531" w:type="dxa"/>
          </w:tcPr>
          <w:p w14:paraId="7C4FF72F"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£119,191</w:t>
            </w:r>
          </w:p>
        </w:tc>
        <w:tc>
          <w:tcPr>
            <w:tcW w:w="1320" w:type="dxa"/>
          </w:tcPr>
          <w:p w14:paraId="22CAB126"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1.1%</w:t>
            </w:r>
          </w:p>
        </w:tc>
        <w:tc>
          <w:tcPr>
            <w:tcW w:w="1032" w:type="dxa"/>
          </w:tcPr>
          <w:p w14:paraId="54FAC802"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-25.4%</w:t>
            </w:r>
          </w:p>
        </w:tc>
        <w:tc>
          <w:tcPr>
            <w:tcW w:w="1755" w:type="dxa"/>
          </w:tcPr>
          <w:p w14:paraId="33D7E053"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£19,294</w:t>
            </w:r>
          </w:p>
        </w:tc>
        <w:tc>
          <w:tcPr>
            <w:tcW w:w="1757" w:type="dxa"/>
          </w:tcPr>
          <w:p w14:paraId="7BC5A3B2"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1.1%</w:t>
            </w:r>
          </w:p>
        </w:tc>
        <w:tc>
          <w:tcPr>
            <w:tcW w:w="1016" w:type="dxa"/>
            <w:gridSpan w:val="2"/>
          </w:tcPr>
          <w:p w14:paraId="6825D1CE"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-30.4%</w:t>
            </w:r>
          </w:p>
        </w:tc>
      </w:tr>
      <w:tr w:rsidR="000B1078" w:rsidRPr="005A4656" w14:paraId="15C2B519" w14:textId="77777777" w:rsidTr="00E976C7">
        <w:trPr>
          <w:trHeight w:val="300"/>
        </w:trPr>
        <w:tc>
          <w:tcPr>
            <w:tcW w:w="1524" w:type="dxa"/>
          </w:tcPr>
          <w:p w14:paraId="1D2D6C46"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2022/2023</w:t>
            </w:r>
          </w:p>
        </w:tc>
        <w:tc>
          <w:tcPr>
            <w:tcW w:w="1531" w:type="dxa"/>
          </w:tcPr>
          <w:p w14:paraId="729F71D9"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£159,820</w:t>
            </w:r>
          </w:p>
        </w:tc>
        <w:tc>
          <w:tcPr>
            <w:tcW w:w="1320" w:type="dxa"/>
          </w:tcPr>
          <w:p w14:paraId="69DF896A"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1.6%</w:t>
            </w:r>
          </w:p>
        </w:tc>
        <w:tc>
          <w:tcPr>
            <w:tcW w:w="1032" w:type="dxa"/>
            <w:shd w:val="clear" w:color="auto" w:fill="BFBFBF" w:themeFill="background1" w:themeFillShade="BF"/>
          </w:tcPr>
          <w:p w14:paraId="3FA7A3D0" w14:textId="77777777" w:rsidR="002E4C81" w:rsidRPr="00C92ECE" w:rsidRDefault="002E4C81">
            <w:pPr>
              <w:pStyle w:val="ListParagraph"/>
              <w:ind w:left="0"/>
              <w:jc w:val="center"/>
              <w:rPr>
                <w:rFonts w:ascii="Arial" w:eastAsia="Calibri" w:hAnsi="Arial" w:cs="Arial"/>
                <w:sz w:val="20"/>
                <w:szCs w:val="20"/>
                <w:lang w:eastAsia="en-GB"/>
              </w:rPr>
            </w:pPr>
          </w:p>
        </w:tc>
        <w:tc>
          <w:tcPr>
            <w:tcW w:w="1755" w:type="dxa"/>
          </w:tcPr>
          <w:p w14:paraId="1D444984"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£27,702</w:t>
            </w:r>
          </w:p>
        </w:tc>
        <w:tc>
          <w:tcPr>
            <w:tcW w:w="1757" w:type="dxa"/>
          </w:tcPr>
          <w:p w14:paraId="5FC51675"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1.2%</w:t>
            </w:r>
          </w:p>
        </w:tc>
        <w:tc>
          <w:tcPr>
            <w:tcW w:w="1016" w:type="dxa"/>
            <w:gridSpan w:val="2"/>
            <w:shd w:val="clear" w:color="auto" w:fill="BFBFBF" w:themeFill="background1" w:themeFillShade="BF"/>
          </w:tcPr>
          <w:p w14:paraId="26FB679D"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993A32" w14:paraId="44CD40FD" w14:textId="77777777" w:rsidTr="00C92ECE">
        <w:trPr>
          <w:gridAfter w:val="1"/>
          <w:wAfter w:w="332" w:type="dxa"/>
          <w:trHeight w:val="170"/>
        </w:trPr>
        <w:tc>
          <w:tcPr>
            <w:tcW w:w="9603" w:type="dxa"/>
            <w:gridSpan w:val="7"/>
            <w:tcBorders>
              <w:left w:val="nil"/>
              <w:bottom w:val="nil"/>
              <w:right w:val="nil"/>
            </w:tcBorders>
            <w:vAlign w:val="center"/>
          </w:tcPr>
          <w:p w14:paraId="69AA495C" w14:textId="77777777" w:rsidR="002E4C81" w:rsidRPr="00C92ECE" w:rsidRDefault="002E4C81">
            <w:pPr>
              <w:pStyle w:val="ListParagraph"/>
              <w:ind w:left="0"/>
              <w:jc w:val="center"/>
              <w:rPr>
                <w:rFonts w:ascii="Arial" w:eastAsia="Calibri" w:hAnsi="Arial" w:cs="Arial"/>
                <w:sz w:val="20"/>
                <w:szCs w:val="20"/>
                <w:lang w:eastAsia="en-GB"/>
              </w:rPr>
            </w:pPr>
          </w:p>
        </w:tc>
      </w:tr>
      <w:tr w:rsidR="002E4C81" w:rsidRPr="005A4656" w14:paraId="51642066" w14:textId="77777777" w:rsidTr="00E976C7">
        <w:trPr>
          <w:gridAfter w:val="1"/>
          <w:wAfter w:w="332" w:type="dxa"/>
          <w:trHeight w:val="300"/>
        </w:trPr>
        <w:tc>
          <w:tcPr>
            <w:tcW w:w="9603" w:type="dxa"/>
            <w:gridSpan w:val="7"/>
            <w:tcBorders>
              <w:top w:val="nil"/>
              <w:left w:val="nil"/>
              <w:right w:val="nil"/>
            </w:tcBorders>
            <w:vAlign w:val="center"/>
          </w:tcPr>
          <w:p w14:paraId="1142F956" w14:textId="77777777" w:rsidR="002E4C81" w:rsidRPr="005A4656" w:rsidRDefault="002E4C81">
            <w:pPr>
              <w:pStyle w:val="ListParagraph"/>
              <w:ind w:left="0"/>
              <w:rPr>
                <w:rFonts w:ascii="Arial" w:eastAsia="Calibri" w:hAnsi="Arial" w:cs="Arial"/>
                <w:lang w:eastAsia="en-GB"/>
              </w:rPr>
            </w:pPr>
            <w:r w:rsidRPr="005A4656">
              <w:rPr>
                <w:rFonts w:ascii="Arial" w:eastAsia="Calibri" w:hAnsi="Arial" w:cs="Arial"/>
                <w:b/>
                <w:bCs/>
                <w:lang w:eastAsia="en-GB"/>
              </w:rPr>
              <w:t>Other priorities</w:t>
            </w:r>
          </w:p>
        </w:tc>
      </w:tr>
      <w:tr w:rsidR="000B1078" w:rsidRPr="005A4656" w14:paraId="2A4B334A" w14:textId="77777777" w:rsidTr="00E976C7">
        <w:trPr>
          <w:trHeight w:val="300"/>
        </w:trPr>
        <w:tc>
          <w:tcPr>
            <w:tcW w:w="1524" w:type="dxa"/>
          </w:tcPr>
          <w:p w14:paraId="093BBFD3" w14:textId="77777777" w:rsidR="002E4C81" w:rsidRPr="00C92ECE" w:rsidRDefault="002E4C81">
            <w:pPr>
              <w:pStyle w:val="ListParagraph"/>
              <w:ind w:left="0"/>
              <w:rPr>
                <w:rFonts w:ascii="Arial" w:eastAsia="Calibri" w:hAnsi="Arial" w:cs="Arial"/>
                <w:sz w:val="20"/>
                <w:szCs w:val="20"/>
                <w:lang w:eastAsia="en-GB"/>
              </w:rPr>
            </w:pPr>
          </w:p>
        </w:tc>
        <w:tc>
          <w:tcPr>
            <w:tcW w:w="1531" w:type="dxa"/>
            <w:vAlign w:val="center"/>
          </w:tcPr>
          <w:p w14:paraId="543AC22A"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SCWWDP grant spend</w:t>
            </w:r>
          </w:p>
        </w:tc>
        <w:tc>
          <w:tcPr>
            <w:tcW w:w="1320" w:type="dxa"/>
            <w:vAlign w:val="center"/>
          </w:tcPr>
          <w:p w14:paraId="6D37AE28"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of SCWWDP grant</w:t>
            </w:r>
          </w:p>
        </w:tc>
        <w:tc>
          <w:tcPr>
            <w:tcW w:w="1032" w:type="dxa"/>
            <w:vAlign w:val="center"/>
          </w:tcPr>
          <w:p w14:paraId="0C2119C3"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c>
          <w:tcPr>
            <w:tcW w:w="1755" w:type="dxa"/>
            <w:vAlign w:val="center"/>
          </w:tcPr>
          <w:p w14:paraId="6CE61099" w14:textId="00AB9DDF"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Additional </w:t>
            </w:r>
            <w:r w:rsidR="00BF1A99"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 </w:t>
            </w:r>
            <w:proofErr w:type="gramStart"/>
            <w:r w:rsidRPr="00C92ECE">
              <w:rPr>
                <w:rFonts w:ascii="Arial" w:eastAsia="Calibri" w:hAnsi="Arial" w:cs="Arial"/>
                <w:b/>
                <w:bCs/>
                <w:sz w:val="20"/>
                <w:szCs w:val="20"/>
                <w:lang w:eastAsia="en-GB"/>
              </w:rPr>
              <w:t>spend</w:t>
            </w:r>
            <w:proofErr w:type="gramEnd"/>
          </w:p>
        </w:tc>
        <w:tc>
          <w:tcPr>
            <w:tcW w:w="1757" w:type="dxa"/>
            <w:vAlign w:val="center"/>
          </w:tcPr>
          <w:p w14:paraId="5117B7B7" w14:textId="52D4228B"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xml:space="preserve">% of additional </w:t>
            </w:r>
            <w:r w:rsidR="00BF1A99" w:rsidRPr="00C92ECE">
              <w:rPr>
                <w:rFonts w:ascii="Arial" w:eastAsia="Calibri" w:hAnsi="Arial" w:cs="Arial"/>
                <w:b/>
                <w:bCs/>
                <w:sz w:val="20"/>
                <w:szCs w:val="20"/>
                <w:lang w:eastAsia="en-GB"/>
              </w:rPr>
              <w:t>local authority</w:t>
            </w:r>
            <w:r w:rsidRPr="00C92ECE">
              <w:rPr>
                <w:rFonts w:ascii="Arial" w:eastAsia="Calibri" w:hAnsi="Arial" w:cs="Arial"/>
                <w:b/>
                <w:bCs/>
                <w:sz w:val="20"/>
                <w:szCs w:val="20"/>
                <w:lang w:eastAsia="en-GB"/>
              </w:rPr>
              <w:t xml:space="preserve"> funding</w:t>
            </w:r>
          </w:p>
        </w:tc>
        <w:tc>
          <w:tcPr>
            <w:tcW w:w="1016" w:type="dxa"/>
            <w:gridSpan w:val="2"/>
            <w:vAlign w:val="center"/>
          </w:tcPr>
          <w:p w14:paraId="15EFC452" w14:textId="77777777" w:rsidR="002E4C81" w:rsidRPr="00C92ECE" w:rsidRDefault="002E4C81" w:rsidP="000B1078">
            <w:pPr>
              <w:pStyle w:val="ListParagraph"/>
              <w:ind w:left="0"/>
              <w:jc w:val="center"/>
              <w:rPr>
                <w:rFonts w:ascii="Arial" w:eastAsia="Calibri" w:hAnsi="Arial" w:cs="Arial"/>
                <w:b/>
                <w:bCs/>
                <w:sz w:val="20"/>
                <w:szCs w:val="20"/>
                <w:lang w:eastAsia="en-GB"/>
              </w:rPr>
            </w:pPr>
            <w:r w:rsidRPr="00C92ECE">
              <w:rPr>
                <w:rFonts w:ascii="Arial" w:eastAsia="Calibri" w:hAnsi="Arial" w:cs="Arial"/>
                <w:b/>
                <w:bCs/>
                <w:sz w:val="20"/>
                <w:szCs w:val="20"/>
                <w:lang w:eastAsia="en-GB"/>
              </w:rPr>
              <w:t>% change</w:t>
            </w:r>
          </w:p>
        </w:tc>
      </w:tr>
      <w:tr w:rsidR="006265D5" w:rsidRPr="005A4656" w14:paraId="7C91EE4D" w14:textId="77777777" w:rsidTr="00E976C7">
        <w:trPr>
          <w:trHeight w:val="300"/>
        </w:trPr>
        <w:tc>
          <w:tcPr>
            <w:tcW w:w="1524" w:type="dxa"/>
          </w:tcPr>
          <w:p w14:paraId="7CE31945" w14:textId="172652CE" w:rsidR="006265D5" w:rsidRPr="00C92ECE" w:rsidRDefault="0092093D">
            <w:pPr>
              <w:pStyle w:val="ListParagraph"/>
              <w:ind w:left="0"/>
              <w:rPr>
                <w:rFonts w:ascii="Arial" w:eastAsia="Calibri" w:hAnsi="Arial" w:cs="Arial"/>
                <w:b/>
                <w:bCs/>
                <w:sz w:val="20"/>
                <w:szCs w:val="20"/>
                <w:lang w:eastAsia="en-GB"/>
              </w:rPr>
            </w:pPr>
            <w:r w:rsidRPr="00C92ECE">
              <w:rPr>
                <w:rFonts w:ascii="Arial" w:eastAsia="Calibri" w:hAnsi="Arial" w:cs="Arial"/>
                <w:b/>
                <w:bCs/>
                <w:sz w:val="20"/>
                <w:szCs w:val="20"/>
                <w:lang w:eastAsia="en-GB"/>
              </w:rPr>
              <w:t>2024/2025</w:t>
            </w:r>
          </w:p>
        </w:tc>
        <w:tc>
          <w:tcPr>
            <w:tcW w:w="1531" w:type="dxa"/>
          </w:tcPr>
          <w:p w14:paraId="2F4D75C9" w14:textId="0EE8323D" w:rsidR="006265D5" w:rsidRPr="00C92ECE" w:rsidRDefault="008F068E">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£151,063</w:t>
            </w:r>
          </w:p>
        </w:tc>
        <w:tc>
          <w:tcPr>
            <w:tcW w:w="1320" w:type="dxa"/>
          </w:tcPr>
          <w:p w14:paraId="49AC7477" w14:textId="576DA373" w:rsidR="006265D5" w:rsidRPr="00C92ECE" w:rsidRDefault="005503C1">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1.4%</w:t>
            </w:r>
          </w:p>
        </w:tc>
        <w:tc>
          <w:tcPr>
            <w:tcW w:w="1032" w:type="dxa"/>
          </w:tcPr>
          <w:p w14:paraId="77FCC7E7" w14:textId="047423E5" w:rsidR="006265D5" w:rsidRPr="00C92ECE" w:rsidRDefault="00C360E3">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-11.5%</w:t>
            </w:r>
          </w:p>
        </w:tc>
        <w:tc>
          <w:tcPr>
            <w:tcW w:w="1755" w:type="dxa"/>
          </w:tcPr>
          <w:p w14:paraId="378DDE7B" w14:textId="6B95506A" w:rsidR="006265D5" w:rsidRPr="00C92ECE" w:rsidRDefault="0092555C">
            <w:pPr>
              <w:pStyle w:val="ListParagraph"/>
              <w:ind w:left="0"/>
              <w:jc w:val="center"/>
              <w:rPr>
                <w:rFonts w:ascii="Arial" w:eastAsia="Calibri" w:hAnsi="Arial" w:cs="Arial"/>
                <w:sz w:val="20"/>
                <w:szCs w:val="20"/>
                <w:lang w:eastAsia="en-GB"/>
              </w:rPr>
            </w:pPr>
            <w:r>
              <w:rPr>
                <w:rFonts w:ascii="Arial" w:eastAsia="Calibri" w:hAnsi="Arial" w:cs="Arial"/>
                <w:sz w:val="20"/>
                <w:szCs w:val="20"/>
                <w:lang w:eastAsia="en-GB"/>
              </w:rPr>
              <w:t>£414,448</w:t>
            </w:r>
          </w:p>
        </w:tc>
        <w:tc>
          <w:tcPr>
            <w:tcW w:w="1757" w:type="dxa"/>
          </w:tcPr>
          <w:p w14:paraId="589CEE5F" w14:textId="088E9E32" w:rsidR="006265D5" w:rsidRPr="00C92ECE" w:rsidRDefault="00A53C6B">
            <w:pPr>
              <w:pStyle w:val="ListParagraph"/>
              <w:ind w:left="0"/>
              <w:jc w:val="center"/>
              <w:rPr>
                <w:rFonts w:ascii="Arial" w:eastAsia="Calibri" w:hAnsi="Arial" w:cs="Arial"/>
                <w:sz w:val="20"/>
                <w:szCs w:val="20"/>
                <w:lang w:eastAsia="en-GB"/>
              </w:rPr>
            </w:pPr>
            <w:r w:rsidRPr="00F75457">
              <w:rPr>
                <w:rFonts w:ascii="Arial" w:eastAsia="Calibri" w:hAnsi="Arial" w:cs="Arial"/>
                <w:sz w:val="20"/>
                <w:szCs w:val="20"/>
                <w:lang w:eastAsia="en-GB"/>
              </w:rPr>
              <w:t>22.4%</w:t>
            </w:r>
          </w:p>
        </w:tc>
        <w:tc>
          <w:tcPr>
            <w:tcW w:w="1016" w:type="dxa"/>
            <w:gridSpan w:val="2"/>
          </w:tcPr>
          <w:p w14:paraId="17719C9D" w14:textId="77BEA024" w:rsidR="006265D5" w:rsidRPr="00C92ECE" w:rsidRDefault="00C360E3">
            <w:pPr>
              <w:pStyle w:val="ListParagraph"/>
              <w:ind w:left="0"/>
              <w:jc w:val="center"/>
              <w:rPr>
                <w:rFonts w:ascii="Arial" w:eastAsia="Calibri" w:hAnsi="Arial" w:cs="Arial"/>
                <w:sz w:val="20"/>
                <w:szCs w:val="20"/>
                <w:lang w:eastAsia="en-GB"/>
              </w:rPr>
            </w:pPr>
            <w:r w:rsidRPr="00F75457">
              <w:rPr>
                <w:rFonts w:ascii="Arial" w:eastAsia="Calibri" w:hAnsi="Arial" w:cs="Arial"/>
                <w:sz w:val="20"/>
                <w:szCs w:val="20"/>
                <w:lang w:eastAsia="en-GB"/>
              </w:rPr>
              <w:t>+69.9%</w:t>
            </w:r>
          </w:p>
        </w:tc>
      </w:tr>
      <w:tr w:rsidR="000B1078" w:rsidRPr="005A4656" w14:paraId="4A24BF21" w14:textId="77777777" w:rsidTr="00E976C7">
        <w:trPr>
          <w:trHeight w:val="300"/>
        </w:trPr>
        <w:tc>
          <w:tcPr>
            <w:tcW w:w="1524" w:type="dxa"/>
          </w:tcPr>
          <w:p w14:paraId="21FB6BE3"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2023/2024</w:t>
            </w:r>
          </w:p>
        </w:tc>
        <w:tc>
          <w:tcPr>
            <w:tcW w:w="1531" w:type="dxa"/>
          </w:tcPr>
          <w:p w14:paraId="45669A50"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£170,770</w:t>
            </w:r>
          </w:p>
        </w:tc>
        <w:tc>
          <w:tcPr>
            <w:tcW w:w="1320" w:type="dxa"/>
          </w:tcPr>
          <w:p w14:paraId="0C3AC768"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1.6%</w:t>
            </w:r>
          </w:p>
        </w:tc>
        <w:tc>
          <w:tcPr>
            <w:tcW w:w="1032" w:type="dxa"/>
          </w:tcPr>
          <w:p w14:paraId="46009A2D"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-21.6%</w:t>
            </w:r>
          </w:p>
        </w:tc>
        <w:tc>
          <w:tcPr>
            <w:tcW w:w="1755" w:type="dxa"/>
          </w:tcPr>
          <w:p w14:paraId="20278F6F"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£243,997</w:t>
            </w:r>
          </w:p>
        </w:tc>
        <w:tc>
          <w:tcPr>
            <w:tcW w:w="1757" w:type="dxa"/>
          </w:tcPr>
          <w:p w14:paraId="28B65C0F"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13.7%</w:t>
            </w:r>
          </w:p>
        </w:tc>
        <w:tc>
          <w:tcPr>
            <w:tcW w:w="1016" w:type="dxa"/>
            <w:gridSpan w:val="2"/>
          </w:tcPr>
          <w:p w14:paraId="76F670E8"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-36.4%</w:t>
            </w:r>
          </w:p>
        </w:tc>
      </w:tr>
      <w:tr w:rsidR="000B1078" w:rsidRPr="005A4656" w14:paraId="6350584D" w14:textId="77777777" w:rsidTr="00E976C7">
        <w:trPr>
          <w:trHeight w:val="300"/>
        </w:trPr>
        <w:tc>
          <w:tcPr>
            <w:tcW w:w="1524" w:type="dxa"/>
          </w:tcPr>
          <w:p w14:paraId="773053DD" w14:textId="77777777" w:rsidR="002E4C81" w:rsidRPr="00C92ECE" w:rsidRDefault="002E4C81">
            <w:pPr>
              <w:pStyle w:val="ListParagraph"/>
              <w:ind w:left="0"/>
              <w:rPr>
                <w:rFonts w:ascii="Arial" w:eastAsia="Calibri" w:hAnsi="Arial" w:cs="Arial"/>
                <w:sz w:val="20"/>
                <w:szCs w:val="20"/>
                <w:lang w:eastAsia="en-GB"/>
              </w:rPr>
            </w:pPr>
            <w:r w:rsidRPr="00C92ECE">
              <w:rPr>
                <w:rFonts w:ascii="Arial" w:eastAsia="Calibri" w:hAnsi="Arial" w:cs="Arial"/>
                <w:b/>
                <w:bCs/>
                <w:sz w:val="20"/>
                <w:szCs w:val="20"/>
                <w:lang w:eastAsia="en-GB"/>
              </w:rPr>
              <w:t>2022/2023</w:t>
            </w:r>
          </w:p>
        </w:tc>
        <w:tc>
          <w:tcPr>
            <w:tcW w:w="1531" w:type="dxa"/>
          </w:tcPr>
          <w:p w14:paraId="140E2EA3"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£217,973</w:t>
            </w:r>
          </w:p>
        </w:tc>
        <w:tc>
          <w:tcPr>
            <w:tcW w:w="1320" w:type="dxa"/>
          </w:tcPr>
          <w:p w14:paraId="7F1FE5AC"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2.1%</w:t>
            </w:r>
          </w:p>
        </w:tc>
        <w:tc>
          <w:tcPr>
            <w:tcW w:w="1032" w:type="dxa"/>
            <w:shd w:val="clear" w:color="auto" w:fill="BFBFBF" w:themeFill="background1" w:themeFillShade="BF"/>
          </w:tcPr>
          <w:p w14:paraId="05BAFC1D" w14:textId="77777777" w:rsidR="002E4C81" w:rsidRPr="00C92ECE" w:rsidRDefault="002E4C81">
            <w:pPr>
              <w:pStyle w:val="ListParagraph"/>
              <w:ind w:left="0"/>
              <w:jc w:val="center"/>
              <w:rPr>
                <w:rFonts w:ascii="Arial" w:eastAsia="Calibri" w:hAnsi="Arial" w:cs="Arial"/>
                <w:sz w:val="20"/>
                <w:szCs w:val="20"/>
                <w:lang w:eastAsia="en-GB"/>
              </w:rPr>
            </w:pPr>
          </w:p>
        </w:tc>
        <w:tc>
          <w:tcPr>
            <w:tcW w:w="1755" w:type="dxa"/>
          </w:tcPr>
          <w:p w14:paraId="71668520"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£383,447</w:t>
            </w:r>
          </w:p>
        </w:tc>
        <w:tc>
          <w:tcPr>
            <w:tcW w:w="1757" w:type="dxa"/>
          </w:tcPr>
          <w:p w14:paraId="050E1D5B" w14:textId="77777777" w:rsidR="002E4C81" w:rsidRPr="00C92ECE" w:rsidRDefault="002E4C81">
            <w:pPr>
              <w:pStyle w:val="ListParagraph"/>
              <w:ind w:left="0"/>
              <w:jc w:val="center"/>
              <w:rPr>
                <w:rFonts w:ascii="Arial" w:eastAsia="Calibri" w:hAnsi="Arial" w:cs="Arial"/>
                <w:sz w:val="20"/>
                <w:szCs w:val="20"/>
                <w:lang w:eastAsia="en-GB"/>
              </w:rPr>
            </w:pPr>
            <w:r w:rsidRPr="00C92ECE">
              <w:rPr>
                <w:rFonts w:ascii="Arial" w:eastAsia="Calibri" w:hAnsi="Arial" w:cs="Arial"/>
                <w:sz w:val="20"/>
                <w:szCs w:val="20"/>
                <w:lang w:eastAsia="en-GB"/>
              </w:rPr>
              <w:t>17.0%</w:t>
            </w:r>
          </w:p>
        </w:tc>
        <w:tc>
          <w:tcPr>
            <w:tcW w:w="1016" w:type="dxa"/>
            <w:gridSpan w:val="2"/>
            <w:shd w:val="clear" w:color="auto" w:fill="BFBFBF" w:themeFill="background1" w:themeFillShade="BF"/>
          </w:tcPr>
          <w:p w14:paraId="0988E1F0" w14:textId="77777777" w:rsidR="002E4C81" w:rsidRPr="00C92ECE" w:rsidRDefault="002E4C81">
            <w:pPr>
              <w:pStyle w:val="ListParagraph"/>
              <w:ind w:left="0"/>
              <w:jc w:val="center"/>
              <w:rPr>
                <w:rFonts w:ascii="Arial" w:eastAsia="Calibri" w:hAnsi="Arial" w:cs="Arial"/>
                <w:sz w:val="20"/>
                <w:szCs w:val="20"/>
                <w:lang w:eastAsia="en-GB"/>
              </w:rPr>
            </w:pPr>
          </w:p>
        </w:tc>
      </w:tr>
    </w:tbl>
    <w:p w14:paraId="11EF02F0" w14:textId="5ECEFBB5" w:rsidR="002D1B1F" w:rsidRPr="000C06A7" w:rsidRDefault="18BF9A30" w:rsidP="000C06A7">
      <w:pPr>
        <w:pStyle w:val="Heading3"/>
        <w:rPr>
          <w:lang w:eastAsia="en-GB"/>
        </w:rPr>
      </w:pPr>
      <w:bookmarkStart w:id="23" w:name="_Toc210987766"/>
      <w:bookmarkStart w:id="24" w:name="_Toc211279619"/>
      <w:r w:rsidRPr="000C06A7">
        <w:rPr>
          <w:lang w:eastAsia="en-GB"/>
        </w:rPr>
        <w:lastRenderedPageBreak/>
        <w:t>T</w:t>
      </w:r>
      <w:r w:rsidR="002D1B1F" w:rsidRPr="000C06A7">
        <w:rPr>
          <w:lang w:eastAsia="en-GB"/>
        </w:rPr>
        <w:t xml:space="preserve">raining </w:t>
      </w:r>
      <w:r w:rsidR="00033CD4" w:rsidRPr="000C06A7">
        <w:rPr>
          <w:lang w:eastAsia="en-GB"/>
        </w:rPr>
        <w:t xml:space="preserve">places </w:t>
      </w:r>
      <w:r w:rsidR="00BF1A99" w:rsidRPr="000C06A7">
        <w:rPr>
          <w:bCs/>
          <w:lang w:eastAsia="en-GB"/>
        </w:rPr>
        <w:t>and</w:t>
      </w:r>
      <w:r w:rsidR="00033CD4" w:rsidRPr="000C06A7">
        <w:rPr>
          <w:lang w:eastAsia="en-GB"/>
        </w:rPr>
        <w:t xml:space="preserve"> </w:t>
      </w:r>
      <w:r w:rsidR="002D1B1F" w:rsidRPr="000C06A7">
        <w:rPr>
          <w:lang w:eastAsia="en-GB"/>
        </w:rPr>
        <w:t>attendance</w:t>
      </w:r>
      <w:bookmarkEnd w:id="23"/>
      <w:bookmarkEnd w:id="24"/>
    </w:p>
    <w:p w14:paraId="2AE5ADB2" w14:textId="73C6CA90" w:rsidR="00701656" w:rsidRPr="00B568F3" w:rsidRDefault="00BF7910"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Table </w:t>
      </w:r>
      <w:r w:rsidR="00187732" w:rsidRPr="00B568F3">
        <w:rPr>
          <w:rFonts w:ascii="Arial" w:eastAsia="Calibri" w:hAnsi="Arial" w:cs="Arial"/>
          <w:sz w:val="24"/>
          <w:szCs w:val="24"/>
          <w:lang w:eastAsia="en-GB"/>
        </w:rPr>
        <w:t xml:space="preserve">6 </w:t>
      </w:r>
      <w:r w:rsidR="00DA5862" w:rsidRPr="00B568F3">
        <w:rPr>
          <w:rFonts w:ascii="Arial" w:eastAsia="Calibri" w:hAnsi="Arial" w:cs="Arial"/>
          <w:sz w:val="24"/>
          <w:szCs w:val="24"/>
          <w:lang w:eastAsia="en-GB"/>
        </w:rPr>
        <w:t xml:space="preserve">shows </w:t>
      </w:r>
      <w:r w:rsidR="00535CED" w:rsidRPr="00B568F3">
        <w:rPr>
          <w:rFonts w:ascii="Arial" w:eastAsia="Calibri" w:hAnsi="Arial" w:cs="Arial"/>
          <w:sz w:val="24"/>
          <w:szCs w:val="24"/>
          <w:lang w:eastAsia="en-GB"/>
        </w:rPr>
        <w:t xml:space="preserve">a </w:t>
      </w:r>
      <w:r w:rsidR="00006C3E">
        <w:rPr>
          <w:rFonts w:ascii="Arial" w:eastAsia="Calibri" w:hAnsi="Arial" w:cs="Arial"/>
          <w:sz w:val="24"/>
          <w:szCs w:val="24"/>
          <w:lang w:eastAsia="en-GB"/>
        </w:rPr>
        <w:t xml:space="preserve">slight </w:t>
      </w:r>
      <w:r w:rsidR="000F29AD" w:rsidRPr="00B568F3">
        <w:rPr>
          <w:rFonts w:ascii="Arial" w:eastAsia="Calibri" w:hAnsi="Arial" w:cs="Arial"/>
          <w:sz w:val="24"/>
          <w:szCs w:val="24"/>
          <w:lang w:eastAsia="en-GB"/>
        </w:rPr>
        <w:t xml:space="preserve">decrease in </w:t>
      </w:r>
      <w:r w:rsidR="00006C3E" w:rsidRPr="00B568F3">
        <w:rPr>
          <w:rFonts w:ascii="Arial" w:eastAsia="Calibri" w:hAnsi="Arial" w:cs="Arial"/>
          <w:sz w:val="24"/>
          <w:szCs w:val="24"/>
          <w:lang w:eastAsia="en-GB"/>
        </w:rPr>
        <w:t>202</w:t>
      </w:r>
      <w:r w:rsidR="00006C3E">
        <w:rPr>
          <w:rFonts w:ascii="Arial" w:eastAsia="Calibri" w:hAnsi="Arial" w:cs="Arial"/>
          <w:sz w:val="24"/>
          <w:szCs w:val="24"/>
          <w:lang w:eastAsia="en-GB"/>
        </w:rPr>
        <w:t>4</w:t>
      </w:r>
      <w:r w:rsidR="00006C3E" w:rsidRPr="00B568F3">
        <w:rPr>
          <w:rFonts w:ascii="Arial" w:eastAsia="Calibri" w:hAnsi="Arial" w:cs="Arial"/>
          <w:sz w:val="24"/>
          <w:szCs w:val="24"/>
          <w:lang w:eastAsia="en-GB"/>
        </w:rPr>
        <w:t xml:space="preserve"> </w:t>
      </w:r>
      <w:r w:rsidR="005D5E43" w:rsidRPr="00B568F3">
        <w:rPr>
          <w:rFonts w:ascii="Arial" w:eastAsia="Calibri" w:hAnsi="Arial" w:cs="Arial"/>
          <w:sz w:val="24"/>
          <w:szCs w:val="24"/>
          <w:lang w:eastAsia="en-GB"/>
        </w:rPr>
        <w:t xml:space="preserve">to </w:t>
      </w:r>
      <w:r w:rsidR="00006C3E" w:rsidRPr="00B568F3">
        <w:rPr>
          <w:rFonts w:ascii="Arial" w:eastAsia="Calibri" w:hAnsi="Arial" w:cs="Arial"/>
          <w:sz w:val="24"/>
          <w:szCs w:val="24"/>
          <w:lang w:eastAsia="en-GB"/>
        </w:rPr>
        <w:t>202</w:t>
      </w:r>
      <w:r w:rsidR="00006C3E">
        <w:rPr>
          <w:rFonts w:ascii="Arial" w:eastAsia="Calibri" w:hAnsi="Arial" w:cs="Arial"/>
          <w:sz w:val="24"/>
          <w:szCs w:val="24"/>
          <w:lang w:eastAsia="en-GB"/>
        </w:rPr>
        <w:t>5</w:t>
      </w:r>
      <w:r w:rsidR="00006C3E" w:rsidRPr="00B568F3">
        <w:rPr>
          <w:rFonts w:ascii="Arial" w:eastAsia="Calibri" w:hAnsi="Arial" w:cs="Arial"/>
          <w:sz w:val="24"/>
          <w:szCs w:val="24"/>
          <w:lang w:eastAsia="en-GB"/>
        </w:rPr>
        <w:t xml:space="preserve"> </w:t>
      </w:r>
      <w:r w:rsidR="000F29AD" w:rsidRPr="00B568F3">
        <w:rPr>
          <w:rFonts w:ascii="Arial" w:eastAsia="Calibri" w:hAnsi="Arial" w:cs="Arial"/>
          <w:sz w:val="24"/>
          <w:szCs w:val="24"/>
          <w:lang w:eastAsia="en-GB"/>
        </w:rPr>
        <w:t xml:space="preserve">in the </w:t>
      </w:r>
      <w:r w:rsidR="00D56181" w:rsidRPr="00B568F3">
        <w:rPr>
          <w:rFonts w:ascii="Arial" w:eastAsia="Calibri" w:hAnsi="Arial" w:cs="Arial"/>
          <w:sz w:val="24"/>
          <w:szCs w:val="24"/>
          <w:lang w:eastAsia="en-GB"/>
        </w:rPr>
        <w:t>number of training places book</w:t>
      </w:r>
      <w:r w:rsidR="00701656" w:rsidRPr="00B568F3">
        <w:rPr>
          <w:rFonts w:ascii="Arial" w:eastAsia="Calibri" w:hAnsi="Arial" w:cs="Arial"/>
          <w:sz w:val="24"/>
          <w:szCs w:val="24"/>
          <w:lang w:eastAsia="en-GB"/>
        </w:rPr>
        <w:t>ed</w:t>
      </w:r>
      <w:r w:rsidR="00D56181" w:rsidRPr="00B568F3">
        <w:rPr>
          <w:rFonts w:ascii="Arial" w:eastAsia="Calibri" w:hAnsi="Arial" w:cs="Arial"/>
          <w:sz w:val="24"/>
          <w:szCs w:val="24"/>
          <w:lang w:eastAsia="en-GB"/>
        </w:rPr>
        <w:t xml:space="preserve"> </w:t>
      </w:r>
      <w:r w:rsidR="000F29AD" w:rsidRPr="00B568F3">
        <w:rPr>
          <w:rFonts w:ascii="Arial" w:eastAsia="Calibri" w:hAnsi="Arial" w:cs="Arial"/>
          <w:sz w:val="24"/>
          <w:szCs w:val="24"/>
          <w:lang w:eastAsia="en-GB"/>
        </w:rPr>
        <w:t>(</w:t>
      </w:r>
      <w:r w:rsidR="00397323" w:rsidRPr="00B568F3">
        <w:rPr>
          <w:rFonts w:ascii="Arial" w:eastAsia="Calibri" w:hAnsi="Arial" w:cs="Arial"/>
          <w:sz w:val="24"/>
          <w:szCs w:val="24"/>
          <w:lang w:eastAsia="en-GB"/>
        </w:rPr>
        <w:t>-</w:t>
      </w:r>
      <w:r w:rsidR="00006C3E">
        <w:rPr>
          <w:rFonts w:ascii="Arial" w:eastAsia="Calibri" w:hAnsi="Arial" w:cs="Arial"/>
          <w:sz w:val="24"/>
          <w:szCs w:val="24"/>
          <w:lang w:eastAsia="en-GB"/>
        </w:rPr>
        <w:t>0.5</w:t>
      </w:r>
      <w:r w:rsidR="005D5E43" w:rsidRPr="00B568F3">
        <w:rPr>
          <w:rFonts w:ascii="Arial" w:eastAsia="Calibri" w:hAnsi="Arial" w:cs="Arial"/>
          <w:sz w:val="24"/>
          <w:szCs w:val="24"/>
          <w:lang w:eastAsia="en-GB"/>
        </w:rPr>
        <w:t xml:space="preserve"> per cent</w:t>
      </w:r>
      <w:r w:rsidR="000F29AD" w:rsidRPr="00B568F3">
        <w:rPr>
          <w:rFonts w:ascii="Arial" w:eastAsia="Calibri" w:hAnsi="Arial" w:cs="Arial"/>
          <w:sz w:val="24"/>
          <w:szCs w:val="24"/>
          <w:lang w:eastAsia="en-GB"/>
        </w:rPr>
        <w:t xml:space="preserve">) </w:t>
      </w:r>
      <w:r w:rsidR="00D56181" w:rsidRPr="00B568F3">
        <w:rPr>
          <w:rFonts w:ascii="Arial" w:eastAsia="Calibri" w:hAnsi="Arial" w:cs="Arial"/>
          <w:sz w:val="24"/>
          <w:szCs w:val="24"/>
          <w:lang w:eastAsia="en-GB"/>
        </w:rPr>
        <w:t xml:space="preserve">and </w:t>
      </w:r>
      <w:r w:rsidR="00006C3E">
        <w:rPr>
          <w:rFonts w:ascii="Arial" w:eastAsia="Calibri" w:hAnsi="Arial" w:cs="Arial"/>
          <w:sz w:val="24"/>
          <w:szCs w:val="24"/>
          <w:lang w:eastAsia="en-GB"/>
        </w:rPr>
        <w:t xml:space="preserve">an increase in </w:t>
      </w:r>
      <w:r w:rsidR="00D56181" w:rsidRPr="00B568F3">
        <w:rPr>
          <w:rFonts w:ascii="Arial" w:eastAsia="Calibri" w:hAnsi="Arial" w:cs="Arial"/>
          <w:sz w:val="24"/>
          <w:szCs w:val="24"/>
          <w:lang w:eastAsia="en-GB"/>
        </w:rPr>
        <w:t>the number of people attending</w:t>
      </w:r>
      <w:r w:rsidR="000F29AD" w:rsidRPr="00B568F3">
        <w:rPr>
          <w:rFonts w:ascii="Arial" w:eastAsia="Calibri" w:hAnsi="Arial" w:cs="Arial"/>
          <w:sz w:val="24"/>
          <w:szCs w:val="24"/>
          <w:lang w:eastAsia="en-GB"/>
        </w:rPr>
        <w:t xml:space="preserve"> (</w:t>
      </w:r>
      <w:r w:rsidR="00006C3E">
        <w:rPr>
          <w:rFonts w:ascii="Arial" w:eastAsia="Calibri" w:hAnsi="Arial" w:cs="Arial"/>
          <w:sz w:val="24"/>
          <w:szCs w:val="24"/>
          <w:lang w:eastAsia="en-GB"/>
        </w:rPr>
        <w:t xml:space="preserve">+3.5 </w:t>
      </w:r>
      <w:r w:rsidR="005D5E43" w:rsidRPr="00B568F3">
        <w:rPr>
          <w:rFonts w:ascii="Arial" w:eastAsia="Calibri" w:hAnsi="Arial" w:cs="Arial"/>
          <w:sz w:val="24"/>
          <w:szCs w:val="24"/>
          <w:lang w:eastAsia="en-GB"/>
        </w:rPr>
        <w:t>per cent</w:t>
      </w:r>
      <w:r w:rsidR="00700A07" w:rsidRPr="00B568F3">
        <w:rPr>
          <w:rFonts w:ascii="Arial" w:eastAsia="Calibri" w:hAnsi="Arial" w:cs="Arial"/>
          <w:sz w:val="24"/>
          <w:szCs w:val="24"/>
          <w:lang w:eastAsia="en-GB"/>
        </w:rPr>
        <w:t>)</w:t>
      </w:r>
      <w:r w:rsidR="00535CED" w:rsidRPr="00B568F3">
        <w:rPr>
          <w:rFonts w:ascii="Arial" w:eastAsia="Calibri" w:hAnsi="Arial" w:cs="Arial"/>
          <w:sz w:val="24"/>
          <w:szCs w:val="24"/>
          <w:lang w:eastAsia="en-GB"/>
        </w:rPr>
        <w:t xml:space="preserve"> compared to </w:t>
      </w:r>
      <w:r w:rsidR="00006C3E" w:rsidRPr="00B568F3">
        <w:rPr>
          <w:rFonts w:ascii="Arial" w:eastAsia="Calibri" w:hAnsi="Arial" w:cs="Arial"/>
          <w:sz w:val="24"/>
          <w:szCs w:val="24"/>
          <w:lang w:eastAsia="en-GB"/>
        </w:rPr>
        <w:t>202</w:t>
      </w:r>
      <w:r w:rsidR="00006C3E">
        <w:rPr>
          <w:rFonts w:ascii="Arial" w:eastAsia="Calibri" w:hAnsi="Arial" w:cs="Arial"/>
          <w:sz w:val="24"/>
          <w:szCs w:val="24"/>
          <w:lang w:eastAsia="en-GB"/>
        </w:rPr>
        <w:t>3</w:t>
      </w:r>
      <w:r w:rsidR="00006C3E" w:rsidRPr="00B568F3">
        <w:rPr>
          <w:rFonts w:ascii="Arial" w:eastAsia="Calibri" w:hAnsi="Arial" w:cs="Arial"/>
          <w:sz w:val="24"/>
          <w:szCs w:val="24"/>
          <w:lang w:eastAsia="en-GB"/>
        </w:rPr>
        <w:t xml:space="preserve"> </w:t>
      </w:r>
      <w:r w:rsidR="005D5E43" w:rsidRPr="00B568F3">
        <w:rPr>
          <w:rFonts w:ascii="Arial" w:eastAsia="Calibri" w:hAnsi="Arial" w:cs="Arial"/>
          <w:sz w:val="24"/>
          <w:szCs w:val="24"/>
          <w:lang w:eastAsia="en-GB"/>
        </w:rPr>
        <w:t xml:space="preserve">to </w:t>
      </w:r>
      <w:r w:rsidR="00006C3E" w:rsidRPr="00B568F3">
        <w:rPr>
          <w:rFonts w:ascii="Arial" w:eastAsia="Calibri" w:hAnsi="Arial" w:cs="Arial"/>
          <w:sz w:val="24"/>
          <w:szCs w:val="24"/>
          <w:lang w:eastAsia="en-GB"/>
        </w:rPr>
        <w:t>202</w:t>
      </w:r>
      <w:r w:rsidR="00006C3E">
        <w:rPr>
          <w:rFonts w:ascii="Arial" w:eastAsia="Calibri" w:hAnsi="Arial" w:cs="Arial"/>
          <w:sz w:val="24"/>
          <w:szCs w:val="24"/>
          <w:lang w:eastAsia="en-GB"/>
        </w:rPr>
        <w:t>4</w:t>
      </w:r>
      <w:r w:rsidR="00815D33" w:rsidRPr="00B568F3">
        <w:rPr>
          <w:rFonts w:ascii="Arial" w:eastAsia="Calibri" w:hAnsi="Arial" w:cs="Arial"/>
          <w:sz w:val="24"/>
          <w:szCs w:val="24"/>
          <w:lang w:eastAsia="en-GB"/>
        </w:rPr>
        <w:t xml:space="preserve">. </w:t>
      </w:r>
      <w:r w:rsidR="00307A58">
        <w:rPr>
          <w:rFonts w:ascii="Arial" w:eastAsia="Calibri" w:hAnsi="Arial" w:cs="Arial"/>
          <w:sz w:val="24"/>
          <w:szCs w:val="24"/>
          <w:lang w:eastAsia="en-GB"/>
        </w:rPr>
        <w:t xml:space="preserve">The </w:t>
      </w:r>
      <w:r w:rsidR="009A1D0B">
        <w:rPr>
          <w:rFonts w:ascii="Arial" w:eastAsia="Calibri" w:hAnsi="Arial" w:cs="Arial"/>
          <w:sz w:val="24"/>
          <w:szCs w:val="24"/>
          <w:lang w:eastAsia="en-GB"/>
        </w:rPr>
        <w:t>rise in</w:t>
      </w:r>
      <w:r w:rsidR="00307A58">
        <w:rPr>
          <w:rFonts w:ascii="Arial" w:eastAsia="Calibri" w:hAnsi="Arial" w:cs="Arial"/>
          <w:sz w:val="24"/>
          <w:szCs w:val="24"/>
          <w:lang w:eastAsia="en-GB"/>
        </w:rPr>
        <w:t xml:space="preserve"> attendance suggests</w:t>
      </w:r>
      <w:r w:rsidR="00044F3E">
        <w:rPr>
          <w:rFonts w:ascii="Arial" w:eastAsia="Calibri" w:hAnsi="Arial" w:cs="Arial"/>
          <w:sz w:val="24"/>
          <w:szCs w:val="24"/>
          <w:lang w:eastAsia="en-GB"/>
        </w:rPr>
        <w:t xml:space="preserve"> more people are taking part and</w:t>
      </w:r>
      <w:r w:rsidR="00307A58">
        <w:rPr>
          <w:rFonts w:ascii="Arial" w:eastAsia="Calibri" w:hAnsi="Arial" w:cs="Arial"/>
          <w:sz w:val="24"/>
          <w:szCs w:val="24"/>
          <w:lang w:eastAsia="en-GB"/>
        </w:rPr>
        <w:t xml:space="preserve"> engag</w:t>
      </w:r>
      <w:r w:rsidR="00044F3E">
        <w:rPr>
          <w:rFonts w:ascii="Arial" w:eastAsia="Calibri" w:hAnsi="Arial" w:cs="Arial"/>
          <w:sz w:val="24"/>
          <w:szCs w:val="24"/>
          <w:lang w:eastAsia="en-GB"/>
        </w:rPr>
        <w:t>ing</w:t>
      </w:r>
      <w:r w:rsidR="00307A58">
        <w:rPr>
          <w:rFonts w:ascii="Arial" w:eastAsia="Calibri" w:hAnsi="Arial" w:cs="Arial"/>
          <w:sz w:val="24"/>
          <w:szCs w:val="24"/>
          <w:lang w:eastAsia="en-GB"/>
        </w:rPr>
        <w:t xml:space="preserve"> with available training.</w:t>
      </w:r>
    </w:p>
    <w:p w14:paraId="43EA6A7D" w14:textId="77777777" w:rsidR="000B06D9" w:rsidRDefault="000B06D9" w:rsidP="00C92ECE">
      <w:pPr>
        <w:spacing w:after="0" w:line="276" w:lineRule="auto"/>
        <w:ind w:left="567"/>
        <w:contextualSpacing/>
        <w:rPr>
          <w:rFonts w:ascii="Arial" w:eastAsia="Calibri" w:hAnsi="Arial" w:cs="Arial"/>
          <w:sz w:val="24"/>
          <w:szCs w:val="24"/>
          <w:lang w:eastAsia="en-GB"/>
        </w:rPr>
      </w:pPr>
    </w:p>
    <w:p w14:paraId="1BB1B913" w14:textId="2487B7C9" w:rsidR="00783CA7" w:rsidRDefault="003D5735" w:rsidP="00783CA7">
      <w:pPr>
        <w:numPr>
          <w:ilvl w:val="0"/>
          <w:numId w:val="6"/>
        </w:numPr>
        <w:spacing w:after="200" w:line="276" w:lineRule="auto"/>
        <w:ind w:left="567" w:hanging="425"/>
        <w:contextualSpacing/>
        <w:rPr>
          <w:rFonts w:ascii="Arial" w:eastAsia="Calibri" w:hAnsi="Arial" w:cs="Arial"/>
          <w:sz w:val="24"/>
          <w:szCs w:val="24"/>
          <w:lang w:eastAsia="en-GB"/>
        </w:rPr>
      </w:pPr>
      <w:r w:rsidRPr="00C92ECE">
        <w:rPr>
          <w:rFonts w:ascii="Arial" w:eastAsia="Calibri" w:hAnsi="Arial" w:cs="Arial"/>
          <w:sz w:val="24"/>
          <w:szCs w:val="24"/>
          <w:lang w:eastAsia="en-GB"/>
        </w:rPr>
        <w:t>Th</w:t>
      </w:r>
      <w:r w:rsidR="00D16722" w:rsidRPr="00C92ECE">
        <w:rPr>
          <w:rFonts w:ascii="Arial" w:eastAsia="Calibri" w:hAnsi="Arial" w:cs="Arial"/>
          <w:sz w:val="24"/>
          <w:szCs w:val="24"/>
          <w:lang w:eastAsia="en-GB"/>
        </w:rPr>
        <w:t>e</w:t>
      </w:r>
      <w:r w:rsidR="00783CA7" w:rsidRPr="00C92ECE">
        <w:rPr>
          <w:rFonts w:ascii="Arial" w:eastAsia="Calibri" w:hAnsi="Arial" w:cs="Arial"/>
          <w:sz w:val="24"/>
          <w:szCs w:val="24"/>
          <w:lang w:eastAsia="en-GB"/>
        </w:rPr>
        <w:t>re was a</w:t>
      </w:r>
      <w:r w:rsidR="00D16722" w:rsidRPr="00C92ECE">
        <w:rPr>
          <w:rFonts w:ascii="Arial" w:eastAsia="Calibri" w:hAnsi="Arial" w:cs="Arial"/>
          <w:sz w:val="24"/>
          <w:szCs w:val="24"/>
          <w:lang w:eastAsia="en-GB"/>
        </w:rPr>
        <w:t xml:space="preserve"> decrease in the number of training places booked</w:t>
      </w:r>
      <w:r w:rsidR="003B1FE7" w:rsidRPr="00C92ECE">
        <w:rPr>
          <w:rFonts w:ascii="Arial" w:eastAsia="Calibri" w:hAnsi="Arial" w:cs="Arial"/>
          <w:sz w:val="24"/>
          <w:szCs w:val="24"/>
          <w:lang w:eastAsia="en-GB"/>
        </w:rPr>
        <w:t xml:space="preserve"> </w:t>
      </w:r>
      <w:r w:rsidR="00783CA7" w:rsidRPr="00C92ECE">
        <w:rPr>
          <w:rFonts w:ascii="Arial" w:eastAsia="Calibri" w:hAnsi="Arial" w:cs="Arial"/>
          <w:sz w:val="24"/>
          <w:szCs w:val="24"/>
          <w:lang w:eastAsia="en-GB"/>
        </w:rPr>
        <w:t xml:space="preserve">by </w:t>
      </w:r>
      <w:r w:rsidR="003B1FE7" w:rsidRPr="00C92ECE">
        <w:rPr>
          <w:rFonts w:ascii="Arial" w:eastAsia="Calibri" w:hAnsi="Arial" w:cs="Arial"/>
          <w:sz w:val="24"/>
          <w:szCs w:val="24"/>
          <w:lang w:eastAsia="en-GB"/>
        </w:rPr>
        <w:t>the statutory</w:t>
      </w:r>
      <w:r w:rsidR="00FB0E6E" w:rsidRPr="00C92ECE">
        <w:rPr>
          <w:rFonts w:ascii="Arial" w:eastAsia="Calibri" w:hAnsi="Arial" w:cs="Arial"/>
          <w:sz w:val="24"/>
          <w:szCs w:val="24"/>
          <w:lang w:eastAsia="en-GB"/>
        </w:rPr>
        <w:t xml:space="preserve"> and ‘</w:t>
      </w:r>
      <w:r w:rsidRPr="00C92ECE">
        <w:rPr>
          <w:rFonts w:ascii="Arial" w:eastAsia="Calibri" w:hAnsi="Arial" w:cs="Arial"/>
          <w:sz w:val="24"/>
          <w:szCs w:val="24"/>
          <w:lang w:eastAsia="en-GB"/>
        </w:rPr>
        <w:t>other services</w:t>
      </w:r>
      <w:r w:rsidR="00FB0E6E" w:rsidRPr="00C92ECE">
        <w:rPr>
          <w:rFonts w:ascii="Arial" w:eastAsia="Calibri" w:hAnsi="Arial" w:cs="Arial"/>
          <w:sz w:val="24"/>
          <w:szCs w:val="24"/>
          <w:lang w:eastAsia="en-GB"/>
        </w:rPr>
        <w:t>’ sector.</w:t>
      </w:r>
      <w:r w:rsidRPr="00C92ECE">
        <w:rPr>
          <w:rFonts w:ascii="Arial" w:eastAsia="Calibri" w:hAnsi="Arial" w:cs="Arial"/>
          <w:sz w:val="24"/>
          <w:szCs w:val="24"/>
          <w:lang w:eastAsia="en-GB"/>
        </w:rPr>
        <w:t xml:space="preserve"> </w:t>
      </w:r>
      <w:r w:rsidR="00AE2CF5" w:rsidRPr="00C92ECE">
        <w:rPr>
          <w:rFonts w:ascii="Arial" w:eastAsia="Calibri" w:hAnsi="Arial" w:cs="Arial"/>
          <w:sz w:val="24"/>
          <w:szCs w:val="24"/>
          <w:lang w:eastAsia="en-GB"/>
        </w:rPr>
        <w:t>‘Other services’ include</w:t>
      </w:r>
      <w:r w:rsidR="00033C5B" w:rsidRPr="00C92ECE">
        <w:rPr>
          <w:rFonts w:ascii="Arial" w:eastAsia="Calibri" w:hAnsi="Arial" w:cs="Arial"/>
          <w:sz w:val="24"/>
          <w:szCs w:val="24"/>
          <w:lang w:eastAsia="en-GB"/>
        </w:rPr>
        <w:t>s</w:t>
      </w:r>
      <w:r w:rsidR="00AE2CF5" w:rsidRPr="00C92ECE">
        <w:rPr>
          <w:rFonts w:ascii="Arial" w:eastAsia="Calibri" w:hAnsi="Arial" w:cs="Arial"/>
          <w:sz w:val="24"/>
          <w:szCs w:val="24"/>
          <w:lang w:eastAsia="en-GB"/>
        </w:rPr>
        <w:t xml:space="preserve"> any services outside of the statutory, private and voluntary services and could include health, police, education, unpaid carers and volunteers.</w:t>
      </w:r>
      <w:r w:rsidR="008F46D3" w:rsidRPr="00C92ECE">
        <w:rPr>
          <w:rFonts w:ascii="Arial" w:eastAsia="Calibri" w:hAnsi="Arial" w:cs="Arial"/>
          <w:sz w:val="24"/>
          <w:szCs w:val="24"/>
          <w:lang w:eastAsia="en-GB"/>
        </w:rPr>
        <w:t xml:space="preserve"> </w:t>
      </w:r>
    </w:p>
    <w:p w14:paraId="6F5DB98A" w14:textId="77777777" w:rsidR="00783CA7" w:rsidRDefault="00783CA7" w:rsidP="00C92ECE">
      <w:pPr>
        <w:spacing w:after="0" w:line="276" w:lineRule="auto"/>
        <w:ind w:left="567"/>
        <w:contextualSpacing/>
        <w:rPr>
          <w:rFonts w:ascii="Arial" w:eastAsia="Calibri" w:hAnsi="Arial" w:cs="Arial"/>
          <w:sz w:val="24"/>
          <w:szCs w:val="24"/>
          <w:lang w:eastAsia="en-GB"/>
        </w:rPr>
      </w:pPr>
    </w:p>
    <w:p w14:paraId="4D138561" w14:textId="4E7182AB" w:rsidR="00783CA7" w:rsidRDefault="00783CA7" w:rsidP="00783CA7">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T</w:t>
      </w:r>
      <w:r w:rsidRPr="00783CA7">
        <w:rPr>
          <w:rFonts w:ascii="Arial" w:eastAsia="Calibri" w:hAnsi="Arial" w:cs="Arial"/>
          <w:sz w:val="24"/>
          <w:szCs w:val="24"/>
          <w:lang w:eastAsia="en-GB"/>
        </w:rPr>
        <w:t>here was a significant increase in the number of training places booked by the voluntary sector (+41.5</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xml:space="preserve">), </w:t>
      </w:r>
      <w:r w:rsidR="007358C7">
        <w:rPr>
          <w:rFonts w:ascii="Arial" w:eastAsia="Calibri" w:hAnsi="Arial" w:cs="Arial"/>
          <w:sz w:val="24"/>
          <w:szCs w:val="24"/>
          <w:lang w:eastAsia="en-GB"/>
        </w:rPr>
        <w:t xml:space="preserve">and </w:t>
      </w:r>
      <w:r w:rsidR="00C144C6">
        <w:rPr>
          <w:rFonts w:ascii="Arial" w:eastAsia="Calibri" w:hAnsi="Arial" w:cs="Arial"/>
          <w:sz w:val="24"/>
          <w:szCs w:val="24"/>
          <w:lang w:eastAsia="en-GB"/>
        </w:rPr>
        <w:t>a</w:t>
      </w:r>
      <w:r w:rsidRPr="00783CA7">
        <w:rPr>
          <w:rFonts w:ascii="Arial" w:eastAsia="Calibri" w:hAnsi="Arial" w:cs="Arial"/>
          <w:sz w:val="24"/>
          <w:szCs w:val="24"/>
          <w:lang w:eastAsia="en-GB"/>
        </w:rPr>
        <w:t xml:space="preserve"> steady growth in the private sector (+3.6</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Attendance also rose in both sectors, with an 8.9</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xml:space="preserve"> increase for the voluntary sector and an 11.9</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xml:space="preserve"> increase for the private sector,</w:t>
      </w:r>
      <w:r w:rsidR="00F9704C">
        <w:rPr>
          <w:rFonts w:ascii="Arial" w:eastAsia="Calibri" w:hAnsi="Arial" w:cs="Arial"/>
          <w:sz w:val="24"/>
          <w:szCs w:val="24"/>
          <w:lang w:eastAsia="en-GB"/>
        </w:rPr>
        <w:t xml:space="preserve"> showing more people taking part in</w:t>
      </w:r>
      <w:r w:rsidRPr="00783CA7">
        <w:rPr>
          <w:rFonts w:ascii="Arial" w:eastAsia="Calibri" w:hAnsi="Arial" w:cs="Arial"/>
          <w:sz w:val="24"/>
          <w:szCs w:val="24"/>
          <w:lang w:eastAsia="en-GB"/>
        </w:rPr>
        <w:t xml:space="preserve"> training opportunities.</w:t>
      </w:r>
    </w:p>
    <w:p w14:paraId="1355C272" w14:textId="77777777" w:rsidR="00783CA7" w:rsidRDefault="00783CA7" w:rsidP="00C92ECE">
      <w:pPr>
        <w:spacing w:after="0"/>
        <w:rPr>
          <w:rFonts w:ascii="Arial" w:eastAsia="Calibri" w:hAnsi="Arial" w:cs="Arial"/>
          <w:sz w:val="24"/>
          <w:szCs w:val="24"/>
          <w:lang w:eastAsia="en-GB"/>
        </w:rPr>
      </w:pPr>
    </w:p>
    <w:p w14:paraId="5A6C8A22" w14:textId="130395F8" w:rsidR="003D5735" w:rsidRPr="00B568F3" w:rsidRDefault="00187C69" w:rsidP="00632461">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Other </w:t>
      </w:r>
      <w:r w:rsidR="003D5735" w:rsidRPr="00B568F3">
        <w:rPr>
          <w:rFonts w:ascii="Arial" w:eastAsia="Calibri" w:hAnsi="Arial" w:cs="Arial"/>
          <w:sz w:val="24"/>
          <w:szCs w:val="24"/>
          <w:lang w:eastAsia="en-GB"/>
        </w:rPr>
        <w:t>services</w:t>
      </w:r>
      <w:r>
        <w:rPr>
          <w:rFonts w:ascii="Arial" w:eastAsia="Calibri" w:hAnsi="Arial" w:cs="Arial"/>
          <w:sz w:val="24"/>
          <w:szCs w:val="24"/>
          <w:lang w:eastAsia="en-GB"/>
        </w:rPr>
        <w:t xml:space="preserve"> experienced a decline in both </w:t>
      </w:r>
      <w:r w:rsidR="003D5735" w:rsidRPr="00B568F3">
        <w:rPr>
          <w:rFonts w:ascii="Arial" w:eastAsia="Calibri" w:hAnsi="Arial" w:cs="Arial"/>
          <w:sz w:val="24"/>
          <w:szCs w:val="24"/>
          <w:lang w:eastAsia="en-GB"/>
        </w:rPr>
        <w:t>the number of training places booked</w:t>
      </w:r>
      <w:r>
        <w:rPr>
          <w:rFonts w:ascii="Arial" w:eastAsia="Calibri" w:hAnsi="Arial" w:cs="Arial"/>
          <w:sz w:val="24"/>
          <w:szCs w:val="24"/>
          <w:lang w:eastAsia="en-GB"/>
        </w:rPr>
        <w:t xml:space="preserve"> (-15.8 per cent) and the </w:t>
      </w:r>
      <w:r w:rsidR="003D5735" w:rsidRPr="00B568F3">
        <w:rPr>
          <w:rFonts w:ascii="Arial" w:eastAsia="Calibri" w:hAnsi="Arial" w:cs="Arial"/>
          <w:sz w:val="24"/>
          <w:szCs w:val="24"/>
          <w:lang w:eastAsia="en-GB"/>
        </w:rPr>
        <w:t xml:space="preserve">number of people attending </w:t>
      </w:r>
      <w:r w:rsidR="008F1592" w:rsidRPr="00B568F3">
        <w:rPr>
          <w:rFonts w:ascii="Arial" w:eastAsia="Calibri" w:hAnsi="Arial" w:cs="Arial"/>
          <w:sz w:val="24"/>
          <w:szCs w:val="24"/>
          <w:lang w:eastAsia="en-GB"/>
        </w:rPr>
        <w:t>training</w:t>
      </w:r>
      <w:r>
        <w:rPr>
          <w:rFonts w:ascii="Arial" w:eastAsia="Calibri" w:hAnsi="Arial" w:cs="Arial"/>
          <w:sz w:val="24"/>
          <w:szCs w:val="24"/>
          <w:lang w:eastAsia="en-GB"/>
        </w:rPr>
        <w:t xml:space="preserve"> (-17.6 per cent) suggesting </w:t>
      </w:r>
      <w:r w:rsidR="0067693E">
        <w:rPr>
          <w:rFonts w:ascii="Arial" w:eastAsia="Calibri" w:hAnsi="Arial" w:cs="Arial"/>
          <w:sz w:val="24"/>
          <w:szCs w:val="24"/>
          <w:lang w:eastAsia="en-GB"/>
        </w:rPr>
        <w:t xml:space="preserve">potential barriers or shifts in training priorities that </w:t>
      </w:r>
      <w:r w:rsidR="003C1E7E">
        <w:rPr>
          <w:rFonts w:ascii="Arial" w:eastAsia="Calibri" w:hAnsi="Arial" w:cs="Arial"/>
          <w:sz w:val="24"/>
          <w:szCs w:val="24"/>
          <w:lang w:eastAsia="en-GB"/>
        </w:rPr>
        <w:t xml:space="preserve">need to be </w:t>
      </w:r>
      <w:proofErr w:type="gramStart"/>
      <w:r w:rsidR="003C1E7E">
        <w:rPr>
          <w:rFonts w:ascii="Arial" w:eastAsia="Calibri" w:hAnsi="Arial" w:cs="Arial"/>
          <w:sz w:val="24"/>
          <w:szCs w:val="24"/>
          <w:lang w:eastAsia="en-GB"/>
        </w:rPr>
        <w:t>looked into</w:t>
      </w:r>
      <w:proofErr w:type="gramEnd"/>
      <w:r w:rsidR="003C1E7E">
        <w:rPr>
          <w:rFonts w:ascii="Arial" w:eastAsia="Calibri" w:hAnsi="Arial" w:cs="Arial"/>
          <w:sz w:val="24"/>
          <w:szCs w:val="24"/>
          <w:lang w:eastAsia="en-GB"/>
        </w:rPr>
        <w:t xml:space="preserve"> to</w:t>
      </w:r>
      <w:r w:rsidR="0067693E">
        <w:rPr>
          <w:rFonts w:ascii="Arial" w:eastAsia="Calibri" w:hAnsi="Arial" w:cs="Arial"/>
          <w:sz w:val="24"/>
          <w:szCs w:val="24"/>
          <w:lang w:eastAsia="en-GB"/>
        </w:rPr>
        <w:t xml:space="preserve"> understand </w:t>
      </w:r>
      <w:r w:rsidR="00D82063">
        <w:rPr>
          <w:rFonts w:ascii="Arial" w:eastAsia="Calibri" w:hAnsi="Arial" w:cs="Arial"/>
          <w:sz w:val="24"/>
          <w:szCs w:val="24"/>
          <w:lang w:eastAsia="en-GB"/>
        </w:rPr>
        <w:t>why</w:t>
      </w:r>
      <w:r w:rsidR="00524B6B">
        <w:rPr>
          <w:rFonts w:ascii="Arial" w:eastAsia="Calibri" w:hAnsi="Arial" w:cs="Arial"/>
          <w:sz w:val="24"/>
          <w:szCs w:val="24"/>
          <w:lang w:eastAsia="en-GB"/>
        </w:rPr>
        <w:t>.</w:t>
      </w:r>
    </w:p>
    <w:p w14:paraId="39329891" w14:textId="77777777" w:rsidR="00E013F4" w:rsidRPr="00B568F3" w:rsidRDefault="00E013F4" w:rsidP="00E013F4">
      <w:pPr>
        <w:spacing w:after="200" w:line="276" w:lineRule="auto"/>
        <w:ind w:left="709"/>
        <w:contextualSpacing/>
        <w:rPr>
          <w:rFonts w:ascii="Arial" w:eastAsia="Calibri" w:hAnsi="Arial" w:cs="Arial"/>
          <w:sz w:val="24"/>
          <w:szCs w:val="24"/>
          <w:lang w:eastAsia="en-GB"/>
        </w:rPr>
      </w:pPr>
    </w:p>
    <w:p w14:paraId="5B1E434A" w14:textId="7256B180" w:rsidR="00E013F4" w:rsidRPr="00B568F3" w:rsidRDefault="00E013F4" w:rsidP="00E013F4">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w:t>
      </w:r>
      <w:r w:rsidR="00187732" w:rsidRPr="00B568F3">
        <w:rPr>
          <w:rFonts w:ascii="Arial" w:eastAsia="Calibri" w:hAnsi="Arial" w:cs="Arial"/>
          <w:b/>
          <w:bCs/>
          <w:sz w:val="24"/>
          <w:szCs w:val="24"/>
          <w:lang w:eastAsia="en-GB"/>
        </w:rPr>
        <w:t>6</w:t>
      </w:r>
      <w:r w:rsidRPr="00B568F3">
        <w:rPr>
          <w:rFonts w:ascii="Arial" w:eastAsia="Calibri" w:hAnsi="Arial" w:cs="Arial"/>
          <w:b/>
          <w:bCs/>
          <w:sz w:val="24"/>
          <w:szCs w:val="24"/>
          <w:lang w:eastAsia="en-GB"/>
        </w:rPr>
        <w:t xml:space="preserve">: Training places </w:t>
      </w:r>
      <w:r w:rsidR="008F1592" w:rsidRPr="00B568F3">
        <w:rPr>
          <w:rFonts w:ascii="Arial" w:eastAsia="Calibri" w:hAnsi="Arial" w:cs="Arial"/>
          <w:b/>
          <w:bCs/>
          <w:sz w:val="24"/>
          <w:szCs w:val="24"/>
          <w:lang w:eastAsia="en-GB"/>
        </w:rPr>
        <w:t>and</w:t>
      </w:r>
      <w:r w:rsidRPr="00B568F3">
        <w:rPr>
          <w:rFonts w:ascii="Arial" w:eastAsia="Calibri" w:hAnsi="Arial" w:cs="Arial"/>
          <w:b/>
          <w:bCs/>
          <w:sz w:val="24"/>
          <w:szCs w:val="24"/>
          <w:lang w:eastAsia="en-GB"/>
        </w:rPr>
        <w:t xml:space="preserve"> attendance levels, </w:t>
      </w:r>
      <w:r w:rsidR="009859B1" w:rsidRPr="00B568F3">
        <w:rPr>
          <w:rFonts w:ascii="Arial" w:eastAsia="Calibri" w:hAnsi="Arial" w:cs="Arial"/>
          <w:b/>
          <w:bCs/>
          <w:sz w:val="24"/>
          <w:szCs w:val="24"/>
          <w:lang w:eastAsia="en-GB"/>
        </w:rPr>
        <w:t>202</w:t>
      </w:r>
      <w:r w:rsidR="009859B1">
        <w:rPr>
          <w:rFonts w:ascii="Arial" w:eastAsia="Calibri" w:hAnsi="Arial" w:cs="Arial"/>
          <w:b/>
          <w:bCs/>
          <w:sz w:val="24"/>
          <w:szCs w:val="24"/>
          <w:lang w:eastAsia="en-GB"/>
        </w:rPr>
        <w:t>4</w:t>
      </w:r>
      <w:r w:rsidR="009859B1" w:rsidRPr="00B568F3">
        <w:rPr>
          <w:rFonts w:ascii="Arial" w:eastAsia="Calibri" w:hAnsi="Arial" w:cs="Arial"/>
          <w:b/>
          <w:bCs/>
          <w:sz w:val="24"/>
          <w:szCs w:val="24"/>
          <w:lang w:eastAsia="en-GB"/>
        </w:rPr>
        <w:t xml:space="preserve"> </w:t>
      </w:r>
      <w:r w:rsidR="008F1592" w:rsidRPr="00B568F3">
        <w:rPr>
          <w:rFonts w:ascii="Arial" w:eastAsia="Calibri" w:hAnsi="Arial" w:cs="Arial"/>
          <w:b/>
          <w:bCs/>
          <w:sz w:val="24"/>
          <w:szCs w:val="24"/>
          <w:lang w:eastAsia="en-GB"/>
        </w:rPr>
        <w:t xml:space="preserve">to </w:t>
      </w:r>
      <w:r w:rsidR="009859B1" w:rsidRPr="00B568F3">
        <w:rPr>
          <w:rFonts w:ascii="Arial" w:eastAsia="Calibri" w:hAnsi="Arial" w:cs="Arial"/>
          <w:b/>
          <w:bCs/>
          <w:sz w:val="24"/>
          <w:szCs w:val="24"/>
          <w:lang w:eastAsia="en-GB"/>
        </w:rPr>
        <w:t>202</w:t>
      </w:r>
      <w:r w:rsidR="009859B1">
        <w:rPr>
          <w:rFonts w:ascii="Arial" w:eastAsia="Calibri" w:hAnsi="Arial" w:cs="Arial"/>
          <w:b/>
          <w:bCs/>
          <w:sz w:val="24"/>
          <w:szCs w:val="24"/>
          <w:lang w:eastAsia="en-GB"/>
        </w:rPr>
        <w:t>5</w:t>
      </w:r>
    </w:p>
    <w:p w14:paraId="63DBE607" w14:textId="77777777" w:rsidR="00E013F4" w:rsidRPr="00B568F3" w:rsidRDefault="00E013F4" w:rsidP="00E013F4">
      <w:pPr>
        <w:spacing w:after="0" w:line="276" w:lineRule="auto"/>
        <w:contextualSpacing/>
        <w:rPr>
          <w:rFonts w:ascii="Arial" w:eastAsia="Calibri" w:hAnsi="Arial" w:cs="Arial"/>
          <w:sz w:val="24"/>
          <w:szCs w:val="24"/>
          <w:lang w:eastAsia="en-GB"/>
        </w:rPr>
      </w:pP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730"/>
        <w:gridCol w:w="1841"/>
        <w:gridCol w:w="1581"/>
        <w:gridCol w:w="1821"/>
      </w:tblGrid>
      <w:tr w:rsidR="00E013F4" w:rsidRPr="00B568F3" w14:paraId="0D3CEAA9" w14:textId="77777777" w:rsidTr="00C827EE">
        <w:trPr>
          <w:jc w:val="center"/>
        </w:trPr>
        <w:tc>
          <w:tcPr>
            <w:tcW w:w="1816" w:type="dxa"/>
            <w:tcBorders>
              <w:right w:val="single" w:sz="4" w:space="0" w:color="auto"/>
            </w:tcBorders>
          </w:tcPr>
          <w:p w14:paraId="06147DAD" w14:textId="77777777" w:rsidR="00E013F4" w:rsidRPr="000C06A7" w:rsidRDefault="00E013F4" w:rsidP="00FC716F">
            <w:pPr>
              <w:spacing w:after="200" w:line="276" w:lineRule="auto"/>
              <w:contextualSpacing/>
              <w:rPr>
                <w:rFonts w:ascii="Arial" w:eastAsia="Calibri" w:hAnsi="Arial" w:cs="Arial"/>
                <w:sz w:val="24"/>
                <w:szCs w:val="24"/>
                <w:lang w:eastAsia="en-GB"/>
              </w:rPr>
            </w:pPr>
          </w:p>
        </w:tc>
        <w:tc>
          <w:tcPr>
            <w:tcW w:w="3571" w:type="dxa"/>
            <w:gridSpan w:val="2"/>
            <w:tcBorders>
              <w:top w:val="single" w:sz="4" w:space="0" w:color="auto"/>
              <w:left w:val="single" w:sz="4" w:space="0" w:color="auto"/>
              <w:bottom w:val="single" w:sz="4" w:space="0" w:color="auto"/>
              <w:right w:val="single" w:sz="4" w:space="0" w:color="auto"/>
            </w:tcBorders>
          </w:tcPr>
          <w:p w14:paraId="5B26153C" w14:textId="77777777"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eastAsia="Calibri" w:hAnsi="Arial" w:cs="Arial"/>
                <w:b/>
                <w:bCs/>
                <w:sz w:val="24"/>
                <w:szCs w:val="24"/>
                <w:lang w:eastAsia="en-GB"/>
              </w:rPr>
              <w:t>Training places booked</w:t>
            </w:r>
          </w:p>
        </w:tc>
        <w:tc>
          <w:tcPr>
            <w:tcW w:w="3402" w:type="dxa"/>
            <w:gridSpan w:val="2"/>
            <w:tcBorders>
              <w:top w:val="single" w:sz="4" w:space="0" w:color="auto"/>
              <w:left w:val="single" w:sz="4" w:space="0" w:color="auto"/>
              <w:bottom w:val="single" w:sz="4" w:space="0" w:color="auto"/>
              <w:right w:val="single" w:sz="4" w:space="0" w:color="auto"/>
            </w:tcBorders>
          </w:tcPr>
          <w:p w14:paraId="5F099243" w14:textId="77777777"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eastAsia="Calibri" w:hAnsi="Arial" w:cs="Arial"/>
                <w:b/>
                <w:bCs/>
                <w:sz w:val="24"/>
                <w:szCs w:val="24"/>
                <w:lang w:eastAsia="en-GB"/>
              </w:rPr>
              <w:t>People attending</w:t>
            </w:r>
          </w:p>
        </w:tc>
      </w:tr>
      <w:tr w:rsidR="00E013F4" w:rsidRPr="00B568F3" w14:paraId="4BFB03E2" w14:textId="77777777" w:rsidTr="00C827EE">
        <w:trPr>
          <w:jc w:val="center"/>
        </w:trPr>
        <w:tc>
          <w:tcPr>
            <w:tcW w:w="1816" w:type="dxa"/>
            <w:tcBorders>
              <w:bottom w:val="single" w:sz="4" w:space="0" w:color="auto"/>
              <w:right w:val="single" w:sz="4" w:space="0" w:color="auto"/>
            </w:tcBorders>
          </w:tcPr>
          <w:p w14:paraId="75031275" w14:textId="77777777" w:rsidR="00E013F4" w:rsidRPr="000C06A7" w:rsidRDefault="00E013F4" w:rsidP="00FC716F">
            <w:pPr>
              <w:spacing w:after="200" w:line="276" w:lineRule="auto"/>
              <w:contextualSpacing/>
              <w:rPr>
                <w:rFonts w:ascii="Arial" w:eastAsia="Calibri" w:hAnsi="Arial" w:cs="Arial"/>
                <w:sz w:val="24"/>
                <w:szCs w:val="24"/>
                <w:lang w:eastAsia="en-GB"/>
              </w:rPr>
            </w:pPr>
          </w:p>
        </w:tc>
        <w:tc>
          <w:tcPr>
            <w:tcW w:w="1730" w:type="dxa"/>
            <w:tcBorders>
              <w:top w:val="single" w:sz="4" w:space="0" w:color="auto"/>
              <w:left w:val="single" w:sz="4" w:space="0" w:color="auto"/>
              <w:bottom w:val="single" w:sz="4" w:space="0" w:color="auto"/>
            </w:tcBorders>
          </w:tcPr>
          <w:p w14:paraId="11E81422" w14:textId="77777777"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eastAsia="Calibri" w:hAnsi="Arial" w:cs="Arial"/>
                <w:b/>
                <w:bCs/>
                <w:sz w:val="24"/>
                <w:szCs w:val="24"/>
                <w:lang w:eastAsia="en-GB"/>
              </w:rPr>
              <w:t>Number</w:t>
            </w:r>
          </w:p>
        </w:tc>
        <w:tc>
          <w:tcPr>
            <w:tcW w:w="1841" w:type="dxa"/>
            <w:tcBorders>
              <w:top w:val="single" w:sz="4" w:space="0" w:color="auto"/>
              <w:bottom w:val="single" w:sz="4" w:space="0" w:color="auto"/>
              <w:right w:val="single" w:sz="4" w:space="0" w:color="auto"/>
            </w:tcBorders>
          </w:tcPr>
          <w:p w14:paraId="0F59191F" w14:textId="0F5D76F8"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eastAsia="Calibri" w:hAnsi="Arial" w:cs="Arial"/>
                <w:b/>
                <w:bCs/>
                <w:sz w:val="24"/>
                <w:szCs w:val="24"/>
                <w:lang w:eastAsia="en-GB"/>
              </w:rPr>
              <w:t>% change</w:t>
            </w:r>
            <w:r w:rsidR="00C827EE" w:rsidRPr="000C06A7">
              <w:rPr>
                <w:rFonts w:ascii="Arial" w:eastAsia="Calibri" w:hAnsi="Arial" w:cs="Arial"/>
                <w:b/>
                <w:bCs/>
                <w:sz w:val="24"/>
                <w:szCs w:val="24"/>
                <w:lang w:eastAsia="en-GB"/>
              </w:rPr>
              <w:t xml:space="preserve"> to previous year</w:t>
            </w:r>
          </w:p>
        </w:tc>
        <w:tc>
          <w:tcPr>
            <w:tcW w:w="1581" w:type="dxa"/>
            <w:tcBorders>
              <w:top w:val="single" w:sz="4" w:space="0" w:color="auto"/>
              <w:left w:val="single" w:sz="4" w:space="0" w:color="auto"/>
              <w:bottom w:val="single" w:sz="4" w:space="0" w:color="auto"/>
            </w:tcBorders>
          </w:tcPr>
          <w:p w14:paraId="682579A6" w14:textId="77777777"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eastAsia="Calibri" w:hAnsi="Arial" w:cs="Arial"/>
                <w:b/>
                <w:bCs/>
                <w:sz w:val="24"/>
                <w:szCs w:val="24"/>
                <w:lang w:eastAsia="en-GB"/>
              </w:rPr>
              <w:t>Number</w:t>
            </w:r>
          </w:p>
        </w:tc>
        <w:tc>
          <w:tcPr>
            <w:tcW w:w="1821" w:type="dxa"/>
            <w:tcBorders>
              <w:top w:val="single" w:sz="4" w:space="0" w:color="auto"/>
              <w:bottom w:val="single" w:sz="4" w:space="0" w:color="auto"/>
              <w:right w:val="single" w:sz="4" w:space="0" w:color="auto"/>
            </w:tcBorders>
          </w:tcPr>
          <w:p w14:paraId="00B8C8C6" w14:textId="67361F8A"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eastAsia="Calibri" w:hAnsi="Arial" w:cs="Arial"/>
                <w:b/>
                <w:bCs/>
                <w:sz w:val="24"/>
                <w:szCs w:val="24"/>
                <w:lang w:eastAsia="en-GB"/>
              </w:rPr>
              <w:t>% change</w:t>
            </w:r>
            <w:r w:rsidR="00C827EE" w:rsidRPr="000C06A7">
              <w:rPr>
                <w:rFonts w:ascii="Arial" w:eastAsia="Calibri" w:hAnsi="Arial" w:cs="Arial"/>
                <w:b/>
                <w:bCs/>
                <w:sz w:val="24"/>
                <w:szCs w:val="24"/>
                <w:lang w:eastAsia="en-GB"/>
              </w:rPr>
              <w:t xml:space="preserve"> to previous year</w:t>
            </w:r>
          </w:p>
        </w:tc>
      </w:tr>
      <w:tr w:rsidR="00E013F4" w:rsidRPr="00B568F3" w14:paraId="270101CE" w14:textId="77777777" w:rsidTr="00C827EE">
        <w:trPr>
          <w:jc w:val="center"/>
        </w:trPr>
        <w:tc>
          <w:tcPr>
            <w:tcW w:w="1816" w:type="dxa"/>
            <w:tcBorders>
              <w:top w:val="single" w:sz="4" w:space="0" w:color="auto"/>
              <w:left w:val="single" w:sz="4" w:space="0" w:color="auto"/>
              <w:right w:val="single" w:sz="4" w:space="0" w:color="auto"/>
            </w:tcBorders>
          </w:tcPr>
          <w:p w14:paraId="77D0D888" w14:textId="77777777" w:rsidR="00E013F4" w:rsidRPr="000C06A7" w:rsidRDefault="00E013F4" w:rsidP="00FC716F">
            <w:pPr>
              <w:spacing w:after="200" w:line="276" w:lineRule="auto"/>
              <w:contextualSpacing/>
              <w:rPr>
                <w:rFonts w:ascii="Arial" w:eastAsia="Calibri" w:hAnsi="Arial" w:cs="Arial"/>
                <w:sz w:val="24"/>
                <w:szCs w:val="24"/>
                <w:lang w:eastAsia="en-GB"/>
              </w:rPr>
            </w:pPr>
            <w:r w:rsidRPr="000C06A7">
              <w:rPr>
                <w:rFonts w:ascii="Arial" w:eastAsia="Calibri" w:hAnsi="Arial" w:cs="Arial"/>
                <w:sz w:val="24"/>
                <w:szCs w:val="24"/>
                <w:lang w:eastAsia="en-GB"/>
              </w:rPr>
              <w:t>Statutory</w:t>
            </w:r>
          </w:p>
        </w:tc>
        <w:tc>
          <w:tcPr>
            <w:tcW w:w="1730" w:type="dxa"/>
            <w:tcBorders>
              <w:top w:val="single" w:sz="4" w:space="0" w:color="auto"/>
              <w:left w:val="single" w:sz="4" w:space="0" w:color="auto"/>
            </w:tcBorders>
            <w:vAlign w:val="center"/>
          </w:tcPr>
          <w:p w14:paraId="220FC023" w14:textId="6F8A2C79" w:rsidR="00E013F4" w:rsidRPr="000C06A7" w:rsidRDefault="00E013F4" w:rsidP="00FC716F">
            <w:pPr>
              <w:spacing w:after="200" w:line="276" w:lineRule="auto"/>
              <w:contextualSpacing/>
              <w:jc w:val="center"/>
              <w:rPr>
                <w:rFonts w:ascii="Arial" w:eastAsia="Calibri" w:hAnsi="Arial" w:cs="Arial"/>
                <w:sz w:val="24"/>
                <w:szCs w:val="24"/>
                <w:lang w:eastAsia="en-GB"/>
              </w:rPr>
            </w:pPr>
            <w:r w:rsidRPr="000C06A7">
              <w:rPr>
                <w:rFonts w:ascii="Arial" w:hAnsi="Arial" w:cs="Arial"/>
                <w:sz w:val="24"/>
                <w:szCs w:val="24"/>
              </w:rPr>
              <w:t>102,</w:t>
            </w:r>
            <w:r w:rsidR="004A4467">
              <w:rPr>
                <w:rFonts w:ascii="Arial" w:hAnsi="Arial" w:cs="Arial"/>
                <w:sz w:val="24"/>
                <w:szCs w:val="24"/>
              </w:rPr>
              <w:t>164</w:t>
            </w:r>
          </w:p>
        </w:tc>
        <w:tc>
          <w:tcPr>
            <w:tcW w:w="1841" w:type="dxa"/>
            <w:tcBorders>
              <w:top w:val="single" w:sz="4" w:space="0" w:color="auto"/>
              <w:right w:val="single" w:sz="4" w:space="0" w:color="auto"/>
            </w:tcBorders>
            <w:vAlign w:val="center"/>
          </w:tcPr>
          <w:p w14:paraId="514AB364" w14:textId="48D72F7D" w:rsidR="00E013F4" w:rsidRPr="000C06A7" w:rsidRDefault="00E013F4" w:rsidP="00FC716F">
            <w:pPr>
              <w:spacing w:after="200" w:line="276" w:lineRule="auto"/>
              <w:contextualSpacing/>
              <w:jc w:val="center"/>
              <w:rPr>
                <w:rFonts w:ascii="Arial" w:eastAsia="Calibri" w:hAnsi="Arial" w:cs="Arial"/>
                <w:sz w:val="24"/>
                <w:szCs w:val="24"/>
                <w:lang w:eastAsia="en-GB"/>
              </w:rPr>
            </w:pPr>
            <w:r w:rsidRPr="000C06A7">
              <w:rPr>
                <w:rFonts w:ascii="Arial" w:hAnsi="Arial" w:cs="Arial"/>
                <w:sz w:val="24"/>
                <w:szCs w:val="24"/>
              </w:rPr>
              <w:t>-</w:t>
            </w:r>
            <w:r w:rsidR="00CE3629">
              <w:rPr>
                <w:rFonts w:ascii="Arial" w:hAnsi="Arial" w:cs="Arial"/>
                <w:sz w:val="24"/>
                <w:szCs w:val="24"/>
              </w:rPr>
              <w:t>0.7</w:t>
            </w:r>
            <w:r w:rsidRPr="000C06A7">
              <w:rPr>
                <w:rFonts w:ascii="Arial" w:hAnsi="Arial" w:cs="Arial"/>
                <w:sz w:val="24"/>
                <w:szCs w:val="24"/>
              </w:rPr>
              <w:t>%</w:t>
            </w:r>
          </w:p>
        </w:tc>
        <w:tc>
          <w:tcPr>
            <w:tcW w:w="1581" w:type="dxa"/>
            <w:tcBorders>
              <w:top w:val="single" w:sz="4" w:space="0" w:color="auto"/>
              <w:left w:val="single" w:sz="4" w:space="0" w:color="auto"/>
            </w:tcBorders>
            <w:vAlign w:val="center"/>
          </w:tcPr>
          <w:p w14:paraId="39D0D167" w14:textId="1859DB65"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90,633</w:t>
            </w:r>
          </w:p>
        </w:tc>
        <w:tc>
          <w:tcPr>
            <w:tcW w:w="1821" w:type="dxa"/>
            <w:tcBorders>
              <w:top w:val="single" w:sz="4" w:space="0" w:color="auto"/>
              <w:right w:val="single" w:sz="4" w:space="0" w:color="auto"/>
            </w:tcBorders>
            <w:vAlign w:val="center"/>
          </w:tcPr>
          <w:p w14:paraId="1AFE409A" w14:textId="4FDCD3E9" w:rsidR="00E013F4" w:rsidRPr="000C06A7" w:rsidRDefault="00B07B3C"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+4.2</w:t>
            </w:r>
            <w:r w:rsidR="00E013F4" w:rsidRPr="000C06A7">
              <w:rPr>
                <w:rFonts w:ascii="Arial" w:hAnsi="Arial" w:cs="Arial"/>
                <w:sz w:val="24"/>
                <w:szCs w:val="24"/>
              </w:rPr>
              <w:t>%</w:t>
            </w:r>
          </w:p>
        </w:tc>
      </w:tr>
      <w:tr w:rsidR="00E013F4" w:rsidRPr="00B568F3" w14:paraId="3394D69D" w14:textId="77777777" w:rsidTr="00C827EE">
        <w:trPr>
          <w:jc w:val="center"/>
        </w:trPr>
        <w:tc>
          <w:tcPr>
            <w:tcW w:w="1816" w:type="dxa"/>
            <w:tcBorders>
              <w:left w:val="single" w:sz="4" w:space="0" w:color="auto"/>
              <w:right w:val="single" w:sz="4" w:space="0" w:color="auto"/>
            </w:tcBorders>
          </w:tcPr>
          <w:p w14:paraId="6CAEF59A" w14:textId="77777777" w:rsidR="00E013F4" w:rsidRPr="000C06A7" w:rsidRDefault="00E013F4" w:rsidP="00FC716F">
            <w:pPr>
              <w:spacing w:after="200" w:line="276" w:lineRule="auto"/>
              <w:contextualSpacing/>
              <w:rPr>
                <w:rFonts w:ascii="Arial" w:eastAsia="Calibri" w:hAnsi="Arial" w:cs="Arial"/>
                <w:sz w:val="24"/>
                <w:szCs w:val="24"/>
                <w:lang w:eastAsia="en-GB"/>
              </w:rPr>
            </w:pPr>
            <w:r w:rsidRPr="000C06A7">
              <w:rPr>
                <w:rFonts w:ascii="Arial" w:eastAsia="Calibri" w:hAnsi="Arial" w:cs="Arial"/>
                <w:sz w:val="24"/>
                <w:szCs w:val="24"/>
                <w:lang w:eastAsia="en-GB"/>
              </w:rPr>
              <w:t>Voluntary</w:t>
            </w:r>
          </w:p>
        </w:tc>
        <w:tc>
          <w:tcPr>
            <w:tcW w:w="1730" w:type="dxa"/>
            <w:tcBorders>
              <w:left w:val="single" w:sz="4" w:space="0" w:color="auto"/>
            </w:tcBorders>
            <w:vAlign w:val="center"/>
          </w:tcPr>
          <w:p w14:paraId="0F1116E0" w14:textId="351DCA80" w:rsidR="00E013F4" w:rsidRPr="000C06A7" w:rsidRDefault="004A4467"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3,552</w:t>
            </w:r>
          </w:p>
        </w:tc>
        <w:tc>
          <w:tcPr>
            <w:tcW w:w="1841" w:type="dxa"/>
            <w:tcBorders>
              <w:right w:val="single" w:sz="4" w:space="0" w:color="auto"/>
            </w:tcBorders>
            <w:vAlign w:val="center"/>
          </w:tcPr>
          <w:p w14:paraId="1DA741A8" w14:textId="11FCC18E"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+41.5</w:t>
            </w:r>
            <w:r w:rsidR="00E013F4" w:rsidRPr="000C06A7">
              <w:rPr>
                <w:rFonts w:ascii="Arial" w:hAnsi="Arial" w:cs="Arial"/>
                <w:sz w:val="24"/>
                <w:szCs w:val="24"/>
              </w:rPr>
              <w:t>%</w:t>
            </w:r>
          </w:p>
        </w:tc>
        <w:tc>
          <w:tcPr>
            <w:tcW w:w="1581" w:type="dxa"/>
            <w:tcBorders>
              <w:left w:val="single" w:sz="4" w:space="0" w:color="auto"/>
            </w:tcBorders>
            <w:vAlign w:val="center"/>
          </w:tcPr>
          <w:p w14:paraId="348E78F0" w14:textId="6E7B1D57"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2,206</w:t>
            </w:r>
          </w:p>
        </w:tc>
        <w:tc>
          <w:tcPr>
            <w:tcW w:w="1821" w:type="dxa"/>
            <w:tcBorders>
              <w:right w:val="single" w:sz="4" w:space="0" w:color="auto"/>
            </w:tcBorders>
            <w:vAlign w:val="center"/>
          </w:tcPr>
          <w:p w14:paraId="58C25DC9" w14:textId="3BB46CF5" w:rsidR="00E013F4" w:rsidRPr="000C06A7" w:rsidRDefault="00B07B3C"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+8.9</w:t>
            </w:r>
            <w:r w:rsidR="00E013F4" w:rsidRPr="000C06A7">
              <w:rPr>
                <w:rFonts w:ascii="Arial" w:hAnsi="Arial" w:cs="Arial"/>
                <w:sz w:val="24"/>
                <w:szCs w:val="24"/>
              </w:rPr>
              <w:t>%</w:t>
            </w:r>
          </w:p>
        </w:tc>
      </w:tr>
      <w:tr w:rsidR="00E013F4" w:rsidRPr="00B568F3" w14:paraId="4E3541EB" w14:textId="77777777" w:rsidTr="00C827EE">
        <w:trPr>
          <w:jc w:val="center"/>
        </w:trPr>
        <w:tc>
          <w:tcPr>
            <w:tcW w:w="1816" w:type="dxa"/>
            <w:tcBorders>
              <w:left w:val="single" w:sz="4" w:space="0" w:color="auto"/>
              <w:right w:val="single" w:sz="4" w:space="0" w:color="auto"/>
            </w:tcBorders>
          </w:tcPr>
          <w:p w14:paraId="6FFA22C5" w14:textId="77777777" w:rsidR="00E013F4" w:rsidRPr="000C06A7" w:rsidRDefault="00E013F4" w:rsidP="00FC716F">
            <w:pPr>
              <w:spacing w:after="200" w:line="276" w:lineRule="auto"/>
              <w:contextualSpacing/>
              <w:rPr>
                <w:rFonts w:ascii="Arial" w:eastAsia="Calibri" w:hAnsi="Arial" w:cs="Arial"/>
                <w:sz w:val="24"/>
                <w:szCs w:val="24"/>
                <w:lang w:eastAsia="en-GB"/>
              </w:rPr>
            </w:pPr>
            <w:r w:rsidRPr="000C06A7">
              <w:rPr>
                <w:rFonts w:ascii="Arial" w:eastAsia="Calibri" w:hAnsi="Arial" w:cs="Arial"/>
                <w:sz w:val="24"/>
                <w:szCs w:val="24"/>
                <w:lang w:eastAsia="en-GB"/>
              </w:rPr>
              <w:t>Private</w:t>
            </w:r>
          </w:p>
        </w:tc>
        <w:tc>
          <w:tcPr>
            <w:tcW w:w="1730" w:type="dxa"/>
            <w:tcBorders>
              <w:left w:val="single" w:sz="4" w:space="0" w:color="auto"/>
            </w:tcBorders>
            <w:vAlign w:val="center"/>
          </w:tcPr>
          <w:p w14:paraId="6A14C252" w14:textId="0D8C0395" w:rsidR="00E013F4" w:rsidRPr="000C06A7" w:rsidRDefault="004A4467"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20,109</w:t>
            </w:r>
          </w:p>
        </w:tc>
        <w:tc>
          <w:tcPr>
            <w:tcW w:w="1841" w:type="dxa"/>
            <w:tcBorders>
              <w:right w:val="single" w:sz="4" w:space="0" w:color="auto"/>
            </w:tcBorders>
            <w:vAlign w:val="center"/>
          </w:tcPr>
          <w:p w14:paraId="396FAD37" w14:textId="10DB35C3"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+3.6</w:t>
            </w:r>
            <w:r w:rsidR="00E013F4" w:rsidRPr="000C06A7">
              <w:rPr>
                <w:rFonts w:ascii="Arial" w:hAnsi="Arial" w:cs="Arial"/>
                <w:sz w:val="24"/>
                <w:szCs w:val="24"/>
              </w:rPr>
              <w:t>%</w:t>
            </w:r>
          </w:p>
        </w:tc>
        <w:tc>
          <w:tcPr>
            <w:tcW w:w="1581" w:type="dxa"/>
            <w:tcBorders>
              <w:left w:val="single" w:sz="4" w:space="0" w:color="auto"/>
            </w:tcBorders>
            <w:vAlign w:val="center"/>
          </w:tcPr>
          <w:p w14:paraId="0C54E044" w14:textId="56E98D88"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15,899</w:t>
            </w:r>
          </w:p>
        </w:tc>
        <w:tc>
          <w:tcPr>
            <w:tcW w:w="1821" w:type="dxa"/>
            <w:tcBorders>
              <w:right w:val="single" w:sz="4" w:space="0" w:color="auto"/>
            </w:tcBorders>
            <w:vAlign w:val="center"/>
          </w:tcPr>
          <w:p w14:paraId="2F2C368B" w14:textId="51E0F709" w:rsidR="00E013F4" w:rsidRPr="000C06A7" w:rsidRDefault="00B07B3C"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+11.9</w:t>
            </w:r>
            <w:r w:rsidR="00E013F4" w:rsidRPr="000C06A7">
              <w:rPr>
                <w:rFonts w:ascii="Arial" w:hAnsi="Arial" w:cs="Arial"/>
                <w:sz w:val="24"/>
                <w:szCs w:val="24"/>
              </w:rPr>
              <w:t>%</w:t>
            </w:r>
          </w:p>
        </w:tc>
      </w:tr>
      <w:tr w:rsidR="00E013F4" w:rsidRPr="00B568F3" w14:paraId="000FA796" w14:textId="77777777" w:rsidTr="00C827EE">
        <w:trPr>
          <w:jc w:val="center"/>
        </w:trPr>
        <w:tc>
          <w:tcPr>
            <w:tcW w:w="1816" w:type="dxa"/>
            <w:tcBorders>
              <w:left w:val="single" w:sz="4" w:space="0" w:color="auto"/>
              <w:bottom w:val="single" w:sz="4" w:space="0" w:color="auto"/>
              <w:right w:val="single" w:sz="4" w:space="0" w:color="auto"/>
            </w:tcBorders>
          </w:tcPr>
          <w:p w14:paraId="6C2EC2E3" w14:textId="77777777" w:rsidR="00E013F4" w:rsidRPr="000C06A7" w:rsidRDefault="00E013F4" w:rsidP="00FC716F">
            <w:pPr>
              <w:spacing w:after="200" w:line="276" w:lineRule="auto"/>
              <w:contextualSpacing/>
              <w:rPr>
                <w:rFonts w:ascii="Arial" w:eastAsia="Calibri" w:hAnsi="Arial" w:cs="Arial"/>
                <w:sz w:val="24"/>
                <w:szCs w:val="24"/>
                <w:lang w:eastAsia="en-GB"/>
              </w:rPr>
            </w:pPr>
            <w:r w:rsidRPr="000C06A7">
              <w:rPr>
                <w:rFonts w:ascii="Arial" w:eastAsia="Calibri" w:hAnsi="Arial" w:cs="Arial"/>
                <w:sz w:val="24"/>
                <w:szCs w:val="24"/>
                <w:lang w:eastAsia="en-GB"/>
              </w:rPr>
              <w:t>Other</w:t>
            </w:r>
          </w:p>
        </w:tc>
        <w:tc>
          <w:tcPr>
            <w:tcW w:w="1730" w:type="dxa"/>
            <w:tcBorders>
              <w:left w:val="single" w:sz="4" w:space="0" w:color="auto"/>
              <w:bottom w:val="single" w:sz="4" w:space="0" w:color="auto"/>
            </w:tcBorders>
            <w:vAlign w:val="center"/>
          </w:tcPr>
          <w:p w14:paraId="58F77B98" w14:textId="1802D62B" w:rsidR="00E013F4" w:rsidRPr="000C06A7" w:rsidRDefault="004A4467"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19,416</w:t>
            </w:r>
          </w:p>
        </w:tc>
        <w:tc>
          <w:tcPr>
            <w:tcW w:w="1841" w:type="dxa"/>
            <w:tcBorders>
              <w:bottom w:val="single" w:sz="4" w:space="0" w:color="auto"/>
              <w:right w:val="single" w:sz="4" w:space="0" w:color="auto"/>
            </w:tcBorders>
            <w:vAlign w:val="center"/>
          </w:tcPr>
          <w:p w14:paraId="294D5D3F" w14:textId="54C9C123"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-15.8</w:t>
            </w:r>
            <w:r w:rsidR="00E013F4" w:rsidRPr="000C06A7">
              <w:rPr>
                <w:rFonts w:ascii="Arial" w:hAnsi="Arial" w:cs="Arial"/>
                <w:sz w:val="24"/>
                <w:szCs w:val="24"/>
              </w:rPr>
              <w:t>%</w:t>
            </w:r>
          </w:p>
        </w:tc>
        <w:tc>
          <w:tcPr>
            <w:tcW w:w="1581" w:type="dxa"/>
            <w:tcBorders>
              <w:left w:val="single" w:sz="4" w:space="0" w:color="auto"/>
              <w:bottom w:val="single" w:sz="4" w:space="0" w:color="auto"/>
            </w:tcBorders>
            <w:vAlign w:val="center"/>
          </w:tcPr>
          <w:p w14:paraId="17FF0A5D" w14:textId="1ED03230" w:rsidR="00E013F4" w:rsidRPr="000C06A7" w:rsidRDefault="00CE3629"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7,164</w:t>
            </w:r>
          </w:p>
        </w:tc>
        <w:tc>
          <w:tcPr>
            <w:tcW w:w="1821" w:type="dxa"/>
            <w:tcBorders>
              <w:bottom w:val="single" w:sz="4" w:space="0" w:color="auto"/>
              <w:right w:val="single" w:sz="4" w:space="0" w:color="auto"/>
            </w:tcBorders>
            <w:vAlign w:val="center"/>
          </w:tcPr>
          <w:p w14:paraId="2E3D4869" w14:textId="227B92A3" w:rsidR="00E013F4" w:rsidRPr="000C06A7" w:rsidRDefault="002B5C18" w:rsidP="00FC716F">
            <w:pPr>
              <w:spacing w:after="200" w:line="276" w:lineRule="auto"/>
              <w:contextualSpacing/>
              <w:jc w:val="center"/>
              <w:rPr>
                <w:rFonts w:ascii="Arial" w:eastAsia="Calibri" w:hAnsi="Arial" w:cs="Arial"/>
                <w:sz w:val="24"/>
                <w:szCs w:val="24"/>
                <w:lang w:eastAsia="en-GB"/>
              </w:rPr>
            </w:pPr>
            <w:r>
              <w:rPr>
                <w:rFonts w:ascii="Arial" w:hAnsi="Arial" w:cs="Arial"/>
                <w:sz w:val="24"/>
                <w:szCs w:val="24"/>
              </w:rPr>
              <w:t>-17.6</w:t>
            </w:r>
            <w:r w:rsidR="00E013F4" w:rsidRPr="000C06A7">
              <w:rPr>
                <w:rFonts w:ascii="Arial" w:hAnsi="Arial" w:cs="Arial"/>
                <w:sz w:val="24"/>
                <w:szCs w:val="24"/>
              </w:rPr>
              <w:t>%</w:t>
            </w:r>
          </w:p>
        </w:tc>
      </w:tr>
      <w:tr w:rsidR="00E013F4" w:rsidRPr="00B568F3" w14:paraId="19428CFC" w14:textId="77777777" w:rsidTr="00C827EE">
        <w:trPr>
          <w:jc w:val="center"/>
        </w:trPr>
        <w:tc>
          <w:tcPr>
            <w:tcW w:w="1816" w:type="dxa"/>
            <w:tcBorders>
              <w:top w:val="single" w:sz="4" w:space="0" w:color="auto"/>
              <w:left w:val="single" w:sz="4" w:space="0" w:color="auto"/>
              <w:bottom w:val="single" w:sz="4" w:space="0" w:color="auto"/>
              <w:right w:val="single" w:sz="4" w:space="0" w:color="auto"/>
            </w:tcBorders>
          </w:tcPr>
          <w:p w14:paraId="739CC4E2" w14:textId="77777777" w:rsidR="00E013F4" w:rsidRPr="000C06A7" w:rsidRDefault="00E013F4" w:rsidP="00FC716F">
            <w:pPr>
              <w:spacing w:after="200" w:line="276" w:lineRule="auto"/>
              <w:contextualSpacing/>
              <w:rPr>
                <w:rFonts w:ascii="Arial" w:eastAsia="Calibri" w:hAnsi="Arial" w:cs="Arial"/>
                <w:b/>
                <w:bCs/>
                <w:sz w:val="24"/>
                <w:szCs w:val="24"/>
                <w:lang w:eastAsia="en-GB"/>
              </w:rPr>
            </w:pPr>
            <w:r w:rsidRPr="000C06A7">
              <w:rPr>
                <w:rFonts w:ascii="Arial" w:eastAsia="Calibri" w:hAnsi="Arial" w:cs="Arial"/>
                <w:b/>
                <w:bCs/>
                <w:sz w:val="24"/>
                <w:szCs w:val="24"/>
                <w:lang w:eastAsia="en-GB"/>
              </w:rPr>
              <w:t>Total</w:t>
            </w:r>
          </w:p>
        </w:tc>
        <w:tc>
          <w:tcPr>
            <w:tcW w:w="1730" w:type="dxa"/>
            <w:tcBorders>
              <w:top w:val="single" w:sz="4" w:space="0" w:color="auto"/>
              <w:left w:val="single" w:sz="4" w:space="0" w:color="auto"/>
              <w:bottom w:val="single" w:sz="4" w:space="0" w:color="auto"/>
            </w:tcBorders>
            <w:vAlign w:val="center"/>
          </w:tcPr>
          <w:p w14:paraId="603A166D" w14:textId="2912B300" w:rsidR="00E013F4" w:rsidRPr="000C06A7" w:rsidRDefault="004A4467" w:rsidP="00FC716F">
            <w:pPr>
              <w:spacing w:after="200" w:line="276" w:lineRule="auto"/>
              <w:contextualSpacing/>
              <w:jc w:val="center"/>
              <w:rPr>
                <w:rFonts w:ascii="Arial" w:eastAsia="Calibri" w:hAnsi="Arial" w:cs="Arial"/>
                <w:b/>
                <w:bCs/>
                <w:sz w:val="24"/>
                <w:szCs w:val="24"/>
                <w:lang w:eastAsia="en-GB"/>
              </w:rPr>
            </w:pPr>
            <w:r>
              <w:rPr>
                <w:rFonts w:ascii="Arial" w:hAnsi="Arial" w:cs="Arial"/>
                <w:b/>
                <w:bCs/>
                <w:sz w:val="24"/>
                <w:szCs w:val="24"/>
              </w:rPr>
              <w:t>134</w:t>
            </w:r>
            <w:r w:rsidR="00CE3629">
              <w:rPr>
                <w:rFonts w:ascii="Arial" w:hAnsi="Arial" w:cs="Arial"/>
                <w:b/>
                <w:bCs/>
                <w:sz w:val="24"/>
                <w:szCs w:val="24"/>
              </w:rPr>
              <w:t>,526</w:t>
            </w:r>
          </w:p>
        </w:tc>
        <w:tc>
          <w:tcPr>
            <w:tcW w:w="1841" w:type="dxa"/>
            <w:tcBorders>
              <w:top w:val="single" w:sz="4" w:space="0" w:color="auto"/>
              <w:bottom w:val="single" w:sz="4" w:space="0" w:color="auto"/>
              <w:right w:val="single" w:sz="4" w:space="0" w:color="auto"/>
            </w:tcBorders>
            <w:vAlign w:val="center"/>
          </w:tcPr>
          <w:p w14:paraId="2F7B32AF" w14:textId="6BEB68C4" w:rsidR="00E013F4" w:rsidRPr="000C06A7" w:rsidRDefault="00E013F4" w:rsidP="00FC716F">
            <w:pPr>
              <w:spacing w:after="200" w:line="276" w:lineRule="auto"/>
              <w:contextualSpacing/>
              <w:jc w:val="center"/>
              <w:rPr>
                <w:rFonts w:ascii="Arial" w:eastAsia="Calibri" w:hAnsi="Arial" w:cs="Arial"/>
                <w:b/>
                <w:bCs/>
                <w:sz w:val="24"/>
                <w:szCs w:val="24"/>
                <w:lang w:eastAsia="en-GB"/>
              </w:rPr>
            </w:pPr>
            <w:r w:rsidRPr="000C06A7">
              <w:rPr>
                <w:rFonts w:ascii="Arial" w:hAnsi="Arial" w:cs="Arial"/>
                <w:b/>
                <w:bCs/>
                <w:sz w:val="24"/>
                <w:szCs w:val="24"/>
              </w:rPr>
              <w:t>-</w:t>
            </w:r>
            <w:r w:rsidR="00CE3629">
              <w:rPr>
                <w:rFonts w:ascii="Arial" w:hAnsi="Arial" w:cs="Arial"/>
                <w:b/>
                <w:bCs/>
                <w:sz w:val="24"/>
                <w:szCs w:val="24"/>
              </w:rPr>
              <w:t>0.5</w:t>
            </w:r>
            <w:r w:rsidRPr="000C06A7">
              <w:rPr>
                <w:rFonts w:ascii="Arial" w:hAnsi="Arial" w:cs="Arial"/>
                <w:b/>
                <w:bCs/>
                <w:sz w:val="24"/>
                <w:szCs w:val="24"/>
              </w:rPr>
              <w:t>%</w:t>
            </w:r>
          </w:p>
        </w:tc>
        <w:tc>
          <w:tcPr>
            <w:tcW w:w="1581" w:type="dxa"/>
            <w:tcBorders>
              <w:top w:val="single" w:sz="4" w:space="0" w:color="auto"/>
              <w:left w:val="single" w:sz="4" w:space="0" w:color="auto"/>
              <w:bottom w:val="single" w:sz="4" w:space="0" w:color="auto"/>
            </w:tcBorders>
            <w:vAlign w:val="center"/>
          </w:tcPr>
          <w:p w14:paraId="24542A4F" w14:textId="2F68DAEB" w:rsidR="00E013F4" w:rsidRPr="000C06A7" w:rsidRDefault="00B07B3C" w:rsidP="00FC716F">
            <w:pPr>
              <w:spacing w:after="200" w:line="276" w:lineRule="auto"/>
              <w:contextualSpacing/>
              <w:jc w:val="center"/>
              <w:rPr>
                <w:rFonts w:ascii="Arial" w:eastAsia="Calibri" w:hAnsi="Arial" w:cs="Arial"/>
                <w:b/>
                <w:bCs/>
                <w:sz w:val="24"/>
                <w:szCs w:val="24"/>
                <w:lang w:eastAsia="en-GB"/>
              </w:rPr>
            </w:pPr>
            <w:r>
              <w:rPr>
                <w:rFonts w:ascii="Arial" w:hAnsi="Arial" w:cs="Arial"/>
                <w:b/>
                <w:bCs/>
                <w:sz w:val="24"/>
                <w:szCs w:val="24"/>
              </w:rPr>
              <w:t>115,902</w:t>
            </w:r>
          </w:p>
        </w:tc>
        <w:tc>
          <w:tcPr>
            <w:tcW w:w="1821" w:type="dxa"/>
            <w:tcBorders>
              <w:top w:val="single" w:sz="4" w:space="0" w:color="auto"/>
              <w:bottom w:val="single" w:sz="4" w:space="0" w:color="auto"/>
              <w:right w:val="single" w:sz="4" w:space="0" w:color="auto"/>
            </w:tcBorders>
            <w:vAlign w:val="center"/>
          </w:tcPr>
          <w:p w14:paraId="4BE7DE28" w14:textId="04E29FE6" w:rsidR="00E013F4" w:rsidRPr="000C06A7" w:rsidRDefault="002B5C18" w:rsidP="00FC716F">
            <w:pPr>
              <w:spacing w:after="200" w:line="276" w:lineRule="auto"/>
              <w:contextualSpacing/>
              <w:jc w:val="center"/>
              <w:rPr>
                <w:rFonts w:ascii="Arial" w:eastAsia="Calibri" w:hAnsi="Arial" w:cs="Arial"/>
                <w:b/>
                <w:bCs/>
                <w:sz w:val="24"/>
                <w:szCs w:val="24"/>
                <w:lang w:eastAsia="en-GB"/>
              </w:rPr>
            </w:pPr>
            <w:r>
              <w:rPr>
                <w:rFonts w:ascii="Arial" w:hAnsi="Arial" w:cs="Arial"/>
                <w:b/>
                <w:bCs/>
                <w:sz w:val="24"/>
                <w:szCs w:val="24"/>
              </w:rPr>
              <w:t>+3.5</w:t>
            </w:r>
            <w:r w:rsidR="00E013F4" w:rsidRPr="000C06A7">
              <w:rPr>
                <w:rFonts w:ascii="Arial" w:hAnsi="Arial" w:cs="Arial"/>
                <w:b/>
                <w:bCs/>
                <w:sz w:val="24"/>
                <w:szCs w:val="24"/>
              </w:rPr>
              <w:t>%</w:t>
            </w:r>
          </w:p>
        </w:tc>
      </w:tr>
    </w:tbl>
    <w:p w14:paraId="5EFF6952" w14:textId="77777777" w:rsidR="00E013F4" w:rsidRPr="00B568F3" w:rsidRDefault="00E013F4" w:rsidP="00E013F4">
      <w:pPr>
        <w:spacing w:after="200" w:line="276" w:lineRule="auto"/>
        <w:ind w:left="709"/>
        <w:contextualSpacing/>
        <w:rPr>
          <w:rFonts w:ascii="Arial" w:eastAsia="Calibri" w:hAnsi="Arial" w:cs="Arial"/>
          <w:sz w:val="24"/>
          <w:szCs w:val="24"/>
          <w:lang w:eastAsia="en-GB"/>
        </w:rPr>
      </w:pPr>
    </w:p>
    <w:p w14:paraId="45F1A318" w14:textId="331EA8F3" w:rsidR="00A210CD" w:rsidRDefault="00807157" w:rsidP="00E976C7">
      <w:pPr>
        <w:numPr>
          <w:ilvl w:val="0"/>
          <w:numId w:val="6"/>
        </w:numPr>
        <w:spacing w:after="200" w:line="276" w:lineRule="auto"/>
        <w:ind w:left="567" w:hanging="425"/>
        <w:contextualSpacing/>
        <w:rPr>
          <w:rFonts w:ascii="Arial" w:eastAsia="Calibri" w:hAnsi="Arial" w:cs="Arial"/>
          <w:sz w:val="24"/>
          <w:szCs w:val="24"/>
          <w:lang w:eastAsia="en-GB"/>
        </w:rPr>
      </w:pPr>
      <w:r w:rsidRPr="00F625C5">
        <w:rPr>
          <w:rFonts w:ascii="Arial" w:eastAsia="Calibri" w:hAnsi="Arial" w:cs="Arial"/>
          <w:sz w:val="24"/>
          <w:szCs w:val="24"/>
          <w:lang w:eastAsia="en-GB"/>
        </w:rPr>
        <w:t xml:space="preserve">As shown in Table 7, the overall national decline in training places booked </w:t>
      </w:r>
      <w:r w:rsidR="00C16ED2">
        <w:rPr>
          <w:rFonts w:ascii="Arial" w:eastAsia="Calibri" w:hAnsi="Arial" w:cs="Arial"/>
          <w:sz w:val="24"/>
          <w:szCs w:val="24"/>
          <w:lang w:eastAsia="en-GB"/>
        </w:rPr>
        <w:t xml:space="preserve">didn’t </w:t>
      </w:r>
      <w:r w:rsidR="00E42B22">
        <w:rPr>
          <w:rFonts w:ascii="Arial" w:eastAsia="Calibri" w:hAnsi="Arial" w:cs="Arial"/>
          <w:sz w:val="24"/>
          <w:szCs w:val="24"/>
          <w:lang w:eastAsia="en-GB"/>
        </w:rPr>
        <w:t>drop in</w:t>
      </w:r>
      <w:r w:rsidRPr="00F625C5">
        <w:rPr>
          <w:rFonts w:ascii="Arial" w:eastAsia="Calibri" w:hAnsi="Arial" w:cs="Arial"/>
          <w:sz w:val="24"/>
          <w:szCs w:val="24"/>
          <w:lang w:eastAsia="en-GB"/>
        </w:rPr>
        <w:t xml:space="preserve"> </w:t>
      </w:r>
      <w:r w:rsidR="00E42B22">
        <w:rPr>
          <w:rFonts w:ascii="Arial" w:eastAsia="Calibri" w:hAnsi="Arial" w:cs="Arial"/>
          <w:sz w:val="24"/>
          <w:szCs w:val="24"/>
          <w:lang w:eastAsia="en-GB"/>
        </w:rPr>
        <w:t xml:space="preserve">every </w:t>
      </w:r>
      <w:r w:rsidRPr="00F625C5">
        <w:rPr>
          <w:rFonts w:ascii="Arial" w:eastAsia="Calibri" w:hAnsi="Arial" w:cs="Arial"/>
          <w:sz w:val="24"/>
          <w:szCs w:val="24"/>
          <w:lang w:eastAsia="en-GB"/>
        </w:rPr>
        <w:t>local authorit</w:t>
      </w:r>
      <w:r w:rsidR="00E42B22">
        <w:rPr>
          <w:rFonts w:ascii="Arial" w:eastAsia="Calibri" w:hAnsi="Arial" w:cs="Arial"/>
          <w:sz w:val="24"/>
          <w:szCs w:val="24"/>
          <w:lang w:eastAsia="en-GB"/>
        </w:rPr>
        <w:t>y</w:t>
      </w:r>
      <w:r w:rsidRPr="00F625C5">
        <w:rPr>
          <w:rFonts w:ascii="Arial" w:eastAsia="Calibri" w:hAnsi="Arial" w:cs="Arial"/>
          <w:sz w:val="24"/>
          <w:szCs w:val="24"/>
          <w:lang w:eastAsia="en-GB"/>
        </w:rPr>
        <w:t xml:space="preserve"> in Wales. In fact, nearly half (45.5</w:t>
      </w:r>
      <w:r w:rsidR="00CD6A85">
        <w:rPr>
          <w:rFonts w:ascii="Arial" w:eastAsia="Calibri" w:hAnsi="Arial" w:cs="Arial"/>
          <w:sz w:val="24"/>
          <w:szCs w:val="24"/>
          <w:lang w:eastAsia="en-GB"/>
        </w:rPr>
        <w:t xml:space="preserve"> per cent</w:t>
      </w:r>
      <w:r w:rsidRPr="00F625C5">
        <w:rPr>
          <w:rFonts w:ascii="Arial" w:eastAsia="Calibri" w:hAnsi="Arial" w:cs="Arial"/>
          <w:sz w:val="24"/>
          <w:szCs w:val="24"/>
          <w:lang w:eastAsia="en-GB"/>
        </w:rPr>
        <w:t>) of local authorities reported an increase in the number of training places booked, and 40.9</w:t>
      </w:r>
      <w:r w:rsidR="00CD6A85">
        <w:rPr>
          <w:rFonts w:ascii="Arial" w:eastAsia="Calibri" w:hAnsi="Arial" w:cs="Arial"/>
          <w:sz w:val="24"/>
          <w:szCs w:val="24"/>
          <w:lang w:eastAsia="en-GB"/>
        </w:rPr>
        <w:t xml:space="preserve"> per cent</w:t>
      </w:r>
      <w:r w:rsidRPr="00F625C5">
        <w:rPr>
          <w:rFonts w:ascii="Arial" w:eastAsia="Calibri" w:hAnsi="Arial" w:cs="Arial"/>
          <w:sz w:val="24"/>
          <w:szCs w:val="24"/>
          <w:lang w:eastAsia="en-GB"/>
        </w:rPr>
        <w:t xml:space="preserve"> also saw a rise in the number of people attending training compared to the previous year</w:t>
      </w:r>
      <w:r w:rsidR="00316745" w:rsidRPr="00F625C5">
        <w:rPr>
          <w:rFonts w:ascii="Arial" w:eastAsia="Calibri" w:hAnsi="Arial" w:cs="Arial"/>
          <w:sz w:val="24"/>
          <w:szCs w:val="24"/>
          <w:lang w:eastAsia="en-GB"/>
        </w:rPr>
        <w:t>.</w:t>
      </w:r>
    </w:p>
    <w:p w14:paraId="4084CC78" w14:textId="77777777" w:rsidR="00DF060F" w:rsidRDefault="00DF060F" w:rsidP="00DF060F">
      <w:pPr>
        <w:spacing w:after="200" w:line="276" w:lineRule="auto"/>
        <w:ind w:left="567"/>
        <w:contextualSpacing/>
        <w:rPr>
          <w:rFonts w:ascii="Arial" w:eastAsia="Calibri" w:hAnsi="Arial" w:cs="Arial"/>
          <w:sz w:val="24"/>
          <w:szCs w:val="24"/>
          <w:lang w:eastAsia="en-GB"/>
        </w:rPr>
      </w:pPr>
    </w:p>
    <w:p w14:paraId="6C59A034" w14:textId="77777777" w:rsidR="00872AF1" w:rsidRDefault="00872AF1" w:rsidP="00DF060F">
      <w:pPr>
        <w:spacing w:after="200" w:line="276" w:lineRule="auto"/>
        <w:ind w:left="567"/>
        <w:contextualSpacing/>
        <w:rPr>
          <w:rFonts w:ascii="Arial" w:eastAsia="Calibri" w:hAnsi="Arial" w:cs="Arial"/>
          <w:sz w:val="24"/>
          <w:szCs w:val="24"/>
          <w:lang w:eastAsia="en-GB"/>
        </w:rPr>
      </w:pPr>
    </w:p>
    <w:p w14:paraId="51992CBE" w14:textId="77777777" w:rsidR="00872AF1" w:rsidRDefault="00872AF1" w:rsidP="00DF060F">
      <w:pPr>
        <w:spacing w:after="200" w:line="276" w:lineRule="auto"/>
        <w:ind w:left="567"/>
        <w:contextualSpacing/>
        <w:rPr>
          <w:rFonts w:ascii="Arial" w:eastAsia="Calibri" w:hAnsi="Arial" w:cs="Arial"/>
          <w:sz w:val="24"/>
          <w:szCs w:val="24"/>
          <w:lang w:eastAsia="en-GB"/>
        </w:rPr>
      </w:pPr>
    </w:p>
    <w:p w14:paraId="5F663006" w14:textId="77777777" w:rsidR="00872AF1" w:rsidRPr="00C92ECE" w:rsidRDefault="00872AF1" w:rsidP="00DF060F">
      <w:pPr>
        <w:spacing w:after="200" w:line="276" w:lineRule="auto"/>
        <w:ind w:left="567"/>
        <w:contextualSpacing/>
        <w:rPr>
          <w:rFonts w:ascii="Arial" w:eastAsia="Calibri" w:hAnsi="Arial" w:cs="Arial"/>
          <w:sz w:val="24"/>
          <w:szCs w:val="24"/>
          <w:lang w:eastAsia="en-GB"/>
        </w:rPr>
      </w:pPr>
    </w:p>
    <w:p w14:paraId="047178EC" w14:textId="4A7D1BD7" w:rsidR="0023718C" w:rsidRPr="004A5112" w:rsidRDefault="00AE1914" w:rsidP="00E976C7">
      <w:pPr>
        <w:numPr>
          <w:ilvl w:val="0"/>
          <w:numId w:val="6"/>
        </w:numPr>
        <w:spacing w:after="200" w:line="276" w:lineRule="auto"/>
        <w:ind w:left="567" w:hanging="425"/>
        <w:contextualSpacing/>
        <w:rPr>
          <w:rFonts w:ascii="Arial" w:eastAsia="Calibri" w:hAnsi="Arial" w:cs="Arial"/>
          <w:sz w:val="24"/>
          <w:szCs w:val="24"/>
          <w:lang w:eastAsia="en-GB"/>
        </w:rPr>
      </w:pPr>
      <w:r w:rsidRPr="004A5112">
        <w:rPr>
          <w:rFonts w:ascii="Arial" w:eastAsia="Calibri" w:hAnsi="Arial" w:cs="Arial"/>
          <w:sz w:val="24"/>
          <w:szCs w:val="24"/>
          <w:lang w:eastAsia="en-GB"/>
        </w:rPr>
        <w:lastRenderedPageBreak/>
        <w:t xml:space="preserve">Compared to the previous year, more local authorities reported an increase in both training </w:t>
      </w:r>
      <w:r w:rsidR="00DA39EA">
        <w:rPr>
          <w:rFonts w:ascii="Arial" w:eastAsia="Calibri" w:hAnsi="Arial" w:cs="Arial"/>
          <w:sz w:val="24"/>
          <w:szCs w:val="24"/>
          <w:lang w:eastAsia="en-GB"/>
        </w:rPr>
        <w:t>bookings</w:t>
      </w:r>
      <w:r w:rsidRPr="004A5112">
        <w:rPr>
          <w:rFonts w:ascii="Arial" w:eastAsia="Calibri" w:hAnsi="Arial" w:cs="Arial"/>
          <w:sz w:val="24"/>
          <w:szCs w:val="24"/>
          <w:lang w:eastAsia="en-GB"/>
        </w:rPr>
        <w:t xml:space="preserve"> and attendance from the statutory and voluntary sectors. However, </w:t>
      </w:r>
      <w:r w:rsidR="00993096" w:rsidRPr="004A5112">
        <w:rPr>
          <w:rFonts w:ascii="Arial" w:eastAsia="Calibri" w:hAnsi="Arial" w:cs="Arial"/>
          <w:sz w:val="24"/>
          <w:szCs w:val="24"/>
          <w:lang w:eastAsia="en-GB"/>
        </w:rPr>
        <w:t>fewer saw</w:t>
      </w:r>
      <w:r w:rsidRPr="004A5112">
        <w:rPr>
          <w:rFonts w:ascii="Arial" w:eastAsia="Calibri" w:hAnsi="Arial" w:cs="Arial"/>
          <w:sz w:val="24"/>
          <w:szCs w:val="24"/>
          <w:lang w:eastAsia="en-GB"/>
        </w:rPr>
        <w:t xml:space="preserve"> similar </w:t>
      </w:r>
      <w:r w:rsidR="00993096" w:rsidRPr="004A5112">
        <w:rPr>
          <w:rFonts w:ascii="Arial" w:eastAsia="Calibri" w:hAnsi="Arial" w:cs="Arial"/>
          <w:sz w:val="24"/>
          <w:szCs w:val="24"/>
          <w:lang w:eastAsia="en-GB"/>
        </w:rPr>
        <w:t>increases from</w:t>
      </w:r>
      <w:r w:rsidRPr="004A5112">
        <w:rPr>
          <w:rFonts w:ascii="Arial" w:eastAsia="Calibri" w:hAnsi="Arial" w:cs="Arial"/>
          <w:sz w:val="24"/>
          <w:szCs w:val="24"/>
          <w:lang w:eastAsia="en-GB"/>
        </w:rPr>
        <w:t xml:space="preserve"> the private and other sectors when compared to 2023</w:t>
      </w:r>
      <w:r w:rsidR="00F625C5">
        <w:rPr>
          <w:rFonts w:ascii="Arial" w:eastAsia="Calibri" w:hAnsi="Arial" w:cs="Arial"/>
          <w:sz w:val="24"/>
          <w:szCs w:val="24"/>
          <w:lang w:eastAsia="en-GB"/>
        </w:rPr>
        <w:t xml:space="preserve"> to </w:t>
      </w:r>
      <w:r w:rsidRPr="004A5112">
        <w:rPr>
          <w:rFonts w:ascii="Arial" w:eastAsia="Calibri" w:hAnsi="Arial" w:cs="Arial"/>
          <w:sz w:val="24"/>
          <w:szCs w:val="24"/>
          <w:lang w:eastAsia="en-GB"/>
        </w:rPr>
        <w:t>2024</w:t>
      </w:r>
      <w:r w:rsidR="00D63C00" w:rsidRPr="00C92ECE">
        <w:rPr>
          <w:rFonts w:ascii="Arial" w:eastAsia="Calibri" w:hAnsi="Arial" w:cs="Arial"/>
          <w:sz w:val="24"/>
          <w:szCs w:val="24"/>
          <w:lang w:eastAsia="en-GB"/>
        </w:rPr>
        <w:t>.</w:t>
      </w:r>
    </w:p>
    <w:p w14:paraId="55A2F0FC" w14:textId="77777777" w:rsidR="00452878" w:rsidRPr="00B568F3" w:rsidRDefault="00452878" w:rsidP="00A8509F">
      <w:pPr>
        <w:spacing w:after="200" w:line="276" w:lineRule="auto"/>
        <w:ind w:left="709"/>
        <w:contextualSpacing/>
        <w:rPr>
          <w:rFonts w:ascii="Arial" w:eastAsia="Calibri" w:hAnsi="Arial" w:cs="Arial"/>
          <w:sz w:val="24"/>
          <w:szCs w:val="24"/>
          <w:lang w:eastAsia="en-GB"/>
        </w:rPr>
      </w:pPr>
    </w:p>
    <w:p w14:paraId="31AAA349" w14:textId="233B737D" w:rsidR="00E013F4" w:rsidRPr="00DA37F6" w:rsidRDefault="00A210CD" w:rsidP="00452878">
      <w:pPr>
        <w:spacing w:after="0" w:line="240" w:lineRule="auto"/>
        <w:rPr>
          <w:rFonts w:ascii="Arial" w:eastAsia="Calibri" w:hAnsi="Arial" w:cs="Arial"/>
          <w:b/>
          <w:bCs/>
          <w:sz w:val="24"/>
          <w:szCs w:val="24"/>
          <w:lang w:eastAsia="en-GB"/>
        </w:rPr>
      </w:pPr>
      <w:r w:rsidRPr="00DA37F6">
        <w:rPr>
          <w:rFonts w:ascii="Arial" w:eastAsia="Calibri" w:hAnsi="Arial" w:cs="Arial"/>
          <w:b/>
          <w:bCs/>
          <w:sz w:val="24"/>
          <w:szCs w:val="24"/>
          <w:lang w:eastAsia="en-GB"/>
        </w:rPr>
        <w:t xml:space="preserve">Table </w:t>
      </w:r>
      <w:r w:rsidR="00187732" w:rsidRPr="00DA37F6">
        <w:rPr>
          <w:rFonts w:ascii="Arial" w:eastAsia="Calibri" w:hAnsi="Arial" w:cs="Arial"/>
          <w:b/>
          <w:bCs/>
          <w:sz w:val="24"/>
          <w:szCs w:val="24"/>
          <w:lang w:eastAsia="en-GB"/>
        </w:rPr>
        <w:t>7</w:t>
      </w:r>
      <w:r w:rsidRPr="00DA37F6">
        <w:rPr>
          <w:rFonts w:ascii="Arial" w:eastAsia="Calibri" w:hAnsi="Arial" w:cs="Arial"/>
          <w:b/>
          <w:bCs/>
          <w:sz w:val="24"/>
          <w:szCs w:val="24"/>
          <w:lang w:eastAsia="en-GB"/>
        </w:rPr>
        <w:t xml:space="preserve">: </w:t>
      </w:r>
      <w:r w:rsidR="008F1592" w:rsidRPr="00DA37F6">
        <w:rPr>
          <w:rFonts w:ascii="Arial" w:eastAsia="Calibri" w:hAnsi="Arial" w:cs="Arial"/>
          <w:b/>
          <w:bCs/>
          <w:sz w:val="24"/>
          <w:szCs w:val="24"/>
          <w:lang w:eastAsia="en-GB"/>
        </w:rPr>
        <w:t xml:space="preserve">Local authorities </w:t>
      </w:r>
      <w:r w:rsidRPr="00DA37F6">
        <w:rPr>
          <w:rFonts w:ascii="Arial" w:eastAsia="Calibri" w:hAnsi="Arial" w:cs="Arial"/>
          <w:b/>
          <w:bCs/>
          <w:sz w:val="24"/>
          <w:szCs w:val="24"/>
          <w:lang w:eastAsia="en-GB"/>
        </w:rPr>
        <w:t>experiencing</w:t>
      </w:r>
      <w:r w:rsidR="007475FF" w:rsidRPr="00DA37F6">
        <w:rPr>
          <w:rFonts w:ascii="Arial" w:eastAsia="Calibri" w:hAnsi="Arial" w:cs="Arial"/>
          <w:b/>
          <w:bCs/>
          <w:sz w:val="24"/>
          <w:szCs w:val="24"/>
          <w:lang w:eastAsia="en-GB"/>
        </w:rPr>
        <w:t xml:space="preserve"> an</w:t>
      </w:r>
      <w:r w:rsidRPr="00DA37F6">
        <w:rPr>
          <w:rFonts w:ascii="Arial" w:eastAsia="Calibri" w:hAnsi="Arial" w:cs="Arial"/>
          <w:b/>
          <w:bCs/>
          <w:sz w:val="24"/>
          <w:szCs w:val="24"/>
          <w:lang w:eastAsia="en-GB"/>
        </w:rPr>
        <w:t xml:space="preserve"> increase</w:t>
      </w:r>
      <w:r w:rsidR="005E3313" w:rsidRPr="00DA37F6">
        <w:rPr>
          <w:rFonts w:ascii="Arial" w:eastAsia="Calibri" w:hAnsi="Arial" w:cs="Arial"/>
          <w:b/>
          <w:bCs/>
          <w:sz w:val="24"/>
          <w:szCs w:val="24"/>
          <w:lang w:eastAsia="en-GB"/>
        </w:rPr>
        <w:t xml:space="preserve"> in t</w:t>
      </w:r>
      <w:r w:rsidRPr="00DA37F6">
        <w:rPr>
          <w:rFonts w:ascii="Arial" w:eastAsia="Calibri" w:hAnsi="Arial" w:cs="Arial"/>
          <w:b/>
          <w:bCs/>
          <w:sz w:val="24"/>
          <w:szCs w:val="24"/>
          <w:lang w:eastAsia="en-GB"/>
        </w:rPr>
        <w:t xml:space="preserve">raining places </w:t>
      </w:r>
      <w:r w:rsidR="008F1592" w:rsidRPr="00DA37F6">
        <w:rPr>
          <w:rFonts w:ascii="Arial" w:eastAsia="Calibri" w:hAnsi="Arial" w:cs="Arial"/>
          <w:b/>
          <w:bCs/>
          <w:sz w:val="24"/>
          <w:szCs w:val="24"/>
          <w:lang w:eastAsia="en-GB"/>
        </w:rPr>
        <w:t>and</w:t>
      </w:r>
      <w:r w:rsidRPr="00DA37F6">
        <w:rPr>
          <w:rFonts w:ascii="Arial" w:eastAsia="Calibri" w:hAnsi="Arial" w:cs="Arial"/>
          <w:b/>
          <w:bCs/>
          <w:sz w:val="24"/>
          <w:szCs w:val="24"/>
          <w:lang w:eastAsia="en-GB"/>
        </w:rPr>
        <w:t xml:space="preserve"> attendance levels, </w:t>
      </w:r>
      <w:r w:rsidR="000346A2" w:rsidRPr="00DA37F6">
        <w:rPr>
          <w:rFonts w:ascii="Arial" w:eastAsia="Calibri" w:hAnsi="Arial" w:cs="Arial"/>
          <w:b/>
          <w:bCs/>
          <w:sz w:val="24"/>
          <w:szCs w:val="24"/>
          <w:lang w:eastAsia="en-GB"/>
        </w:rPr>
        <w:t>202</w:t>
      </w:r>
      <w:r w:rsidR="000346A2" w:rsidRPr="00C92ECE">
        <w:rPr>
          <w:rFonts w:ascii="Arial" w:eastAsia="Calibri" w:hAnsi="Arial" w:cs="Arial"/>
          <w:b/>
          <w:bCs/>
          <w:sz w:val="24"/>
          <w:szCs w:val="24"/>
          <w:lang w:eastAsia="en-GB"/>
        </w:rPr>
        <w:t>4</w:t>
      </w:r>
      <w:r w:rsidR="000346A2" w:rsidRPr="00DA37F6">
        <w:rPr>
          <w:rFonts w:ascii="Arial" w:eastAsia="Calibri" w:hAnsi="Arial" w:cs="Arial"/>
          <w:b/>
          <w:bCs/>
          <w:sz w:val="24"/>
          <w:szCs w:val="24"/>
          <w:lang w:eastAsia="en-GB"/>
        </w:rPr>
        <w:t xml:space="preserve"> </w:t>
      </w:r>
      <w:r w:rsidR="00247ADF" w:rsidRPr="00DA37F6">
        <w:rPr>
          <w:rFonts w:ascii="Arial" w:eastAsia="Calibri" w:hAnsi="Arial" w:cs="Arial"/>
          <w:b/>
          <w:bCs/>
          <w:sz w:val="24"/>
          <w:szCs w:val="24"/>
          <w:lang w:eastAsia="en-GB"/>
        </w:rPr>
        <w:t xml:space="preserve">to </w:t>
      </w:r>
      <w:r w:rsidR="000346A2" w:rsidRPr="00DA37F6">
        <w:rPr>
          <w:rFonts w:ascii="Arial" w:eastAsia="Calibri" w:hAnsi="Arial" w:cs="Arial"/>
          <w:b/>
          <w:bCs/>
          <w:sz w:val="24"/>
          <w:szCs w:val="24"/>
          <w:lang w:eastAsia="en-GB"/>
        </w:rPr>
        <w:t>202</w:t>
      </w:r>
      <w:r w:rsidR="000346A2" w:rsidRPr="00C92ECE">
        <w:rPr>
          <w:rFonts w:ascii="Arial" w:eastAsia="Calibri" w:hAnsi="Arial" w:cs="Arial"/>
          <w:b/>
          <w:bCs/>
          <w:sz w:val="24"/>
          <w:szCs w:val="24"/>
          <w:lang w:eastAsia="en-GB"/>
        </w:rPr>
        <w:t>5</w:t>
      </w:r>
    </w:p>
    <w:p w14:paraId="1D6F6F2C" w14:textId="77777777" w:rsidR="001770A7" w:rsidRPr="00C92ECE" w:rsidRDefault="001770A7" w:rsidP="00452878">
      <w:pPr>
        <w:spacing w:after="0" w:line="240" w:lineRule="auto"/>
        <w:rPr>
          <w:rFonts w:ascii="Arial" w:eastAsia="Calibri" w:hAnsi="Arial" w:cs="Arial"/>
          <w:sz w:val="24"/>
          <w:szCs w:val="24"/>
          <w:highlight w:val="yellow"/>
          <w:lang w:eastAsia="en-GB"/>
        </w:rPr>
      </w:pPr>
    </w:p>
    <w:tbl>
      <w:tblPr>
        <w:tblStyle w:val="TableGrid"/>
        <w:tblW w:w="90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10"/>
        <w:gridCol w:w="1411"/>
        <w:gridCol w:w="1074"/>
        <w:gridCol w:w="1411"/>
        <w:gridCol w:w="1411"/>
        <w:gridCol w:w="1074"/>
      </w:tblGrid>
      <w:tr w:rsidR="0033507D" w:rsidRPr="00047EE1" w14:paraId="081E15D9" w14:textId="250704C4" w:rsidTr="00507D5B">
        <w:trPr>
          <w:jc w:val="center"/>
        </w:trPr>
        <w:tc>
          <w:tcPr>
            <w:tcW w:w="1207" w:type="dxa"/>
            <w:tcBorders>
              <w:right w:val="single" w:sz="4" w:space="0" w:color="auto"/>
            </w:tcBorders>
          </w:tcPr>
          <w:p w14:paraId="3C456434" w14:textId="77777777" w:rsidR="0033507D" w:rsidRPr="00047EE1" w:rsidRDefault="0033507D" w:rsidP="00FC716F">
            <w:pPr>
              <w:spacing w:after="200" w:line="276" w:lineRule="auto"/>
              <w:contextualSpacing/>
              <w:rPr>
                <w:rFonts w:ascii="Arial" w:eastAsia="Calibri" w:hAnsi="Arial" w:cs="Arial"/>
                <w:sz w:val="24"/>
                <w:szCs w:val="24"/>
                <w:lang w:eastAsia="en-GB"/>
              </w:rPr>
            </w:pPr>
          </w:p>
        </w:tc>
        <w:tc>
          <w:tcPr>
            <w:tcW w:w="3907" w:type="dxa"/>
            <w:gridSpan w:val="3"/>
            <w:tcBorders>
              <w:top w:val="single" w:sz="4" w:space="0" w:color="auto"/>
              <w:left w:val="single" w:sz="4" w:space="0" w:color="auto"/>
              <w:bottom w:val="single" w:sz="4" w:space="0" w:color="auto"/>
              <w:right w:val="single" w:sz="4" w:space="0" w:color="auto"/>
            </w:tcBorders>
          </w:tcPr>
          <w:p w14:paraId="2A6DC2F1" w14:textId="76FAA1C9" w:rsidR="0033507D" w:rsidRPr="00C92ECE" w:rsidRDefault="0033507D" w:rsidP="00FC716F">
            <w:pPr>
              <w:spacing w:after="200" w:line="276" w:lineRule="auto"/>
              <w:contextualSpacing/>
              <w:jc w:val="center"/>
              <w:rPr>
                <w:rFonts w:ascii="Arial" w:eastAsia="Calibri" w:hAnsi="Arial" w:cs="Arial"/>
                <w:b/>
                <w:bCs/>
                <w:sz w:val="24"/>
                <w:szCs w:val="24"/>
                <w:lang w:eastAsia="en-GB"/>
              </w:rPr>
            </w:pPr>
            <w:r w:rsidRPr="00C92ECE">
              <w:rPr>
                <w:rFonts w:ascii="Arial" w:eastAsia="Calibri" w:hAnsi="Arial" w:cs="Arial"/>
                <w:b/>
                <w:bCs/>
                <w:sz w:val="24"/>
                <w:szCs w:val="24"/>
                <w:lang w:eastAsia="en-GB"/>
              </w:rPr>
              <w:t>Increase in training places booked</w:t>
            </w:r>
          </w:p>
        </w:tc>
        <w:tc>
          <w:tcPr>
            <w:tcW w:w="3907" w:type="dxa"/>
            <w:gridSpan w:val="3"/>
            <w:tcBorders>
              <w:top w:val="single" w:sz="4" w:space="0" w:color="auto"/>
              <w:left w:val="single" w:sz="4" w:space="0" w:color="auto"/>
              <w:bottom w:val="single" w:sz="4" w:space="0" w:color="auto"/>
              <w:right w:val="single" w:sz="4" w:space="0" w:color="auto"/>
            </w:tcBorders>
          </w:tcPr>
          <w:p w14:paraId="194E9E0F" w14:textId="215D28A8" w:rsidR="0033507D" w:rsidRPr="00C92ECE" w:rsidRDefault="0033507D" w:rsidP="00FC716F">
            <w:pPr>
              <w:spacing w:after="200" w:line="276" w:lineRule="auto"/>
              <w:contextualSpacing/>
              <w:jc w:val="center"/>
              <w:rPr>
                <w:rFonts w:ascii="Arial" w:eastAsia="Calibri" w:hAnsi="Arial" w:cs="Arial"/>
                <w:b/>
                <w:bCs/>
                <w:sz w:val="24"/>
                <w:szCs w:val="24"/>
                <w:lang w:eastAsia="en-GB"/>
              </w:rPr>
            </w:pPr>
            <w:r w:rsidRPr="00C92ECE">
              <w:rPr>
                <w:rFonts w:ascii="Arial" w:eastAsia="Calibri" w:hAnsi="Arial" w:cs="Arial"/>
                <w:b/>
                <w:bCs/>
                <w:sz w:val="24"/>
                <w:szCs w:val="24"/>
                <w:lang w:eastAsia="en-GB"/>
              </w:rPr>
              <w:t>Increase in people attending</w:t>
            </w:r>
          </w:p>
        </w:tc>
      </w:tr>
      <w:tr w:rsidR="00FB76D3" w:rsidRPr="00047EE1" w14:paraId="3AC00C49" w14:textId="5C598C56" w:rsidTr="00C92ECE">
        <w:trPr>
          <w:jc w:val="center"/>
        </w:trPr>
        <w:tc>
          <w:tcPr>
            <w:tcW w:w="1207" w:type="dxa"/>
            <w:tcBorders>
              <w:bottom w:val="single" w:sz="4" w:space="0" w:color="auto"/>
              <w:right w:val="single" w:sz="4" w:space="0" w:color="auto"/>
            </w:tcBorders>
          </w:tcPr>
          <w:p w14:paraId="532A41E3" w14:textId="77777777" w:rsidR="00FB76D3" w:rsidRPr="00047EE1" w:rsidRDefault="00FB76D3" w:rsidP="00FB76D3">
            <w:pPr>
              <w:spacing w:after="200" w:line="276" w:lineRule="auto"/>
              <w:contextualSpacing/>
              <w:rPr>
                <w:rFonts w:ascii="Arial" w:eastAsia="Calibri" w:hAnsi="Arial" w:cs="Arial"/>
                <w:sz w:val="24"/>
                <w:szCs w:val="24"/>
                <w:lang w:eastAsia="en-GB"/>
              </w:rPr>
            </w:pPr>
          </w:p>
        </w:tc>
        <w:tc>
          <w:tcPr>
            <w:tcW w:w="1415" w:type="dxa"/>
            <w:tcBorders>
              <w:top w:val="single" w:sz="4" w:space="0" w:color="auto"/>
              <w:bottom w:val="single" w:sz="4" w:space="0" w:color="auto"/>
              <w:right w:val="single" w:sz="4" w:space="0" w:color="auto"/>
            </w:tcBorders>
          </w:tcPr>
          <w:p w14:paraId="7E2DA3BD" w14:textId="6F58037A" w:rsidR="00FB76D3" w:rsidRPr="00C92ECE" w:rsidRDefault="00FB76D3" w:rsidP="00FB76D3">
            <w:pPr>
              <w:spacing w:after="200" w:line="276" w:lineRule="auto"/>
              <w:contextualSpacing/>
              <w:jc w:val="center"/>
              <w:rPr>
                <w:rFonts w:ascii="Arial" w:eastAsia="Calibri" w:hAnsi="Arial" w:cs="Arial"/>
                <w:b/>
                <w:bCs/>
                <w:lang w:eastAsia="en-GB"/>
              </w:rPr>
            </w:pPr>
            <w:r w:rsidRPr="00C92ECE">
              <w:rPr>
                <w:rFonts w:ascii="Arial" w:eastAsia="Calibri" w:hAnsi="Arial" w:cs="Arial"/>
                <w:b/>
                <w:bCs/>
                <w:lang w:eastAsia="en-GB"/>
              </w:rPr>
              <w:t>Number of local authorities</w:t>
            </w:r>
          </w:p>
        </w:tc>
        <w:tc>
          <w:tcPr>
            <w:tcW w:w="1415" w:type="dxa"/>
            <w:tcBorders>
              <w:top w:val="single" w:sz="4" w:space="0" w:color="auto"/>
              <w:bottom w:val="single" w:sz="4" w:space="0" w:color="auto"/>
              <w:right w:val="single" w:sz="4" w:space="0" w:color="auto"/>
            </w:tcBorders>
          </w:tcPr>
          <w:p w14:paraId="1733E6F6" w14:textId="70478C3C" w:rsidR="00FB76D3" w:rsidRPr="00C92ECE" w:rsidRDefault="00FB76D3" w:rsidP="00FB76D3">
            <w:pPr>
              <w:spacing w:after="200" w:line="276" w:lineRule="auto"/>
              <w:contextualSpacing/>
              <w:jc w:val="center"/>
              <w:rPr>
                <w:rFonts w:ascii="Arial" w:eastAsia="Calibri" w:hAnsi="Arial" w:cs="Arial"/>
                <w:b/>
                <w:bCs/>
                <w:lang w:eastAsia="en-GB"/>
              </w:rPr>
            </w:pPr>
            <w:r w:rsidRPr="00C92ECE">
              <w:rPr>
                <w:rFonts w:ascii="Arial" w:eastAsia="Calibri" w:hAnsi="Arial" w:cs="Arial"/>
                <w:b/>
                <w:bCs/>
                <w:lang w:eastAsia="en-GB"/>
              </w:rPr>
              <w:t>% of local authorities</w:t>
            </w:r>
          </w:p>
        </w:tc>
        <w:tc>
          <w:tcPr>
            <w:tcW w:w="1077" w:type="dxa"/>
            <w:tcBorders>
              <w:top w:val="single" w:sz="4" w:space="0" w:color="auto"/>
              <w:bottom w:val="single" w:sz="4" w:space="0" w:color="auto"/>
              <w:right w:val="single" w:sz="4" w:space="0" w:color="auto"/>
            </w:tcBorders>
          </w:tcPr>
          <w:p w14:paraId="193DB7D4" w14:textId="1C0AF353" w:rsidR="00FB76D3" w:rsidRPr="00C92ECE" w:rsidRDefault="00FB76D3" w:rsidP="00FB76D3">
            <w:pPr>
              <w:spacing w:after="200" w:line="276" w:lineRule="auto"/>
              <w:contextualSpacing/>
              <w:jc w:val="center"/>
              <w:rPr>
                <w:rFonts w:ascii="Arial" w:eastAsia="Calibri" w:hAnsi="Arial" w:cs="Arial"/>
                <w:b/>
                <w:bCs/>
                <w:lang w:eastAsia="en-GB"/>
              </w:rPr>
            </w:pPr>
            <w:r w:rsidRPr="00C92ECE">
              <w:rPr>
                <w:rFonts w:ascii="Arial" w:eastAsia="Calibri" w:hAnsi="Arial" w:cs="Arial"/>
                <w:b/>
                <w:bCs/>
                <w:lang w:eastAsia="en-GB"/>
              </w:rPr>
              <w:t>Change in number</w:t>
            </w:r>
          </w:p>
        </w:tc>
        <w:tc>
          <w:tcPr>
            <w:tcW w:w="1415" w:type="dxa"/>
            <w:tcBorders>
              <w:top w:val="single" w:sz="4" w:space="0" w:color="auto"/>
              <w:bottom w:val="single" w:sz="4" w:space="0" w:color="auto"/>
              <w:right w:val="single" w:sz="4" w:space="0" w:color="auto"/>
            </w:tcBorders>
          </w:tcPr>
          <w:p w14:paraId="6938464C" w14:textId="70E681F5" w:rsidR="00FB76D3" w:rsidRPr="00C92ECE" w:rsidRDefault="00FB76D3" w:rsidP="00FB76D3">
            <w:pPr>
              <w:spacing w:after="200" w:line="276" w:lineRule="auto"/>
              <w:contextualSpacing/>
              <w:jc w:val="center"/>
              <w:rPr>
                <w:rFonts w:ascii="Arial" w:eastAsia="Calibri" w:hAnsi="Arial" w:cs="Arial"/>
                <w:b/>
                <w:bCs/>
                <w:lang w:eastAsia="en-GB"/>
              </w:rPr>
            </w:pPr>
            <w:r w:rsidRPr="00C92ECE">
              <w:rPr>
                <w:rFonts w:ascii="Arial" w:eastAsia="Calibri" w:hAnsi="Arial" w:cs="Arial"/>
                <w:b/>
                <w:bCs/>
                <w:lang w:eastAsia="en-GB"/>
              </w:rPr>
              <w:t>Number of local authorities</w:t>
            </w:r>
          </w:p>
        </w:tc>
        <w:tc>
          <w:tcPr>
            <w:tcW w:w="1415" w:type="dxa"/>
            <w:tcBorders>
              <w:top w:val="single" w:sz="4" w:space="0" w:color="auto"/>
              <w:bottom w:val="single" w:sz="4" w:space="0" w:color="auto"/>
              <w:right w:val="single" w:sz="4" w:space="0" w:color="auto"/>
            </w:tcBorders>
          </w:tcPr>
          <w:p w14:paraId="132787F6" w14:textId="43977A73" w:rsidR="00FB76D3" w:rsidRPr="00C92ECE" w:rsidRDefault="00FB76D3" w:rsidP="00FB76D3">
            <w:pPr>
              <w:spacing w:after="200" w:line="276" w:lineRule="auto"/>
              <w:contextualSpacing/>
              <w:jc w:val="center"/>
              <w:rPr>
                <w:rFonts w:ascii="Arial" w:eastAsia="Calibri" w:hAnsi="Arial" w:cs="Arial"/>
                <w:b/>
                <w:bCs/>
                <w:lang w:eastAsia="en-GB"/>
              </w:rPr>
            </w:pPr>
            <w:r w:rsidRPr="00C92ECE">
              <w:rPr>
                <w:rFonts w:ascii="Arial" w:eastAsia="Calibri" w:hAnsi="Arial" w:cs="Arial"/>
                <w:b/>
                <w:bCs/>
                <w:lang w:eastAsia="en-GB"/>
              </w:rPr>
              <w:t>% of local authorities</w:t>
            </w:r>
          </w:p>
        </w:tc>
        <w:tc>
          <w:tcPr>
            <w:tcW w:w="1077" w:type="dxa"/>
            <w:tcBorders>
              <w:top w:val="single" w:sz="4" w:space="0" w:color="auto"/>
              <w:bottom w:val="single" w:sz="4" w:space="0" w:color="auto"/>
              <w:right w:val="single" w:sz="4" w:space="0" w:color="auto"/>
            </w:tcBorders>
          </w:tcPr>
          <w:p w14:paraId="72699FD2" w14:textId="42C68689" w:rsidR="00FB76D3" w:rsidRPr="00C92ECE" w:rsidRDefault="00FB76D3" w:rsidP="00FB76D3">
            <w:pPr>
              <w:spacing w:after="200" w:line="276" w:lineRule="auto"/>
              <w:contextualSpacing/>
              <w:jc w:val="center"/>
              <w:rPr>
                <w:rFonts w:ascii="Arial" w:eastAsia="Calibri" w:hAnsi="Arial" w:cs="Arial"/>
                <w:b/>
                <w:bCs/>
                <w:lang w:eastAsia="en-GB"/>
              </w:rPr>
            </w:pPr>
            <w:r w:rsidRPr="00C92ECE">
              <w:rPr>
                <w:rFonts w:ascii="Arial" w:eastAsia="Calibri" w:hAnsi="Arial" w:cs="Arial"/>
                <w:b/>
                <w:bCs/>
                <w:lang w:eastAsia="en-GB"/>
              </w:rPr>
              <w:t>Change in number</w:t>
            </w:r>
          </w:p>
        </w:tc>
      </w:tr>
      <w:tr w:rsidR="00FB76D3" w:rsidRPr="00047EE1" w14:paraId="7C822C4A" w14:textId="62F8D342" w:rsidTr="00C92ECE">
        <w:trPr>
          <w:jc w:val="center"/>
        </w:trPr>
        <w:tc>
          <w:tcPr>
            <w:tcW w:w="1207" w:type="dxa"/>
            <w:tcBorders>
              <w:top w:val="single" w:sz="4" w:space="0" w:color="auto"/>
              <w:left w:val="single" w:sz="4" w:space="0" w:color="auto"/>
              <w:right w:val="single" w:sz="4" w:space="0" w:color="auto"/>
            </w:tcBorders>
          </w:tcPr>
          <w:p w14:paraId="116305F3" w14:textId="77777777" w:rsidR="00FB76D3" w:rsidRPr="00047EE1" w:rsidRDefault="00FB76D3" w:rsidP="00FB76D3">
            <w:pPr>
              <w:spacing w:after="200" w:line="276" w:lineRule="auto"/>
              <w:contextualSpacing/>
              <w:rPr>
                <w:rFonts w:ascii="Arial" w:eastAsia="Calibri" w:hAnsi="Arial" w:cs="Arial"/>
                <w:sz w:val="24"/>
                <w:szCs w:val="24"/>
                <w:lang w:eastAsia="en-GB"/>
              </w:rPr>
            </w:pPr>
            <w:r w:rsidRPr="00047EE1">
              <w:rPr>
                <w:rFonts w:ascii="Arial" w:eastAsia="Calibri" w:hAnsi="Arial" w:cs="Arial"/>
                <w:sz w:val="24"/>
                <w:szCs w:val="24"/>
                <w:lang w:eastAsia="en-GB"/>
              </w:rPr>
              <w:t>Statutory</w:t>
            </w:r>
          </w:p>
        </w:tc>
        <w:tc>
          <w:tcPr>
            <w:tcW w:w="1415" w:type="dxa"/>
            <w:tcBorders>
              <w:top w:val="single" w:sz="4" w:space="0" w:color="auto"/>
              <w:right w:val="single" w:sz="4" w:space="0" w:color="auto"/>
            </w:tcBorders>
            <w:vAlign w:val="center"/>
          </w:tcPr>
          <w:p w14:paraId="10973CCB" w14:textId="21CA32A6"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12</w:t>
            </w:r>
          </w:p>
        </w:tc>
        <w:tc>
          <w:tcPr>
            <w:tcW w:w="1415" w:type="dxa"/>
            <w:tcBorders>
              <w:top w:val="single" w:sz="4" w:space="0" w:color="auto"/>
              <w:right w:val="single" w:sz="4" w:space="0" w:color="auto"/>
            </w:tcBorders>
            <w:vAlign w:val="center"/>
          </w:tcPr>
          <w:p w14:paraId="7C065297" w14:textId="0B0EEF0E"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54.5</w:t>
            </w:r>
            <w:r w:rsidR="00FB76D3" w:rsidRPr="00C92ECE">
              <w:rPr>
                <w:rFonts w:ascii="Arial" w:hAnsi="Arial" w:cs="Arial"/>
                <w:color w:val="000000"/>
                <w:sz w:val="24"/>
                <w:szCs w:val="24"/>
              </w:rPr>
              <w:t>%</w:t>
            </w:r>
          </w:p>
        </w:tc>
        <w:tc>
          <w:tcPr>
            <w:tcW w:w="1077" w:type="dxa"/>
            <w:tcBorders>
              <w:top w:val="single" w:sz="4" w:space="0" w:color="auto"/>
              <w:right w:val="single" w:sz="4" w:space="0" w:color="auto"/>
            </w:tcBorders>
          </w:tcPr>
          <w:p w14:paraId="439AE69C" w14:textId="0664C3E3"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+3</w:t>
            </w:r>
          </w:p>
        </w:tc>
        <w:tc>
          <w:tcPr>
            <w:tcW w:w="1415" w:type="dxa"/>
            <w:tcBorders>
              <w:top w:val="single" w:sz="4" w:space="0" w:color="auto"/>
              <w:right w:val="single" w:sz="4" w:space="0" w:color="auto"/>
            </w:tcBorders>
            <w:vAlign w:val="center"/>
          </w:tcPr>
          <w:p w14:paraId="2E26CC97" w14:textId="1D7648E3"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11</w:t>
            </w:r>
          </w:p>
        </w:tc>
        <w:tc>
          <w:tcPr>
            <w:tcW w:w="1415" w:type="dxa"/>
            <w:tcBorders>
              <w:top w:val="single" w:sz="4" w:space="0" w:color="auto"/>
              <w:right w:val="single" w:sz="4" w:space="0" w:color="auto"/>
            </w:tcBorders>
            <w:vAlign w:val="center"/>
          </w:tcPr>
          <w:p w14:paraId="280B2042" w14:textId="3466ED82"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50.0</w:t>
            </w:r>
            <w:r w:rsidR="00FB76D3" w:rsidRPr="00C92ECE">
              <w:rPr>
                <w:rFonts w:ascii="Arial" w:hAnsi="Arial" w:cs="Arial"/>
                <w:color w:val="000000"/>
                <w:sz w:val="24"/>
                <w:szCs w:val="24"/>
              </w:rPr>
              <w:t>%</w:t>
            </w:r>
          </w:p>
        </w:tc>
        <w:tc>
          <w:tcPr>
            <w:tcW w:w="1077" w:type="dxa"/>
            <w:tcBorders>
              <w:top w:val="single" w:sz="4" w:space="0" w:color="auto"/>
              <w:right w:val="single" w:sz="4" w:space="0" w:color="auto"/>
            </w:tcBorders>
          </w:tcPr>
          <w:p w14:paraId="7ECD730C" w14:textId="3948B4EB"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+2</w:t>
            </w:r>
          </w:p>
        </w:tc>
      </w:tr>
      <w:tr w:rsidR="00FB76D3" w:rsidRPr="00047EE1" w14:paraId="5769E07F" w14:textId="1DDA0236" w:rsidTr="00C92ECE">
        <w:trPr>
          <w:jc w:val="center"/>
        </w:trPr>
        <w:tc>
          <w:tcPr>
            <w:tcW w:w="1207" w:type="dxa"/>
            <w:tcBorders>
              <w:left w:val="single" w:sz="4" w:space="0" w:color="auto"/>
              <w:right w:val="single" w:sz="4" w:space="0" w:color="auto"/>
            </w:tcBorders>
          </w:tcPr>
          <w:p w14:paraId="4CC31641" w14:textId="77777777" w:rsidR="00FB76D3" w:rsidRPr="00047EE1" w:rsidRDefault="00FB76D3" w:rsidP="00FB76D3">
            <w:pPr>
              <w:spacing w:after="200" w:line="276" w:lineRule="auto"/>
              <w:contextualSpacing/>
              <w:rPr>
                <w:rFonts w:ascii="Arial" w:eastAsia="Calibri" w:hAnsi="Arial" w:cs="Arial"/>
                <w:sz w:val="24"/>
                <w:szCs w:val="24"/>
                <w:lang w:eastAsia="en-GB"/>
              </w:rPr>
            </w:pPr>
            <w:r w:rsidRPr="00047EE1">
              <w:rPr>
                <w:rFonts w:ascii="Arial" w:eastAsia="Calibri" w:hAnsi="Arial" w:cs="Arial"/>
                <w:sz w:val="24"/>
                <w:szCs w:val="24"/>
                <w:lang w:eastAsia="en-GB"/>
              </w:rPr>
              <w:t>Voluntary</w:t>
            </w:r>
          </w:p>
        </w:tc>
        <w:tc>
          <w:tcPr>
            <w:tcW w:w="1415" w:type="dxa"/>
            <w:tcBorders>
              <w:right w:val="single" w:sz="4" w:space="0" w:color="auto"/>
            </w:tcBorders>
            <w:vAlign w:val="center"/>
          </w:tcPr>
          <w:p w14:paraId="0B0D6648" w14:textId="361D1578"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10</w:t>
            </w:r>
          </w:p>
        </w:tc>
        <w:tc>
          <w:tcPr>
            <w:tcW w:w="1415" w:type="dxa"/>
            <w:tcBorders>
              <w:right w:val="single" w:sz="4" w:space="0" w:color="auto"/>
            </w:tcBorders>
            <w:vAlign w:val="center"/>
          </w:tcPr>
          <w:p w14:paraId="11CFBF37" w14:textId="041EBE1A"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45.5</w:t>
            </w:r>
            <w:r w:rsidR="00FB76D3" w:rsidRPr="00C92ECE">
              <w:rPr>
                <w:rFonts w:ascii="Arial" w:hAnsi="Arial" w:cs="Arial"/>
                <w:color w:val="000000"/>
                <w:sz w:val="24"/>
                <w:szCs w:val="24"/>
              </w:rPr>
              <w:t>%</w:t>
            </w:r>
          </w:p>
        </w:tc>
        <w:tc>
          <w:tcPr>
            <w:tcW w:w="1077" w:type="dxa"/>
            <w:tcBorders>
              <w:right w:val="single" w:sz="4" w:space="0" w:color="auto"/>
            </w:tcBorders>
          </w:tcPr>
          <w:p w14:paraId="15F529F6" w14:textId="229E37E4"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+4</w:t>
            </w:r>
          </w:p>
        </w:tc>
        <w:tc>
          <w:tcPr>
            <w:tcW w:w="1415" w:type="dxa"/>
            <w:tcBorders>
              <w:right w:val="single" w:sz="4" w:space="0" w:color="auto"/>
            </w:tcBorders>
            <w:vAlign w:val="center"/>
          </w:tcPr>
          <w:p w14:paraId="47B2AC10" w14:textId="0223F106" w:rsidR="00FB76D3" w:rsidRPr="00C92ECE" w:rsidRDefault="00B14E3B"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10</w:t>
            </w:r>
          </w:p>
        </w:tc>
        <w:tc>
          <w:tcPr>
            <w:tcW w:w="1415" w:type="dxa"/>
            <w:tcBorders>
              <w:right w:val="single" w:sz="4" w:space="0" w:color="auto"/>
            </w:tcBorders>
            <w:vAlign w:val="center"/>
          </w:tcPr>
          <w:p w14:paraId="1D6B5A45" w14:textId="7D4574E2"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45.5</w:t>
            </w:r>
            <w:r w:rsidR="00FB76D3" w:rsidRPr="00C92ECE">
              <w:rPr>
                <w:rFonts w:ascii="Arial" w:hAnsi="Arial" w:cs="Arial"/>
                <w:color w:val="000000"/>
                <w:sz w:val="24"/>
                <w:szCs w:val="24"/>
              </w:rPr>
              <w:t>%</w:t>
            </w:r>
          </w:p>
        </w:tc>
        <w:tc>
          <w:tcPr>
            <w:tcW w:w="1077" w:type="dxa"/>
            <w:tcBorders>
              <w:right w:val="single" w:sz="4" w:space="0" w:color="auto"/>
            </w:tcBorders>
          </w:tcPr>
          <w:p w14:paraId="4F938C6F" w14:textId="3D4D7816" w:rsidR="00FB76D3" w:rsidRPr="00C92ECE" w:rsidRDefault="00B14E3B"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+2</w:t>
            </w:r>
          </w:p>
        </w:tc>
      </w:tr>
      <w:tr w:rsidR="00FB76D3" w:rsidRPr="00047EE1" w14:paraId="187FD7CD" w14:textId="3A0848F1" w:rsidTr="00C92ECE">
        <w:trPr>
          <w:jc w:val="center"/>
        </w:trPr>
        <w:tc>
          <w:tcPr>
            <w:tcW w:w="1207" w:type="dxa"/>
            <w:tcBorders>
              <w:left w:val="single" w:sz="4" w:space="0" w:color="auto"/>
              <w:right w:val="single" w:sz="4" w:space="0" w:color="auto"/>
            </w:tcBorders>
          </w:tcPr>
          <w:p w14:paraId="3D620B7B" w14:textId="77777777" w:rsidR="00FB76D3" w:rsidRPr="00047EE1" w:rsidRDefault="00FB76D3" w:rsidP="00FB76D3">
            <w:pPr>
              <w:spacing w:after="200" w:line="276" w:lineRule="auto"/>
              <w:contextualSpacing/>
              <w:rPr>
                <w:rFonts w:ascii="Arial" w:eastAsia="Calibri" w:hAnsi="Arial" w:cs="Arial"/>
                <w:sz w:val="24"/>
                <w:szCs w:val="24"/>
                <w:lang w:eastAsia="en-GB"/>
              </w:rPr>
            </w:pPr>
            <w:r w:rsidRPr="00047EE1">
              <w:rPr>
                <w:rFonts w:ascii="Arial" w:eastAsia="Calibri" w:hAnsi="Arial" w:cs="Arial"/>
                <w:sz w:val="24"/>
                <w:szCs w:val="24"/>
                <w:lang w:eastAsia="en-GB"/>
              </w:rPr>
              <w:t>Private</w:t>
            </w:r>
          </w:p>
        </w:tc>
        <w:tc>
          <w:tcPr>
            <w:tcW w:w="1415" w:type="dxa"/>
            <w:tcBorders>
              <w:right w:val="single" w:sz="4" w:space="0" w:color="auto"/>
            </w:tcBorders>
            <w:vAlign w:val="center"/>
          </w:tcPr>
          <w:p w14:paraId="6F5E8D01" w14:textId="57318152"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9</w:t>
            </w:r>
          </w:p>
        </w:tc>
        <w:tc>
          <w:tcPr>
            <w:tcW w:w="1415" w:type="dxa"/>
            <w:tcBorders>
              <w:right w:val="single" w:sz="4" w:space="0" w:color="auto"/>
            </w:tcBorders>
            <w:vAlign w:val="center"/>
          </w:tcPr>
          <w:p w14:paraId="47EDC29B" w14:textId="4691B742"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40.9</w:t>
            </w:r>
            <w:r w:rsidR="00FB76D3" w:rsidRPr="00C92ECE">
              <w:rPr>
                <w:rFonts w:ascii="Arial" w:hAnsi="Arial" w:cs="Arial"/>
                <w:color w:val="000000"/>
                <w:sz w:val="24"/>
                <w:szCs w:val="24"/>
              </w:rPr>
              <w:t>%</w:t>
            </w:r>
          </w:p>
        </w:tc>
        <w:tc>
          <w:tcPr>
            <w:tcW w:w="1077" w:type="dxa"/>
            <w:tcBorders>
              <w:right w:val="single" w:sz="4" w:space="0" w:color="auto"/>
            </w:tcBorders>
          </w:tcPr>
          <w:p w14:paraId="0031B44A" w14:textId="4EA509B8"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-1</w:t>
            </w:r>
          </w:p>
        </w:tc>
        <w:tc>
          <w:tcPr>
            <w:tcW w:w="1415" w:type="dxa"/>
            <w:tcBorders>
              <w:right w:val="single" w:sz="4" w:space="0" w:color="auto"/>
            </w:tcBorders>
            <w:vAlign w:val="center"/>
          </w:tcPr>
          <w:p w14:paraId="18EE1765" w14:textId="2F9A1E22" w:rsidR="00FB76D3" w:rsidRPr="00C92ECE" w:rsidRDefault="00CA547E"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9</w:t>
            </w:r>
          </w:p>
        </w:tc>
        <w:tc>
          <w:tcPr>
            <w:tcW w:w="1415" w:type="dxa"/>
            <w:tcBorders>
              <w:right w:val="single" w:sz="4" w:space="0" w:color="auto"/>
            </w:tcBorders>
            <w:vAlign w:val="center"/>
          </w:tcPr>
          <w:p w14:paraId="2FB10C16" w14:textId="2FFBE422"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40.9</w:t>
            </w:r>
            <w:r w:rsidR="00FB76D3" w:rsidRPr="00C92ECE">
              <w:rPr>
                <w:rFonts w:ascii="Arial" w:hAnsi="Arial" w:cs="Arial"/>
                <w:color w:val="000000"/>
                <w:sz w:val="24"/>
                <w:szCs w:val="24"/>
              </w:rPr>
              <w:t>%</w:t>
            </w:r>
          </w:p>
        </w:tc>
        <w:tc>
          <w:tcPr>
            <w:tcW w:w="1077" w:type="dxa"/>
            <w:tcBorders>
              <w:right w:val="single" w:sz="4" w:space="0" w:color="auto"/>
            </w:tcBorders>
          </w:tcPr>
          <w:p w14:paraId="6AE31173" w14:textId="47A69FB7" w:rsidR="00FB76D3" w:rsidRPr="00C92ECE" w:rsidRDefault="00CA547E"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-2</w:t>
            </w:r>
          </w:p>
        </w:tc>
      </w:tr>
      <w:tr w:rsidR="00FB76D3" w:rsidRPr="00047EE1" w14:paraId="67AE204D" w14:textId="071CB2D8" w:rsidTr="00C92ECE">
        <w:trPr>
          <w:jc w:val="center"/>
        </w:trPr>
        <w:tc>
          <w:tcPr>
            <w:tcW w:w="1207" w:type="dxa"/>
            <w:tcBorders>
              <w:left w:val="single" w:sz="4" w:space="0" w:color="auto"/>
              <w:bottom w:val="single" w:sz="4" w:space="0" w:color="auto"/>
              <w:right w:val="single" w:sz="4" w:space="0" w:color="auto"/>
            </w:tcBorders>
          </w:tcPr>
          <w:p w14:paraId="4840F2BC" w14:textId="77777777" w:rsidR="00FB76D3" w:rsidRPr="00047EE1" w:rsidRDefault="00FB76D3" w:rsidP="00FB76D3">
            <w:pPr>
              <w:spacing w:after="200" w:line="276" w:lineRule="auto"/>
              <w:contextualSpacing/>
              <w:rPr>
                <w:rFonts w:ascii="Arial" w:eastAsia="Calibri" w:hAnsi="Arial" w:cs="Arial"/>
                <w:sz w:val="24"/>
                <w:szCs w:val="24"/>
                <w:lang w:eastAsia="en-GB"/>
              </w:rPr>
            </w:pPr>
            <w:r w:rsidRPr="00047EE1">
              <w:rPr>
                <w:rFonts w:ascii="Arial" w:eastAsia="Calibri" w:hAnsi="Arial" w:cs="Arial"/>
                <w:sz w:val="24"/>
                <w:szCs w:val="24"/>
                <w:lang w:eastAsia="en-GB"/>
              </w:rPr>
              <w:t>Other</w:t>
            </w:r>
          </w:p>
        </w:tc>
        <w:tc>
          <w:tcPr>
            <w:tcW w:w="1415" w:type="dxa"/>
            <w:tcBorders>
              <w:bottom w:val="single" w:sz="4" w:space="0" w:color="auto"/>
              <w:right w:val="single" w:sz="4" w:space="0" w:color="auto"/>
            </w:tcBorders>
            <w:vAlign w:val="center"/>
          </w:tcPr>
          <w:p w14:paraId="3A5DADEF" w14:textId="666A1318"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7</w:t>
            </w:r>
          </w:p>
        </w:tc>
        <w:tc>
          <w:tcPr>
            <w:tcW w:w="1415" w:type="dxa"/>
            <w:tcBorders>
              <w:bottom w:val="single" w:sz="4" w:space="0" w:color="auto"/>
              <w:right w:val="single" w:sz="4" w:space="0" w:color="auto"/>
            </w:tcBorders>
            <w:vAlign w:val="center"/>
          </w:tcPr>
          <w:p w14:paraId="001C41B3" w14:textId="6BD3555A"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31.8</w:t>
            </w:r>
            <w:r w:rsidR="00FB76D3" w:rsidRPr="00C92ECE">
              <w:rPr>
                <w:rFonts w:ascii="Arial" w:hAnsi="Arial" w:cs="Arial"/>
                <w:color w:val="000000"/>
                <w:sz w:val="24"/>
                <w:szCs w:val="24"/>
              </w:rPr>
              <w:t>%</w:t>
            </w:r>
          </w:p>
        </w:tc>
        <w:tc>
          <w:tcPr>
            <w:tcW w:w="1077" w:type="dxa"/>
            <w:tcBorders>
              <w:bottom w:val="single" w:sz="4" w:space="0" w:color="auto"/>
              <w:right w:val="single" w:sz="4" w:space="0" w:color="auto"/>
            </w:tcBorders>
          </w:tcPr>
          <w:p w14:paraId="104EA8DA" w14:textId="0E8B2B0A" w:rsidR="00FB76D3" w:rsidRPr="00C92ECE" w:rsidRDefault="00FB76D3"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-7</w:t>
            </w:r>
          </w:p>
        </w:tc>
        <w:tc>
          <w:tcPr>
            <w:tcW w:w="1415" w:type="dxa"/>
            <w:tcBorders>
              <w:bottom w:val="single" w:sz="4" w:space="0" w:color="auto"/>
              <w:right w:val="single" w:sz="4" w:space="0" w:color="auto"/>
            </w:tcBorders>
            <w:vAlign w:val="center"/>
          </w:tcPr>
          <w:p w14:paraId="45B3E5FE" w14:textId="0D4783C2" w:rsidR="00FB76D3" w:rsidRPr="00C92ECE" w:rsidRDefault="00CA547E" w:rsidP="00FB76D3">
            <w:pPr>
              <w:spacing w:after="200" w:line="276" w:lineRule="auto"/>
              <w:contextualSpacing/>
              <w:jc w:val="center"/>
              <w:rPr>
                <w:rFonts w:ascii="Arial" w:hAnsi="Arial" w:cs="Arial"/>
                <w:color w:val="000000"/>
                <w:sz w:val="24"/>
                <w:szCs w:val="24"/>
              </w:rPr>
            </w:pPr>
            <w:r w:rsidRPr="00C92ECE">
              <w:rPr>
                <w:rFonts w:ascii="Arial" w:eastAsia="Calibri" w:hAnsi="Arial" w:cs="Arial"/>
                <w:sz w:val="24"/>
                <w:szCs w:val="24"/>
                <w:lang w:eastAsia="en-GB"/>
              </w:rPr>
              <w:t>7</w:t>
            </w:r>
          </w:p>
        </w:tc>
        <w:tc>
          <w:tcPr>
            <w:tcW w:w="1415" w:type="dxa"/>
            <w:tcBorders>
              <w:bottom w:val="single" w:sz="4" w:space="0" w:color="auto"/>
              <w:right w:val="single" w:sz="4" w:space="0" w:color="auto"/>
            </w:tcBorders>
            <w:vAlign w:val="center"/>
          </w:tcPr>
          <w:p w14:paraId="7CA5B00A" w14:textId="2C5F0FAD" w:rsidR="00FB76D3" w:rsidRPr="00C92ECE" w:rsidRDefault="0033507D"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31.8</w:t>
            </w:r>
            <w:r w:rsidR="00FB76D3" w:rsidRPr="00C92ECE">
              <w:rPr>
                <w:rFonts w:ascii="Arial" w:hAnsi="Arial" w:cs="Arial"/>
                <w:color w:val="000000"/>
                <w:sz w:val="24"/>
                <w:szCs w:val="24"/>
              </w:rPr>
              <w:t>%</w:t>
            </w:r>
          </w:p>
        </w:tc>
        <w:tc>
          <w:tcPr>
            <w:tcW w:w="1077" w:type="dxa"/>
            <w:tcBorders>
              <w:bottom w:val="single" w:sz="4" w:space="0" w:color="auto"/>
              <w:right w:val="single" w:sz="4" w:space="0" w:color="auto"/>
            </w:tcBorders>
          </w:tcPr>
          <w:p w14:paraId="7305B0B4" w14:textId="56E46678" w:rsidR="00FB76D3" w:rsidRPr="00C92ECE" w:rsidRDefault="00047EE1" w:rsidP="00FB76D3">
            <w:pPr>
              <w:spacing w:after="200" w:line="276" w:lineRule="auto"/>
              <w:contextualSpacing/>
              <w:jc w:val="center"/>
              <w:rPr>
                <w:rFonts w:ascii="Arial" w:hAnsi="Arial" w:cs="Arial"/>
                <w:color w:val="000000"/>
                <w:sz w:val="24"/>
                <w:szCs w:val="24"/>
              </w:rPr>
            </w:pPr>
            <w:r w:rsidRPr="00C92ECE">
              <w:rPr>
                <w:rFonts w:ascii="Arial" w:hAnsi="Arial" w:cs="Arial"/>
                <w:color w:val="000000"/>
                <w:sz w:val="24"/>
                <w:szCs w:val="24"/>
              </w:rPr>
              <w:t>-5</w:t>
            </w:r>
          </w:p>
        </w:tc>
      </w:tr>
      <w:tr w:rsidR="00FB76D3" w:rsidRPr="00B568F3" w14:paraId="057E2EA7" w14:textId="61DDF8E9" w:rsidTr="00C92ECE">
        <w:trPr>
          <w:jc w:val="center"/>
        </w:trPr>
        <w:tc>
          <w:tcPr>
            <w:tcW w:w="1207" w:type="dxa"/>
            <w:tcBorders>
              <w:top w:val="single" w:sz="4" w:space="0" w:color="auto"/>
              <w:left w:val="single" w:sz="4" w:space="0" w:color="auto"/>
              <w:bottom w:val="single" w:sz="4" w:space="0" w:color="auto"/>
              <w:right w:val="single" w:sz="4" w:space="0" w:color="auto"/>
            </w:tcBorders>
          </w:tcPr>
          <w:p w14:paraId="43500AD2" w14:textId="1ECC5834" w:rsidR="00FB76D3" w:rsidRPr="00047EE1" w:rsidRDefault="00FB76D3" w:rsidP="00FB76D3">
            <w:pPr>
              <w:spacing w:after="200" w:line="276" w:lineRule="auto"/>
              <w:contextualSpacing/>
              <w:rPr>
                <w:rFonts w:ascii="Arial" w:eastAsia="Calibri" w:hAnsi="Arial" w:cs="Arial"/>
                <w:b/>
                <w:bCs/>
                <w:sz w:val="24"/>
                <w:szCs w:val="24"/>
                <w:lang w:eastAsia="en-GB"/>
              </w:rPr>
            </w:pPr>
            <w:r w:rsidRPr="00047EE1">
              <w:rPr>
                <w:rFonts w:ascii="Arial" w:eastAsia="Calibri" w:hAnsi="Arial" w:cs="Arial"/>
                <w:b/>
                <w:bCs/>
                <w:sz w:val="24"/>
                <w:szCs w:val="24"/>
                <w:lang w:eastAsia="en-GB"/>
              </w:rPr>
              <w:t>Total</w:t>
            </w:r>
          </w:p>
        </w:tc>
        <w:tc>
          <w:tcPr>
            <w:tcW w:w="1415" w:type="dxa"/>
            <w:tcBorders>
              <w:top w:val="single" w:sz="4" w:space="0" w:color="auto"/>
              <w:bottom w:val="single" w:sz="4" w:space="0" w:color="auto"/>
              <w:right w:val="single" w:sz="4" w:space="0" w:color="auto"/>
            </w:tcBorders>
            <w:vAlign w:val="center"/>
          </w:tcPr>
          <w:p w14:paraId="0AA54F4E" w14:textId="75574E40" w:rsidR="00FB76D3" w:rsidRPr="00C92ECE" w:rsidRDefault="00FB76D3" w:rsidP="00FB76D3">
            <w:pPr>
              <w:spacing w:after="200" w:line="276" w:lineRule="auto"/>
              <w:contextualSpacing/>
              <w:jc w:val="center"/>
              <w:rPr>
                <w:rFonts w:ascii="Arial" w:hAnsi="Arial" w:cs="Arial"/>
                <w:b/>
                <w:bCs/>
                <w:sz w:val="24"/>
                <w:szCs w:val="24"/>
              </w:rPr>
            </w:pPr>
            <w:r w:rsidRPr="00C92ECE">
              <w:rPr>
                <w:rFonts w:ascii="Arial" w:hAnsi="Arial" w:cs="Arial"/>
                <w:b/>
                <w:bCs/>
                <w:sz w:val="24"/>
                <w:szCs w:val="24"/>
              </w:rPr>
              <w:t>10</w:t>
            </w:r>
          </w:p>
        </w:tc>
        <w:tc>
          <w:tcPr>
            <w:tcW w:w="1415" w:type="dxa"/>
            <w:tcBorders>
              <w:top w:val="single" w:sz="4" w:space="0" w:color="auto"/>
              <w:bottom w:val="single" w:sz="4" w:space="0" w:color="auto"/>
              <w:right w:val="single" w:sz="4" w:space="0" w:color="auto"/>
            </w:tcBorders>
            <w:vAlign w:val="center"/>
          </w:tcPr>
          <w:p w14:paraId="76A0B712" w14:textId="3172700A" w:rsidR="00FB76D3" w:rsidRPr="00C92ECE" w:rsidRDefault="0033507D" w:rsidP="00FB76D3">
            <w:pPr>
              <w:spacing w:after="200" w:line="276" w:lineRule="auto"/>
              <w:contextualSpacing/>
              <w:jc w:val="center"/>
              <w:rPr>
                <w:rFonts w:ascii="Arial" w:hAnsi="Arial" w:cs="Arial"/>
                <w:b/>
                <w:bCs/>
                <w:sz w:val="24"/>
                <w:szCs w:val="24"/>
              </w:rPr>
            </w:pPr>
            <w:r w:rsidRPr="00C92ECE">
              <w:rPr>
                <w:rFonts w:ascii="Arial" w:hAnsi="Arial" w:cs="Arial"/>
                <w:b/>
                <w:bCs/>
                <w:sz w:val="24"/>
                <w:szCs w:val="24"/>
              </w:rPr>
              <w:t>45.5</w:t>
            </w:r>
            <w:r w:rsidR="00FB76D3" w:rsidRPr="00C92ECE">
              <w:rPr>
                <w:rFonts w:ascii="Arial" w:hAnsi="Arial" w:cs="Arial"/>
                <w:b/>
                <w:bCs/>
                <w:sz w:val="24"/>
                <w:szCs w:val="24"/>
              </w:rPr>
              <w:t>%</w:t>
            </w:r>
          </w:p>
        </w:tc>
        <w:tc>
          <w:tcPr>
            <w:tcW w:w="1077" w:type="dxa"/>
            <w:tcBorders>
              <w:top w:val="single" w:sz="4" w:space="0" w:color="auto"/>
              <w:bottom w:val="single" w:sz="4" w:space="0" w:color="auto"/>
              <w:right w:val="single" w:sz="4" w:space="0" w:color="auto"/>
            </w:tcBorders>
          </w:tcPr>
          <w:p w14:paraId="4D1C0BF2" w14:textId="1412BD15" w:rsidR="00FB76D3" w:rsidRPr="00C92ECE" w:rsidRDefault="00FB76D3" w:rsidP="00FB76D3">
            <w:pPr>
              <w:spacing w:after="200" w:line="276" w:lineRule="auto"/>
              <w:contextualSpacing/>
              <w:jc w:val="center"/>
              <w:rPr>
                <w:rFonts w:ascii="Arial" w:hAnsi="Arial" w:cs="Arial"/>
                <w:b/>
                <w:bCs/>
                <w:sz w:val="24"/>
                <w:szCs w:val="24"/>
              </w:rPr>
            </w:pPr>
            <w:r w:rsidRPr="00C92ECE">
              <w:rPr>
                <w:rFonts w:ascii="Arial" w:hAnsi="Arial" w:cs="Arial"/>
                <w:b/>
                <w:bCs/>
                <w:sz w:val="24"/>
                <w:szCs w:val="24"/>
              </w:rPr>
              <w:t>-1</w:t>
            </w:r>
          </w:p>
        </w:tc>
        <w:tc>
          <w:tcPr>
            <w:tcW w:w="1415" w:type="dxa"/>
            <w:tcBorders>
              <w:top w:val="single" w:sz="4" w:space="0" w:color="auto"/>
              <w:bottom w:val="single" w:sz="4" w:space="0" w:color="auto"/>
              <w:right w:val="single" w:sz="4" w:space="0" w:color="auto"/>
            </w:tcBorders>
            <w:vAlign w:val="center"/>
          </w:tcPr>
          <w:p w14:paraId="3C5330EB" w14:textId="078E2B79" w:rsidR="00FB76D3" w:rsidRPr="00C92ECE" w:rsidRDefault="00047EE1" w:rsidP="00FB76D3">
            <w:pPr>
              <w:spacing w:after="200" w:line="276" w:lineRule="auto"/>
              <w:contextualSpacing/>
              <w:jc w:val="center"/>
              <w:rPr>
                <w:rFonts w:ascii="Arial" w:hAnsi="Arial" w:cs="Arial"/>
                <w:b/>
                <w:bCs/>
                <w:sz w:val="24"/>
                <w:szCs w:val="24"/>
              </w:rPr>
            </w:pPr>
            <w:r w:rsidRPr="00C92ECE">
              <w:rPr>
                <w:rFonts w:ascii="Arial" w:hAnsi="Arial" w:cs="Arial"/>
                <w:b/>
                <w:bCs/>
                <w:sz w:val="24"/>
                <w:szCs w:val="24"/>
              </w:rPr>
              <w:t>9</w:t>
            </w:r>
          </w:p>
        </w:tc>
        <w:tc>
          <w:tcPr>
            <w:tcW w:w="1415" w:type="dxa"/>
            <w:tcBorders>
              <w:top w:val="single" w:sz="4" w:space="0" w:color="auto"/>
              <w:bottom w:val="single" w:sz="4" w:space="0" w:color="auto"/>
              <w:right w:val="single" w:sz="4" w:space="0" w:color="auto"/>
            </w:tcBorders>
            <w:vAlign w:val="center"/>
          </w:tcPr>
          <w:p w14:paraId="62672ED1" w14:textId="431795F0" w:rsidR="00FB76D3" w:rsidRPr="00C92ECE" w:rsidRDefault="0033507D" w:rsidP="00FB76D3">
            <w:pPr>
              <w:spacing w:after="200" w:line="276" w:lineRule="auto"/>
              <w:contextualSpacing/>
              <w:jc w:val="center"/>
              <w:rPr>
                <w:rFonts w:ascii="Arial" w:hAnsi="Arial" w:cs="Arial"/>
                <w:b/>
                <w:bCs/>
                <w:sz w:val="24"/>
                <w:szCs w:val="24"/>
              </w:rPr>
            </w:pPr>
            <w:r w:rsidRPr="00C92ECE">
              <w:rPr>
                <w:rFonts w:ascii="Arial" w:hAnsi="Arial" w:cs="Arial"/>
                <w:b/>
                <w:bCs/>
                <w:sz w:val="24"/>
                <w:szCs w:val="24"/>
              </w:rPr>
              <w:t>40.9</w:t>
            </w:r>
            <w:r w:rsidR="00FB76D3" w:rsidRPr="00C92ECE">
              <w:rPr>
                <w:rFonts w:ascii="Arial" w:hAnsi="Arial" w:cs="Arial"/>
                <w:b/>
                <w:bCs/>
                <w:sz w:val="24"/>
                <w:szCs w:val="24"/>
              </w:rPr>
              <w:t>%</w:t>
            </w:r>
          </w:p>
        </w:tc>
        <w:tc>
          <w:tcPr>
            <w:tcW w:w="1077" w:type="dxa"/>
            <w:tcBorders>
              <w:top w:val="single" w:sz="4" w:space="0" w:color="auto"/>
              <w:bottom w:val="single" w:sz="4" w:space="0" w:color="auto"/>
              <w:right w:val="single" w:sz="4" w:space="0" w:color="auto"/>
            </w:tcBorders>
          </w:tcPr>
          <w:p w14:paraId="1BA2EBEC" w14:textId="34C0DD5C" w:rsidR="00FB76D3" w:rsidRPr="00C92ECE" w:rsidRDefault="00047EE1" w:rsidP="00FB76D3">
            <w:pPr>
              <w:spacing w:after="200" w:line="276" w:lineRule="auto"/>
              <w:contextualSpacing/>
              <w:jc w:val="center"/>
              <w:rPr>
                <w:rFonts w:ascii="Arial" w:hAnsi="Arial" w:cs="Arial"/>
                <w:b/>
                <w:bCs/>
                <w:sz w:val="24"/>
                <w:szCs w:val="24"/>
              </w:rPr>
            </w:pPr>
            <w:r w:rsidRPr="00C92ECE">
              <w:rPr>
                <w:rFonts w:ascii="Arial" w:hAnsi="Arial" w:cs="Arial"/>
                <w:b/>
                <w:bCs/>
                <w:sz w:val="24"/>
                <w:szCs w:val="24"/>
              </w:rPr>
              <w:t>-1</w:t>
            </w:r>
          </w:p>
        </w:tc>
      </w:tr>
    </w:tbl>
    <w:p w14:paraId="044D863C" w14:textId="77777777" w:rsidR="00BA6292" w:rsidRDefault="00BA6292" w:rsidP="00C92ECE">
      <w:pPr>
        <w:spacing w:after="200" w:line="276" w:lineRule="auto"/>
        <w:ind w:left="567"/>
        <w:contextualSpacing/>
        <w:rPr>
          <w:rFonts w:ascii="Arial" w:eastAsia="Calibri" w:hAnsi="Arial" w:cs="Arial"/>
          <w:sz w:val="24"/>
          <w:szCs w:val="24"/>
          <w:lang w:eastAsia="en-GB"/>
        </w:rPr>
      </w:pPr>
    </w:p>
    <w:p w14:paraId="354EC0B2" w14:textId="342B7867" w:rsidR="00C87615" w:rsidRPr="000B4B52" w:rsidRDefault="00EB2326" w:rsidP="00632461">
      <w:pPr>
        <w:numPr>
          <w:ilvl w:val="0"/>
          <w:numId w:val="6"/>
        </w:numPr>
        <w:spacing w:after="200" w:line="276" w:lineRule="auto"/>
        <w:ind w:left="567" w:hanging="425"/>
        <w:contextualSpacing/>
        <w:rPr>
          <w:rFonts w:ascii="Arial" w:eastAsia="Calibri" w:hAnsi="Arial" w:cs="Arial"/>
          <w:sz w:val="24"/>
          <w:szCs w:val="24"/>
          <w:lang w:eastAsia="en-GB"/>
        </w:rPr>
      </w:pPr>
      <w:r w:rsidRPr="000B4B52">
        <w:rPr>
          <w:rFonts w:ascii="Arial" w:eastAsia="Calibri" w:hAnsi="Arial" w:cs="Arial"/>
          <w:sz w:val="24"/>
          <w:szCs w:val="24"/>
          <w:lang w:eastAsia="en-GB"/>
        </w:rPr>
        <w:t xml:space="preserve">Informal </w:t>
      </w:r>
      <w:r w:rsidR="005C4D26" w:rsidRPr="00C92ECE">
        <w:rPr>
          <w:rFonts w:ascii="Arial" w:eastAsia="Calibri" w:hAnsi="Arial" w:cs="Arial"/>
          <w:sz w:val="24"/>
          <w:szCs w:val="24"/>
          <w:lang w:eastAsia="en-GB"/>
        </w:rPr>
        <w:t xml:space="preserve">feedback </w:t>
      </w:r>
      <w:r w:rsidR="00B8366A" w:rsidRPr="000B4B52">
        <w:rPr>
          <w:rFonts w:ascii="Arial" w:eastAsia="Calibri" w:hAnsi="Arial" w:cs="Arial"/>
          <w:sz w:val="24"/>
          <w:szCs w:val="24"/>
          <w:lang w:eastAsia="en-GB"/>
        </w:rPr>
        <w:t xml:space="preserve">from the </w:t>
      </w:r>
      <w:r w:rsidR="0053566C" w:rsidRPr="000B4B52">
        <w:rPr>
          <w:rFonts w:ascii="Arial" w:eastAsia="Calibri" w:hAnsi="Arial" w:cs="Arial"/>
          <w:sz w:val="24"/>
          <w:szCs w:val="24"/>
          <w:lang w:eastAsia="en-GB"/>
        </w:rPr>
        <w:t xml:space="preserve">local authorities </w:t>
      </w:r>
      <w:r w:rsidR="00BF4F07" w:rsidRPr="00C92ECE">
        <w:rPr>
          <w:rFonts w:ascii="Arial" w:eastAsia="Calibri" w:hAnsi="Arial" w:cs="Arial"/>
          <w:sz w:val="24"/>
          <w:szCs w:val="24"/>
          <w:lang w:eastAsia="en-GB"/>
        </w:rPr>
        <w:t xml:space="preserve">suggests that the </w:t>
      </w:r>
      <w:r w:rsidR="0053566C" w:rsidRPr="000B4B52">
        <w:rPr>
          <w:rFonts w:ascii="Arial" w:eastAsia="Calibri" w:hAnsi="Arial" w:cs="Arial"/>
          <w:sz w:val="24"/>
          <w:szCs w:val="24"/>
          <w:lang w:eastAsia="en-GB"/>
        </w:rPr>
        <w:t xml:space="preserve">decline </w:t>
      </w:r>
      <w:r w:rsidR="00F45873" w:rsidRPr="000B4B52">
        <w:rPr>
          <w:rFonts w:ascii="Arial" w:eastAsia="Calibri" w:hAnsi="Arial" w:cs="Arial"/>
          <w:sz w:val="24"/>
          <w:szCs w:val="24"/>
          <w:lang w:eastAsia="en-GB"/>
        </w:rPr>
        <w:t xml:space="preserve">in training places booked </w:t>
      </w:r>
      <w:r w:rsidR="003846E0">
        <w:rPr>
          <w:rFonts w:ascii="Arial" w:eastAsia="Calibri" w:hAnsi="Arial" w:cs="Arial"/>
          <w:sz w:val="24"/>
          <w:szCs w:val="24"/>
          <w:lang w:eastAsia="en-GB"/>
        </w:rPr>
        <w:t>is linked to several ongoing factors</w:t>
      </w:r>
      <w:r w:rsidR="001352AE" w:rsidRPr="000B4B52">
        <w:rPr>
          <w:rFonts w:ascii="Arial" w:eastAsia="Calibri" w:hAnsi="Arial" w:cs="Arial"/>
          <w:sz w:val="24"/>
          <w:szCs w:val="24"/>
          <w:lang w:eastAsia="en-GB"/>
        </w:rPr>
        <w:t>:</w:t>
      </w:r>
    </w:p>
    <w:p w14:paraId="327B214F" w14:textId="77777777" w:rsidR="00936CF4" w:rsidRPr="000B4B52" w:rsidRDefault="00936CF4" w:rsidP="00C92ECE">
      <w:pPr>
        <w:spacing w:after="0" w:line="276" w:lineRule="auto"/>
        <w:ind w:left="709"/>
        <w:contextualSpacing/>
        <w:rPr>
          <w:rFonts w:ascii="Arial" w:eastAsia="Calibri" w:hAnsi="Arial" w:cs="Arial"/>
          <w:sz w:val="24"/>
          <w:szCs w:val="24"/>
          <w:lang w:eastAsia="en-GB"/>
        </w:rPr>
      </w:pPr>
    </w:p>
    <w:p w14:paraId="0A942713" w14:textId="272E8D62" w:rsidR="000B0232" w:rsidRPr="00C92ECE" w:rsidRDefault="003B0B76"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s</w:t>
      </w:r>
      <w:r w:rsidR="00404F9C" w:rsidRPr="00C92ECE">
        <w:rPr>
          <w:rFonts w:asciiTheme="minorBidi" w:hAnsiTheme="minorBidi"/>
          <w:sz w:val="24"/>
          <w:szCs w:val="24"/>
        </w:rPr>
        <w:t xml:space="preserve">ervice pressures and </w:t>
      </w:r>
      <w:r w:rsidR="003846E0" w:rsidRPr="00C92ECE">
        <w:rPr>
          <w:rFonts w:asciiTheme="minorBidi" w:hAnsiTheme="minorBidi"/>
          <w:sz w:val="24"/>
          <w:szCs w:val="24"/>
        </w:rPr>
        <w:t xml:space="preserve">difficulties </w:t>
      </w:r>
      <w:r w:rsidR="00404F9C" w:rsidRPr="00C92ECE">
        <w:rPr>
          <w:rFonts w:asciiTheme="minorBidi" w:hAnsiTheme="minorBidi"/>
          <w:sz w:val="24"/>
          <w:szCs w:val="24"/>
        </w:rPr>
        <w:t>in releasing staff for training beyond mandatory re</w:t>
      </w:r>
      <w:r w:rsidR="005D0DCD" w:rsidRPr="00C92ECE">
        <w:rPr>
          <w:rFonts w:asciiTheme="minorBidi" w:hAnsiTheme="minorBidi"/>
          <w:sz w:val="24"/>
          <w:szCs w:val="24"/>
        </w:rPr>
        <w:t>quirements</w:t>
      </w:r>
      <w:r w:rsidR="008E5AC2" w:rsidRPr="00C92ECE">
        <w:rPr>
          <w:rFonts w:asciiTheme="minorBidi" w:hAnsiTheme="minorBidi"/>
          <w:sz w:val="24"/>
          <w:szCs w:val="24"/>
        </w:rPr>
        <w:t xml:space="preserve"> </w:t>
      </w:r>
      <w:r w:rsidR="002D7D94">
        <w:rPr>
          <w:rFonts w:asciiTheme="minorBidi" w:hAnsiTheme="minorBidi"/>
          <w:sz w:val="24"/>
          <w:szCs w:val="24"/>
        </w:rPr>
        <w:t xml:space="preserve">is </w:t>
      </w:r>
      <w:r w:rsidR="00993096">
        <w:rPr>
          <w:rFonts w:asciiTheme="minorBidi" w:hAnsiTheme="minorBidi"/>
          <w:sz w:val="24"/>
          <w:szCs w:val="24"/>
        </w:rPr>
        <w:t xml:space="preserve">still </w:t>
      </w:r>
      <w:r w:rsidR="00993096" w:rsidRPr="00C92ECE">
        <w:rPr>
          <w:rFonts w:asciiTheme="minorBidi" w:hAnsiTheme="minorBidi"/>
          <w:sz w:val="24"/>
          <w:szCs w:val="24"/>
        </w:rPr>
        <w:t>a</w:t>
      </w:r>
      <w:r w:rsidR="008E5AC2" w:rsidRPr="00C92ECE">
        <w:rPr>
          <w:rFonts w:asciiTheme="minorBidi" w:hAnsiTheme="minorBidi"/>
          <w:sz w:val="24"/>
          <w:szCs w:val="24"/>
        </w:rPr>
        <w:t xml:space="preserve"> key barrier</w:t>
      </w:r>
      <w:r w:rsidR="005D0DCD" w:rsidRPr="00C92ECE">
        <w:rPr>
          <w:rFonts w:asciiTheme="minorBidi" w:hAnsiTheme="minorBidi"/>
          <w:sz w:val="24"/>
          <w:szCs w:val="24"/>
        </w:rPr>
        <w:t xml:space="preserve">. This </w:t>
      </w:r>
      <w:r w:rsidR="008E5AC2" w:rsidRPr="00C92ECE">
        <w:rPr>
          <w:rFonts w:asciiTheme="minorBidi" w:hAnsiTheme="minorBidi"/>
          <w:sz w:val="24"/>
          <w:szCs w:val="24"/>
        </w:rPr>
        <w:t xml:space="preserve">reflects the </w:t>
      </w:r>
      <w:r w:rsidR="00AA5364" w:rsidRPr="00C92ECE">
        <w:rPr>
          <w:rFonts w:asciiTheme="minorBidi" w:hAnsiTheme="minorBidi"/>
          <w:sz w:val="24"/>
          <w:szCs w:val="24"/>
        </w:rPr>
        <w:t xml:space="preserve">recruitment and retention </w:t>
      </w:r>
      <w:r w:rsidR="008E5AC2" w:rsidRPr="00C92ECE">
        <w:rPr>
          <w:rFonts w:asciiTheme="minorBidi" w:hAnsiTheme="minorBidi"/>
          <w:sz w:val="24"/>
          <w:szCs w:val="24"/>
        </w:rPr>
        <w:t>challenges a</w:t>
      </w:r>
      <w:r w:rsidRPr="00C92ECE">
        <w:rPr>
          <w:rFonts w:asciiTheme="minorBidi" w:hAnsiTheme="minorBidi"/>
          <w:sz w:val="24"/>
          <w:szCs w:val="24"/>
        </w:rPr>
        <w:t xml:space="preserve">cross </w:t>
      </w:r>
      <w:r w:rsidR="00AA5364" w:rsidRPr="00C92ECE">
        <w:rPr>
          <w:rFonts w:asciiTheme="minorBidi" w:hAnsiTheme="minorBidi"/>
          <w:sz w:val="24"/>
          <w:szCs w:val="24"/>
        </w:rPr>
        <w:t>social care</w:t>
      </w:r>
      <w:r w:rsidRPr="00C92ECE">
        <w:rPr>
          <w:rFonts w:asciiTheme="minorBidi" w:hAnsiTheme="minorBidi"/>
          <w:sz w:val="24"/>
          <w:szCs w:val="24"/>
        </w:rPr>
        <w:t xml:space="preserve"> </w:t>
      </w:r>
    </w:p>
    <w:p w14:paraId="6EDBEF44" w14:textId="77777777" w:rsidR="00936CF4" w:rsidRPr="00C92ECE" w:rsidRDefault="00936CF4" w:rsidP="00C92ECE">
      <w:pPr>
        <w:spacing w:after="200" w:line="276" w:lineRule="auto"/>
        <w:ind w:left="993"/>
        <w:contextualSpacing/>
        <w:rPr>
          <w:rFonts w:asciiTheme="minorBidi" w:hAnsiTheme="minorBidi"/>
          <w:sz w:val="24"/>
          <w:szCs w:val="24"/>
        </w:rPr>
      </w:pPr>
    </w:p>
    <w:p w14:paraId="63313D91" w14:textId="33A443A0" w:rsidR="00E013F4" w:rsidRPr="00C92ECE" w:rsidRDefault="00DA23D2" w:rsidP="00C92ECE">
      <w:pPr>
        <w:numPr>
          <w:ilvl w:val="1"/>
          <w:numId w:val="6"/>
        </w:numPr>
        <w:spacing w:after="200" w:line="276" w:lineRule="auto"/>
        <w:ind w:left="993" w:hanging="426"/>
        <w:contextualSpacing/>
        <w:rPr>
          <w:rFonts w:asciiTheme="minorBidi" w:hAnsiTheme="minorBidi"/>
          <w:sz w:val="24"/>
          <w:szCs w:val="24"/>
        </w:rPr>
      </w:pPr>
      <w:r>
        <w:rPr>
          <w:rFonts w:asciiTheme="minorBidi" w:hAnsiTheme="minorBidi"/>
          <w:sz w:val="24"/>
          <w:szCs w:val="24"/>
        </w:rPr>
        <w:t>more training is moving to</w:t>
      </w:r>
      <w:r w:rsidR="008E5AC2" w:rsidRPr="00C92ECE">
        <w:rPr>
          <w:rFonts w:asciiTheme="minorBidi" w:hAnsiTheme="minorBidi"/>
          <w:sz w:val="24"/>
          <w:szCs w:val="24"/>
        </w:rPr>
        <w:t xml:space="preserve"> e-</w:t>
      </w:r>
      <w:r w:rsidR="000856F4" w:rsidRPr="00C92ECE">
        <w:rPr>
          <w:rFonts w:asciiTheme="minorBidi" w:hAnsiTheme="minorBidi"/>
          <w:sz w:val="24"/>
          <w:szCs w:val="24"/>
        </w:rPr>
        <w:t>learning</w:t>
      </w:r>
      <w:r w:rsidR="00652949">
        <w:rPr>
          <w:rFonts w:asciiTheme="minorBidi" w:hAnsiTheme="minorBidi"/>
          <w:sz w:val="24"/>
          <w:szCs w:val="24"/>
        </w:rPr>
        <w:t>, but</w:t>
      </w:r>
      <w:r w:rsidR="000856F4" w:rsidRPr="00C92ECE">
        <w:rPr>
          <w:rFonts w:asciiTheme="minorBidi" w:hAnsiTheme="minorBidi"/>
          <w:sz w:val="24"/>
          <w:szCs w:val="24"/>
        </w:rPr>
        <w:t xml:space="preserve"> workforce development teams </w:t>
      </w:r>
      <w:r w:rsidR="00652949">
        <w:rPr>
          <w:rFonts w:asciiTheme="minorBidi" w:hAnsiTheme="minorBidi"/>
          <w:sz w:val="24"/>
          <w:szCs w:val="24"/>
        </w:rPr>
        <w:t>won’t always know</w:t>
      </w:r>
      <w:r w:rsidR="000856F4" w:rsidRPr="00C92ECE">
        <w:rPr>
          <w:rFonts w:asciiTheme="minorBidi" w:hAnsiTheme="minorBidi"/>
          <w:sz w:val="24"/>
          <w:szCs w:val="24"/>
        </w:rPr>
        <w:t xml:space="preserve"> when training has been completed</w:t>
      </w:r>
      <w:r w:rsidR="007369D7" w:rsidRPr="00C92ECE">
        <w:rPr>
          <w:rFonts w:asciiTheme="minorBidi" w:hAnsiTheme="minorBidi"/>
          <w:sz w:val="24"/>
          <w:szCs w:val="24"/>
        </w:rPr>
        <w:t xml:space="preserve">, </w:t>
      </w:r>
      <w:r w:rsidR="00FA19F8">
        <w:rPr>
          <w:rFonts w:asciiTheme="minorBidi" w:hAnsiTheme="minorBidi"/>
          <w:sz w:val="24"/>
          <w:szCs w:val="24"/>
        </w:rPr>
        <w:t xml:space="preserve">such </w:t>
      </w:r>
      <w:r w:rsidR="00CC06D2" w:rsidRPr="00C92ECE">
        <w:rPr>
          <w:rFonts w:asciiTheme="minorBidi" w:hAnsiTheme="minorBidi"/>
          <w:sz w:val="24"/>
          <w:szCs w:val="24"/>
        </w:rPr>
        <w:t xml:space="preserve">as </w:t>
      </w:r>
      <w:r w:rsidR="003E0D31">
        <w:rPr>
          <w:rFonts w:asciiTheme="minorBidi" w:hAnsiTheme="minorBidi"/>
          <w:sz w:val="24"/>
          <w:szCs w:val="24"/>
        </w:rPr>
        <w:t xml:space="preserve">staff who complete </w:t>
      </w:r>
      <w:r w:rsidR="00CC06D2" w:rsidRPr="00C92ECE">
        <w:rPr>
          <w:rFonts w:asciiTheme="minorBidi" w:hAnsiTheme="minorBidi"/>
          <w:sz w:val="24"/>
          <w:szCs w:val="24"/>
        </w:rPr>
        <w:t xml:space="preserve">our </w:t>
      </w:r>
      <w:r w:rsidR="00EE4F8E" w:rsidRPr="00C92ECE">
        <w:rPr>
          <w:rFonts w:asciiTheme="minorBidi" w:hAnsiTheme="minorBidi"/>
          <w:sz w:val="24"/>
          <w:szCs w:val="24"/>
        </w:rPr>
        <w:t xml:space="preserve">learning modules </w:t>
      </w:r>
      <w:r w:rsidR="00327DDB" w:rsidRPr="00C92ECE">
        <w:rPr>
          <w:rFonts w:asciiTheme="minorBidi" w:hAnsiTheme="minorBidi"/>
          <w:sz w:val="24"/>
          <w:szCs w:val="24"/>
        </w:rPr>
        <w:t>or</w:t>
      </w:r>
      <w:r w:rsidR="00AE3D33" w:rsidRPr="00C92ECE">
        <w:rPr>
          <w:rFonts w:asciiTheme="minorBidi" w:hAnsiTheme="minorBidi"/>
          <w:sz w:val="24"/>
          <w:szCs w:val="24"/>
        </w:rPr>
        <w:t xml:space="preserve"> </w:t>
      </w:r>
      <w:r w:rsidR="00C130BE" w:rsidRPr="00C92ECE">
        <w:rPr>
          <w:rFonts w:asciiTheme="minorBidi" w:hAnsiTheme="minorBidi"/>
          <w:sz w:val="24"/>
          <w:szCs w:val="24"/>
        </w:rPr>
        <w:t>HEIW</w:t>
      </w:r>
      <w:r w:rsidR="00327DDB" w:rsidRPr="00C92ECE">
        <w:rPr>
          <w:rFonts w:asciiTheme="minorBidi" w:hAnsiTheme="minorBidi"/>
          <w:sz w:val="24"/>
          <w:szCs w:val="24"/>
        </w:rPr>
        <w:t>’s Ty Dysgu</w:t>
      </w:r>
      <w:r w:rsidR="00C130BE" w:rsidRPr="00C92ECE">
        <w:rPr>
          <w:rFonts w:asciiTheme="minorBidi" w:hAnsiTheme="minorBidi"/>
          <w:sz w:val="24"/>
          <w:szCs w:val="24"/>
        </w:rPr>
        <w:t xml:space="preserve"> </w:t>
      </w:r>
      <w:r w:rsidR="0079232A" w:rsidRPr="00C92ECE">
        <w:rPr>
          <w:rFonts w:asciiTheme="minorBidi" w:hAnsiTheme="minorBidi"/>
          <w:sz w:val="24"/>
          <w:szCs w:val="24"/>
        </w:rPr>
        <w:t>platform</w:t>
      </w:r>
      <w:r w:rsidR="00CC06D2" w:rsidRPr="00C92ECE">
        <w:rPr>
          <w:rFonts w:asciiTheme="minorBidi" w:hAnsiTheme="minorBidi"/>
          <w:sz w:val="24"/>
          <w:szCs w:val="24"/>
        </w:rPr>
        <w:t xml:space="preserve">. </w:t>
      </w:r>
      <w:proofErr w:type="gramStart"/>
      <w:r w:rsidR="00EF6FFC">
        <w:rPr>
          <w:rFonts w:asciiTheme="minorBidi" w:hAnsiTheme="minorBidi"/>
          <w:sz w:val="24"/>
          <w:szCs w:val="24"/>
        </w:rPr>
        <w:t>So</w:t>
      </w:r>
      <w:proofErr w:type="gramEnd"/>
      <w:r w:rsidR="00EF6FFC">
        <w:rPr>
          <w:rFonts w:asciiTheme="minorBidi" w:hAnsiTheme="minorBidi"/>
          <w:sz w:val="24"/>
          <w:szCs w:val="24"/>
        </w:rPr>
        <w:t xml:space="preserve"> this isn’t always shown in the</w:t>
      </w:r>
      <w:r w:rsidR="00EA6684" w:rsidRPr="00C92ECE">
        <w:rPr>
          <w:rFonts w:asciiTheme="minorBidi" w:hAnsiTheme="minorBidi"/>
          <w:sz w:val="24"/>
          <w:szCs w:val="24"/>
        </w:rPr>
        <w:t xml:space="preserve"> reported data.</w:t>
      </w:r>
    </w:p>
    <w:p w14:paraId="408450C7" w14:textId="77777777" w:rsidR="00936CF4" w:rsidRPr="00C92ECE" w:rsidRDefault="00936CF4" w:rsidP="00C92ECE">
      <w:pPr>
        <w:spacing w:after="200" w:line="276" w:lineRule="auto"/>
        <w:ind w:left="993"/>
        <w:contextualSpacing/>
        <w:rPr>
          <w:rFonts w:asciiTheme="minorBidi" w:hAnsiTheme="minorBidi"/>
          <w:sz w:val="24"/>
          <w:szCs w:val="24"/>
        </w:rPr>
      </w:pPr>
    </w:p>
    <w:p w14:paraId="3FD733DF" w14:textId="32A8421E" w:rsidR="009B11B2" w:rsidRPr="00C92ECE" w:rsidRDefault="00E12670"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s</w:t>
      </w:r>
      <w:r w:rsidR="00DA7690" w:rsidRPr="00C92ECE">
        <w:rPr>
          <w:rFonts w:asciiTheme="minorBidi" w:hAnsiTheme="minorBidi"/>
          <w:sz w:val="24"/>
          <w:szCs w:val="24"/>
        </w:rPr>
        <w:t>ome</w:t>
      </w:r>
      <w:r w:rsidR="007D2401" w:rsidRPr="00C92ECE">
        <w:rPr>
          <w:rFonts w:asciiTheme="minorBidi" w:hAnsiTheme="minorBidi"/>
          <w:sz w:val="24"/>
          <w:szCs w:val="24"/>
        </w:rPr>
        <w:t xml:space="preserve"> providers </w:t>
      </w:r>
      <w:r w:rsidR="00285B71" w:rsidRPr="00C92ECE">
        <w:rPr>
          <w:rFonts w:asciiTheme="minorBidi" w:hAnsiTheme="minorBidi"/>
          <w:sz w:val="24"/>
          <w:szCs w:val="24"/>
        </w:rPr>
        <w:t>use</w:t>
      </w:r>
      <w:r w:rsidR="007D2401" w:rsidRPr="00C92ECE">
        <w:rPr>
          <w:rFonts w:asciiTheme="minorBidi" w:hAnsiTheme="minorBidi"/>
          <w:sz w:val="24"/>
          <w:szCs w:val="24"/>
        </w:rPr>
        <w:t xml:space="preserve"> </w:t>
      </w:r>
      <w:r w:rsidR="00EA42DF" w:rsidRPr="00C92ECE">
        <w:rPr>
          <w:rFonts w:asciiTheme="minorBidi" w:hAnsiTheme="minorBidi"/>
          <w:sz w:val="24"/>
          <w:szCs w:val="24"/>
        </w:rPr>
        <w:t xml:space="preserve">their own digital </w:t>
      </w:r>
      <w:r w:rsidR="006B7E2A">
        <w:rPr>
          <w:rFonts w:asciiTheme="minorBidi" w:hAnsiTheme="minorBidi"/>
          <w:sz w:val="24"/>
          <w:szCs w:val="24"/>
        </w:rPr>
        <w:t>alternatives which they’ve sourced and manage</w:t>
      </w:r>
      <w:r w:rsidR="0005273F" w:rsidRPr="00C92ECE">
        <w:rPr>
          <w:rFonts w:asciiTheme="minorBidi" w:hAnsiTheme="minorBidi"/>
          <w:sz w:val="24"/>
          <w:szCs w:val="24"/>
        </w:rPr>
        <w:t xml:space="preserve">, </w:t>
      </w:r>
      <w:r w:rsidR="00032F1F" w:rsidRPr="00C92ECE">
        <w:rPr>
          <w:rFonts w:asciiTheme="minorBidi" w:hAnsiTheme="minorBidi"/>
          <w:sz w:val="24"/>
          <w:szCs w:val="24"/>
        </w:rPr>
        <w:t>and it’s not possible to track this external data</w:t>
      </w:r>
    </w:p>
    <w:p w14:paraId="3D77FC87" w14:textId="77777777" w:rsidR="00936CF4" w:rsidRPr="00C92ECE" w:rsidRDefault="00936CF4" w:rsidP="00C92ECE">
      <w:pPr>
        <w:spacing w:after="200" w:line="276" w:lineRule="auto"/>
        <w:ind w:left="993"/>
        <w:contextualSpacing/>
        <w:rPr>
          <w:rFonts w:asciiTheme="minorBidi" w:hAnsiTheme="minorBidi"/>
          <w:sz w:val="24"/>
          <w:szCs w:val="24"/>
        </w:rPr>
      </w:pPr>
    </w:p>
    <w:p w14:paraId="497C4168" w14:textId="5DB00B04" w:rsidR="0029470F" w:rsidRPr="00C92ECE" w:rsidRDefault="0005273F"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 xml:space="preserve">larger private providers often have </w:t>
      </w:r>
      <w:r w:rsidR="00662870">
        <w:rPr>
          <w:rFonts w:asciiTheme="minorBidi" w:hAnsiTheme="minorBidi"/>
          <w:sz w:val="24"/>
          <w:szCs w:val="24"/>
        </w:rPr>
        <w:t>their own</w:t>
      </w:r>
      <w:r w:rsidRPr="00C92ECE">
        <w:rPr>
          <w:rFonts w:asciiTheme="minorBidi" w:hAnsiTheme="minorBidi"/>
          <w:sz w:val="24"/>
          <w:szCs w:val="24"/>
        </w:rPr>
        <w:t xml:space="preserve"> training departments and facilities</w:t>
      </w:r>
      <w:r w:rsidR="00845688" w:rsidRPr="00C92ECE">
        <w:rPr>
          <w:rFonts w:asciiTheme="minorBidi" w:hAnsiTheme="minorBidi"/>
          <w:sz w:val="24"/>
          <w:szCs w:val="24"/>
        </w:rPr>
        <w:t xml:space="preserve">, </w:t>
      </w:r>
      <w:r w:rsidR="00662870">
        <w:rPr>
          <w:rFonts w:asciiTheme="minorBidi" w:hAnsiTheme="minorBidi"/>
          <w:sz w:val="24"/>
          <w:szCs w:val="24"/>
        </w:rPr>
        <w:t xml:space="preserve">so don’t rely </w:t>
      </w:r>
      <w:r w:rsidR="00845688" w:rsidRPr="00C92ECE">
        <w:rPr>
          <w:rFonts w:asciiTheme="minorBidi" w:hAnsiTheme="minorBidi"/>
          <w:sz w:val="24"/>
          <w:szCs w:val="24"/>
        </w:rPr>
        <w:t>on workforce development teams</w:t>
      </w:r>
      <w:r w:rsidR="00575D6C">
        <w:rPr>
          <w:rFonts w:asciiTheme="minorBidi" w:hAnsiTheme="minorBidi"/>
          <w:sz w:val="24"/>
          <w:szCs w:val="24"/>
        </w:rPr>
        <w:t>. This also</w:t>
      </w:r>
      <w:r w:rsidR="00D50649" w:rsidRPr="00C92ECE">
        <w:rPr>
          <w:rFonts w:asciiTheme="minorBidi" w:hAnsiTheme="minorBidi"/>
          <w:sz w:val="24"/>
          <w:szCs w:val="24"/>
        </w:rPr>
        <w:t xml:space="preserve"> </w:t>
      </w:r>
      <w:r w:rsidR="00993096" w:rsidRPr="00C92ECE">
        <w:rPr>
          <w:rFonts w:asciiTheme="minorBidi" w:hAnsiTheme="minorBidi"/>
          <w:sz w:val="24"/>
          <w:szCs w:val="24"/>
        </w:rPr>
        <w:t>contribute</w:t>
      </w:r>
      <w:r w:rsidR="00993096">
        <w:rPr>
          <w:rFonts w:asciiTheme="minorBidi" w:hAnsiTheme="minorBidi"/>
          <w:sz w:val="24"/>
          <w:szCs w:val="24"/>
        </w:rPr>
        <w:t>s</w:t>
      </w:r>
      <w:r w:rsidR="00D50649" w:rsidRPr="00C92ECE">
        <w:rPr>
          <w:rFonts w:asciiTheme="minorBidi" w:hAnsiTheme="minorBidi"/>
          <w:sz w:val="24"/>
          <w:szCs w:val="24"/>
        </w:rPr>
        <w:t xml:space="preserve"> to gaps in reported data</w:t>
      </w:r>
    </w:p>
    <w:p w14:paraId="7F899CF5" w14:textId="77777777" w:rsidR="00936CF4" w:rsidRPr="00C92ECE" w:rsidRDefault="00936CF4" w:rsidP="00C92ECE">
      <w:pPr>
        <w:spacing w:after="200" w:line="276" w:lineRule="auto"/>
        <w:ind w:left="993"/>
        <w:contextualSpacing/>
        <w:rPr>
          <w:rFonts w:asciiTheme="minorBidi" w:hAnsiTheme="minorBidi"/>
          <w:sz w:val="24"/>
          <w:szCs w:val="24"/>
        </w:rPr>
      </w:pPr>
    </w:p>
    <w:p w14:paraId="6C5FC81D" w14:textId="5D368375" w:rsidR="00881ED4" w:rsidRPr="00C92ECE" w:rsidRDefault="000D2EA3" w:rsidP="00C92ECE">
      <w:pPr>
        <w:numPr>
          <w:ilvl w:val="1"/>
          <w:numId w:val="6"/>
        </w:numPr>
        <w:spacing w:after="200" w:line="276" w:lineRule="auto"/>
        <w:ind w:left="993" w:hanging="426"/>
        <w:contextualSpacing/>
        <w:rPr>
          <w:rFonts w:asciiTheme="minorBidi" w:hAnsiTheme="minorBidi"/>
          <w:sz w:val="24"/>
          <w:szCs w:val="24"/>
        </w:rPr>
      </w:pPr>
      <w:r w:rsidRPr="00C92ECE">
        <w:rPr>
          <w:rFonts w:asciiTheme="minorBidi" w:hAnsiTheme="minorBidi"/>
          <w:sz w:val="24"/>
          <w:szCs w:val="24"/>
        </w:rPr>
        <w:t>i</w:t>
      </w:r>
      <w:r w:rsidR="008A6228" w:rsidRPr="00C92ECE">
        <w:rPr>
          <w:rFonts w:asciiTheme="minorBidi" w:hAnsiTheme="minorBidi"/>
          <w:sz w:val="24"/>
          <w:szCs w:val="24"/>
        </w:rPr>
        <w:t>n</w:t>
      </w:r>
      <w:r w:rsidR="00881ED4" w:rsidRPr="00C92ECE">
        <w:rPr>
          <w:rFonts w:asciiTheme="minorBidi" w:hAnsiTheme="minorBidi"/>
          <w:sz w:val="24"/>
          <w:szCs w:val="24"/>
        </w:rPr>
        <w:t xml:space="preserve"> statutory services</w:t>
      </w:r>
      <w:r w:rsidR="004424D7" w:rsidRPr="00C92ECE">
        <w:rPr>
          <w:rFonts w:asciiTheme="minorBidi" w:hAnsiTheme="minorBidi"/>
          <w:sz w:val="24"/>
          <w:szCs w:val="24"/>
        </w:rPr>
        <w:t xml:space="preserve">, some </w:t>
      </w:r>
      <w:r w:rsidR="006C5AF4">
        <w:rPr>
          <w:rFonts w:asciiTheme="minorBidi" w:hAnsiTheme="minorBidi"/>
          <w:sz w:val="24"/>
          <w:szCs w:val="24"/>
        </w:rPr>
        <w:t>workers access</w:t>
      </w:r>
      <w:r w:rsidR="008027AA">
        <w:rPr>
          <w:rFonts w:asciiTheme="minorBidi" w:hAnsiTheme="minorBidi"/>
          <w:sz w:val="24"/>
          <w:szCs w:val="24"/>
        </w:rPr>
        <w:t xml:space="preserve"> </w:t>
      </w:r>
      <w:r w:rsidR="004424D7" w:rsidRPr="00C92ECE">
        <w:rPr>
          <w:rFonts w:asciiTheme="minorBidi" w:hAnsiTheme="minorBidi"/>
          <w:sz w:val="24"/>
          <w:szCs w:val="24"/>
        </w:rPr>
        <w:t xml:space="preserve">learning and development </w:t>
      </w:r>
      <w:r w:rsidR="000B4B52" w:rsidRPr="00C92ECE">
        <w:rPr>
          <w:rFonts w:asciiTheme="minorBidi" w:hAnsiTheme="minorBidi"/>
          <w:sz w:val="24"/>
          <w:szCs w:val="24"/>
        </w:rPr>
        <w:t>activity</w:t>
      </w:r>
      <w:r w:rsidR="004424D7" w:rsidRPr="00C92ECE">
        <w:rPr>
          <w:rFonts w:asciiTheme="minorBidi" w:hAnsiTheme="minorBidi"/>
          <w:sz w:val="24"/>
          <w:szCs w:val="24"/>
        </w:rPr>
        <w:t xml:space="preserve"> </w:t>
      </w:r>
      <w:r w:rsidR="008027AA">
        <w:rPr>
          <w:rFonts w:asciiTheme="minorBidi" w:hAnsiTheme="minorBidi"/>
          <w:sz w:val="24"/>
          <w:szCs w:val="24"/>
        </w:rPr>
        <w:t xml:space="preserve">that </w:t>
      </w:r>
      <w:r w:rsidR="004424D7" w:rsidRPr="00C92ECE">
        <w:rPr>
          <w:rFonts w:asciiTheme="minorBidi" w:hAnsiTheme="minorBidi"/>
          <w:sz w:val="24"/>
          <w:szCs w:val="24"/>
        </w:rPr>
        <w:t xml:space="preserve">has </w:t>
      </w:r>
      <w:r w:rsidR="008027AA">
        <w:rPr>
          <w:rFonts w:asciiTheme="minorBidi" w:hAnsiTheme="minorBidi"/>
          <w:sz w:val="24"/>
          <w:szCs w:val="24"/>
        </w:rPr>
        <w:t xml:space="preserve">moved </w:t>
      </w:r>
      <w:r w:rsidR="00993096">
        <w:rPr>
          <w:rFonts w:asciiTheme="minorBidi" w:hAnsiTheme="minorBidi"/>
          <w:sz w:val="24"/>
          <w:szCs w:val="24"/>
        </w:rPr>
        <w:t xml:space="preserve">to </w:t>
      </w:r>
      <w:r w:rsidR="00993096" w:rsidRPr="00C92ECE">
        <w:rPr>
          <w:rFonts w:asciiTheme="minorBidi" w:hAnsiTheme="minorBidi"/>
          <w:sz w:val="24"/>
          <w:szCs w:val="24"/>
        </w:rPr>
        <w:t>being</w:t>
      </w:r>
      <w:r w:rsidR="004424D7" w:rsidRPr="00C92ECE">
        <w:rPr>
          <w:rFonts w:asciiTheme="minorBidi" w:hAnsiTheme="minorBidi"/>
          <w:sz w:val="24"/>
          <w:szCs w:val="24"/>
        </w:rPr>
        <w:t xml:space="preserve"> </w:t>
      </w:r>
      <w:r w:rsidR="008027AA">
        <w:rPr>
          <w:rFonts w:asciiTheme="minorBidi" w:hAnsiTheme="minorBidi"/>
          <w:sz w:val="24"/>
          <w:szCs w:val="24"/>
        </w:rPr>
        <w:t xml:space="preserve">a </w:t>
      </w:r>
      <w:r w:rsidR="004424D7" w:rsidRPr="00C92ECE">
        <w:rPr>
          <w:rFonts w:asciiTheme="minorBidi" w:hAnsiTheme="minorBidi"/>
          <w:sz w:val="24"/>
          <w:szCs w:val="24"/>
        </w:rPr>
        <w:t>corporate responsibility</w:t>
      </w:r>
      <w:r w:rsidR="00DA7B9C">
        <w:rPr>
          <w:rFonts w:asciiTheme="minorBidi" w:hAnsiTheme="minorBidi"/>
          <w:sz w:val="24"/>
          <w:szCs w:val="24"/>
        </w:rPr>
        <w:t>, so the numbers completing these aren’t always</w:t>
      </w:r>
      <w:r w:rsidR="005E2453">
        <w:rPr>
          <w:rFonts w:asciiTheme="minorBidi" w:hAnsiTheme="minorBidi"/>
          <w:sz w:val="24"/>
          <w:szCs w:val="24"/>
        </w:rPr>
        <w:t xml:space="preserve"> reported as SCWWDP funded.</w:t>
      </w:r>
    </w:p>
    <w:p w14:paraId="4BB4F3EE" w14:textId="77777777" w:rsidR="000B0232" w:rsidRPr="00C92ECE" w:rsidRDefault="000B0232" w:rsidP="00937E65">
      <w:pPr>
        <w:spacing w:after="0" w:line="276" w:lineRule="auto"/>
        <w:ind w:left="2160"/>
        <w:contextualSpacing/>
        <w:rPr>
          <w:rFonts w:ascii="Arial" w:eastAsia="Calibri" w:hAnsi="Arial" w:cs="Arial"/>
          <w:sz w:val="24"/>
          <w:szCs w:val="24"/>
          <w:highlight w:val="yellow"/>
          <w:lang w:eastAsia="en-GB"/>
        </w:rPr>
      </w:pPr>
    </w:p>
    <w:p w14:paraId="5CD8050C" w14:textId="766EC270" w:rsidR="00092658" w:rsidRPr="006E1F4C" w:rsidRDefault="009B1833" w:rsidP="00632461">
      <w:pPr>
        <w:numPr>
          <w:ilvl w:val="0"/>
          <w:numId w:val="6"/>
        </w:numPr>
        <w:spacing w:after="200" w:line="276" w:lineRule="auto"/>
        <w:ind w:left="567" w:hanging="425"/>
        <w:contextualSpacing/>
        <w:rPr>
          <w:rFonts w:ascii="Arial" w:eastAsia="Calibri" w:hAnsi="Arial" w:cs="Arial"/>
          <w:sz w:val="24"/>
          <w:szCs w:val="24"/>
          <w:lang w:eastAsia="en-GB"/>
        </w:rPr>
      </w:pPr>
      <w:r w:rsidRPr="00C92ECE">
        <w:rPr>
          <w:rFonts w:ascii="Arial" w:eastAsia="Calibri" w:hAnsi="Arial" w:cs="Arial"/>
          <w:sz w:val="24"/>
          <w:szCs w:val="24"/>
          <w:lang w:eastAsia="en-GB"/>
        </w:rPr>
        <w:lastRenderedPageBreak/>
        <w:t>Workforce development teams continue to take proactive steps locally and regionally to support positive training attendance, which has contributed to the increase seen this year. These actions include</w:t>
      </w:r>
      <w:r w:rsidR="00B1304A" w:rsidRPr="006E1F4C">
        <w:rPr>
          <w:rFonts w:ascii="Arial" w:eastAsia="Calibri" w:hAnsi="Arial" w:cs="Arial"/>
          <w:sz w:val="24"/>
          <w:szCs w:val="24"/>
          <w:lang w:eastAsia="en-GB"/>
        </w:rPr>
        <w:t>:</w:t>
      </w:r>
    </w:p>
    <w:p w14:paraId="38DC2503" w14:textId="77777777" w:rsidR="000B0232" w:rsidRPr="006E1F4C" w:rsidRDefault="000B0232" w:rsidP="00937E65">
      <w:pPr>
        <w:spacing w:after="200" w:line="276" w:lineRule="auto"/>
        <w:ind w:left="709"/>
        <w:contextualSpacing/>
        <w:rPr>
          <w:rFonts w:ascii="Arial" w:eastAsia="Calibri" w:hAnsi="Arial" w:cs="Arial"/>
          <w:sz w:val="24"/>
          <w:szCs w:val="24"/>
          <w:lang w:eastAsia="en-GB"/>
        </w:rPr>
      </w:pPr>
    </w:p>
    <w:p w14:paraId="4B0C077C" w14:textId="128FED77" w:rsidR="00936CF4" w:rsidRDefault="00F35123" w:rsidP="00993096">
      <w:pPr>
        <w:numPr>
          <w:ilvl w:val="0"/>
          <w:numId w:val="12"/>
        </w:numPr>
        <w:spacing w:after="0" w:line="276" w:lineRule="auto"/>
        <w:contextualSpacing/>
        <w:rPr>
          <w:rFonts w:ascii="Arial" w:eastAsia="Calibri" w:hAnsi="Arial" w:cs="Arial"/>
          <w:sz w:val="24"/>
          <w:szCs w:val="24"/>
          <w:lang w:eastAsia="en-GB"/>
        </w:rPr>
      </w:pPr>
      <w:r w:rsidRPr="00122B3E">
        <w:rPr>
          <w:rFonts w:ascii="Arial" w:eastAsia="Calibri" w:hAnsi="Arial" w:cs="Arial"/>
          <w:sz w:val="24"/>
          <w:szCs w:val="24"/>
          <w:lang w:eastAsia="en-GB"/>
        </w:rPr>
        <w:t xml:space="preserve">continually checking that the </w:t>
      </w:r>
      <w:r w:rsidR="009B1833" w:rsidRPr="00122B3E">
        <w:rPr>
          <w:rFonts w:ascii="Arial" w:eastAsia="Calibri" w:hAnsi="Arial" w:cs="Arial"/>
          <w:sz w:val="24"/>
          <w:szCs w:val="24"/>
          <w:lang w:eastAsia="en-GB"/>
        </w:rPr>
        <w:t xml:space="preserve">training and </w:t>
      </w:r>
      <w:r w:rsidR="009A354A" w:rsidRPr="00122B3E">
        <w:rPr>
          <w:rFonts w:ascii="Arial" w:eastAsia="Calibri" w:hAnsi="Arial" w:cs="Arial"/>
          <w:sz w:val="24"/>
          <w:szCs w:val="24"/>
          <w:lang w:eastAsia="en-GB"/>
        </w:rPr>
        <w:t xml:space="preserve">development offer </w:t>
      </w:r>
      <w:r w:rsidR="00122B3E" w:rsidRPr="00122B3E">
        <w:rPr>
          <w:rFonts w:ascii="Arial" w:eastAsia="Calibri" w:hAnsi="Arial" w:cs="Arial"/>
          <w:sz w:val="24"/>
          <w:szCs w:val="24"/>
          <w:lang w:eastAsia="en-GB"/>
        </w:rPr>
        <w:t xml:space="preserve">is open to everyone. </w:t>
      </w:r>
    </w:p>
    <w:p w14:paraId="6A395853" w14:textId="77777777" w:rsidR="00993096" w:rsidRPr="00122B3E" w:rsidRDefault="00993096" w:rsidP="00847CC3">
      <w:pPr>
        <w:spacing w:after="0" w:line="276" w:lineRule="auto"/>
        <w:ind w:left="1440"/>
        <w:contextualSpacing/>
        <w:rPr>
          <w:rFonts w:ascii="Arial" w:eastAsia="Calibri" w:hAnsi="Arial" w:cs="Arial"/>
          <w:sz w:val="24"/>
          <w:szCs w:val="24"/>
          <w:lang w:eastAsia="en-GB"/>
        </w:rPr>
      </w:pPr>
    </w:p>
    <w:p w14:paraId="2FA105E1" w14:textId="74987F68" w:rsidR="00E013F4" w:rsidRPr="006E1F4C" w:rsidRDefault="008D44B2" w:rsidP="00632461">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lang w:eastAsia="en-GB"/>
        </w:rPr>
        <w:t xml:space="preserve">wider </w:t>
      </w:r>
      <w:r w:rsidR="00381F1A" w:rsidRPr="00C92ECE">
        <w:rPr>
          <w:rFonts w:ascii="Arial" w:eastAsia="Calibri" w:hAnsi="Arial" w:cs="Arial"/>
          <w:sz w:val="24"/>
          <w:szCs w:val="24"/>
          <w:lang w:eastAsia="en-GB"/>
        </w:rPr>
        <w:t>p</w:t>
      </w:r>
      <w:r w:rsidR="00220710" w:rsidRPr="00C92ECE">
        <w:rPr>
          <w:rFonts w:ascii="Arial" w:eastAsia="Calibri" w:hAnsi="Arial" w:cs="Arial"/>
          <w:sz w:val="24"/>
          <w:szCs w:val="24"/>
          <w:lang w:eastAsia="en-GB"/>
        </w:rPr>
        <w:t>romoti</w:t>
      </w:r>
      <w:r>
        <w:rPr>
          <w:rFonts w:ascii="Arial" w:eastAsia="Calibri" w:hAnsi="Arial" w:cs="Arial"/>
          <w:sz w:val="24"/>
          <w:szCs w:val="24"/>
          <w:lang w:eastAsia="en-GB"/>
        </w:rPr>
        <w:t>on</w:t>
      </w:r>
      <w:r w:rsidR="00D63012">
        <w:rPr>
          <w:rFonts w:ascii="Arial" w:eastAsia="Calibri" w:hAnsi="Arial" w:cs="Arial"/>
          <w:sz w:val="24"/>
          <w:szCs w:val="24"/>
          <w:lang w:eastAsia="en-GB"/>
        </w:rPr>
        <w:t xml:space="preserve"> of</w:t>
      </w:r>
      <w:r w:rsidR="00220710" w:rsidRPr="00C92ECE">
        <w:rPr>
          <w:rFonts w:ascii="Arial" w:eastAsia="Calibri" w:hAnsi="Arial" w:cs="Arial"/>
          <w:sz w:val="24"/>
          <w:szCs w:val="24"/>
          <w:lang w:eastAsia="en-GB"/>
        </w:rPr>
        <w:t xml:space="preserve"> training opportunities, </w:t>
      </w:r>
      <w:r w:rsidR="00D63012">
        <w:rPr>
          <w:rFonts w:ascii="Arial" w:eastAsia="Calibri" w:hAnsi="Arial" w:cs="Arial"/>
          <w:sz w:val="24"/>
          <w:szCs w:val="24"/>
          <w:lang w:eastAsia="en-GB"/>
        </w:rPr>
        <w:t xml:space="preserve">such as using </w:t>
      </w:r>
      <w:r w:rsidR="00993096">
        <w:rPr>
          <w:rFonts w:ascii="Arial" w:eastAsia="Calibri" w:hAnsi="Arial" w:cs="Arial"/>
          <w:sz w:val="24"/>
          <w:szCs w:val="24"/>
          <w:lang w:eastAsia="en-GB"/>
        </w:rPr>
        <w:t xml:space="preserve">the </w:t>
      </w:r>
      <w:r w:rsidR="00993096" w:rsidRPr="00C92ECE">
        <w:rPr>
          <w:rFonts w:ascii="Arial" w:eastAsia="Calibri" w:hAnsi="Arial" w:cs="Arial"/>
          <w:sz w:val="24"/>
          <w:szCs w:val="24"/>
          <w:lang w:eastAsia="en-GB"/>
        </w:rPr>
        <w:t>Dewis</w:t>
      </w:r>
      <w:r w:rsidR="00E33033" w:rsidRPr="006E1F4C">
        <w:rPr>
          <w:rFonts w:ascii="Arial" w:eastAsia="Calibri" w:hAnsi="Arial" w:cs="Arial"/>
          <w:sz w:val="24"/>
          <w:szCs w:val="24"/>
          <w:lang w:eastAsia="en-GB"/>
        </w:rPr>
        <w:t xml:space="preserve"> Cymru</w:t>
      </w:r>
      <w:r w:rsidR="00B511B8">
        <w:rPr>
          <w:rFonts w:ascii="Arial" w:eastAsia="Calibri" w:hAnsi="Arial" w:cs="Arial"/>
          <w:sz w:val="24"/>
          <w:szCs w:val="24"/>
          <w:lang w:eastAsia="en-GB"/>
        </w:rPr>
        <w:t xml:space="preserve"> website to promote o</w:t>
      </w:r>
      <w:r w:rsidR="00602E33">
        <w:rPr>
          <w:rFonts w:ascii="Arial" w:eastAsia="Calibri" w:hAnsi="Arial" w:cs="Arial"/>
          <w:sz w:val="24"/>
          <w:szCs w:val="24"/>
          <w:lang w:eastAsia="en-GB"/>
        </w:rPr>
        <w:t>r</w:t>
      </w:r>
      <w:r w:rsidR="00B511B8">
        <w:rPr>
          <w:rFonts w:ascii="Arial" w:eastAsia="Calibri" w:hAnsi="Arial" w:cs="Arial"/>
          <w:sz w:val="24"/>
          <w:szCs w:val="24"/>
          <w:lang w:eastAsia="en-GB"/>
        </w:rPr>
        <w:t xml:space="preserve"> reaching out </w:t>
      </w:r>
      <w:r w:rsidR="00993096">
        <w:rPr>
          <w:rFonts w:ascii="Arial" w:eastAsia="Calibri" w:hAnsi="Arial" w:cs="Arial"/>
          <w:sz w:val="24"/>
          <w:szCs w:val="24"/>
          <w:lang w:eastAsia="en-GB"/>
        </w:rPr>
        <w:t>directly to</w:t>
      </w:r>
      <w:r w:rsidR="00381F1A" w:rsidRPr="00C92ECE">
        <w:rPr>
          <w:rFonts w:ascii="Arial" w:eastAsia="Calibri" w:hAnsi="Arial" w:cs="Arial"/>
          <w:sz w:val="24"/>
          <w:szCs w:val="24"/>
          <w:lang w:eastAsia="en-GB"/>
        </w:rPr>
        <w:t xml:space="preserve"> providers and </w:t>
      </w:r>
      <w:r w:rsidR="00482D00" w:rsidRPr="006E1F4C">
        <w:rPr>
          <w:rFonts w:ascii="Arial" w:eastAsia="Calibri" w:hAnsi="Arial" w:cs="Arial"/>
          <w:sz w:val="24"/>
          <w:szCs w:val="24"/>
          <w:lang w:eastAsia="en-GB"/>
        </w:rPr>
        <w:t>personal assistants</w:t>
      </w:r>
      <w:r w:rsidR="000268B6" w:rsidRPr="006E1F4C">
        <w:rPr>
          <w:rFonts w:ascii="Arial" w:eastAsia="Calibri" w:hAnsi="Arial" w:cs="Arial"/>
          <w:sz w:val="24"/>
          <w:szCs w:val="24"/>
          <w:lang w:eastAsia="en-GB"/>
        </w:rPr>
        <w:t xml:space="preserve"> (PA</w:t>
      </w:r>
      <w:r w:rsidR="00A22DDC" w:rsidRPr="006E1F4C">
        <w:rPr>
          <w:rFonts w:ascii="Arial" w:eastAsia="Calibri" w:hAnsi="Arial" w:cs="Arial"/>
          <w:sz w:val="24"/>
          <w:szCs w:val="24"/>
          <w:lang w:eastAsia="en-GB"/>
        </w:rPr>
        <w:t>s</w:t>
      </w:r>
      <w:r w:rsidR="000268B6" w:rsidRPr="006E1F4C">
        <w:rPr>
          <w:rFonts w:ascii="Arial" w:eastAsia="Calibri" w:hAnsi="Arial" w:cs="Arial"/>
          <w:sz w:val="24"/>
          <w:szCs w:val="24"/>
          <w:lang w:eastAsia="en-GB"/>
        </w:rPr>
        <w:t>)</w:t>
      </w:r>
      <w:r w:rsidR="00A22DDC" w:rsidRPr="006E1F4C">
        <w:rPr>
          <w:rFonts w:ascii="Arial" w:eastAsia="Calibri" w:hAnsi="Arial" w:cs="Arial"/>
          <w:sz w:val="24"/>
          <w:szCs w:val="24"/>
          <w:lang w:eastAsia="en-GB"/>
        </w:rPr>
        <w:t>.</w:t>
      </w:r>
    </w:p>
    <w:p w14:paraId="29353059" w14:textId="77777777" w:rsidR="00936CF4" w:rsidRPr="006E1F4C" w:rsidRDefault="00936CF4" w:rsidP="00946EDB">
      <w:pPr>
        <w:pStyle w:val="ListParagraph"/>
        <w:spacing w:after="0"/>
        <w:rPr>
          <w:rFonts w:ascii="Arial" w:eastAsia="Calibri" w:hAnsi="Arial" w:cs="Arial"/>
          <w:sz w:val="24"/>
          <w:szCs w:val="24"/>
          <w:lang w:eastAsia="en-GB"/>
        </w:rPr>
      </w:pPr>
    </w:p>
    <w:p w14:paraId="52C50A6A" w14:textId="15738A66" w:rsidR="00936CF4" w:rsidRPr="006E1F4C" w:rsidRDefault="00845C7E" w:rsidP="00632461">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lang w:eastAsia="en-GB"/>
        </w:rPr>
        <w:t>contacting</w:t>
      </w:r>
      <w:r w:rsidR="005779AE" w:rsidRPr="00C92ECE">
        <w:rPr>
          <w:rFonts w:ascii="Arial" w:eastAsia="Calibri" w:hAnsi="Arial" w:cs="Arial"/>
          <w:sz w:val="24"/>
          <w:szCs w:val="24"/>
          <w:lang w:eastAsia="en-GB"/>
        </w:rPr>
        <w:t xml:space="preserve"> providers</w:t>
      </w:r>
      <w:r>
        <w:rPr>
          <w:rFonts w:ascii="Arial" w:eastAsia="Calibri" w:hAnsi="Arial" w:cs="Arial"/>
          <w:sz w:val="24"/>
          <w:szCs w:val="24"/>
          <w:lang w:eastAsia="en-GB"/>
        </w:rPr>
        <w:t xml:space="preserve"> directly</w:t>
      </w:r>
      <w:r w:rsidR="00FA1F46">
        <w:rPr>
          <w:rFonts w:ascii="Arial" w:eastAsia="Calibri" w:hAnsi="Arial" w:cs="Arial"/>
          <w:sz w:val="24"/>
          <w:szCs w:val="24"/>
          <w:lang w:eastAsia="en-GB"/>
        </w:rPr>
        <w:t xml:space="preserve"> with</w:t>
      </w:r>
      <w:r w:rsidR="005779AE" w:rsidRPr="00C92ECE">
        <w:rPr>
          <w:rFonts w:ascii="Arial" w:eastAsia="Calibri" w:hAnsi="Arial" w:cs="Arial"/>
          <w:sz w:val="24"/>
          <w:szCs w:val="24"/>
          <w:lang w:eastAsia="en-GB"/>
        </w:rPr>
        <w:t xml:space="preserve"> information</w:t>
      </w:r>
      <w:r w:rsidR="006311A2">
        <w:rPr>
          <w:rFonts w:ascii="Arial" w:eastAsia="Calibri" w:hAnsi="Arial" w:cs="Arial"/>
          <w:sz w:val="24"/>
          <w:szCs w:val="24"/>
          <w:lang w:eastAsia="en-GB"/>
        </w:rPr>
        <w:t xml:space="preserve"> and </w:t>
      </w:r>
      <w:r w:rsidR="005779AE" w:rsidRPr="00C92ECE">
        <w:rPr>
          <w:rFonts w:ascii="Arial" w:eastAsia="Calibri" w:hAnsi="Arial" w:cs="Arial"/>
          <w:sz w:val="24"/>
          <w:szCs w:val="24"/>
          <w:lang w:eastAsia="en-GB"/>
        </w:rPr>
        <w:t xml:space="preserve">visiting </w:t>
      </w:r>
      <w:r w:rsidR="006311A2">
        <w:rPr>
          <w:rFonts w:ascii="Arial" w:eastAsia="Calibri" w:hAnsi="Arial" w:cs="Arial"/>
          <w:sz w:val="24"/>
          <w:szCs w:val="24"/>
          <w:lang w:eastAsia="en-GB"/>
        </w:rPr>
        <w:t xml:space="preserve">them to make sure workers are taking the </w:t>
      </w:r>
      <w:r w:rsidR="00AA64AE">
        <w:rPr>
          <w:rFonts w:ascii="Arial" w:eastAsia="Calibri" w:hAnsi="Arial" w:cs="Arial"/>
          <w:sz w:val="24"/>
          <w:szCs w:val="24"/>
          <w:lang w:eastAsia="en-GB"/>
        </w:rPr>
        <w:t xml:space="preserve">offer, and providing a training offer tailored for </w:t>
      </w:r>
      <w:r w:rsidR="00993096">
        <w:rPr>
          <w:rFonts w:ascii="Arial" w:eastAsia="Calibri" w:hAnsi="Arial" w:cs="Arial"/>
          <w:sz w:val="24"/>
          <w:szCs w:val="24"/>
          <w:lang w:eastAsia="en-GB"/>
        </w:rPr>
        <w:t>them.</w:t>
      </w:r>
    </w:p>
    <w:p w14:paraId="13619B4F" w14:textId="77777777" w:rsidR="00936CF4" w:rsidRPr="006E1F4C" w:rsidRDefault="00936CF4" w:rsidP="00936CF4">
      <w:pPr>
        <w:spacing w:after="0" w:line="276" w:lineRule="auto"/>
        <w:ind w:left="2160"/>
        <w:contextualSpacing/>
        <w:rPr>
          <w:rFonts w:ascii="Arial" w:eastAsia="Calibri" w:hAnsi="Arial" w:cs="Arial"/>
          <w:sz w:val="24"/>
          <w:szCs w:val="24"/>
          <w:lang w:eastAsia="en-GB"/>
        </w:rPr>
      </w:pPr>
    </w:p>
    <w:p w14:paraId="73A7C5ED" w14:textId="0000B254" w:rsidR="000138E8" w:rsidRPr="006E1F4C" w:rsidRDefault="00504E30" w:rsidP="00632461">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lang w:eastAsia="en-GB"/>
        </w:rPr>
        <w:t>giving direct</w:t>
      </w:r>
      <w:r w:rsidR="005779AE" w:rsidRPr="00C92ECE">
        <w:rPr>
          <w:rFonts w:ascii="Arial" w:eastAsia="Calibri" w:hAnsi="Arial" w:cs="Arial"/>
          <w:sz w:val="24"/>
          <w:szCs w:val="24"/>
          <w:lang w:eastAsia="en-GB"/>
        </w:rPr>
        <w:t xml:space="preserve"> support, </w:t>
      </w:r>
      <w:r w:rsidR="001B5114">
        <w:rPr>
          <w:rFonts w:ascii="Arial" w:eastAsia="Calibri" w:hAnsi="Arial" w:cs="Arial"/>
          <w:sz w:val="24"/>
          <w:szCs w:val="24"/>
          <w:lang w:eastAsia="en-GB"/>
        </w:rPr>
        <w:t xml:space="preserve">for </w:t>
      </w:r>
      <w:r w:rsidR="00993096">
        <w:rPr>
          <w:rFonts w:ascii="Arial" w:eastAsia="Calibri" w:hAnsi="Arial" w:cs="Arial"/>
          <w:sz w:val="24"/>
          <w:szCs w:val="24"/>
          <w:lang w:eastAsia="en-GB"/>
        </w:rPr>
        <w:t xml:space="preserve">example </w:t>
      </w:r>
      <w:r w:rsidR="00993096" w:rsidRPr="00C92ECE">
        <w:rPr>
          <w:rFonts w:ascii="Arial" w:eastAsia="Calibri" w:hAnsi="Arial" w:cs="Arial"/>
          <w:sz w:val="24"/>
          <w:szCs w:val="24"/>
          <w:lang w:eastAsia="en-GB"/>
        </w:rPr>
        <w:t>providers</w:t>
      </w:r>
      <w:r w:rsidR="001B5114">
        <w:rPr>
          <w:rFonts w:ascii="Arial" w:eastAsia="Calibri" w:hAnsi="Arial" w:cs="Arial"/>
          <w:sz w:val="24"/>
          <w:szCs w:val="24"/>
          <w:lang w:eastAsia="en-GB"/>
        </w:rPr>
        <w:t xml:space="preserve"> can</w:t>
      </w:r>
      <w:r w:rsidR="005779AE" w:rsidRPr="00C92ECE">
        <w:rPr>
          <w:rFonts w:ascii="Arial" w:eastAsia="Calibri" w:hAnsi="Arial" w:cs="Arial"/>
          <w:sz w:val="24"/>
          <w:szCs w:val="24"/>
          <w:lang w:eastAsia="en-GB"/>
        </w:rPr>
        <w:t xml:space="preserve"> book workforce development staff to visit care settings with iPads to </w:t>
      </w:r>
      <w:r w:rsidR="00931E3D">
        <w:rPr>
          <w:rFonts w:ascii="Arial" w:eastAsia="Calibri" w:hAnsi="Arial" w:cs="Arial"/>
          <w:sz w:val="24"/>
          <w:szCs w:val="24"/>
          <w:lang w:eastAsia="en-GB"/>
        </w:rPr>
        <w:t>help</w:t>
      </w:r>
      <w:r w:rsidR="005779AE" w:rsidRPr="00C92ECE">
        <w:rPr>
          <w:rFonts w:ascii="Arial" w:eastAsia="Calibri" w:hAnsi="Arial" w:cs="Arial"/>
          <w:sz w:val="24"/>
          <w:szCs w:val="24"/>
          <w:lang w:eastAsia="en-GB"/>
        </w:rPr>
        <w:t xml:space="preserve"> care staff with online learning</w:t>
      </w:r>
      <w:r w:rsidR="005B2662" w:rsidRPr="006E1F4C">
        <w:rPr>
          <w:rFonts w:ascii="Arial" w:eastAsia="Calibri" w:hAnsi="Arial" w:cs="Arial"/>
          <w:sz w:val="24"/>
          <w:szCs w:val="24"/>
          <w:lang w:eastAsia="en-GB"/>
        </w:rPr>
        <w:t>.</w:t>
      </w:r>
    </w:p>
    <w:p w14:paraId="0A1703F0" w14:textId="77777777" w:rsidR="00936CF4" w:rsidRPr="006E1F4C" w:rsidRDefault="00936CF4" w:rsidP="00936CF4">
      <w:pPr>
        <w:spacing w:after="0" w:line="276" w:lineRule="auto"/>
        <w:ind w:left="2160"/>
        <w:contextualSpacing/>
        <w:rPr>
          <w:rFonts w:ascii="Arial" w:eastAsia="Calibri" w:hAnsi="Arial" w:cs="Arial"/>
          <w:sz w:val="24"/>
          <w:szCs w:val="24"/>
          <w:lang w:eastAsia="en-GB"/>
        </w:rPr>
      </w:pPr>
    </w:p>
    <w:p w14:paraId="5BE6B403" w14:textId="19F31F9C" w:rsidR="008A2BED" w:rsidRPr="006E1F4C" w:rsidRDefault="00F414D9" w:rsidP="00632461">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lang w:eastAsia="en-GB"/>
        </w:rPr>
        <w:t>working with</w:t>
      </w:r>
      <w:r w:rsidR="006E1F4C" w:rsidRPr="00C92ECE">
        <w:rPr>
          <w:rFonts w:ascii="Arial" w:eastAsia="Calibri" w:hAnsi="Arial" w:cs="Arial"/>
          <w:sz w:val="24"/>
          <w:szCs w:val="24"/>
          <w:lang w:eastAsia="en-GB"/>
        </w:rPr>
        <w:t xml:space="preserve"> commissioned services </w:t>
      </w:r>
      <w:r>
        <w:rPr>
          <w:rFonts w:ascii="Arial" w:eastAsia="Calibri" w:hAnsi="Arial" w:cs="Arial"/>
          <w:sz w:val="24"/>
          <w:szCs w:val="24"/>
          <w:lang w:eastAsia="en-GB"/>
        </w:rPr>
        <w:t xml:space="preserve">in each area, </w:t>
      </w:r>
      <w:r w:rsidR="006E1F4C" w:rsidRPr="00C92ECE">
        <w:rPr>
          <w:rFonts w:ascii="Arial" w:eastAsia="Calibri" w:hAnsi="Arial" w:cs="Arial"/>
          <w:sz w:val="24"/>
          <w:szCs w:val="24"/>
          <w:lang w:eastAsia="en-GB"/>
        </w:rPr>
        <w:t xml:space="preserve">to identify local training needs and adapt delivery to make training more relevant and </w:t>
      </w:r>
      <w:r w:rsidR="00372B2B">
        <w:rPr>
          <w:rFonts w:ascii="Arial" w:eastAsia="Calibri" w:hAnsi="Arial" w:cs="Arial"/>
          <w:sz w:val="24"/>
          <w:szCs w:val="24"/>
          <w:lang w:eastAsia="en-GB"/>
        </w:rPr>
        <w:t>easily available</w:t>
      </w:r>
      <w:r w:rsidR="006E1F4C" w:rsidRPr="00C92ECE">
        <w:rPr>
          <w:rFonts w:ascii="Arial" w:eastAsia="Calibri" w:hAnsi="Arial" w:cs="Arial"/>
          <w:sz w:val="24"/>
          <w:szCs w:val="24"/>
          <w:lang w:eastAsia="en-GB"/>
        </w:rPr>
        <w:t xml:space="preserve">, </w:t>
      </w:r>
      <w:r w:rsidR="003A69C3">
        <w:rPr>
          <w:rFonts w:ascii="Arial" w:eastAsia="Calibri" w:hAnsi="Arial" w:cs="Arial"/>
          <w:sz w:val="24"/>
          <w:szCs w:val="24"/>
          <w:lang w:eastAsia="en-GB"/>
        </w:rPr>
        <w:t>which will then encourage a</w:t>
      </w:r>
      <w:r w:rsidR="006E1F4C" w:rsidRPr="00C92ECE">
        <w:rPr>
          <w:rFonts w:ascii="Arial" w:eastAsia="Calibri" w:hAnsi="Arial" w:cs="Arial"/>
          <w:sz w:val="24"/>
          <w:szCs w:val="24"/>
          <w:lang w:eastAsia="en-GB"/>
        </w:rPr>
        <w:t xml:space="preserve"> greater uptake.</w:t>
      </w:r>
      <w:r w:rsidR="00C30C25" w:rsidRPr="006E1F4C">
        <w:rPr>
          <w:rFonts w:ascii="Arial" w:eastAsia="Calibri" w:hAnsi="Arial" w:cs="Arial"/>
          <w:sz w:val="24"/>
          <w:szCs w:val="24"/>
          <w:lang w:eastAsia="en-GB"/>
        </w:rPr>
        <w:t xml:space="preserve"> </w:t>
      </w:r>
    </w:p>
    <w:p w14:paraId="0015B5A9" w14:textId="77777777" w:rsidR="008A2BED" w:rsidRPr="00B568F3" w:rsidRDefault="008A2BED" w:rsidP="008A2BED">
      <w:pPr>
        <w:spacing w:after="0" w:line="276" w:lineRule="auto"/>
        <w:contextualSpacing/>
        <w:rPr>
          <w:rFonts w:ascii="Arial" w:eastAsia="Calibri" w:hAnsi="Arial" w:cs="Arial"/>
          <w:sz w:val="24"/>
          <w:szCs w:val="24"/>
          <w:lang w:eastAsia="en-GB"/>
        </w:rPr>
      </w:pPr>
    </w:p>
    <w:p w14:paraId="0DF267A2" w14:textId="17D4F147" w:rsidR="00BB0FCF" w:rsidRPr="00B568F3" w:rsidRDefault="00BB0FCF" w:rsidP="00BB0FCF">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w:t>
      </w:r>
      <w:r w:rsidR="00187732" w:rsidRPr="00B568F3">
        <w:rPr>
          <w:rFonts w:ascii="Arial" w:eastAsia="Calibri" w:hAnsi="Arial" w:cs="Arial"/>
          <w:b/>
          <w:bCs/>
          <w:sz w:val="24"/>
          <w:szCs w:val="24"/>
          <w:lang w:eastAsia="en-GB"/>
        </w:rPr>
        <w:t>8</w:t>
      </w:r>
      <w:r w:rsidRPr="00B568F3">
        <w:rPr>
          <w:rFonts w:ascii="Arial" w:eastAsia="Calibri" w:hAnsi="Arial" w:cs="Arial"/>
          <w:b/>
          <w:bCs/>
          <w:sz w:val="24"/>
          <w:szCs w:val="24"/>
          <w:lang w:eastAsia="en-GB"/>
        </w:rPr>
        <w:t xml:space="preserve">: Training places </w:t>
      </w:r>
      <w:r w:rsidR="002F0250" w:rsidRPr="00B568F3">
        <w:rPr>
          <w:rFonts w:ascii="Arial" w:eastAsia="Calibri" w:hAnsi="Arial" w:cs="Arial"/>
          <w:b/>
          <w:bCs/>
          <w:sz w:val="24"/>
          <w:szCs w:val="24"/>
          <w:lang w:eastAsia="en-GB"/>
        </w:rPr>
        <w:t>and attendance</w:t>
      </w:r>
      <w:r w:rsidRPr="00B568F3">
        <w:rPr>
          <w:rFonts w:ascii="Arial" w:eastAsia="Calibri" w:hAnsi="Arial" w:cs="Arial"/>
          <w:b/>
          <w:bCs/>
          <w:sz w:val="24"/>
          <w:szCs w:val="24"/>
          <w:lang w:eastAsia="en-GB"/>
        </w:rPr>
        <w:t xml:space="preserve"> levels, </w:t>
      </w:r>
      <w:r w:rsidR="00714E46" w:rsidRPr="00B568F3">
        <w:rPr>
          <w:rFonts w:ascii="Arial" w:eastAsia="Calibri" w:hAnsi="Arial" w:cs="Arial"/>
          <w:b/>
          <w:bCs/>
          <w:sz w:val="24"/>
          <w:szCs w:val="24"/>
          <w:lang w:eastAsia="en-GB"/>
        </w:rPr>
        <w:t xml:space="preserve">the </w:t>
      </w:r>
      <w:r w:rsidR="00F81F98" w:rsidRPr="00B568F3">
        <w:rPr>
          <w:rFonts w:ascii="Arial" w:eastAsia="Calibri" w:hAnsi="Arial" w:cs="Arial"/>
          <w:b/>
          <w:bCs/>
          <w:sz w:val="24"/>
          <w:szCs w:val="24"/>
          <w:lang w:eastAsia="en-GB"/>
        </w:rPr>
        <w:t>three</w:t>
      </w:r>
      <w:r w:rsidR="00B24C33" w:rsidRPr="00B568F3">
        <w:rPr>
          <w:rFonts w:ascii="Arial" w:eastAsia="Calibri" w:hAnsi="Arial" w:cs="Arial"/>
          <w:b/>
          <w:bCs/>
          <w:sz w:val="24"/>
          <w:szCs w:val="24"/>
          <w:lang w:eastAsia="en-GB"/>
        </w:rPr>
        <w:t>-</w:t>
      </w:r>
      <w:r w:rsidR="00F81F98" w:rsidRPr="00B568F3">
        <w:rPr>
          <w:rFonts w:ascii="Arial" w:eastAsia="Calibri" w:hAnsi="Arial" w:cs="Arial"/>
          <w:b/>
          <w:bCs/>
          <w:sz w:val="24"/>
          <w:szCs w:val="24"/>
          <w:lang w:eastAsia="en-GB"/>
        </w:rPr>
        <w:t>year trend</w:t>
      </w:r>
    </w:p>
    <w:p w14:paraId="57D21D6D" w14:textId="77777777" w:rsidR="007B5512" w:rsidRPr="00B568F3" w:rsidRDefault="007B5512" w:rsidP="00BB0FCF">
      <w:pPr>
        <w:spacing w:after="0" w:line="276" w:lineRule="auto"/>
        <w:contextualSpacing/>
        <w:rPr>
          <w:rFonts w:ascii="Arial" w:eastAsia="Calibri" w:hAnsi="Arial" w:cs="Arial"/>
          <w:sz w:val="24"/>
          <w:szCs w:val="24"/>
          <w:lang w:eastAsia="en-GB"/>
        </w:rPr>
      </w:pPr>
    </w:p>
    <w:tbl>
      <w:tblPr>
        <w:tblStyle w:val="TableGrid"/>
        <w:tblW w:w="9541" w:type="dxa"/>
        <w:tblInd w:w="-5" w:type="dxa"/>
        <w:tblLook w:val="04A0" w:firstRow="1" w:lastRow="0" w:firstColumn="1" w:lastColumn="0" w:noHBand="0" w:noVBand="1"/>
      </w:tblPr>
      <w:tblGrid>
        <w:gridCol w:w="1475"/>
        <w:gridCol w:w="1243"/>
        <w:gridCol w:w="1301"/>
        <w:gridCol w:w="1757"/>
        <w:gridCol w:w="1296"/>
        <w:gridCol w:w="1263"/>
        <w:gridCol w:w="1206"/>
      </w:tblGrid>
      <w:tr w:rsidR="00F81F98" w:rsidRPr="00B568F3" w14:paraId="1B0B3367" w14:textId="77777777" w:rsidTr="00F81F98">
        <w:trPr>
          <w:trHeight w:val="300"/>
        </w:trPr>
        <w:tc>
          <w:tcPr>
            <w:tcW w:w="1475" w:type="dxa"/>
            <w:vMerge w:val="restart"/>
            <w:tcBorders>
              <w:top w:val="nil"/>
              <w:left w:val="nil"/>
            </w:tcBorders>
          </w:tcPr>
          <w:p w14:paraId="1630DF5B" w14:textId="77777777" w:rsidR="00F81F98" w:rsidRPr="000C06A7" w:rsidRDefault="00F81F98" w:rsidP="0054495E">
            <w:pPr>
              <w:pStyle w:val="ListParagraph"/>
              <w:ind w:left="0"/>
              <w:rPr>
                <w:rFonts w:ascii="Arial" w:eastAsia="Calibri" w:hAnsi="Arial" w:cs="Arial"/>
                <w:b/>
                <w:bCs/>
                <w:u w:val="single"/>
                <w:lang w:eastAsia="en-GB"/>
              </w:rPr>
            </w:pPr>
          </w:p>
        </w:tc>
        <w:tc>
          <w:tcPr>
            <w:tcW w:w="4301" w:type="dxa"/>
            <w:gridSpan w:val="3"/>
          </w:tcPr>
          <w:p w14:paraId="639F81F2" w14:textId="6CEF13F7" w:rsidR="00F81F98" w:rsidRPr="000C06A7" w:rsidRDefault="00F81F98" w:rsidP="0054495E">
            <w:pPr>
              <w:pStyle w:val="ListParagraph"/>
              <w:ind w:left="0"/>
              <w:jc w:val="center"/>
              <w:rPr>
                <w:rFonts w:ascii="Arial" w:eastAsia="Calibri" w:hAnsi="Arial" w:cs="Arial"/>
                <w:b/>
                <w:bCs/>
                <w:lang w:eastAsia="en-GB"/>
              </w:rPr>
            </w:pPr>
            <w:r w:rsidRPr="000C06A7">
              <w:rPr>
                <w:rFonts w:ascii="Arial" w:eastAsia="Calibri" w:hAnsi="Arial" w:cs="Arial"/>
                <w:b/>
                <w:bCs/>
                <w:lang w:eastAsia="en-GB"/>
              </w:rPr>
              <w:t>Training places booked</w:t>
            </w:r>
          </w:p>
        </w:tc>
        <w:tc>
          <w:tcPr>
            <w:tcW w:w="3765" w:type="dxa"/>
            <w:gridSpan w:val="3"/>
          </w:tcPr>
          <w:p w14:paraId="5DBC4761" w14:textId="1CFF1C5C" w:rsidR="00F81F98" w:rsidRPr="000C06A7" w:rsidRDefault="00F81F98" w:rsidP="0054495E">
            <w:pPr>
              <w:pStyle w:val="ListParagraph"/>
              <w:ind w:left="0"/>
              <w:jc w:val="center"/>
              <w:rPr>
                <w:rFonts w:ascii="Arial" w:eastAsia="Calibri" w:hAnsi="Arial" w:cs="Arial"/>
                <w:b/>
                <w:bCs/>
                <w:lang w:eastAsia="en-GB"/>
              </w:rPr>
            </w:pPr>
            <w:r w:rsidRPr="000C06A7">
              <w:rPr>
                <w:rFonts w:ascii="Arial" w:eastAsia="Calibri" w:hAnsi="Arial" w:cs="Arial"/>
                <w:b/>
                <w:bCs/>
                <w:lang w:eastAsia="en-GB"/>
              </w:rPr>
              <w:t>People attending</w:t>
            </w:r>
          </w:p>
        </w:tc>
      </w:tr>
      <w:tr w:rsidR="00F81F98" w:rsidRPr="00B568F3" w14:paraId="31FBE0C4" w14:textId="77777777" w:rsidTr="00F81F98">
        <w:trPr>
          <w:trHeight w:val="300"/>
        </w:trPr>
        <w:tc>
          <w:tcPr>
            <w:tcW w:w="1475" w:type="dxa"/>
            <w:vMerge/>
            <w:tcBorders>
              <w:left w:val="nil"/>
            </w:tcBorders>
          </w:tcPr>
          <w:p w14:paraId="6E90A33F" w14:textId="553EA9D8" w:rsidR="00F81F98" w:rsidRPr="000C06A7" w:rsidRDefault="00F81F98" w:rsidP="0054495E">
            <w:pPr>
              <w:pStyle w:val="ListParagraph"/>
              <w:ind w:left="0"/>
              <w:rPr>
                <w:rFonts w:ascii="Arial" w:eastAsia="Calibri" w:hAnsi="Arial" w:cs="Arial"/>
                <w:lang w:eastAsia="en-GB"/>
              </w:rPr>
            </w:pPr>
          </w:p>
        </w:tc>
        <w:tc>
          <w:tcPr>
            <w:tcW w:w="1243" w:type="dxa"/>
            <w:vAlign w:val="center"/>
          </w:tcPr>
          <w:p w14:paraId="3DD3A5D7" w14:textId="385A5030" w:rsidR="00F81F98" w:rsidRPr="000C06A7" w:rsidRDefault="00F81F98" w:rsidP="00D335FC">
            <w:pPr>
              <w:pStyle w:val="ListParagraph"/>
              <w:ind w:left="0"/>
              <w:jc w:val="center"/>
              <w:rPr>
                <w:rFonts w:ascii="Arial" w:eastAsia="Calibri" w:hAnsi="Arial" w:cs="Arial"/>
                <w:b/>
                <w:bCs/>
                <w:lang w:eastAsia="en-GB"/>
              </w:rPr>
            </w:pPr>
            <w:r w:rsidRPr="000C06A7">
              <w:rPr>
                <w:rFonts w:ascii="Arial" w:eastAsia="Calibri" w:hAnsi="Arial" w:cs="Arial"/>
                <w:b/>
                <w:bCs/>
                <w:lang w:eastAsia="en-GB"/>
              </w:rPr>
              <w:t>Number</w:t>
            </w:r>
          </w:p>
        </w:tc>
        <w:tc>
          <w:tcPr>
            <w:tcW w:w="1301" w:type="dxa"/>
            <w:vAlign w:val="center"/>
          </w:tcPr>
          <w:p w14:paraId="7B8E0FFB" w14:textId="7BC30DA3" w:rsidR="00F81F98" w:rsidRPr="000C06A7" w:rsidRDefault="00F81F98" w:rsidP="00D335FC">
            <w:pPr>
              <w:pStyle w:val="ListParagraph"/>
              <w:ind w:left="0"/>
              <w:jc w:val="center"/>
              <w:rPr>
                <w:rFonts w:ascii="Arial" w:eastAsia="Calibri" w:hAnsi="Arial" w:cs="Arial"/>
                <w:b/>
                <w:bCs/>
                <w:lang w:eastAsia="en-GB"/>
              </w:rPr>
            </w:pPr>
            <w:r w:rsidRPr="000C06A7">
              <w:rPr>
                <w:rFonts w:ascii="Arial" w:eastAsia="Calibri" w:hAnsi="Arial" w:cs="Arial"/>
                <w:b/>
                <w:bCs/>
                <w:lang w:eastAsia="en-GB"/>
              </w:rPr>
              <w:t>% change</w:t>
            </w:r>
          </w:p>
        </w:tc>
        <w:tc>
          <w:tcPr>
            <w:tcW w:w="1757" w:type="dxa"/>
            <w:vAlign w:val="center"/>
          </w:tcPr>
          <w:p w14:paraId="1407F916" w14:textId="4D698D80" w:rsidR="00F81F98" w:rsidRPr="000C06A7" w:rsidRDefault="00F81F98" w:rsidP="00D335FC">
            <w:pPr>
              <w:pStyle w:val="ListParagraph"/>
              <w:ind w:left="0"/>
              <w:jc w:val="center"/>
              <w:rPr>
                <w:rFonts w:ascii="Arial" w:eastAsia="Calibri" w:hAnsi="Arial" w:cs="Arial"/>
                <w:b/>
                <w:bCs/>
                <w:lang w:eastAsia="en-GB"/>
              </w:rPr>
            </w:pPr>
            <w:r w:rsidRPr="000C06A7">
              <w:rPr>
                <w:rFonts w:ascii="Arial" w:eastAsia="Calibri" w:hAnsi="Arial" w:cs="Arial"/>
                <w:b/>
                <w:bCs/>
                <w:lang w:eastAsia="en-GB"/>
              </w:rPr>
              <w:t xml:space="preserve">% of </w:t>
            </w:r>
            <w:r w:rsidR="001D3DD4" w:rsidRPr="000C06A7">
              <w:rPr>
                <w:rFonts w:ascii="Arial" w:eastAsia="Calibri" w:hAnsi="Arial" w:cs="Arial"/>
                <w:b/>
                <w:bCs/>
                <w:lang w:eastAsia="en-GB"/>
              </w:rPr>
              <w:t xml:space="preserve">total </w:t>
            </w:r>
            <w:r w:rsidRPr="000C06A7">
              <w:rPr>
                <w:rFonts w:ascii="Arial" w:eastAsia="Calibri" w:hAnsi="Arial" w:cs="Arial"/>
                <w:b/>
                <w:bCs/>
                <w:lang w:eastAsia="en-GB"/>
              </w:rPr>
              <w:t>training places booked</w:t>
            </w:r>
          </w:p>
        </w:tc>
        <w:tc>
          <w:tcPr>
            <w:tcW w:w="1296" w:type="dxa"/>
            <w:vAlign w:val="center"/>
          </w:tcPr>
          <w:p w14:paraId="10EB7FDC" w14:textId="5EB1DFFB" w:rsidR="00F81F98" w:rsidRPr="000C06A7" w:rsidRDefault="00F81F98" w:rsidP="00D335FC">
            <w:pPr>
              <w:pStyle w:val="ListParagraph"/>
              <w:ind w:left="0"/>
              <w:jc w:val="center"/>
              <w:rPr>
                <w:rFonts w:ascii="Arial" w:eastAsia="Calibri" w:hAnsi="Arial" w:cs="Arial"/>
                <w:b/>
                <w:bCs/>
                <w:lang w:eastAsia="en-GB"/>
              </w:rPr>
            </w:pPr>
            <w:r w:rsidRPr="000C06A7">
              <w:rPr>
                <w:rFonts w:ascii="Arial" w:eastAsia="Calibri" w:hAnsi="Arial" w:cs="Arial"/>
                <w:b/>
                <w:bCs/>
                <w:lang w:eastAsia="en-GB"/>
              </w:rPr>
              <w:t>Number</w:t>
            </w:r>
          </w:p>
        </w:tc>
        <w:tc>
          <w:tcPr>
            <w:tcW w:w="1263" w:type="dxa"/>
            <w:vAlign w:val="center"/>
          </w:tcPr>
          <w:p w14:paraId="3594DD9C" w14:textId="68EA7B12" w:rsidR="00F81F98" w:rsidRPr="000C06A7" w:rsidRDefault="00F81F98" w:rsidP="00D335FC">
            <w:pPr>
              <w:pStyle w:val="ListParagraph"/>
              <w:ind w:left="0"/>
              <w:jc w:val="center"/>
              <w:rPr>
                <w:rFonts w:ascii="Arial" w:eastAsia="Calibri" w:hAnsi="Arial" w:cs="Arial"/>
                <w:b/>
                <w:bCs/>
                <w:lang w:eastAsia="en-GB"/>
              </w:rPr>
            </w:pPr>
            <w:r w:rsidRPr="000C06A7">
              <w:rPr>
                <w:rFonts w:ascii="Arial" w:eastAsia="Calibri" w:hAnsi="Arial" w:cs="Arial"/>
                <w:b/>
                <w:bCs/>
                <w:lang w:eastAsia="en-GB"/>
              </w:rPr>
              <w:t>% change</w:t>
            </w:r>
          </w:p>
        </w:tc>
        <w:tc>
          <w:tcPr>
            <w:tcW w:w="1206" w:type="dxa"/>
            <w:vAlign w:val="center"/>
          </w:tcPr>
          <w:p w14:paraId="2B06767A" w14:textId="4BFEA6D4" w:rsidR="00F81F98" w:rsidRPr="000C06A7" w:rsidRDefault="00F81F98" w:rsidP="00D335FC">
            <w:pPr>
              <w:pStyle w:val="ListParagraph"/>
              <w:ind w:left="0"/>
              <w:jc w:val="center"/>
              <w:rPr>
                <w:rFonts w:ascii="Arial" w:eastAsia="Calibri" w:hAnsi="Arial" w:cs="Arial"/>
                <w:b/>
                <w:bCs/>
                <w:lang w:eastAsia="en-GB"/>
              </w:rPr>
            </w:pPr>
            <w:r w:rsidRPr="000C06A7">
              <w:rPr>
                <w:rFonts w:ascii="Arial" w:eastAsia="Calibri" w:hAnsi="Arial" w:cs="Arial"/>
                <w:b/>
                <w:bCs/>
                <w:lang w:eastAsia="en-GB"/>
              </w:rPr>
              <w:t xml:space="preserve">% of </w:t>
            </w:r>
            <w:r w:rsidR="001D3DD4" w:rsidRPr="000C06A7">
              <w:rPr>
                <w:rFonts w:ascii="Arial" w:eastAsia="Calibri" w:hAnsi="Arial" w:cs="Arial"/>
                <w:b/>
                <w:bCs/>
                <w:lang w:eastAsia="en-GB"/>
              </w:rPr>
              <w:t xml:space="preserve">total </w:t>
            </w:r>
            <w:r w:rsidRPr="000C06A7">
              <w:rPr>
                <w:rFonts w:ascii="Arial" w:eastAsia="Calibri" w:hAnsi="Arial" w:cs="Arial"/>
                <w:b/>
                <w:bCs/>
                <w:lang w:eastAsia="en-GB"/>
              </w:rPr>
              <w:t>people attending</w:t>
            </w:r>
          </w:p>
        </w:tc>
      </w:tr>
      <w:tr w:rsidR="00DA1751" w:rsidRPr="00B568F3" w14:paraId="24C87302" w14:textId="77777777" w:rsidTr="00F81F98">
        <w:trPr>
          <w:trHeight w:val="300"/>
        </w:trPr>
        <w:tc>
          <w:tcPr>
            <w:tcW w:w="9541" w:type="dxa"/>
            <w:gridSpan w:val="7"/>
            <w:shd w:val="clear" w:color="auto" w:fill="BFBFBF" w:themeFill="background1" w:themeFillShade="BF"/>
          </w:tcPr>
          <w:p w14:paraId="03490EC6" w14:textId="09631B21" w:rsidR="009A36FF" w:rsidRPr="000C06A7" w:rsidRDefault="009A36FF" w:rsidP="00F81F98">
            <w:pPr>
              <w:pStyle w:val="ListParagraph"/>
              <w:ind w:left="0"/>
              <w:rPr>
                <w:rFonts w:ascii="Arial" w:eastAsia="Calibri" w:hAnsi="Arial" w:cs="Arial"/>
                <w:b/>
                <w:bCs/>
                <w:lang w:eastAsia="en-GB"/>
              </w:rPr>
            </w:pPr>
            <w:r w:rsidRPr="000C06A7">
              <w:rPr>
                <w:rFonts w:ascii="Arial" w:eastAsia="Calibri" w:hAnsi="Arial" w:cs="Arial"/>
                <w:b/>
                <w:bCs/>
                <w:u w:val="single"/>
                <w:lang w:eastAsia="en-GB"/>
              </w:rPr>
              <w:t>Statutory</w:t>
            </w:r>
          </w:p>
        </w:tc>
      </w:tr>
      <w:tr w:rsidR="00533E02" w:rsidRPr="00B568F3" w14:paraId="696FF275" w14:textId="77777777" w:rsidTr="00F81F98">
        <w:trPr>
          <w:trHeight w:val="300"/>
        </w:trPr>
        <w:tc>
          <w:tcPr>
            <w:tcW w:w="1475" w:type="dxa"/>
            <w:vAlign w:val="center"/>
          </w:tcPr>
          <w:p w14:paraId="0834740F" w14:textId="260873DD" w:rsidR="00533E02" w:rsidRPr="000C06A7" w:rsidRDefault="00EC7522" w:rsidP="002A0EAF">
            <w:pPr>
              <w:pStyle w:val="ListParagraph"/>
              <w:ind w:left="0"/>
              <w:rPr>
                <w:rFonts w:ascii="Arial" w:eastAsia="Calibri" w:hAnsi="Arial" w:cs="Arial"/>
                <w:b/>
                <w:bCs/>
                <w:lang w:eastAsia="en-GB"/>
              </w:rPr>
            </w:pPr>
            <w:r>
              <w:rPr>
                <w:rFonts w:ascii="Arial" w:eastAsia="Calibri" w:hAnsi="Arial" w:cs="Arial"/>
                <w:b/>
                <w:bCs/>
                <w:lang w:eastAsia="en-GB"/>
              </w:rPr>
              <w:t>2024/2025</w:t>
            </w:r>
          </w:p>
        </w:tc>
        <w:tc>
          <w:tcPr>
            <w:tcW w:w="1243" w:type="dxa"/>
            <w:vAlign w:val="center"/>
          </w:tcPr>
          <w:p w14:paraId="5F5510B4" w14:textId="56E93A0F" w:rsidR="00533E02" w:rsidRPr="000C06A7" w:rsidRDefault="00464121" w:rsidP="002A0EAF">
            <w:pPr>
              <w:pStyle w:val="ListParagraph"/>
              <w:ind w:left="0"/>
              <w:jc w:val="center"/>
              <w:rPr>
                <w:rFonts w:ascii="Arial" w:eastAsia="Calibri" w:hAnsi="Arial" w:cs="Arial"/>
                <w:lang w:eastAsia="en-GB"/>
              </w:rPr>
            </w:pPr>
            <w:r>
              <w:rPr>
                <w:rFonts w:ascii="Arial" w:eastAsia="Calibri" w:hAnsi="Arial" w:cs="Arial"/>
                <w:lang w:eastAsia="en-GB"/>
              </w:rPr>
              <w:t>102,164</w:t>
            </w:r>
          </w:p>
        </w:tc>
        <w:tc>
          <w:tcPr>
            <w:tcW w:w="1301" w:type="dxa"/>
            <w:vAlign w:val="center"/>
          </w:tcPr>
          <w:p w14:paraId="5D6EBE81" w14:textId="69E44415" w:rsidR="00533E02" w:rsidRPr="000C06A7" w:rsidRDefault="000D0D9C" w:rsidP="002A0EAF">
            <w:pPr>
              <w:pStyle w:val="ListParagraph"/>
              <w:ind w:left="0"/>
              <w:jc w:val="center"/>
              <w:rPr>
                <w:rFonts w:ascii="Arial" w:eastAsia="Calibri" w:hAnsi="Arial" w:cs="Arial"/>
                <w:lang w:eastAsia="en-GB"/>
              </w:rPr>
            </w:pPr>
            <w:r>
              <w:rPr>
                <w:rFonts w:ascii="Arial" w:eastAsia="Calibri" w:hAnsi="Arial" w:cs="Arial"/>
                <w:lang w:eastAsia="en-GB"/>
              </w:rPr>
              <w:t>-0.7%</w:t>
            </w:r>
          </w:p>
        </w:tc>
        <w:tc>
          <w:tcPr>
            <w:tcW w:w="1757" w:type="dxa"/>
            <w:vAlign w:val="center"/>
          </w:tcPr>
          <w:p w14:paraId="7C8F3107" w14:textId="15EDEEF0" w:rsidR="00533E02" w:rsidRPr="000C06A7" w:rsidRDefault="00D23373" w:rsidP="002A0EAF">
            <w:pPr>
              <w:pStyle w:val="ListParagraph"/>
              <w:ind w:left="0"/>
              <w:jc w:val="center"/>
              <w:rPr>
                <w:rFonts w:ascii="Arial" w:eastAsia="Calibri" w:hAnsi="Arial" w:cs="Arial"/>
                <w:lang w:eastAsia="en-GB"/>
              </w:rPr>
            </w:pPr>
            <w:r>
              <w:rPr>
                <w:rFonts w:ascii="Arial" w:eastAsia="Calibri" w:hAnsi="Arial" w:cs="Arial"/>
                <w:lang w:eastAsia="en-GB"/>
              </w:rPr>
              <w:t>75.9%</w:t>
            </w:r>
          </w:p>
        </w:tc>
        <w:tc>
          <w:tcPr>
            <w:tcW w:w="1296" w:type="dxa"/>
            <w:vAlign w:val="center"/>
          </w:tcPr>
          <w:p w14:paraId="1C58D567" w14:textId="30841B53" w:rsidR="00533E02" w:rsidRPr="000C06A7" w:rsidRDefault="006B1E76" w:rsidP="002A0EAF">
            <w:pPr>
              <w:pStyle w:val="ListParagraph"/>
              <w:ind w:left="0"/>
              <w:jc w:val="center"/>
              <w:rPr>
                <w:rFonts w:ascii="Arial" w:eastAsia="Calibri" w:hAnsi="Arial" w:cs="Arial"/>
                <w:lang w:eastAsia="en-GB"/>
              </w:rPr>
            </w:pPr>
            <w:r>
              <w:rPr>
                <w:rFonts w:ascii="Arial" w:eastAsia="Calibri" w:hAnsi="Arial" w:cs="Arial"/>
                <w:lang w:eastAsia="en-GB"/>
              </w:rPr>
              <w:t>90,633</w:t>
            </w:r>
          </w:p>
        </w:tc>
        <w:tc>
          <w:tcPr>
            <w:tcW w:w="1263" w:type="dxa"/>
            <w:vAlign w:val="center"/>
          </w:tcPr>
          <w:p w14:paraId="16FF8DA3" w14:textId="4DB2E4BF"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+4.2%</w:t>
            </w:r>
          </w:p>
        </w:tc>
        <w:tc>
          <w:tcPr>
            <w:tcW w:w="1206" w:type="dxa"/>
            <w:vAlign w:val="center"/>
          </w:tcPr>
          <w:p w14:paraId="64E9690D" w14:textId="414EDDAD" w:rsidR="00533E02" w:rsidRPr="000C06A7" w:rsidRDefault="00705BC3" w:rsidP="002A0EAF">
            <w:pPr>
              <w:pStyle w:val="ListParagraph"/>
              <w:ind w:left="0"/>
              <w:jc w:val="center"/>
              <w:rPr>
                <w:rFonts w:ascii="Arial" w:eastAsia="Calibri" w:hAnsi="Arial" w:cs="Arial"/>
                <w:lang w:eastAsia="en-GB"/>
              </w:rPr>
            </w:pPr>
            <w:r>
              <w:rPr>
                <w:rFonts w:ascii="Arial" w:eastAsia="Calibri" w:hAnsi="Arial" w:cs="Arial"/>
                <w:lang w:eastAsia="en-GB"/>
              </w:rPr>
              <w:t>78.2%</w:t>
            </w:r>
          </w:p>
        </w:tc>
      </w:tr>
      <w:tr w:rsidR="002A0EAF" w:rsidRPr="00B568F3" w14:paraId="72A4DDE6" w14:textId="77777777" w:rsidTr="00F81F98">
        <w:trPr>
          <w:trHeight w:val="300"/>
        </w:trPr>
        <w:tc>
          <w:tcPr>
            <w:tcW w:w="1475" w:type="dxa"/>
            <w:vAlign w:val="center"/>
          </w:tcPr>
          <w:p w14:paraId="692F3B48"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2023/2024</w:t>
            </w:r>
          </w:p>
        </w:tc>
        <w:tc>
          <w:tcPr>
            <w:tcW w:w="1243" w:type="dxa"/>
            <w:vAlign w:val="center"/>
          </w:tcPr>
          <w:p w14:paraId="54021BC3" w14:textId="151C4E69"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102</w:t>
            </w:r>
            <w:r w:rsidR="00214439" w:rsidRPr="000C06A7">
              <w:rPr>
                <w:rFonts w:ascii="Arial" w:eastAsia="Calibri" w:hAnsi="Arial" w:cs="Arial"/>
                <w:lang w:eastAsia="en-GB"/>
              </w:rPr>
              <w:t>,</w:t>
            </w:r>
            <w:r w:rsidRPr="000C06A7">
              <w:rPr>
                <w:rFonts w:ascii="Arial" w:eastAsia="Calibri" w:hAnsi="Arial" w:cs="Arial"/>
                <w:lang w:eastAsia="en-GB"/>
              </w:rPr>
              <w:t>907</w:t>
            </w:r>
          </w:p>
        </w:tc>
        <w:tc>
          <w:tcPr>
            <w:tcW w:w="1301" w:type="dxa"/>
            <w:vAlign w:val="center"/>
          </w:tcPr>
          <w:p w14:paraId="6FEFE32D" w14:textId="4922B323" w:rsidR="002A0EAF" w:rsidRPr="000C06A7" w:rsidRDefault="00F876EA" w:rsidP="002A0EAF">
            <w:pPr>
              <w:pStyle w:val="ListParagraph"/>
              <w:ind w:left="0"/>
              <w:jc w:val="center"/>
              <w:rPr>
                <w:rFonts w:ascii="Arial" w:eastAsia="Calibri" w:hAnsi="Arial" w:cs="Arial"/>
                <w:lang w:eastAsia="en-GB"/>
              </w:rPr>
            </w:pPr>
            <w:r w:rsidRPr="000C06A7">
              <w:rPr>
                <w:rFonts w:ascii="Arial" w:eastAsia="Calibri" w:hAnsi="Arial" w:cs="Arial"/>
                <w:lang w:eastAsia="en-GB"/>
              </w:rPr>
              <w:t>-17.2%</w:t>
            </w:r>
          </w:p>
        </w:tc>
        <w:tc>
          <w:tcPr>
            <w:tcW w:w="1757" w:type="dxa"/>
            <w:vAlign w:val="center"/>
          </w:tcPr>
          <w:p w14:paraId="60EB1F4B" w14:textId="144CEBED"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76.1%</w:t>
            </w:r>
          </w:p>
        </w:tc>
        <w:tc>
          <w:tcPr>
            <w:tcW w:w="1296" w:type="dxa"/>
            <w:vAlign w:val="center"/>
          </w:tcPr>
          <w:p w14:paraId="371C7A74" w14:textId="7C93ED89"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87</w:t>
            </w:r>
            <w:r w:rsidR="00214439" w:rsidRPr="000C06A7">
              <w:rPr>
                <w:rFonts w:ascii="Arial" w:eastAsia="Calibri" w:hAnsi="Arial" w:cs="Arial"/>
                <w:lang w:eastAsia="en-GB"/>
              </w:rPr>
              <w:t>,</w:t>
            </w:r>
            <w:r w:rsidRPr="000C06A7">
              <w:rPr>
                <w:rFonts w:ascii="Arial" w:eastAsia="Calibri" w:hAnsi="Arial" w:cs="Arial"/>
                <w:lang w:eastAsia="en-GB"/>
              </w:rPr>
              <w:t>017</w:t>
            </w:r>
          </w:p>
        </w:tc>
        <w:tc>
          <w:tcPr>
            <w:tcW w:w="1263" w:type="dxa"/>
            <w:vAlign w:val="center"/>
          </w:tcPr>
          <w:p w14:paraId="5A9297CB" w14:textId="5958AFDF"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-19.7%</w:t>
            </w:r>
          </w:p>
        </w:tc>
        <w:tc>
          <w:tcPr>
            <w:tcW w:w="1206" w:type="dxa"/>
            <w:vAlign w:val="center"/>
          </w:tcPr>
          <w:p w14:paraId="44D636EA" w14:textId="34C677B6"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77.7%</w:t>
            </w:r>
          </w:p>
        </w:tc>
      </w:tr>
      <w:tr w:rsidR="001D3DD4" w:rsidRPr="00B568F3" w14:paraId="7C6C1CB6" w14:textId="77777777" w:rsidTr="00F81F98">
        <w:trPr>
          <w:trHeight w:val="300"/>
        </w:trPr>
        <w:tc>
          <w:tcPr>
            <w:tcW w:w="1475" w:type="dxa"/>
            <w:vAlign w:val="center"/>
          </w:tcPr>
          <w:p w14:paraId="13E42411"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2022/2023</w:t>
            </w:r>
          </w:p>
        </w:tc>
        <w:tc>
          <w:tcPr>
            <w:tcW w:w="1243" w:type="dxa"/>
            <w:vAlign w:val="center"/>
          </w:tcPr>
          <w:p w14:paraId="32486AF5" w14:textId="20A5D839" w:rsidR="002A0EAF" w:rsidRPr="000C06A7" w:rsidRDefault="002A0EAF" w:rsidP="00187732">
            <w:pPr>
              <w:jc w:val="center"/>
              <w:rPr>
                <w:rFonts w:ascii="Arial" w:hAnsi="Arial" w:cs="Arial"/>
                <w:color w:val="000000"/>
              </w:rPr>
            </w:pPr>
            <w:r w:rsidRPr="000C06A7">
              <w:rPr>
                <w:rFonts w:ascii="Arial" w:hAnsi="Arial" w:cs="Arial"/>
                <w:color w:val="000000"/>
              </w:rPr>
              <w:t>124</w:t>
            </w:r>
            <w:r w:rsidR="00214439" w:rsidRPr="000C06A7">
              <w:rPr>
                <w:rFonts w:ascii="Arial" w:hAnsi="Arial" w:cs="Arial"/>
                <w:color w:val="000000"/>
              </w:rPr>
              <w:t>,</w:t>
            </w:r>
            <w:r w:rsidRPr="000C06A7">
              <w:rPr>
                <w:rFonts w:ascii="Arial" w:hAnsi="Arial" w:cs="Arial"/>
                <w:color w:val="000000"/>
              </w:rPr>
              <w:t>331</w:t>
            </w:r>
          </w:p>
        </w:tc>
        <w:tc>
          <w:tcPr>
            <w:tcW w:w="1301" w:type="dxa"/>
            <w:vAlign w:val="center"/>
          </w:tcPr>
          <w:p w14:paraId="1F3BF71F" w14:textId="4A0E1D17" w:rsidR="002A0EAF" w:rsidRPr="000C06A7" w:rsidRDefault="003007CC" w:rsidP="002A0EAF">
            <w:pPr>
              <w:pStyle w:val="ListParagraph"/>
              <w:ind w:left="0"/>
              <w:jc w:val="center"/>
              <w:rPr>
                <w:rFonts w:ascii="Arial" w:eastAsia="Calibri" w:hAnsi="Arial" w:cs="Arial"/>
                <w:lang w:eastAsia="en-GB"/>
              </w:rPr>
            </w:pPr>
            <w:r w:rsidRPr="000C06A7">
              <w:rPr>
                <w:rFonts w:ascii="Arial" w:eastAsia="Calibri" w:hAnsi="Arial" w:cs="Arial"/>
                <w:lang w:eastAsia="en-GB"/>
              </w:rPr>
              <w:t>+8.0%</w:t>
            </w:r>
          </w:p>
        </w:tc>
        <w:tc>
          <w:tcPr>
            <w:tcW w:w="1757" w:type="dxa"/>
            <w:vAlign w:val="center"/>
          </w:tcPr>
          <w:p w14:paraId="5A8429FD" w14:textId="29F8D369" w:rsidR="002A0EAF" w:rsidRPr="000C06A7" w:rsidRDefault="00FF2343" w:rsidP="002A0EAF">
            <w:pPr>
              <w:pStyle w:val="ListParagraph"/>
              <w:ind w:left="0"/>
              <w:jc w:val="center"/>
              <w:rPr>
                <w:rFonts w:ascii="Arial" w:eastAsia="Calibri" w:hAnsi="Arial" w:cs="Arial"/>
                <w:lang w:eastAsia="en-GB"/>
              </w:rPr>
            </w:pPr>
            <w:r w:rsidRPr="000C06A7">
              <w:rPr>
                <w:rFonts w:ascii="Arial" w:eastAsia="Calibri" w:hAnsi="Arial" w:cs="Arial"/>
                <w:lang w:eastAsia="en-GB"/>
              </w:rPr>
              <w:t>77.4%</w:t>
            </w:r>
          </w:p>
        </w:tc>
        <w:tc>
          <w:tcPr>
            <w:tcW w:w="1296" w:type="dxa"/>
            <w:vAlign w:val="center"/>
          </w:tcPr>
          <w:p w14:paraId="1B4BC4ED" w14:textId="69277E65"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108</w:t>
            </w:r>
            <w:r w:rsidR="00214439" w:rsidRPr="000C06A7">
              <w:rPr>
                <w:rFonts w:ascii="Arial" w:eastAsia="Calibri" w:hAnsi="Arial" w:cs="Arial"/>
                <w:lang w:eastAsia="en-GB"/>
              </w:rPr>
              <w:t>,</w:t>
            </w:r>
            <w:r w:rsidRPr="000C06A7">
              <w:rPr>
                <w:rFonts w:ascii="Arial" w:eastAsia="Calibri" w:hAnsi="Arial" w:cs="Arial"/>
                <w:lang w:eastAsia="en-GB"/>
              </w:rPr>
              <w:t>425</w:t>
            </w:r>
          </w:p>
        </w:tc>
        <w:tc>
          <w:tcPr>
            <w:tcW w:w="1263" w:type="dxa"/>
            <w:vAlign w:val="center"/>
          </w:tcPr>
          <w:p w14:paraId="44CE6ECC" w14:textId="3A5FF1B4"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+8.9%</w:t>
            </w:r>
          </w:p>
        </w:tc>
        <w:tc>
          <w:tcPr>
            <w:tcW w:w="1206" w:type="dxa"/>
            <w:vAlign w:val="center"/>
          </w:tcPr>
          <w:p w14:paraId="3E7D5283" w14:textId="393FDA2E" w:rsidR="002A0EAF" w:rsidRPr="000C06A7" w:rsidRDefault="00FF2343" w:rsidP="002A0EAF">
            <w:pPr>
              <w:pStyle w:val="ListParagraph"/>
              <w:ind w:left="0"/>
              <w:jc w:val="center"/>
              <w:rPr>
                <w:rFonts w:ascii="Arial" w:eastAsia="Calibri" w:hAnsi="Arial" w:cs="Arial"/>
                <w:lang w:eastAsia="en-GB"/>
              </w:rPr>
            </w:pPr>
            <w:r w:rsidRPr="000C06A7">
              <w:rPr>
                <w:rFonts w:ascii="Arial" w:eastAsia="Calibri" w:hAnsi="Arial" w:cs="Arial"/>
                <w:lang w:eastAsia="en-GB"/>
              </w:rPr>
              <w:t>78.9%</w:t>
            </w:r>
          </w:p>
        </w:tc>
      </w:tr>
      <w:tr w:rsidR="00DA1751" w:rsidRPr="00B568F3" w14:paraId="5C53D4C8" w14:textId="77777777">
        <w:trPr>
          <w:trHeight w:val="300"/>
        </w:trPr>
        <w:tc>
          <w:tcPr>
            <w:tcW w:w="9541" w:type="dxa"/>
            <w:gridSpan w:val="7"/>
            <w:shd w:val="clear" w:color="auto" w:fill="BFBFBF" w:themeFill="background1" w:themeFillShade="BF"/>
          </w:tcPr>
          <w:p w14:paraId="40034D95" w14:textId="3A7A0AF5" w:rsidR="002A0EAF" w:rsidRPr="000C06A7" w:rsidRDefault="002A0EAF" w:rsidP="002A0EAF">
            <w:pPr>
              <w:pStyle w:val="ListParagraph"/>
              <w:ind w:left="0"/>
              <w:rPr>
                <w:rFonts w:ascii="Arial" w:eastAsia="Calibri" w:hAnsi="Arial" w:cs="Arial"/>
                <w:b/>
                <w:bCs/>
                <w:lang w:eastAsia="en-GB"/>
              </w:rPr>
            </w:pPr>
            <w:r w:rsidRPr="000C06A7">
              <w:rPr>
                <w:rFonts w:ascii="Arial" w:eastAsia="Calibri" w:hAnsi="Arial" w:cs="Arial"/>
                <w:b/>
                <w:bCs/>
                <w:u w:val="single"/>
                <w:lang w:eastAsia="en-GB"/>
              </w:rPr>
              <w:t>Private</w:t>
            </w:r>
          </w:p>
        </w:tc>
      </w:tr>
      <w:tr w:rsidR="00533E02" w:rsidRPr="00B568F3" w14:paraId="3DA05F37" w14:textId="77777777" w:rsidTr="00F81F98">
        <w:trPr>
          <w:trHeight w:val="300"/>
        </w:trPr>
        <w:tc>
          <w:tcPr>
            <w:tcW w:w="1475" w:type="dxa"/>
            <w:vAlign w:val="center"/>
          </w:tcPr>
          <w:p w14:paraId="0FA486B0" w14:textId="34855C76" w:rsidR="00533E02" w:rsidRPr="000C06A7" w:rsidRDefault="00EC7522" w:rsidP="002A0EAF">
            <w:pPr>
              <w:pStyle w:val="ListParagraph"/>
              <w:ind w:left="0"/>
              <w:rPr>
                <w:rFonts w:ascii="Arial" w:eastAsia="Calibri" w:hAnsi="Arial" w:cs="Arial"/>
                <w:b/>
                <w:bCs/>
                <w:lang w:eastAsia="en-GB"/>
              </w:rPr>
            </w:pPr>
            <w:r>
              <w:rPr>
                <w:rFonts w:ascii="Arial" w:eastAsia="Calibri" w:hAnsi="Arial" w:cs="Arial"/>
                <w:b/>
                <w:bCs/>
                <w:lang w:eastAsia="en-GB"/>
              </w:rPr>
              <w:t>2024/2025</w:t>
            </w:r>
          </w:p>
        </w:tc>
        <w:tc>
          <w:tcPr>
            <w:tcW w:w="1243" w:type="dxa"/>
            <w:vAlign w:val="center"/>
          </w:tcPr>
          <w:p w14:paraId="35CFCAEE" w14:textId="0A81478D" w:rsidR="00533E02" w:rsidRPr="000C06A7" w:rsidRDefault="00464121" w:rsidP="002A0EAF">
            <w:pPr>
              <w:pStyle w:val="ListParagraph"/>
              <w:ind w:left="0"/>
              <w:jc w:val="center"/>
              <w:rPr>
                <w:rFonts w:ascii="Arial" w:eastAsia="Calibri" w:hAnsi="Arial" w:cs="Arial"/>
                <w:lang w:eastAsia="en-GB"/>
              </w:rPr>
            </w:pPr>
            <w:r>
              <w:rPr>
                <w:rFonts w:ascii="Arial" w:eastAsia="Calibri" w:hAnsi="Arial" w:cs="Arial"/>
                <w:lang w:eastAsia="en-GB"/>
              </w:rPr>
              <w:t>20,109</w:t>
            </w:r>
          </w:p>
        </w:tc>
        <w:tc>
          <w:tcPr>
            <w:tcW w:w="1301" w:type="dxa"/>
            <w:vAlign w:val="center"/>
          </w:tcPr>
          <w:p w14:paraId="7FA8E0C0" w14:textId="565BC2FD"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+3.6%</w:t>
            </w:r>
          </w:p>
        </w:tc>
        <w:tc>
          <w:tcPr>
            <w:tcW w:w="1757" w:type="dxa"/>
            <w:vAlign w:val="center"/>
          </w:tcPr>
          <w:p w14:paraId="0CC33338" w14:textId="06A4C03B" w:rsidR="00533E02" w:rsidRPr="000C06A7" w:rsidRDefault="00D23373" w:rsidP="002A0EAF">
            <w:pPr>
              <w:pStyle w:val="ListParagraph"/>
              <w:ind w:left="0"/>
              <w:jc w:val="center"/>
              <w:rPr>
                <w:rFonts w:ascii="Arial" w:eastAsia="Calibri" w:hAnsi="Arial" w:cs="Arial"/>
                <w:lang w:eastAsia="en-GB"/>
              </w:rPr>
            </w:pPr>
            <w:r>
              <w:rPr>
                <w:rFonts w:ascii="Arial" w:eastAsia="Calibri" w:hAnsi="Arial" w:cs="Arial"/>
                <w:lang w:eastAsia="en-GB"/>
              </w:rPr>
              <w:t>14.9%</w:t>
            </w:r>
          </w:p>
        </w:tc>
        <w:tc>
          <w:tcPr>
            <w:tcW w:w="1296" w:type="dxa"/>
            <w:vAlign w:val="center"/>
          </w:tcPr>
          <w:p w14:paraId="37909C6C" w14:textId="16A70376" w:rsidR="00533E02" w:rsidRPr="000C06A7" w:rsidRDefault="00E975C8" w:rsidP="002A0EAF">
            <w:pPr>
              <w:pStyle w:val="ListParagraph"/>
              <w:ind w:left="0"/>
              <w:jc w:val="center"/>
              <w:rPr>
                <w:rFonts w:ascii="Arial" w:eastAsia="Calibri" w:hAnsi="Arial" w:cs="Arial"/>
                <w:lang w:eastAsia="en-GB"/>
              </w:rPr>
            </w:pPr>
            <w:r>
              <w:rPr>
                <w:rFonts w:ascii="Arial" w:eastAsia="Calibri" w:hAnsi="Arial" w:cs="Arial"/>
                <w:lang w:eastAsia="en-GB"/>
              </w:rPr>
              <w:t>15,899</w:t>
            </w:r>
          </w:p>
        </w:tc>
        <w:tc>
          <w:tcPr>
            <w:tcW w:w="1263" w:type="dxa"/>
            <w:vAlign w:val="center"/>
          </w:tcPr>
          <w:p w14:paraId="41CDB419" w14:textId="373783CF"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+11.9%</w:t>
            </w:r>
          </w:p>
        </w:tc>
        <w:tc>
          <w:tcPr>
            <w:tcW w:w="1206" w:type="dxa"/>
            <w:vAlign w:val="center"/>
          </w:tcPr>
          <w:p w14:paraId="0B830D42" w14:textId="5BE72F7F" w:rsidR="00533E02" w:rsidRPr="000C06A7" w:rsidRDefault="00DC228C" w:rsidP="002A0EAF">
            <w:pPr>
              <w:pStyle w:val="ListParagraph"/>
              <w:ind w:left="0"/>
              <w:jc w:val="center"/>
              <w:rPr>
                <w:rFonts w:ascii="Arial" w:eastAsia="Calibri" w:hAnsi="Arial" w:cs="Arial"/>
                <w:lang w:eastAsia="en-GB"/>
              </w:rPr>
            </w:pPr>
            <w:r>
              <w:rPr>
                <w:rFonts w:ascii="Arial" w:eastAsia="Calibri" w:hAnsi="Arial" w:cs="Arial"/>
                <w:lang w:eastAsia="en-GB"/>
              </w:rPr>
              <w:t>13.7%</w:t>
            </w:r>
          </w:p>
        </w:tc>
      </w:tr>
      <w:tr w:rsidR="001D3DD4" w:rsidRPr="00B568F3" w14:paraId="5C3E0849" w14:textId="77777777" w:rsidTr="00F81F98">
        <w:trPr>
          <w:trHeight w:val="300"/>
        </w:trPr>
        <w:tc>
          <w:tcPr>
            <w:tcW w:w="1475" w:type="dxa"/>
            <w:vAlign w:val="center"/>
          </w:tcPr>
          <w:p w14:paraId="5642BC51"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2023/2024</w:t>
            </w:r>
          </w:p>
        </w:tc>
        <w:tc>
          <w:tcPr>
            <w:tcW w:w="1243" w:type="dxa"/>
            <w:vAlign w:val="center"/>
          </w:tcPr>
          <w:p w14:paraId="593F4238" w14:textId="1BAD4A49"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19</w:t>
            </w:r>
            <w:r w:rsidR="00214439" w:rsidRPr="000C06A7">
              <w:rPr>
                <w:rFonts w:ascii="Arial" w:eastAsia="Calibri" w:hAnsi="Arial" w:cs="Arial"/>
                <w:lang w:eastAsia="en-GB"/>
              </w:rPr>
              <w:t>,</w:t>
            </w:r>
            <w:r w:rsidRPr="000C06A7">
              <w:rPr>
                <w:rFonts w:ascii="Arial" w:eastAsia="Calibri" w:hAnsi="Arial" w:cs="Arial"/>
                <w:lang w:eastAsia="en-GB"/>
              </w:rPr>
              <w:t>416</w:t>
            </w:r>
          </w:p>
        </w:tc>
        <w:tc>
          <w:tcPr>
            <w:tcW w:w="1301" w:type="dxa"/>
            <w:vAlign w:val="center"/>
          </w:tcPr>
          <w:p w14:paraId="6ADC5388" w14:textId="320CB917" w:rsidR="002A0EAF" w:rsidRPr="000C06A7" w:rsidRDefault="00F876EA" w:rsidP="002A0EAF">
            <w:pPr>
              <w:pStyle w:val="ListParagraph"/>
              <w:ind w:left="0"/>
              <w:jc w:val="center"/>
              <w:rPr>
                <w:rFonts w:ascii="Arial" w:eastAsia="Calibri" w:hAnsi="Arial" w:cs="Arial"/>
                <w:lang w:eastAsia="en-GB"/>
              </w:rPr>
            </w:pPr>
            <w:r w:rsidRPr="000C06A7">
              <w:rPr>
                <w:rFonts w:ascii="Arial" w:eastAsia="Calibri" w:hAnsi="Arial" w:cs="Arial"/>
                <w:lang w:eastAsia="en-GB"/>
              </w:rPr>
              <w:t>-22.9%</w:t>
            </w:r>
          </w:p>
        </w:tc>
        <w:tc>
          <w:tcPr>
            <w:tcW w:w="1757" w:type="dxa"/>
            <w:vAlign w:val="center"/>
          </w:tcPr>
          <w:p w14:paraId="217D658B" w14:textId="16736EE2"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14.4%</w:t>
            </w:r>
          </w:p>
        </w:tc>
        <w:tc>
          <w:tcPr>
            <w:tcW w:w="1296" w:type="dxa"/>
            <w:vAlign w:val="center"/>
          </w:tcPr>
          <w:p w14:paraId="62AD56F1" w14:textId="0F899DA2"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14</w:t>
            </w:r>
            <w:r w:rsidR="00214439" w:rsidRPr="000C06A7">
              <w:rPr>
                <w:rFonts w:ascii="Arial" w:eastAsia="Calibri" w:hAnsi="Arial" w:cs="Arial"/>
                <w:lang w:eastAsia="en-GB"/>
              </w:rPr>
              <w:t>,</w:t>
            </w:r>
            <w:r w:rsidRPr="000C06A7">
              <w:rPr>
                <w:rFonts w:ascii="Arial" w:eastAsia="Calibri" w:hAnsi="Arial" w:cs="Arial"/>
                <w:lang w:eastAsia="en-GB"/>
              </w:rPr>
              <w:t>202</w:t>
            </w:r>
          </w:p>
        </w:tc>
        <w:tc>
          <w:tcPr>
            <w:tcW w:w="1263" w:type="dxa"/>
            <w:vAlign w:val="center"/>
          </w:tcPr>
          <w:p w14:paraId="2EED4666" w14:textId="1C9D7779"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-28.8%</w:t>
            </w:r>
          </w:p>
        </w:tc>
        <w:tc>
          <w:tcPr>
            <w:tcW w:w="1206" w:type="dxa"/>
            <w:vAlign w:val="center"/>
          </w:tcPr>
          <w:p w14:paraId="5FB291A4" w14:textId="1F78DA33"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12.7%</w:t>
            </w:r>
          </w:p>
        </w:tc>
      </w:tr>
      <w:tr w:rsidR="002A0EAF" w:rsidRPr="00B568F3" w14:paraId="3E24E09E" w14:textId="77777777" w:rsidTr="009A36FF">
        <w:trPr>
          <w:trHeight w:val="300"/>
        </w:trPr>
        <w:tc>
          <w:tcPr>
            <w:tcW w:w="1475" w:type="dxa"/>
            <w:vAlign w:val="center"/>
          </w:tcPr>
          <w:p w14:paraId="309C8495"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2022/2023</w:t>
            </w:r>
          </w:p>
        </w:tc>
        <w:tc>
          <w:tcPr>
            <w:tcW w:w="1243" w:type="dxa"/>
            <w:vAlign w:val="center"/>
          </w:tcPr>
          <w:p w14:paraId="7F971A19" w14:textId="14B3C27A"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25</w:t>
            </w:r>
            <w:r w:rsidR="00214439" w:rsidRPr="000C06A7">
              <w:rPr>
                <w:rFonts w:ascii="Arial" w:eastAsia="Calibri" w:hAnsi="Arial" w:cs="Arial"/>
                <w:lang w:eastAsia="en-GB"/>
              </w:rPr>
              <w:t>,</w:t>
            </w:r>
            <w:r w:rsidRPr="000C06A7">
              <w:rPr>
                <w:rFonts w:ascii="Arial" w:eastAsia="Calibri" w:hAnsi="Arial" w:cs="Arial"/>
                <w:lang w:eastAsia="en-GB"/>
              </w:rPr>
              <w:t>168</w:t>
            </w:r>
          </w:p>
        </w:tc>
        <w:tc>
          <w:tcPr>
            <w:tcW w:w="1301" w:type="dxa"/>
            <w:vAlign w:val="center"/>
          </w:tcPr>
          <w:p w14:paraId="62D12658" w14:textId="100315A0" w:rsidR="002A0EAF" w:rsidRPr="000C06A7" w:rsidRDefault="003007CC" w:rsidP="002A0EAF">
            <w:pPr>
              <w:pStyle w:val="ListParagraph"/>
              <w:ind w:left="0"/>
              <w:jc w:val="center"/>
              <w:rPr>
                <w:rFonts w:ascii="Arial" w:eastAsia="Calibri" w:hAnsi="Arial" w:cs="Arial"/>
                <w:lang w:eastAsia="en-GB"/>
              </w:rPr>
            </w:pPr>
            <w:r w:rsidRPr="000C06A7">
              <w:rPr>
                <w:rFonts w:ascii="Arial" w:eastAsia="Calibri" w:hAnsi="Arial" w:cs="Arial"/>
                <w:lang w:eastAsia="en-GB"/>
              </w:rPr>
              <w:t>+30.5%</w:t>
            </w:r>
          </w:p>
        </w:tc>
        <w:tc>
          <w:tcPr>
            <w:tcW w:w="1757" w:type="dxa"/>
            <w:vAlign w:val="center"/>
          </w:tcPr>
          <w:p w14:paraId="0CB8E227" w14:textId="5E7C3ADC" w:rsidR="002A0EAF" w:rsidRPr="000C06A7" w:rsidRDefault="00CD08B2" w:rsidP="002A0EAF">
            <w:pPr>
              <w:pStyle w:val="ListParagraph"/>
              <w:ind w:left="0"/>
              <w:jc w:val="center"/>
              <w:rPr>
                <w:rFonts w:ascii="Arial" w:eastAsia="Calibri" w:hAnsi="Arial" w:cs="Arial"/>
                <w:lang w:eastAsia="en-GB"/>
              </w:rPr>
            </w:pPr>
            <w:r w:rsidRPr="000C06A7">
              <w:rPr>
                <w:rFonts w:ascii="Arial" w:eastAsia="Calibri" w:hAnsi="Arial" w:cs="Arial"/>
                <w:lang w:eastAsia="en-GB"/>
              </w:rPr>
              <w:t>15.7%</w:t>
            </w:r>
          </w:p>
        </w:tc>
        <w:tc>
          <w:tcPr>
            <w:tcW w:w="1296" w:type="dxa"/>
            <w:vAlign w:val="center"/>
          </w:tcPr>
          <w:p w14:paraId="2BC8A007" w14:textId="40566CBE"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19</w:t>
            </w:r>
            <w:r w:rsidR="00214439" w:rsidRPr="000C06A7">
              <w:rPr>
                <w:rFonts w:ascii="Arial" w:eastAsia="Calibri" w:hAnsi="Arial" w:cs="Arial"/>
                <w:lang w:eastAsia="en-GB"/>
              </w:rPr>
              <w:t>,</w:t>
            </w:r>
            <w:r w:rsidRPr="000C06A7">
              <w:rPr>
                <w:rFonts w:ascii="Arial" w:eastAsia="Calibri" w:hAnsi="Arial" w:cs="Arial"/>
                <w:lang w:eastAsia="en-GB"/>
              </w:rPr>
              <w:t>940</w:t>
            </w:r>
          </w:p>
        </w:tc>
        <w:tc>
          <w:tcPr>
            <w:tcW w:w="1263" w:type="dxa"/>
            <w:vAlign w:val="center"/>
          </w:tcPr>
          <w:p w14:paraId="4AAFE650" w14:textId="5FFD269C"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+43.6%</w:t>
            </w:r>
          </w:p>
        </w:tc>
        <w:tc>
          <w:tcPr>
            <w:tcW w:w="1206" w:type="dxa"/>
            <w:vAlign w:val="center"/>
          </w:tcPr>
          <w:p w14:paraId="592366A0" w14:textId="23DFF9C6" w:rsidR="002A0EAF" w:rsidRPr="000C06A7" w:rsidRDefault="00CD08B2" w:rsidP="002A0EAF">
            <w:pPr>
              <w:pStyle w:val="ListParagraph"/>
              <w:ind w:left="0"/>
              <w:jc w:val="center"/>
              <w:rPr>
                <w:rFonts w:ascii="Arial" w:eastAsia="Calibri" w:hAnsi="Arial" w:cs="Arial"/>
                <w:lang w:eastAsia="en-GB"/>
              </w:rPr>
            </w:pPr>
            <w:r w:rsidRPr="000C06A7">
              <w:rPr>
                <w:rFonts w:ascii="Arial" w:eastAsia="Calibri" w:hAnsi="Arial" w:cs="Arial"/>
                <w:lang w:eastAsia="en-GB"/>
              </w:rPr>
              <w:t>14.5%</w:t>
            </w:r>
          </w:p>
        </w:tc>
      </w:tr>
      <w:tr w:rsidR="00DA1751" w:rsidRPr="00B568F3" w14:paraId="6AA6F1D6" w14:textId="77777777">
        <w:trPr>
          <w:trHeight w:val="300"/>
        </w:trPr>
        <w:tc>
          <w:tcPr>
            <w:tcW w:w="9541" w:type="dxa"/>
            <w:gridSpan w:val="7"/>
            <w:shd w:val="clear" w:color="auto" w:fill="BFBFBF" w:themeFill="background1" w:themeFillShade="BF"/>
          </w:tcPr>
          <w:p w14:paraId="0B8ABA9B" w14:textId="3DE2CDC0" w:rsidR="002A0EAF" w:rsidRPr="000C06A7" w:rsidRDefault="002A0EAF" w:rsidP="002A0EAF">
            <w:pPr>
              <w:pStyle w:val="ListParagraph"/>
              <w:ind w:left="0"/>
              <w:rPr>
                <w:rFonts w:ascii="Arial" w:eastAsia="Calibri" w:hAnsi="Arial" w:cs="Arial"/>
                <w:b/>
                <w:bCs/>
                <w:lang w:eastAsia="en-GB"/>
              </w:rPr>
            </w:pPr>
            <w:r w:rsidRPr="000C06A7">
              <w:rPr>
                <w:rFonts w:ascii="Arial" w:eastAsia="Calibri" w:hAnsi="Arial" w:cs="Arial"/>
                <w:b/>
                <w:bCs/>
                <w:u w:val="single"/>
                <w:lang w:eastAsia="en-GB"/>
              </w:rPr>
              <w:t>Voluntary</w:t>
            </w:r>
          </w:p>
        </w:tc>
      </w:tr>
      <w:tr w:rsidR="00533E02" w:rsidRPr="00B568F3" w14:paraId="4093FA35" w14:textId="77777777" w:rsidTr="00F81F98">
        <w:trPr>
          <w:trHeight w:val="300"/>
        </w:trPr>
        <w:tc>
          <w:tcPr>
            <w:tcW w:w="1475" w:type="dxa"/>
            <w:vAlign w:val="center"/>
          </w:tcPr>
          <w:p w14:paraId="6C1197F7" w14:textId="29BB2BEF" w:rsidR="00533E02" w:rsidRPr="000C06A7" w:rsidRDefault="00464121" w:rsidP="002A0EAF">
            <w:pPr>
              <w:pStyle w:val="ListParagraph"/>
              <w:ind w:left="0"/>
              <w:rPr>
                <w:rFonts w:ascii="Arial" w:eastAsia="Calibri" w:hAnsi="Arial" w:cs="Arial"/>
                <w:b/>
                <w:bCs/>
                <w:lang w:eastAsia="en-GB"/>
              </w:rPr>
            </w:pPr>
            <w:r>
              <w:rPr>
                <w:rFonts w:ascii="Arial" w:eastAsia="Calibri" w:hAnsi="Arial" w:cs="Arial"/>
                <w:b/>
                <w:bCs/>
                <w:lang w:eastAsia="en-GB"/>
              </w:rPr>
              <w:t>2024/2025</w:t>
            </w:r>
          </w:p>
        </w:tc>
        <w:tc>
          <w:tcPr>
            <w:tcW w:w="1243" w:type="dxa"/>
            <w:vAlign w:val="center"/>
          </w:tcPr>
          <w:p w14:paraId="79FFD08B" w14:textId="510836EC" w:rsidR="00533E02" w:rsidRPr="000C06A7" w:rsidRDefault="00464121" w:rsidP="002A0EAF">
            <w:pPr>
              <w:pStyle w:val="ListParagraph"/>
              <w:ind w:left="0"/>
              <w:jc w:val="center"/>
              <w:rPr>
                <w:rFonts w:ascii="Arial" w:eastAsia="Calibri" w:hAnsi="Arial" w:cs="Arial"/>
                <w:lang w:eastAsia="en-GB"/>
              </w:rPr>
            </w:pPr>
            <w:r>
              <w:rPr>
                <w:rFonts w:ascii="Arial" w:eastAsia="Calibri" w:hAnsi="Arial" w:cs="Arial"/>
                <w:lang w:eastAsia="en-GB"/>
              </w:rPr>
              <w:t>3,552</w:t>
            </w:r>
          </w:p>
        </w:tc>
        <w:tc>
          <w:tcPr>
            <w:tcW w:w="1301" w:type="dxa"/>
            <w:vAlign w:val="center"/>
          </w:tcPr>
          <w:p w14:paraId="65F06166" w14:textId="4A985217"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+41.5%</w:t>
            </w:r>
          </w:p>
        </w:tc>
        <w:tc>
          <w:tcPr>
            <w:tcW w:w="1757" w:type="dxa"/>
            <w:vAlign w:val="center"/>
          </w:tcPr>
          <w:p w14:paraId="51D57E77" w14:textId="31EB66BB" w:rsidR="00533E02" w:rsidRPr="000C06A7" w:rsidRDefault="00D23373" w:rsidP="002A0EAF">
            <w:pPr>
              <w:pStyle w:val="ListParagraph"/>
              <w:ind w:left="0"/>
              <w:jc w:val="center"/>
              <w:rPr>
                <w:rFonts w:ascii="Arial" w:eastAsia="Calibri" w:hAnsi="Arial" w:cs="Arial"/>
                <w:lang w:eastAsia="en-GB"/>
              </w:rPr>
            </w:pPr>
            <w:r>
              <w:rPr>
                <w:rFonts w:ascii="Arial" w:eastAsia="Calibri" w:hAnsi="Arial" w:cs="Arial"/>
                <w:lang w:eastAsia="en-GB"/>
              </w:rPr>
              <w:t>2.6%</w:t>
            </w:r>
          </w:p>
        </w:tc>
        <w:tc>
          <w:tcPr>
            <w:tcW w:w="1296" w:type="dxa"/>
            <w:vAlign w:val="center"/>
          </w:tcPr>
          <w:p w14:paraId="0661711A" w14:textId="0019E27C" w:rsidR="00533E02" w:rsidRPr="000C06A7" w:rsidRDefault="00E975C8" w:rsidP="002A0EAF">
            <w:pPr>
              <w:pStyle w:val="ListParagraph"/>
              <w:ind w:left="0"/>
              <w:jc w:val="center"/>
              <w:rPr>
                <w:rFonts w:ascii="Arial" w:eastAsia="Calibri" w:hAnsi="Arial" w:cs="Arial"/>
                <w:lang w:eastAsia="en-GB"/>
              </w:rPr>
            </w:pPr>
            <w:r>
              <w:rPr>
                <w:rFonts w:ascii="Arial" w:eastAsia="Calibri" w:hAnsi="Arial" w:cs="Arial"/>
                <w:lang w:eastAsia="en-GB"/>
              </w:rPr>
              <w:t>2,206</w:t>
            </w:r>
          </w:p>
        </w:tc>
        <w:tc>
          <w:tcPr>
            <w:tcW w:w="1263" w:type="dxa"/>
            <w:vAlign w:val="center"/>
          </w:tcPr>
          <w:p w14:paraId="633CAC10" w14:textId="3893ED6F"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+8.9%</w:t>
            </w:r>
          </w:p>
        </w:tc>
        <w:tc>
          <w:tcPr>
            <w:tcW w:w="1206" w:type="dxa"/>
            <w:vAlign w:val="center"/>
          </w:tcPr>
          <w:p w14:paraId="29A1D5CE" w14:textId="7253698F" w:rsidR="00533E02" w:rsidRPr="000C06A7" w:rsidRDefault="00DC228C" w:rsidP="002A0EAF">
            <w:pPr>
              <w:pStyle w:val="ListParagraph"/>
              <w:ind w:left="0"/>
              <w:jc w:val="center"/>
              <w:rPr>
                <w:rFonts w:ascii="Arial" w:eastAsia="Calibri" w:hAnsi="Arial" w:cs="Arial"/>
                <w:lang w:eastAsia="en-GB"/>
              </w:rPr>
            </w:pPr>
            <w:r>
              <w:rPr>
                <w:rFonts w:ascii="Arial" w:eastAsia="Calibri" w:hAnsi="Arial" w:cs="Arial"/>
                <w:lang w:eastAsia="en-GB"/>
              </w:rPr>
              <w:t>1.9%</w:t>
            </w:r>
          </w:p>
        </w:tc>
      </w:tr>
      <w:tr w:rsidR="001D3DD4" w:rsidRPr="00B568F3" w14:paraId="4BE947B8" w14:textId="77777777" w:rsidTr="00F81F98">
        <w:trPr>
          <w:trHeight w:val="300"/>
        </w:trPr>
        <w:tc>
          <w:tcPr>
            <w:tcW w:w="1475" w:type="dxa"/>
            <w:vAlign w:val="center"/>
          </w:tcPr>
          <w:p w14:paraId="0F50606D"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2023/2024</w:t>
            </w:r>
          </w:p>
        </w:tc>
        <w:tc>
          <w:tcPr>
            <w:tcW w:w="1243" w:type="dxa"/>
            <w:vAlign w:val="center"/>
          </w:tcPr>
          <w:p w14:paraId="198FE867" w14:textId="2A4CAEAB"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w:t>
            </w:r>
            <w:r w:rsidR="00214439" w:rsidRPr="000C06A7">
              <w:rPr>
                <w:rFonts w:ascii="Arial" w:eastAsia="Calibri" w:hAnsi="Arial" w:cs="Arial"/>
                <w:lang w:eastAsia="en-GB"/>
              </w:rPr>
              <w:t>,</w:t>
            </w:r>
            <w:r w:rsidRPr="000C06A7">
              <w:rPr>
                <w:rFonts w:ascii="Arial" w:eastAsia="Calibri" w:hAnsi="Arial" w:cs="Arial"/>
                <w:lang w:eastAsia="en-GB"/>
              </w:rPr>
              <w:t>510</w:t>
            </w:r>
          </w:p>
        </w:tc>
        <w:tc>
          <w:tcPr>
            <w:tcW w:w="1301" w:type="dxa"/>
            <w:vAlign w:val="center"/>
          </w:tcPr>
          <w:p w14:paraId="40D370BD" w14:textId="71B43AA8" w:rsidR="002A0EAF" w:rsidRPr="000C06A7" w:rsidRDefault="00F876EA" w:rsidP="002A0EAF">
            <w:pPr>
              <w:pStyle w:val="ListParagraph"/>
              <w:ind w:left="0"/>
              <w:jc w:val="center"/>
              <w:rPr>
                <w:rFonts w:ascii="Arial" w:eastAsia="Calibri" w:hAnsi="Arial" w:cs="Arial"/>
                <w:lang w:eastAsia="en-GB"/>
              </w:rPr>
            </w:pPr>
            <w:r w:rsidRPr="000C06A7">
              <w:rPr>
                <w:rFonts w:ascii="Arial" w:eastAsia="Calibri" w:hAnsi="Arial" w:cs="Arial"/>
                <w:lang w:eastAsia="en-GB"/>
              </w:rPr>
              <w:t>-12.5%</w:t>
            </w:r>
          </w:p>
        </w:tc>
        <w:tc>
          <w:tcPr>
            <w:tcW w:w="1757" w:type="dxa"/>
            <w:vAlign w:val="center"/>
          </w:tcPr>
          <w:p w14:paraId="0A98DAC8" w14:textId="5522D266"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1.9%</w:t>
            </w:r>
          </w:p>
        </w:tc>
        <w:tc>
          <w:tcPr>
            <w:tcW w:w="1296" w:type="dxa"/>
            <w:vAlign w:val="center"/>
          </w:tcPr>
          <w:p w14:paraId="250DCF26" w14:textId="5898ED52"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w:t>
            </w:r>
            <w:r w:rsidR="00214439" w:rsidRPr="000C06A7">
              <w:rPr>
                <w:rFonts w:ascii="Arial" w:eastAsia="Calibri" w:hAnsi="Arial" w:cs="Arial"/>
                <w:lang w:eastAsia="en-GB"/>
              </w:rPr>
              <w:t>,</w:t>
            </w:r>
            <w:r w:rsidRPr="000C06A7">
              <w:rPr>
                <w:rFonts w:ascii="Arial" w:eastAsia="Calibri" w:hAnsi="Arial" w:cs="Arial"/>
                <w:lang w:eastAsia="en-GB"/>
              </w:rPr>
              <w:t>025</w:t>
            </w:r>
          </w:p>
        </w:tc>
        <w:tc>
          <w:tcPr>
            <w:tcW w:w="1263" w:type="dxa"/>
            <w:vAlign w:val="center"/>
          </w:tcPr>
          <w:p w14:paraId="1DD0A9E4" w14:textId="51F4AB2D"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-7.8%</w:t>
            </w:r>
          </w:p>
        </w:tc>
        <w:tc>
          <w:tcPr>
            <w:tcW w:w="1206" w:type="dxa"/>
            <w:vAlign w:val="center"/>
          </w:tcPr>
          <w:p w14:paraId="6912556F" w14:textId="0736F67D"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1.8%</w:t>
            </w:r>
          </w:p>
        </w:tc>
      </w:tr>
      <w:tr w:rsidR="002A0EAF" w:rsidRPr="00B568F3" w14:paraId="71B58CF6" w14:textId="77777777" w:rsidTr="009A36FF">
        <w:trPr>
          <w:trHeight w:val="300"/>
        </w:trPr>
        <w:tc>
          <w:tcPr>
            <w:tcW w:w="1475" w:type="dxa"/>
            <w:vAlign w:val="center"/>
          </w:tcPr>
          <w:p w14:paraId="4C9E14A8"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2022/2023</w:t>
            </w:r>
          </w:p>
        </w:tc>
        <w:tc>
          <w:tcPr>
            <w:tcW w:w="1243" w:type="dxa"/>
            <w:vAlign w:val="center"/>
          </w:tcPr>
          <w:p w14:paraId="678B4D44" w14:textId="35303FC1"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w:t>
            </w:r>
            <w:r w:rsidR="00214439" w:rsidRPr="000C06A7">
              <w:rPr>
                <w:rFonts w:ascii="Arial" w:eastAsia="Calibri" w:hAnsi="Arial" w:cs="Arial"/>
                <w:lang w:eastAsia="en-GB"/>
              </w:rPr>
              <w:t>,</w:t>
            </w:r>
            <w:r w:rsidRPr="000C06A7">
              <w:rPr>
                <w:rFonts w:ascii="Arial" w:eastAsia="Calibri" w:hAnsi="Arial" w:cs="Arial"/>
                <w:lang w:eastAsia="en-GB"/>
              </w:rPr>
              <w:t>870</w:t>
            </w:r>
          </w:p>
        </w:tc>
        <w:tc>
          <w:tcPr>
            <w:tcW w:w="1301" w:type="dxa"/>
            <w:vAlign w:val="center"/>
          </w:tcPr>
          <w:p w14:paraId="66201A8B" w14:textId="55BE3986" w:rsidR="002A0EAF" w:rsidRPr="000C06A7" w:rsidRDefault="003007CC" w:rsidP="002A0EAF">
            <w:pPr>
              <w:pStyle w:val="ListParagraph"/>
              <w:ind w:left="0"/>
              <w:jc w:val="center"/>
              <w:rPr>
                <w:rFonts w:ascii="Arial" w:eastAsia="Calibri" w:hAnsi="Arial" w:cs="Arial"/>
                <w:lang w:eastAsia="en-GB"/>
              </w:rPr>
            </w:pPr>
            <w:r w:rsidRPr="000C06A7">
              <w:rPr>
                <w:rFonts w:ascii="Arial" w:eastAsia="Calibri" w:hAnsi="Arial" w:cs="Arial"/>
                <w:lang w:eastAsia="en-GB"/>
              </w:rPr>
              <w:t>-9.4%</w:t>
            </w:r>
          </w:p>
        </w:tc>
        <w:tc>
          <w:tcPr>
            <w:tcW w:w="1757" w:type="dxa"/>
            <w:vAlign w:val="center"/>
          </w:tcPr>
          <w:p w14:paraId="78A73576" w14:textId="1673CE01" w:rsidR="002A0EAF" w:rsidRPr="000C06A7" w:rsidRDefault="00CD08B2" w:rsidP="002A0EAF">
            <w:pPr>
              <w:pStyle w:val="ListParagraph"/>
              <w:ind w:left="0"/>
              <w:jc w:val="center"/>
              <w:rPr>
                <w:rFonts w:ascii="Arial" w:eastAsia="Calibri" w:hAnsi="Arial" w:cs="Arial"/>
                <w:lang w:eastAsia="en-GB"/>
              </w:rPr>
            </w:pPr>
            <w:r w:rsidRPr="000C06A7">
              <w:rPr>
                <w:rFonts w:ascii="Arial" w:eastAsia="Calibri" w:hAnsi="Arial" w:cs="Arial"/>
                <w:lang w:eastAsia="en-GB"/>
              </w:rPr>
              <w:t>1.8%</w:t>
            </w:r>
          </w:p>
        </w:tc>
        <w:tc>
          <w:tcPr>
            <w:tcW w:w="1296" w:type="dxa"/>
            <w:vAlign w:val="center"/>
          </w:tcPr>
          <w:p w14:paraId="41BAF072" w14:textId="02D82730"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w:t>
            </w:r>
            <w:r w:rsidR="00214439" w:rsidRPr="000C06A7">
              <w:rPr>
                <w:rFonts w:ascii="Arial" w:eastAsia="Calibri" w:hAnsi="Arial" w:cs="Arial"/>
                <w:lang w:eastAsia="en-GB"/>
              </w:rPr>
              <w:t>,</w:t>
            </w:r>
            <w:r w:rsidRPr="000C06A7">
              <w:rPr>
                <w:rFonts w:ascii="Arial" w:eastAsia="Calibri" w:hAnsi="Arial" w:cs="Arial"/>
                <w:lang w:eastAsia="en-GB"/>
              </w:rPr>
              <w:t>197</w:t>
            </w:r>
          </w:p>
        </w:tc>
        <w:tc>
          <w:tcPr>
            <w:tcW w:w="1263" w:type="dxa"/>
            <w:vAlign w:val="center"/>
          </w:tcPr>
          <w:p w14:paraId="3BA71391" w14:textId="3257C174"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+13.1%</w:t>
            </w:r>
          </w:p>
        </w:tc>
        <w:tc>
          <w:tcPr>
            <w:tcW w:w="1206" w:type="dxa"/>
            <w:vAlign w:val="center"/>
          </w:tcPr>
          <w:p w14:paraId="13A66677" w14:textId="47023E7C" w:rsidR="002A0EAF" w:rsidRPr="000C06A7" w:rsidRDefault="00CD08B2" w:rsidP="002A0EAF">
            <w:pPr>
              <w:pStyle w:val="ListParagraph"/>
              <w:ind w:left="0"/>
              <w:jc w:val="center"/>
              <w:rPr>
                <w:rFonts w:ascii="Arial" w:eastAsia="Calibri" w:hAnsi="Arial" w:cs="Arial"/>
                <w:lang w:eastAsia="en-GB"/>
              </w:rPr>
            </w:pPr>
            <w:r w:rsidRPr="000C06A7">
              <w:rPr>
                <w:rFonts w:ascii="Arial" w:eastAsia="Calibri" w:hAnsi="Arial" w:cs="Arial"/>
                <w:lang w:eastAsia="en-GB"/>
              </w:rPr>
              <w:t>1.6%</w:t>
            </w:r>
          </w:p>
        </w:tc>
      </w:tr>
      <w:tr w:rsidR="00DA1751" w:rsidRPr="00B568F3" w14:paraId="1B8199D4" w14:textId="77777777" w:rsidTr="00F81F98">
        <w:trPr>
          <w:trHeight w:val="300"/>
        </w:trPr>
        <w:tc>
          <w:tcPr>
            <w:tcW w:w="9541" w:type="dxa"/>
            <w:gridSpan w:val="7"/>
            <w:shd w:val="clear" w:color="auto" w:fill="BFBFBF" w:themeFill="background1" w:themeFillShade="BF"/>
          </w:tcPr>
          <w:p w14:paraId="188FA7CC" w14:textId="372E108D" w:rsidR="002A0EAF" w:rsidRPr="000C06A7" w:rsidRDefault="002A0EAF" w:rsidP="002A0EAF">
            <w:pPr>
              <w:pStyle w:val="ListParagraph"/>
              <w:ind w:left="0"/>
              <w:rPr>
                <w:rFonts w:ascii="Arial" w:eastAsia="Calibri" w:hAnsi="Arial" w:cs="Arial"/>
                <w:b/>
                <w:bCs/>
                <w:lang w:eastAsia="en-GB"/>
              </w:rPr>
            </w:pPr>
            <w:r w:rsidRPr="000C06A7">
              <w:rPr>
                <w:rFonts w:ascii="Arial" w:eastAsia="Calibri" w:hAnsi="Arial" w:cs="Arial"/>
                <w:b/>
                <w:bCs/>
                <w:u w:val="single"/>
                <w:lang w:eastAsia="en-GB"/>
              </w:rPr>
              <w:t>Other</w:t>
            </w:r>
          </w:p>
        </w:tc>
      </w:tr>
      <w:tr w:rsidR="00533E02" w:rsidRPr="00B568F3" w14:paraId="01A4CF7C" w14:textId="77777777" w:rsidTr="00F81F98">
        <w:trPr>
          <w:trHeight w:val="300"/>
        </w:trPr>
        <w:tc>
          <w:tcPr>
            <w:tcW w:w="1475" w:type="dxa"/>
            <w:vAlign w:val="center"/>
          </w:tcPr>
          <w:p w14:paraId="60B0F2A6" w14:textId="568C0445" w:rsidR="00533E02" w:rsidRPr="000C06A7" w:rsidRDefault="00EC7522" w:rsidP="002A0EAF">
            <w:pPr>
              <w:pStyle w:val="ListParagraph"/>
              <w:ind w:left="0"/>
              <w:rPr>
                <w:rFonts w:ascii="Arial" w:eastAsia="Calibri" w:hAnsi="Arial" w:cs="Arial"/>
                <w:b/>
                <w:bCs/>
                <w:lang w:eastAsia="en-GB"/>
              </w:rPr>
            </w:pPr>
            <w:r>
              <w:rPr>
                <w:rFonts w:ascii="Arial" w:eastAsia="Calibri" w:hAnsi="Arial" w:cs="Arial"/>
                <w:b/>
                <w:bCs/>
                <w:lang w:eastAsia="en-GB"/>
              </w:rPr>
              <w:t>2024/2025</w:t>
            </w:r>
          </w:p>
        </w:tc>
        <w:tc>
          <w:tcPr>
            <w:tcW w:w="1243" w:type="dxa"/>
            <w:vAlign w:val="center"/>
          </w:tcPr>
          <w:p w14:paraId="7F59BA05" w14:textId="494D19C9" w:rsidR="00533E02" w:rsidRPr="000C06A7" w:rsidRDefault="00464121" w:rsidP="002A0EAF">
            <w:pPr>
              <w:pStyle w:val="ListParagraph"/>
              <w:ind w:left="0"/>
              <w:jc w:val="center"/>
              <w:rPr>
                <w:rFonts w:ascii="Arial" w:eastAsia="Calibri" w:hAnsi="Arial" w:cs="Arial"/>
                <w:lang w:eastAsia="en-GB"/>
              </w:rPr>
            </w:pPr>
            <w:r>
              <w:rPr>
                <w:rFonts w:ascii="Arial" w:eastAsia="Calibri" w:hAnsi="Arial" w:cs="Arial"/>
                <w:lang w:eastAsia="en-GB"/>
              </w:rPr>
              <w:t>8,7</w:t>
            </w:r>
            <w:r w:rsidR="00F936B5">
              <w:rPr>
                <w:rFonts w:ascii="Arial" w:eastAsia="Calibri" w:hAnsi="Arial" w:cs="Arial"/>
                <w:lang w:eastAsia="en-GB"/>
              </w:rPr>
              <w:t>01</w:t>
            </w:r>
          </w:p>
        </w:tc>
        <w:tc>
          <w:tcPr>
            <w:tcW w:w="1301" w:type="dxa"/>
            <w:vAlign w:val="center"/>
          </w:tcPr>
          <w:p w14:paraId="30424B5A" w14:textId="1D1B9B7F"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-15.8%</w:t>
            </w:r>
          </w:p>
        </w:tc>
        <w:tc>
          <w:tcPr>
            <w:tcW w:w="1757" w:type="dxa"/>
            <w:vAlign w:val="center"/>
          </w:tcPr>
          <w:p w14:paraId="7A518725" w14:textId="4691D2B8" w:rsidR="00533E02" w:rsidRPr="000C06A7" w:rsidRDefault="00047C85" w:rsidP="002A0EAF">
            <w:pPr>
              <w:pStyle w:val="ListParagraph"/>
              <w:ind w:left="0"/>
              <w:jc w:val="center"/>
              <w:rPr>
                <w:rFonts w:ascii="Arial" w:eastAsia="Calibri" w:hAnsi="Arial" w:cs="Arial"/>
                <w:lang w:eastAsia="en-GB"/>
              </w:rPr>
            </w:pPr>
            <w:r>
              <w:rPr>
                <w:rFonts w:ascii="Arial" w:eastAsia="Calibri" w:hAnsi="Arial" w:cs="Arial"/>
                <w:lang w:eastAsia="en-GB"/>
              </w:rPr>
              <w:t>6.5%</w:t>
            </w:r>
          </w:p>
        </w:tc>
        <w:tc>
          <w:tcPr>
            <w:tcW w:w="1296" w:type="dxa"/>
            <w:vAlign w:val="center"/>
          </w:tcPr>
          <w:p w14:paraId="24BA9346" w14:textId="34362FD3" w:rsidR="00533E02" w:rsidRPr="000C06A7" w:rsidRDefault="00E975C8" w:rsidP="002A0EAF">
            <w:pPr>
              <w:pStyle w:val="ListParagraph"/>
              <w:ind w:left="0"/>
              <w:jc w:val="center"/>
              <w:rPr>
                <w:rFonts w:ascii="Arial" w:eastAsia="Calibri" w:hAnsi="Arial" w:cs="Arial"/>
                <w:lang w:eastAsia="en-GB"/>
              </w:rPr>
            </w:pPr>
            <w:r>
              <w:rPr>
                <w:rFonts w:ascii="Arial" w:eastAsia="Calibri" w:hAnsi="Arial" w:cs="Arial"/>
                <w:lang w:eastAsia="en-GB"/>
              </w:rPr>
              <w:t>7,164</w:t>
            </w:r>
          </w:p>
        </w:tc>
        <w:tc>
          <w:tcPr>
            <w:tcW w:w="1263" w:type="dxa"/>
            <w:vAlign w:val="center"/>
          </w:tcPr>
          <w:p w14:paraId="24B0AF96" w14:textId="58610785" w:rsidR="00533E02" w:rsidRPr="000C06A7" w:rsidRDefault="001A1C4A" w:rsidP="002A0EAF">
            <w:pPr>
              <w:pStyle w:val="ListParagraph"/>
              <w:ind w:left="0"/>
              <w:jc w:val="center"/>
              <w:rPr>
                <w:rFonts w:ascii="Arial" w:eastAsia="Calibri" w:hAnsi="Arial" w:cs="Arial"/>
                <w:lang w:eastAsia="en-GB"/>
              </w:rPr>
            </w:pPr>
            <w:r>
              <w:rPr>
                <w:rFonts w:ascii="Arial" w:eastAsia="Calibri" w:hAnsi="Arial" w:cs="Arial"/>
                <w:lang w:eastAsia="en-GB"/>
              </w:rPr>
              <w:t>-17</w:t>
            </w:r>
            <w:r w:rsidR="003F444E">
              <w:rPr>
                <w:rFonts w:ascii="Arial" w:eastAsia="Calibri" w:hAnsi="Arial" w:cs="Arial"/>
                <w:lang w:eastAsia="en-GB"/>
              </w:rPr>
              <w:t>.6</w:t>
            </w:r>
          </w:p>
        </w:tc>
        <w:tc>
          <w:tcPr>
            <w:tcW w:w="1206" w:type="dxa"/>
            <w:vAlign w:val="center"/>
          </w:tcPr>
          <w:p w14:paraId="294CC816" w14:textId="542A00B9" w:rsidR="00533E02" w:rsidRPr="000C06A7" w:rsidRDefault="00DC228C" w:rsidP="002A0EAF">
            <w:pPr>
              <w:pStyle w:val="ListParagraph"/>
              <w:ind w:left="0"/>
              <w:jc w:val="center"/>
              <w:rPr>
                <w:rFonts w:ascii="Arial" w:eastAsia="Calibri" w:hAnsi="Arial" w:cs="Arial"/>
                <w:lang w:eastAsia="en-GB"/>
              </w:rPr>
            </w:pPr>
            <w:r>
              <w:rPr>
                <w:rFonts w:ascii="Arial" w:eastAsia="Calibri" w:hAnsi="Arial" w:cs="Arial"/>
                <w:lang w:eastAsia="en-GB"/>
              </w:rPr>
              <w:t>6.2%</w:t>
            </w:r>
          </w:p>
        </w:tc>
      </w:tr>
      <w:tr w:rsidR="001D3DD4" w:rsidRPr="00B568F3" w14:paraId="07DD57F1" w14:textId="77777777" w:rsidTr="00F81F98">
        <w:trPr>
          <w:trHeight w:val="300"/>
        </w:trPr>
        <w:tc>
          <w:tcPr>
            <w:tcW w:w="1475" w:type="dxa"/>
            <w:vAlign w:val="center"/>
          </w:tcPr>
          <w:p w14:paraId="566AD972"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2023/2024</w:t>
            </w:r>
          </w:p>
        </w:tc>
        <w:tc>
          <w:tcPr>
            <w:tcW w:w="1243" w:type="dxa"/>
            <w:vAlign w:val="center"/>
          </w:tcPr>
          <w:p w14:paraId="5C24E05A" w14:textId="33B58820"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10</w:t>
            </w:r>
            <w:r w:rsidR="00214439" w:rsidRPr="000C06A7">
              <w:rPr>
                <w:rFonts w:ascii="Arial" w:eastAsia="Calibri" w:hAnsi="Arial" w:cs="Arial"/>
                <w:lang w:eastAsia="en-GB"/>
              </w:rPr>
              <w:t>,</w:t>
            </w:r>
            <w:r w:rsidRPr="000C06A7">
              <w:rPr>
                <w:rFonts w:ascii="Arial" w:eastAsia="Calibri" w:hAnsi="Arial" w:cs="Arial"/>
                <w:lang w:eastAsia="en-GB"/>
              </w:rPr>
              <w:t>336</w:t>
            </w:r>
          </w:p>
        </w:tc>
        <w:tc>
          <w:tcPr>
            <w:tcW w:w="1301" w:type="dxa"/>
            <w:vAlign w:val="center"/>
          </w:tcPr>
          <w:p w14:paraId="0DBFB2CB" w14:textId="6964BC72" w:rsidR="002A0EAF" w:rsidRPr="000C06A7" w:rsidRDefault="00F876EA" w:rsidP="002A0EAF">
            <w:pPr>
              <w:pStyle w:val="ListParagraph"/>
              <w:ind w:left="0"/>
              <w:jc w:val="center"/>
              <w:rPr>
                <w:rFonts w:ascii="Arial" w:eastAsia="Calibri" w:hAnsi="Arial" w:cs="Arial"/>
                <w:lang w:eastAsia="en-GB"/>
              </w:rPr>
            </w:pPr>
            <w:r w:rsidRPr="000C06A7">
              <w:rPr>
                <w:rFonts w:ascii="Arial" w:eastAsia="Calibri" w:hAnsi="Arial" w:cs="Arial"/>
                <w:lang w:eastAsia="en-GB"/>
              </w:rPr>
              <w:t>+26.4%</w:t>
            </w:r>
          </w:p>
        </w:tc>
        <w:tc>
          <w:tcPr>
            <w:tcW w:w="1757" w:type="dxa"/>
            <w:vAlign w:val="center"/>
          </w:tcPr>
          <w:p w14:paraId="0E3ABDE9" w14:textId="2345E1C7"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7.6%</w:t>
            </w:r>
          </w:p>
        </w:tc>
        <w:tc>
          <w:tcPr>
            <w:tcW w:w="1296" w:type="dxa"/>
            <w:vAlign w:val="center"/>
          </w:tcPr>
          <w:p w14:paraId="7E9454E7" w14:textId="7F3E156C"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8</w:t>
            </w:r>
            <w:r w:rsidR="00214439" w:rsidRPr="000C06A7">
              <w:rPr>
                <w:rFonts w:ascii="Arial" w:eastAsia="Calibri" w:hAnsi="Arial" w:cs="Arial"/>
                <w:lang w:eastAsia="en-GB"/>
              </w:rPr>
              <w:t>,</w:t>
            </w:r>
            <w:r w:rsidRPr="000C06A7">
              <w:rPr>
                <w:rFonts w:ascii="Arial" w:eastAsia="Calibri" w:hAnsi="Arial" w:cs="Arial"/>
                <w:lang w:eastAsia="en-GB"/>
              </w:rPr>
              <w:t>699</w:t>
            </w:r>
          </w:p>
        </w:tc>
        <w:tc>
          <w:tcPr>
            <w:tcW w:w="1263" w:type="dxa"/>
            <w:vAlign w:val="center"/>
          </w:tcPr>
          <w:p w14:paraId="1B8A2A24" w14:textId="1334D49C"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+28.2%</w:t>
            </w:r>
          </w:p>
        </w:tc>
        <w:tc>
          <w:tcPr>
            <w:tcW w:w="1206" w:type="dxa"/>
            <w:vAlign w:val="center"/>
          </w:tcPr>
          <w:p w14:paraId="1E7F633F" w14:textId="12DA4345"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7.8%</w:t>
            </w:r>
          </w:p>
        </w:tc>
      </w:tr>
      <w:tr w:rsidR="002A0EAF" w:rsidRPr="00B568F3" w14:paraId="5C448328" w14:textId="77777777" w:rsidTr="009A36FF">
        <w:trPr>
          <w:trHeight w:val="300"/>
        </w:trPr>
        <w:tc>
          <w:tcPr>
            <w:tcW w:w="1475" w:type="dxa"/>
            <w:vAlign w:val="center"/>
          </w:tcPr>
          <w:p w14:paraId="1B8777AF" w14:textId="77777777" w:rsidR="002A0EAF" w:rsidRPr="000C06A7" w:rsidRDefault="002A0EAF" w:rsidP="002A0EAF">
            <w:pPr>
              <w:pStyle w:val="ListParagraph"/>
              <w:ind w:left="0"/>
              <w:rPr>
                <w:rFonts w:ascii="Arial" w:eastAsia="Calibri" w:hAnsi="Arial" w:cs="Arial"/>
                <w:lang w:eastAsia="en-GB"/>
              </w:rPr>
            </w:pPr>
            <w:r w:rsidRPr="000C06A7">
              <w:rPr>
                <w:rFonts w:ascii="Arial" w:eastAsia="Calibri" w:hAnsi="Arial" w:cs="Arial"/>
                <w:b/>
                <w:bCs/>
                <w:lang w:eastAsia="en-GB"/>
              </w:rPr>
              <w:t>2022/2023</w:t>
            </w:r>
          </w:p>
        </w:tc>
        <w:tc>
          <w:tcPr>
            <w:tcW w:w="1243" w:type="dxa"/>
            <w:vAlign w:val="center"/>
          </w:tcPr>
          <w:p w14:paraId="370747E5" w14:textId="2344EFA2"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8</w:t>
            </w:r>
            <w:r w:rsidR="00214439" w:rsidRPr="000C06A7">
              <w:rPr>
                <w:rFonts w:ascii="Arial" w:eastAsia="Calibri" w:hAnsi="Arial" w:cs="Arial"/>
                <w:lang w:eastAsia="en-GB"/>
              </w:rPr>
              <w:t>,</w:t>
            </w:r>
            <w:r w:rsidRPr="000C06A7">
              <w:rPr>
                <w:rFonts w:ascii="Arial" w:eastAsia="Calibri" w:hAnsi="Arial" w:cs="Arial"/>
                <w:lang w:eastAsia="en-GB"/>
              </w:rPr>
              <w:t>174</w:t>
            </w:r>
          </w:p>
        </w:tc>
        <w:tc>
          <w:tcPr>
            <w:tcW w:w="1301" w:type="dxa"/>
            <w:vAlign w:val="center"/>
          </w:tcPr>
          <w:p w14:paraId="2D5DF56F" w14:textId="33E491A8" w:rsidR="002A0EAF" w:rsidRPr="000C06A7" w:rsidRDefault="003007CC" w:rsidP="002A0EAF">
            <w:pPr>
              <w:pStyle w:val="ListParagraph"/>
              <w:ind w:left="0"/>
              <w:jc w:val="center"/>
              <w:rPr>
                <w:rFonts w:ascii="Arial" w:eastAsia="Calibri" w:hAnsi="Arial" w:cs="Arial"/>
                <w:lang w:eastAsia="en-GB"/>
              </w:rPr>
            </w:pPr>
            <w:r w:rsidRPr="000C06A7">
              <w:rPr>
                <w:rFonts w:ascii="Arial" w:eastAsia="Calibri" w:hAnsi="Arial" w:cs="Arial"/>
                <w:lang w:eastAsia="en-GB"/>
              </w:rPr>
              <w:t>-8.0%</w:t>
            </w:r>
          </w:p>
        </w:tc>
        <w:tc>
          <w:tcPr>
            <w:tcW w:w="1757" w:type="dxa"/>
            <w:vAlign w:val="center"/>
          </w:tcPr>
          <w:p w14:paraId="089D639E" w14:textId="312F73DD" w:rsidR="002A0EAF" w:rsidRPr="000C06A7" w:rsidRDefault="00CD08B2" w:rsidP="002A0EAF">
            <w:pPr>
              <w:pStyle w:val="ListParagraph"/>
              <w:ind w:left="0"/>
              <w:jc w:val="center"/>
              <w:rPr>
                <w:rFonts w:ascii="Arial" w:eastAsia="Calibri" w:hAnsi="Arial" w:cs="Arial"/>
                <w:lang w:eastAsia="en-GB"/>
              </w:rPr>
            </w:pPr>
            <w:r w:rsidRPr="000C06A7">
              <w:rPr>
                <w:rFonts w:ascii="Arial" w:eastAsia="Calibri" w:hAnsi="Arial" w:cs="Arial"/>
                <w:lang w:eastAsia="en-GB"/>
              </w:rPr>
              <w:t>5.1%</w:t>
            </w:r>
          </w:p>
        </w:tc>
        <w:tc>
          <w:tcPr>
            <w:tcW w:w="1296" w:type="dxa"/>
            <w:vAlign w:val="center"/>
          </w:tcPr>
          <w:p w14:paraId="19035208" w14:textId="433E9D3E"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6</w:t>
            </w:r>
            <w:r w:rsidR="00214439" w:rsidRPr="000C06A7">
              <w:rPr>
                <w:rFonts w:ascii="Arial" w:eastAsia="Calibri" w:hAnsi="Arial" w:cs="Arial"/>
                <w:lang w:eastAsia="en-GB"/>
              </w:rPr>
              <w:t>,</w:t>
            </w:r>
            <w:r w:rsidRPr="000C06A7">
              <w:rPr>
                <w:rFonts w:ascii="Arial" w:eastAsia="Calibri" w:hAnsi="Arial" w:cs="Arial"/>
                <w:lang w:eastAsia="en-GB"/>
              </w:rPr>
              <w:t>786</w:t>
            </w:r>
          </w:p>
        </w:tc>
        <w:tc>
          <w:tcPr>
            <w:tcW w:w="1263" w:type="dxa"/>
            <w:vAlign w:val="center"/>
          </w:tcPr>
          <w:p w14:paraId="2F6EC823" w14:textId="6CCD31D8" w:rsidR="002A0EAF" w:rsidRPr="000C06A7" w:rsidRDefault="002A0EAF" w:rsidP="002A0EAF">
            <w:pPr>
              <w:pStyle w:val="ListParagraph"/>
              <w:ind w:left="0"/>
              <w:jc w:val="center"/>
              <w:rPr>
                <w:rFonts w:ascii="Arial" w:eastAsia="Calibri" w:hAnsi="Arial" w:cs="Arial"/>
                <w:lang w:eastAsia="en-GB"/>
              </w:rPr>
            </w:pPr>
            <w:r w:rsidRPr="000C06A7">
              <w:rPr>
                <w:rFonts w:ascii="Arial" w:eastAsia="Calibri" w:hAnsi="Arial" w:cs="Arial"/>
                <w:lang w:eastAsia="en-GB"/>
              </w:rPr>
              <w:t>-1.2%</w:t>
            </w:r>
          </w:p>
        </w:tc>
        <w:tc>
          <w:tcPr>
            <w:tcW w:w="1206" w:type="dxa"/>
            <w:vAlign w:val="center"/>
          </w:tcPr>
          <w:p w14:paraId="4800A847" w14:textId="62606436" w:rsidR="002A0EAF" w:rsidRPr="000C06A7" w:rsidRDefault="00CD08B2" w:rsidP="002A0EAF">
            <w:pPr>
              <w:pStyle w:val="ListParagraph"/>
              <w:ind w:left="0"/>
              <w:jc w:val="center"/>
              <w:rPr>
                <w:rFonts w:ascii="Arial" w:eastAsia="Calibri" w:hAnsi="Arial" w:cs="Arial"/>
                <w:lang w:eastAsia="en-GB"/>
              </w:rPr>
            </w:pPr>
            <w:r w:rsidRPr="000C06A7">
              <w:rPr>
                <w:rFonts w:ascii="Arial" w:eastAsia="Calibri" w:hAnsi="Arial" w:cs="Arial"/>
                <w:lang w:eastAsia="en-GB"/>
              </w:rPr>
              <w:t>4.9%</w:t>
            </w:r>
          </w:p>
        </w:tc>
      </w:tr>
    </w:tbl>
    <w:p w14:paraId="5D8C5192" w14:textId="52E607B7" w:rsidR="00BE151A" w:rsidRPr="00B568F3" w:rsidRDefault="00236765"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lastRenderedPageBreak/>
        <w:t xml:space="preserve">Table </w:t>
      </w:r>
      <w:r w:rsidR="0006593D" w:rsidRPr="00B568F3">
        <w:rPr>
          <w:rFonts w:ascii="Arial" w:eastAsia="Calibri" w:hAnsi="Arial" w:cs="Arial"/>
          <w:sz w:val="24"/>
          <w:szCs w:val="24"/>
          <w:lang w:eastAsia="en-GB"/>
        </w:rPr>
        <w:t xml:space="preserve">8 </w:t>
      </w:r>
      <w:r w:rsidR="00580FA6" w:rsidRPr="00B568F3">
        <w:rPr>
          <w:rFonts w:ascii="Arial" w:eastAsia="Calibri" w:hAnsi="Arial" w:cs="Arial"/>
          <w:sz w:val="24"/>
          <w:szCs w:val="24"/>
          <w:lang w:eastAsia="en-GB"/>
        </w:rPr>
        <w:t xml:space="preserve">shows </w:t>
      </w:r>
      <w:r w:rsidR="0006593D" w:rsidRPr="00B568F3">
        <w:rPr>
          <w:rFonts w:ascii="Arial" w:eastAsia="Calibri" w:hAnsi="Arial" w:cs="Arial"/>
          <w:sz w:val="24"/>
          <w:szCs w:val="24"/>
          <w:lang w:eastAsia="en-GB"/>
        </w:rPr>
        <w:t>the three</w:t>
      </w:r>
      <w:r w:rsidR="00B24C33" w:rsidRPr="00B568F3">
        <w:rPr>
          <w:rFonts w:ascii="Arial" w:eastAsia="Calibri" w:hAnsi="Arial" w:cs="Arial"/>
          <w:sz w:val="24"/>
          <w:szCs w:val="24"/>
          <w:lang w:eastAsia="en-GB"/>
        </w:rPr>
        <w:t>-</w:t>
      </w:r>
      <w:r w:rsidR="0006593D" w:rsidRPr="00B568F3">
        <w:rPr>
          <w:rFonts w:ascii="Arial" w:eastAsia="Calibri" w:hAnsi="Arial" w:cs="Arial"/>
          <w:sz w:val="24"/>
          <w:szCs w:val="24"/>
          <w:lang w:eastAsia="en-GB"/>
        </w:rPr>
        <w:t>year trend</w:t>
      </w:r>
      <w:r w:rsidR="0006593D" w:rsidRPr="00B568F3" w:rsidDel="009A66DB">
        <w:rPr>
          <w:rFonts w:ascii="Arial" w:eastAsia="Calibri" w:hAnsi="Arial" w:cs="Arial"/>
          <w:sz w:val="24"/>
          <w:szCs w:val="24"/>
          <w:lang w:eastAsia="en-GB"/>
        </w:rPr>
        <w:t xml:space="preserve"> </w:t>
      </w:r>
      <w:r w:rsidR="0006593D" w:rsidRPr="00B568F3">
        <w:rPr>
          <w:rFonts w:ascii="Arial" w:eastAsia="Calibri" w:hAnsi="Arial" w:cs="Arial"/>
          <w:sz w:val="24"/>
          <w:szCs w:val="24"/>
          <w:lang w:eastAsia="en-GB"/>
        </w:rPr>
        <w:t xml:space="preserve">of training places booked and </w:t>
      </w:r>
      <w:r w:rsidR="00580FA6" w:rsidRPr="00B568F3">
        <w:rPr>
          <w:rFonts w:ascii="Arial" w:eastAsia="Calibri" w:hAnsi="Arial" w:cs="Arial"/>
          <w:sz w:val="24"/>
          <w:szCs w:val="24"/>
          <w:lang w:eastAsia="en-GB"/>
        </w:rPr>
        <w:t xml:space="preserve">the </w:t>
      </w:r>
      <w:r w:rsidR="0006593D" w:rsidRPr="00B568F3">
        <w:rPr>
          <w:rFonts w:ascii="Arial" w:eastAsia="Calibri" w:hAnsi="Arial" w:cs="Arial"/>
          <w:sz w:val="24"/>
          <w:szCs w:val="24"/>
          <w:lang w:eastAsia="en-GB"/>
        </w:rPr>
        <w:t>people attending</w:t>
      </w:r>
      <w:r w:rsidR="000D2FFC" w:rsidRPr="00B568F3">
        <w:rPr>
          <w:rFonts w:ascii="Arial" w:eastAsia="Calibri" w:hAnsi="Arial" w:cs="Arial"/>
          <w:sz w:val="24"/>
          <w:szCs w:val="24"/>
          <w:lang w:eastAsia="en-GB"/>
        </w:rPr>
        <w:t xml:space="preserve"> by service type</w:t>
      </w:r>
      <w:r w:rsidR="00F07F19" w:rsidRPr="00B568F3">
        <w:rPr>
          <w:rFonts w:ascii="Arial" w:eastAsia="Calibri" w:hAnsi="Arial" w:cs="Arial"/>
          <w:sz w:val="24"/>
          <w:szCs w:val="24"/>
          <w:lang w:eastAsia="en-GB"/>
        </w:rPr>
        <w:t xml:space="preserve">. It </w:t>
      </w:r>
      <w:r w:rsidR="001573E7" w:rsidRPr="00B568F3">
        <w:rPr>
          <w:rFonts w:ascii="Arial" w:eastAsia="Calibri" w:hAnsi="Arial" w:cs="Arial"/>
          <w:sz w:val="24"/>
          <w:szCs w:val="24"/>
          <w:lang w:eastAsia="en-GB"/>
        </w:rPr>
        <w:t xml:space="preserve">shows </w:t>
      </w:r>
      <w:r w:rsidR="00C2488A">
        <w:rPr>
          <w:rFonts w:ascii="Arial" w:eastAsia="Calibri" w:hAnsi="Arial" w:cs="Arial"/>
          <w:sz w:val="24"/>
          <w:szCs w:val="24"/>
          <w:lang w:eastAsia="en-GB"/>
        </w:rPr>
        <w:t xml:space="preserve">the continued trend </w:t>
      </w:r>
      <w:r w:rsidR="002A7706">
        <w:rPr>
          <w:rFonts w:ascii="Arial" w:eastAsia="Calibri" w:hAnsi="Arial" w:cs="Arial"/>
          <w:sz w:val="24"/>
          <w:szCs w:val="24"/>
          <w:lang w:eastAsia="en-GB"/>
        </w:rPr>
        <w:t>of</w:t>
      </w:r>
      <w:r w:rsidR="001573E7" w:rsidRPr="00B568F3">
        <w:rPr>
          <w:rFonts w:ascii="Arial" w:eastAsia="Calibri" w:hAnsi="Arial" w:cs="Arial"/>
          <w:sz w:val="24"/>
          <w:szCs w:val="24"/>
          <w:lang w:eastAsia="en-GB"/>
        </w:rPr>
        <w:t xml:space="preserve"> the proportion of training places booked and attended </w:t>
      </w:r>
      <w:r w:rsidR="00E3536A">
        <w:rPr>
          <w:rFonts w:ascii="Arial" w:eastAsia="Calibri" w:hAnsi="Arial" w:cs="Arial"/>
          <w:sz w:val="24"/>
          <w:szCs w:val="24"/>
          <w:lang w:eastAsia="en-GB"/>
        </w:rPr>
        <w:t xml:space="preserve">being </w:t>
      </w:r>
      <w:r w:rsidR="001573E7" w:rsidRPr="00B568F3">
        <w:rPr>
          <w:rFonts w:ascii="Arial" w:eastAsia="Calibri" w:hAnsi="Arial" w:cs="Arial"/>
          <w:sz w:val="24"/>
          <w:szCs w:val="24"/>
          <w:lang w:eastAsia="en-GB"/>
        </w:rPr>
        <w:t xml:space="preserve">dominated by the statutory sector. </w:t>
      </w:r>
      <w:r w:rsidR="00506FB0" w:rsidRPr="00BC35D6">
        <w:rPr>
          <w:rFonts w:ascii="Arial" w:eastAsia="Calibri" w:hAnsi="Arial" w:cs="Arial"/>
          <w:sz w:val="24"/>
          <w:szCs w:val="24"/>
          <w:lang w:eastAsia="en-GB"/>
        </w:rPr>
        <w:t>This is</w:t>
      </w:r>
      <w:r w:rsidR="00580FA6" w:rsidRPr="00BC35D6">
        <w:rPr>
          <w:rFonts w:ascii="Arial" w:eastAsia="Calibri" w:hAnsi="Arial" w:cs="Arial"/>
          <w:sz w:val="24"/>
          <w:szCs w:val="24"/>
          <w:lang w:eastAsia="en-GB"/>
        </w:rPr>
        <w:t>n’t in proportion</w:t>
      </w:r>
      <w:r w:rsidR="00506FB0" w:rsidRPr="00BC35D6" w:rsidDel="00580FA6">
        <w:rPr>
          <w:rFonts w:ascii="Arial" w:eastAsia="Calibri" w:hAnsi="Arial" w:cs="Arial"/>
          <w:sz w:val="24"/>
          <w:szCs w:val="24"/>
          <w:lang w:eastAsia="en-GB"/>
        </w:rPr>
        <w:t xml:space="preserve"> </w:t>
      </w:r>
      <w:r w:rsidR="00506FB0" w:rsidRPr="00BC35D6">
        <w:rPr>
          <w:rFonts w:ascii="Arial" w:eastAsia="Calibri" w:hAnsi="Arial" w:cs="Arial"/>
          <w:sz w:val="24"/>
          <w:szCs w:val="24"/>
          <w:lang w:eastAsia="en-GB"/>
        </w:rPr>
        <w:t xml:space="preserve">when </w:t>
      </w:r>
      <w:r w:rsidR="00C62ED3" w:rsidRPr="00BC35D6">
        <w:rPr>
          <w:rFonts w:ascii="Arial" w:eastAsia="Calibri" w:hAnsi="Arial" w:cs="Arial"/>
          <w:sz w:val="24"/>
          <w:szCs w:val="24"/>
          <w:lang w:eastAsia="en-GB"/>
        </w:rPr>
        <w:t xml:space="preserve">considering </w:t>
      </w:r>
      <w:r w:rsidR="00A32035" w:rsidRPr="00EB0A5B">
        <w:rPr>
          <w:rFonts w:ascii="Arial" w:eastAsia="Calibri" w:hAnsi="Arial" w:cs="Arial"/>
          <w:sz w:val="24"/>
          <w:szCs w:val="24"/>
          <w:lang w:eastAsia="en-GB"/>
        </w:rPr>
        <w:t>67</w:t>
      </w:r>
      <w:r w:rsidR="00A32035" w:rsidRPr="00FB7C72">
        <w:rPr>
          <w:rFonts w:ascii="Arial" w:eastAsia="Calibri" w:hAnsi="Arial" w:cs="Arial"/>
          <w:sz w:val="24"/>
          <w:szCs w:val="24"/>
          <w:lang w:eastAsia="en-GB"/>
        </w:rPr>
        <w:t xml:space="preserve"> </w:t>
      </w:r>
      <w:r w:rsidR="00580FA6" w:rsidRPr="00FB7C72">
        <w:rPr>
          <w:rFonts w:ascii="Arial" w:eastAsia="Calibri" w:hAnsi="Arial" w:cs="Arial"/>
          <w:sz w:val="24"/>
          <w:szCs w:val="24"/>
          <w:lang w:eastAsia="en-GB"/>
        </w:rPr>
        <w:t>per cent</w:t>
      </w:r>
      <w:r w:rsidR="00FB7C72" w:rsidRPr="00FB7C72">
        <w:rPr>
          <w:rStyle w:val="FootnoteReference"/>
          <w:rFonts w:ascii="Arial" w:eastAsia="Calibri" w:hAnsi="Arial" w:cs="Arial"/>
          <w:sz w:val="24"/>
          <w:szCs w:val="24"/>
          <w:lang w:eastAsia="en-GB"/>
        </w:rPr>
        <w:footnoteReference w:id="10"/>
      </w:r>
      <w:r w:rsidR="00C62ED3" w:rsidRPr="00FB7C72">
        <w:rPr>
          <w:rFonts w:ascii="Arial" w:eastAsia="Calibri" w:hAnsi="Arial" w:cs="Arial"/>
          <w:sz w:val="24"/>
          <w:szCs w:val="24"/>
          <w:lang w:eastAsia="en-GB"/>
        </w:rPr>
        <w:t xml:space="preserve"> of the </w:t>
      </w:r>
      <w:r w:rsidR="00FB7C72">
        <w:rPr>
          <w:rFonts w:ascii="Arial" w:eastAsia="Calibri" w:hAnsi="Arial" w:cs="Arial"/>
          <w:sz w:val="24"/>
          <w:szCs w:val="24"/>
          <w:lang w:eastAsia="en-GB"/>
        </w:rPr>
        <w:t xml:space="preserve">registered </w:t>
      </w:r>
      <w:r w:rsidR="00C62ED3" w:rsidRPr="00FB7C72">
        <w:rPr>
          <w:rFonts w:ascii="Arial" w:eastAsia="Calibri" w:hAnsi="Arial" w:cs="Arial"/>
          <w:sz w:val="24"/>
          <w:szCs w:val="24"/>
          <w:lang w:eastAsia="en-GB"/>
        </w:rPr>
        <w:t>number of people employed in the social care workforce in Wales work for c</w:t>
      </w:r>
      <w:r w:rsidR="00582D93" w:rsidRPr="00FB7C72">
        <w:rPr>
          <w:rFonts w:ascii="Arial" w:eastAsia="Calibri" w:hAnsi="Arial" w:cs="Arial"/>
          <w:sz w:val="24"/>
          <w:szCs w:val="24"/>
          <w:lang w:eastAsia="en-GB"/>
        </w:rPr>
        <w:t>ommissioned providers</w:t>
      </w:r>
      <w:r w:rsidR="00C62ED3" w:rsidRPr="00FB7C72">
        <w:rPr>
          <w:rFonts w:ascii="Arial" w:eastAsia="Calibri" w:hAnsi="Arial" w:cs="Arial"/>
          <w:sz w:val="24"/>
          <w:szCs w:val="24"/>
          <w:lang w:eastAsia="en-GB"/>
        </w:rPr>
        <w:t>.</w:t>
      </w:r>
    </w:p>
    <w:p w14:paraId="7B5A6947" w14:textId="77777777" w:rsidR="00181285" w:rsidRPr="00B568F3" w:rsidRDefault="00181285" w:rsidP="005E09F1">
      <w:pPr>
        <w:spacing w:after="200" w:line="276" w:lineRule="auto"/>
        <w:ind w:left="709"/>
        <w:contextualSpacing/>
        <w:rPr>
          <w:rFonts w:ascii="Arial" w:eastAsia="Calibri" w:hAnsi="Arial" w:cs="Arial"/>
          <w:sz w:val="24"/>
          <w:szCs w:val="24"/>
          <w:lang w:eastAsia="en-GB"/>
        </w:rPr>
      </w:pPr>
    </w:p>
    <w:p w14:paraId="7D23417A" w14:textId="3C492139" w:rsidR="00CF1B0C" w:rsidRDefault="00321D59" w:rsidP="00C92ECE">
      <w:pPr>
        <w:numPr>
          <w:ilvl w:val="0"/>
          <w:numId w:val="6"/>
        </w:numPr>
        <w:spacing w:after="0" w:line="276" w:lineRule="auto"/>
        <w:ind w:left="567" w:hanging="425"/>
        <w:contextualSpacing/>
        <w:rPr>
          <w:rFonts w:ascii="Arial" w:eastAsia="Calibri" w:hAnsi="Arial" w:cs="Arial"/>
          <w:sz w:val="24"/>
          <w:szCs w:val="24"/>
          <w:lang w:eastAsia="en-GB"/>
        </w:rPr>
      </w:pPr>
      <w:r w:rsidRPr="00D71FEB">
        <w:rPr>
          <w:rFonts w:ascii="Arial" w:eastAsia="Calibri" w:hAnsi="Arial" w:cs="Arial"/>
          <w:sz w:val="24"/>
          <w:szCs w:val="24"/>
          <w:lang w:eastAsia="en-GB"/>
        </w:rPr>
        <w:t>This</w:t>
      </w:r>
      <w:r w:rsidR="00ED38D1" w:rsidRPr="00D71FEB">
        <w:rPr>
          <w:rFonts w:ascii="Arial" w:eastAsia="Calibri" w:hAnsi="Arial" w:cs="Arial"/>
          <w:sz w:val="24"/>
          <w:szCs w:val="24"/>
          <w:lang w:eastAsia="en-GB"/>
        </w:rPr>
        <w:t xml:space="preserve"> has been an</w:t>
      </w:r>
      <w:r w:rsidR="00EB663C" w:rsidRPr="00D71FEB">
        <w:rPr>
          <w:rFonts w:ascii="Arial" w:eastAsia="Calibri" w:hAnsi="Arial" w:cs="Arial"/>
          <w:sz w:val="24"/>
          <w:szCs w:val="24"/>
          <w:lang w:eastAsia="en-GB"/>
        </w:rPr>
        <w:t xml:space="preserve"> area of focus in the grant </w:t>
      </w:r>
      <w:r w:rsidR="00861DB0" w:rsidRPr="00D71FEB">
        <w:rPr>
          <w:rFonts w:ascii="Arial" w:eastAsia="Calibri" w:hAnsi="Arial" w:cs="Arial"/>
          <w:sz w:val="24"/>
          <w:szCs w:val="24"/>
          <w:lang w:eastAsia="en-GB"/>
        </w:rPr>
        <w:t xml:space="preserve">circular </w:t>
      </w:r>
      <w:r w:rsidR="0087668E" w:rsidRPr="00D71FEB">
        <w:rPr>
          <w:rFonts w:ascii="Arial" w:eastAsia="Calibri" w:hAnsi="Arial" w:cs="Arial"/>
          <w:sz w:val="24"/>
          <w:szCs w:val="24"/>
          <w:lang w:eastAsia="en-GB"/>
        </w:rPr>
        <w:t xml:space="preserve">over the past few years </w:t>
      </w:r>
      <w:r w:rsidR="00861DB0" w:rsidRPr="00D71FEB">
        <w:rPr>
          <w:rFonts w:ascii="Arial" w:eastAsia="Calibri" w:hAnsi="Arial" w:cs="Arial"/>
          <w:sz w:val="24"/>
          <w:szCs w:val="24"/>
          <w:lang w:eastAsia="en-GB"/>
        </w:rPr>
        <w:t>where we stated</w:t>
      </w:r>
      <w:r w:rsidR="00D15912" w:rsidRPr="00D71FEB">
        <w:rPr>
          <w:rFonts w:ascii="Arial" w:eastAsia="Calibri" w:hAnsi="Arial" w:cs="Arial"/>
          <w:sz w:val="24"/>
          <w:szCs w:val="24"/>
          <w:lang w:eastAsia="en-GB"/>
        </w:rPr>
        <w:t>:</w:t>
      </w:r>
      <w:r w:rsidR="00861DB0" w:rsidRPr="00D71FEB" w:rsidDel="00953A7F">
        <w:rPr>
          <w:rFonts w:ascii="Arial" w:eastAsia="Calibri" w:hAnsi="Arial" w:cs="Arial"/>
          <w:sz w:val="24"/>
          <w:szCs w:val="24"/>
          <w:lang w:eastAsia="en-GB"/>
        </w:rPr>
        <w:t xml:space="preserve"> </w:t>
      </w:r>
      <w:r w:rsidR="00861DB0" w:rsidRPr="00D71FEB">
        <w:rPr>
          <w:rFonts w:ascii="Arial" w:eastAsia="Calibri" w:hAnsi="Arial" w:cs="Arial"/>
          <w:sz w:val="24"/>
          <w:szCs w:val="24"/>
          <w:lang w:eastAsia="en-GB"/>
        </w:rPr>
        <w:t>“</w:t>
      </w:r>
      <w:r w:rsidR="00861DB0" w:rsidRPr="00D71FEB">
        <w:rPr>
          <w:rFonts w:ascii="Arial" w:eastAsia="Calibri" w:hAnsi="Arial" w:cs="Arial"/>
          <w:sz w:val="24"/>
          <w:szCs w:val="24"/>
        </w:rPr>
        <w:t xml:space="preserve">The grant must be used to support equality of access to all types of social care providers in each </w:t>
      </w:r>
      <w:proofErr w:type="gramStart"/>
      <w:r w:rsidR="00861DB0" w:rsidRPr="00D71FEB">
        <w:rPr>
          <w:rFonts w:ascii="Arial" w:eastAsia="Calibri" w:hAnsi="Arial" w:cs="Arial"/>
          <w:sz w:val="24"/>
          <w:szCs w:val="24"/>
        </w:rPr>
        <w:t>region</w:t>
      </w:r>
      <w:r w:rsidR="00432820" w:rsidRPr="00D71FEB">
        <w:rPr>
          <w:rFonts w:ascii="Arial" w:eastAsia="Calibri" w:hAnsi="Arial" w:cs="Arial"/>
          <w:sz w:val="24"/>
          <w:szCs w:val="24"/>
        </w:rPr>
        <w:t>,</w:t>
      </w:r>
      <w:r w:rsidR="00861DB0" w:rsidRPr="00D71FEB">
        <w:rPr>
          <w:rFonts w:ascii="Arial" w:eastAsia="Calibri" w:hAnsi="Arial" w:cs="Arial"/>
          <w:sz w:val="24"/>
          <w:szCs w:val="24"/>
        </w:rPr>
        <w:t xml:space="preserve"> and</w:t>
      </w:r>
      <w:proofErr w:type="gramEnd"/>
      <w:r w:rsidR="00861DB0" w:rsidRPr="00D71FEB">
        <w:rPr>
          <w:rFonts w:ascii="Arial" w:eastAsia="Calibri" w:hAnsi="Arial" w:cs="Arial"/>
          <w:sz w:val="24"/>
          <w:szCs w:val="24"/>
        </w:rPr>
        <w:t xml:space="preserve"> spend should be broadly reflective of the profile of the sector in the local authority and region</w:t>
      </w:r>
      <w:r w:rsidR="00C027E0" w:rsidRPr="00D71FEB">
        <w:rPr>
          <w:rFonts w:ascii="Arial" w:eastAsia="Calibri" w:hAnsi="Arial" w:cs="Arial"/>
          <w:sz w:val="24"/>
          <w:szCs w:val="24"/>
        </w:rPr>
        <w:t>.</w:t>
      </w:r>
      <w:r w:rsidR="00E9665C" w:rsidRPr="00D71FEB">
        <w:rPr>
          <w:rFonts w:ascii="Arial" w:eastAsia="Calibri" w:hAnsi="Arial" w:cs="Arial"/>
          <w:sz w:val="24"/>
          <w:szCs w:val="24"/>
        </w:rPr>
        <w:t>”</w:t>
      </w:r>
      <w:r w:rsidR="00861DB0" w:rsidRPr="00D71FEB">
        <w:rPr>
          <w:rFonts w:ascii="Arial" w:eastAsia="Calibri" w:hAnsi="Arial" w:cs="Arial"/>
          <w:sz w:val="24"/>
          <w:szCs w:val="24"/>
          <w:lang w:eastAsia="en-GB"/>
        </w:rPr>
        <w:t xml:space="preserve"> </w:t>
      </w:r>
      <w:r w:rsidR="002F0250" w:rsidRPr="00D71FEB">
        <w:rPr>
          <w:rFonts w:ascii="Arial" w:eastAsia="Calibri" w:hAnsi="Arial" w:cs="Arial"/>
          <w:sz w:val="24"/>
          <w:szCs w:val="24"/>
          <w:lang w:eastAsia="en-GB"/>
        </w:rPr>
        <w:t>But</w:t>
      </w:r>
      <w:r w:rsidR="003B1DD6" w:rsidRPr="00B568F3">
        <w:rPr>
          <w:rFonts w:ascii="Arial" w:eastAsia="Calibri" w:hAnsi="Arial" w:cs="Arial"/>
          <w:sz w:val="24"/>
          <w:szCs w:val="24"/>
          <w:lang w:eastAsia="en-GB"/>
        </w:rPr>
        <w:t xml:space="preserve"> it</w:t>
      </w:r>
      <w:r w:rsidR="005B6E1B">
        <w:rPr>
          <w:rFonts w:ascii="Arial" w:eastAsia="Calibri" w:hAnsi="Arial" w:cs="Arial"/>
          <w:sz w:val="24"/>
          <w:szCs w:val="24"/>
          <w:lang w:eastAsia="en-GB"/>
        </w:rPr>
        <w:t xml:space="preserve"> continues to be </w:t>
      </w:r>
      <w:r w:rsidR="003B1DD6" w:rsidRPr="00B568F3">
        <w:rPr>
          <w:rFonts w:ascii="Arial" w:eastAsia="Calibri" w:hAnsi="Arial" w:cs="Arial"/>
          <w:sz w:val="24"/>
          <w:szCs w:val="24"/>
          <w:lang w:eastAsia="en-GB"/>
        </w:rPr>
        <w:t>clear from the data that th</w:t>
      </w:r>
      <w:r w:rsidR="00BE3872" w:rsidRPr="00B568F3">
        <w:rPr>
          <w:rFonts w:ascii="Arial" w:eastAsia="Calibri" w:hAnsi="Arial" w:cs="Arial"/>
          <w:sz w:val="24"/>
          <w:szCs w:val="24"/>
          <w:lang w:eastAsia="en-GB"/>
        </w:rPr>
        <w:t xml:space="preserve">e progress towards </w:t>
      </w:r>
      <w:r w:rsidR="009529E8" w:rsidRPr="00B568F3">
        <w:rPr>
          <w:rFonts w:ascii="Arial" w:eastAsia="Calibri" w:hAnsi="Arial" w:cs="Arial"/>
          <w:sz w:val="24"/>
          <w:szCs w:val="24"/>
          <w:lang w:eastAsia="en-GB"/>
        </w:rPr>
        <w:t xml:space="preserve">training take-up and attendance to </w:t>
      </w:r>
      <w:r w:rsidR="001C589E" w:rsidRPr="00B568F3">
        <w:rPr>
          <w:rFonts w:ascii="Arial" w:eastAsia="Calibri" w:hAnsi="Arial" w:cs="Arial"/>
          <w:sz w:val="24"/>
          <w:szCs w:val="24"/>
          <w:lang w:eastAsia="en-GB"/>
        </w:rPr>
        <w:t>broadly</w:t>
      </w:r>
      <w:r w:rsidR="009529E8" w:rsidRPr="00B568F3">
        <w:rPr>
          <w:rFonts w:ascii="Arial" w:eastAsia="Calibri" w:hAnsi="Arial" w:cs="Arial"/>
          <w:sz w:val="24"/>
          <w:szCs w:val="24"/>
          <w:lang w:eastAsia="en-GB"/>
        </w:rPr>
        <w:t xml:space="preserve"> reflect the profile of the sector isn</w:t>
      </w:r>
      <w:r w:rsidR="00C027E0" w:rsidRPr="00B568F3">
        <w:rPr>
          <w:rFonts w:ascii="Arial" w:eastAsia="Calibri" w:hAnsi="Arial" w:cs="Arial"/>
          <w:sz w:val="24"/>
          <w:szCs w:val="24"/>
          <w:lang w:eastAsia="en-GB"/>
        </w:rPr>
        <w:t>’</w:t>
      </w:r>
      <w:r w:rsidR="009529E8" w:rsidRPr="00B568F3">
        <w:rPr>
          <w:rFonts w:ascii="Arial" w:eastAsia="Calibri" w:hAnsi="Arial" w:cs="Arial"/>
          <w:sz w:val="24"/>
          <w:szCs w:val="24"/>
          <w:lang w:eastAsia="en-GB"/>
        </w:rPr>
        <w:t>t progressing as we</w:t>
      </w:r>
      <w:r w:rsidR="009529E8" w:rsidRPr="00B568F3" w:rsidDel="00C027E0">
        <w:rPr>
          <w:rFonts w:ascii="Arial" w:eastAsia="Calibri" w:hAnsi="Arial" w:cs="Arial"/>
          <w:sz w:val="24"/>
          <w:szCs w:val="24"/>
          <w:lang w:eastAsia="en-GB"/>
        </w:rPr>
        <w:t xml:space="preserve"> </w:t>
      </w:r>
      <w:r w:rsidR="00083585" w:rsidRPr="00B568F3">
        <w:rPr>
          <w:rFonts w:ascii="Arial" w:eastAsia="Calibri" w:hAnsi="Arial" w:cs="Arial"/>
          <w:sz w:val="24"/>
          <w:szCs w:val="24"/>
          <w:lang w:eastAsia="en-GB"/>
        </w:rPr>
        <w:t>anticipated</w:t>
      </w:r>
      <w:r w:rsidR="00EC7E7C" w:rsidRPr="00B568F3">
        <w:rPr>
          <w:rFonts w:ascii="Arial" w:eastAsia="Calibri" w:hAnsi="Arial" w:cs="Arial"/>
          <w:sz w:val="24"/>
          <w:szCs w:val="24"/>
          <w:lang w:eastAsia="en-GB"/>
        </w:rPr>
        <w:t xml:space="preserve">. </w:t>
      </w:r>
    </w:p>
    <w:p w14:paraId="78436C1B" w14:textId="77777777" w:rsidR="00362AEA" w:rsidRPr="00C92ECE" w:rsidRDefault="00362AEA" w:rsidP="00C92ECE">
      <w:pPr>
        <w:spacing w:after="0"/>
        <w:rPr>
          <w:rFonts w:ascii="Arial" w:eastAsia="Calibri" w:hAnsi="Arial" w:cs="Arial"/>
          <w:sz w:val="24"/>
          <w:szCs w:val="24"/>
          <w:lang w:eastAsia="en-GB"/>
        </w:rPr>
      </w:pPr>
    </w:p>
    <w:p w14:paraId="1735B1C7" w14:textId="66ED9FBD" w:rsidR="000508AC" w:rsidRDefault="00990FEA" w:rsidP="00406C33">
      <w:pPr>
        <w:numPr>
          <w:ilvl w:val="0"/>
          <w:numId w:val="6"/>
        </w:numPr>
        <w:spacing w:after="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t xml:space="preserve">This area </w:t>
      </w:r>
      <w:r>
        <w:rPr>
          <w:rFonts w:ascii="Arial" w:eastAsia="Calibri" w:hAnsi="Arial" w:cs="Arial"/>
          <w:sz w:val="24"/>
          <w:szCs w:val="24"/>
          <w:lang w:eastAsia="en-GB"/>
        </w:rPr>
        <w:t xml:space="preserve">has been </w:t>
      </w:r>
      <w:r w:rsidRPr="00B568F3">
        <w:rPr>
          <w:rFonts w:ascii="Arial" w:eastAsia="Calibri" w:hAnsi="Arial" w:cs="Arial"/>
          <w:sz w:val="24"/>
          <w:szCs w:val="24"/>
          <w:lang w:eastAsia="en-GB"/>
        </w:rPr>
        <w:t>strengthened even more as part of the 2025</w:t>
      </w:r>
      <w:r w:rsidR="00983D1F">
        <w:rPr>
          <w:rFonts w:ascii="Arial" w:eastAsia="Calibri" w:hAnsi="Arial" w:cs="Arial"/>
          <w:sz w:val="24"/>
          <w:szCs w:val="24"/>
          <w:lang w:eastAsia="en-GB"/>
        </w:rPr>
        <w:t xml:space="preserve"> to </w:t>
      </w:r>
      <w:r w:rsidRPr="00B568F3">
        <w:rPr>
          <w:rFonts w:ascii="Arial" w:eastAsia="Calibri" w:hAnsi="Arial" w:cs="Arial"/>
          <w:sz w:val="24"/>
          <w:szCs w:val="24"/>
          <w:lang w:eastAsia="en-GB"/>
        </w:rPr>
        <w:t xml:space="preserve">2026 grant </w:t>
      </w:r>
      <w:r w:rsidR="006A7071" w:rsidRPr="00B568F3">
        <w:rPr>
          <w:rFonts w:ascii="Arial" w:eastAsia="Calibri" w:hAnsi="Arial" w:cs="Arial"/>
          <w:sz w:val="24"/>
          <w:szCs w:val="24"/>
          <w:lang w:eastAsia="en-GB"/>
        </w:rPr>
        <w:t>circular,</w:t>
      </w:r>
      <w:r>
        <w:rPr>
          <w:rFonts w:ascii="Arial" w:eastAsia="Calibri" w:hAnsi="Arial" w:cs="Arial"/>
          <w:sz w:val="24"/>
          <w:szCs w:val="24"/>
          <w:lang w:eastAsia="en-GB"/>
        </w:rPr>
        <w:t xml:space="preserve"> but we </w:t>
      </w:r>
      <w:r w:rsidR="00716E30">
        <w:rPr>
          <w:rFonts w:ascii="Arial" w:eastAsia="Calibri" w:hAnsi="Arial" w:cs="Arial"/>
          <w:sz w:val="24"/>
          <w:szCs w:val="24"/>
          <w:lang w:eastAsia="en-GB"/>
        </w:rPr>
        <w:t xml:space="preserve">must also </w:t>
      </w:r>
      <w:r w:rsidR="0077373B">
        <w:rPr>
          <w:rFonts w:ascii="Arial" w:eastAsia="Calibri" w:hAnsi="Arial" w:cs="Arial"/>
          <w:sz w:val="24"/>
          <w:szCs w:val="24"/>
          <w:lang w:eastAsia="en-GB"/>
        </w:rPr>
        <w:t xml:space="preserve">acknowledge that, </w:t>
      </w:r>
      <w:r w:rsidR="00C00FDB">
        <w:rPr>
          <w:rFonts w:ascii="Arial" w:eastAsia="Calibri" w:hAnsi="Arial" w:cs="Arial"/>
          <w:sz w:val="24"/>
          <w:szCs w:val="24"/>
          <w:lang w:eastAsia="en-GB"/>
        </w:rPr>
        <w:t>because of how data is collected and reported, we’re</w:t>
      </w:r>
      <w:r w:rsidR="009A12AD">
        <w:rPr>
          <w:rFonts w:ascii="Arial" w:eastAsia="Calibri" w:hAnsi="Arial" w:cs="Arial"/>
          <w:sz w:val="24"/>
          <w:szCs w:val="24"/>
          <w:lang w:eastAsia="en-GB"/>
        </w:rPr>
        <w:t xml:space="preserve"> </w:t>
      </w:r>
      <w:r w:rsidR="00D45AEF" w:rsidRPr="00D45AEF">
        <w:rPr>
          <w:rFonts w:ascii="Arial" w:eastAsia="Calibri" w:hAnsi="Arial" w:cs="Arial"/>
          <w:sz w:val="24"/>
          <w:szCs w:val="24"/>
          <w:lang w:eastAsia="en-GB"/>
        </w:rPr>
        <w:t xml:space="preserve">unlikely </w:t>
      </w:r>
      <w:proofErr w:type="gramStart"/>
      <w:r w:rsidR="00C00FDB">
        <w:rPr>
          <w:rFonts w:ascii="Arial" w:eastAsia="Calibri" w:hAnsi="Arial" w:cs="Arial"/>
          <w:sz w:val="24"/>
          <w:szCs w:val="24"/>
          <w:lang w:eastAsia="en-GB"/>
        </w:rPr>
        <w:t xml:space="preserve">to </w:t>
      </w:r>
      <w:r w:rsidR="00D45AEF" w:rsidRPr="00D45AEF">
        <w:rPr>
          <w:rFonts w:ascii="Arial" w:eastAsia="Calibri" w:hAnsi="Arial" w:cs="Arial"/>
          <w:sz w:val="24"/>
          <w:szCs w:val="24"/>
          <w:lang w:eastAsia="en-GB"/>
        </w:rPr>
        <w:t xml:space="preserve"> ever</w:t>
      </w:r>
      <w:proofErr w:type="gramEnd"/>
      <w:r w:rsidR="00D45AEF" w:rsidRPr="00D45AEF">
        <w:rPr>
          <w:rFonts w:ascii="Arial" w:eastAsia="Calibri" w:hAnsi="Arial" w:cs="Arial"/>
          <w:sz w:val="24"/>
          <w:szCs w:val="24"/>
          <w:lang w:eastAsia="en-GB"/>
        </w:rPr>
        <w:t xml:space="preserve"> have a fully accurate picture of training uptake in the</w:t>
      </w:r>
      <w:r w:rsidR="00A136A2">
        <w:rPr>
          <w:rFonts w:ascii="Arial" w:eastAsia="Calibri" w:hAnsi="Arial" w:cs="Arial"/>
          <w:sz w:val="24"/>
          <w:szCs w:val="24"/>
          <w:lang w:eastAsia="en-GB"/>
        </w:rPr>
        <w:t xml:space="preserve"> commissioned service</w:t>
      </w:r>
      <w:r w:rsidR="00D45AEF" w:rsidRPr="00D45AEF">
        <w:rPr>
          <w:rFonts w:ascii="Arial" w:eastAsia="Calibri" w:hAnsi="Arial" w:cs="Arial"/>
          <w:sz w:val="24"/>
          <w:szCs w:val="24"/>
          <w:lang w:eastAsia="en-GB"/>
        </w:rPr>
        <w:t xml:space="preserve"> sector</w:t>
      </w:r>
      <w:r w:rsidR="002B3237">
        <w:rPr>
          <w:rFonts w:ascii="Arial" w:eastAsia="Calibri" w:hAnsi="Arial" w:cs="Arial"/>
          <w:sz w:val="24"/>
          <w:szCs w:val="24"/>
          <w:lang w:eastAsia="en-GB"/>
        </w:rPr>
        <w:t xml:space="preserve">. </w:t>
      </w:r>
    </w:p>
    <w:p w14:paraId="01F1EFB2" w14:textId="77777777" w:rsidR="000508AC" w:rsidRDefault="000508AC" w:rsidP="00C92ECE">
      <w:pPr>
        <w:pStyle w:val="ListParagraph"/>
        <w:spacing w:after="0"/>
        <w:rPr>
          <w:rFonts w:ascii="Arial" w:eastAsia="Calibri" w:hAnsi="Arial" w:cs="Arial"/>
          <w:sz w:val="24"/>
          <w:szCs w:val="24"/>
          <w:lang w:eastAsia="en-GB"/>
        </w:rPr>
      </w:pPr>
    </w:p>
    <w:p w14:paraId="200A8618" w14:textId="46FCD388" w:rsidR="00F90DAB" w:rsidRDefault="002B3237" w:rsidP="00C92ECE">
      <w:pPr>
        <w:numPr>
          <w:ilvl w:val="0"/>
          <w:numId w:val="6"/>
        </w:numPr>
        <w:spacing w:after="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Local authorities </w:t>
      </w:r>
      <w:r w:rsidR="00F957A5">
        <w:rPr>
          <w:rFonts w:ascii="Arial" w:eastAsia="Calibri" w:hAnsi="Arial" w:cs="Arial"/>
          <w:sz w:val="24"/>
          <w:szCs w:val="24"/>
          <w:lang w:eastAsia="en-GB"/>
        </w:rPr>
        <w:t xml:space="preserve">have also raised concerns about </w:t>
      </w:r>
      <w:r w:rsidR="00030DBF">
        <w:rPr>
          <w:rFonts w:ascii="Arial" w:eastAsia="Calibri" w:hAnsi="Arial" w:cs="Arial"/>
          <w:sz w:val="24"/>
          <w:szCs w:val="24"/>
          <w:lang w:eastAsia="en-GB"/>
        </w:rPr>
        <w:t>how accurate</w:t>
      </w:r>
      <w:r w:rsidR="00F957A5">
        <w:rPr>
          <w:rFonts w:ascii="Arial" w:eastAsia="Calibri" w:hAnsi="Arial" w:cs="Arial"/>
          <w:sz w:val="24"/>
          <w:szCs w:val="24"/>
          <w:lang w:eastAsia="en-GB"/>
        </w:rPr>
        <w:t xml:space="preserve"> the sector profile </w:t>
      </w:r>
      <w:r w:rsidR="00030DBF">
        <w:rPr>
          <w:rFonts w:ascii="Arial" w:eastAsia="Calibri" w:hAnsi="Arial" w:cs="Arial"/>
          <w:sz w:val="24"/>
          <w:szCs w:val="24"/>
          <w:lang w:eastAsia="en-GB"/>
        </w:rPr>
        <w:t xml:space="preserve">is, because not all </w:t>
      </w:r>
      <w:r w:rsidR="00F957A5">
        <w:rPr>
          <w:rFonts w:ascii="Arial" w:eastAsia="Calibri" w:hAnsi="Arial" w:cs="Arial"/>
          <w:sz w:val="24"/>
          <w:szCs w:val="24"/>
          <w:lang w:eastAsia="en-GB"/>
        </w:rPr>
        <w:t xml:space="preserve">commissioned service providers </w:t>
      </w:r>
      <w:r w:rsidR="00030DBF">
        <w:rPr>
          <w:rFonts w:ascii="Arial" w:eastAsia="Calibri" w:hAnsi="Arial" w:cs="Arial"/>
          <w:sz w:val="24"/>
          <w:szCs w:val="24"/>
          <w:lang w:eastAsia="en-GB"/>
        </w:rPr>
        <w:t>filled in the annual workforce data.</w:t>
      </w:r>
      <w:r w:rsidR="00F957A5">
        <w:rPr>
          <w:rFonts w:ascii="Arial" w:eastAsia="Calibri" w:hAnsi="Arial" w:cs="Arial"/>
          <w:sz w:val="24"/>
          <w:szCs w:val="24"/>
          <w:lang w:eastAsia="en-GB"/>
        </w:rPr>
        <w:t xml:space="preserve"> </w:t>
      </w:r>
    </w:p>
    <w:p w14:paraId="4EC70D60" w14:textId="77777777" w:rsidR="00F90DAB" w:rsidRDefault="00F90DAB" w:rsidP="00C92ECE">
      <w:pPr>
        <w:pStyle w:val="ListParagraph"/>
        <w:spacing w:after="0"/>
        <w:rPr>
          <w:rFonts w:ascii="Arial" w:eastAsia="Calibri" w:hAnsi="Arial" w:cs="Arial"/>
          <w:sz w:val="24"/>
          <w:szCs w:val="24"/>
          <w:lang w:eastAsia="en-GB"/>
        </w:rPr>
      </w:pPr>
    </w:p>
    <w:p w14:paraId="7D27BB25" w14:textId="4E6BD69F" w:rsidR="00362AEA" w:rsidRDefault="000508AC" w:rsidP="00632461">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Al</w:t>
      </w:r>
      <w:r w:rsidR="000074CB">
        <w:rPr>
          <w:rFonts w:ascii="Arial" w:eastAsia="Calibri" w:hAnsi="Arial" w:cs="Arial"/>
          <w:sz w:val="24"/>
          <w:szCs w:val="24"/>
          <w:lang w:eastAsia="en-GB"/>
        </w:rPr>
        <w:t>so</w:t>
      </w:r>
      <w:r>
        <w:rPr>
          <w:rFonts w:ascii="Arial" w:eastAsia="Calibri" w:hAnsi="Arial" w:cs="Arial"/>
          <w:sz w:val="24"/>
          <w:szCs w:val="24"/>
          <w:lang w:eastAsia="en-GB"/>
        </w:rPr>
        <w:t>, a</w:t>
      </w:r>
      <w:r w:rsidR="00852BBE">
        <w:rPr>
          <w:rFonts w:ascii="Arial" w:eastAsia="Calibri" w:hAnsi="Arial" w:cs="Arial"/>
          <w:sz w:val="24"/>
          <w:szCs w:val="24"/>
          <w:lang w:eastAsia="en-GB"/>
        </w:rPr>
        <w:t xml:space="preserve">s </w:t>
      </w:r>
      <w:r w:rsidR="00F90DAB">
        <w:rPr>
          <w:rFonts w:ascii="Arial" w:eastAsia="Calibri" w:hAnsi="Arial" w:cs="Arial"/>
          <w:sz w:val="24"/>
          <w:szCs w:val="24"/>
          <w:lang w:eastAsia="en-GB"/>
        </w:rPr>
        <w:t xml:space="preserve">previously noted, many </w:t>
      </w:r>
      <w:r w:rsidR="00852BBE">
        <w:rPr>
          <w:rFonts w:ascii="Arial" w:eastAsia="Calibri" w:hAnsi="Arial" w:cs="Arial"/>
          <w:sz w:val="24"/>
          <w:szCs w:val="24"/>
          <w:lang w:eastAsia="en-GB"/>
        </w:rPr>
        <w:t xml:space="preserve">commissioned service providers </w:t>
      </w:r>
      <w:r w:rsidR="00D45AEF" w:rsidRPr="00D45AEF">
        <w:rPr>
          <w:rFonts w:ascii="Arial" w:eastAsia="Calibri" w:hAnsi="Arial" w:cs="Arial"/>
          <w:sz w:val="24"/>
          <w:szCs w:val="24"/>
          <w:lang w:eastAsia="en-GB"/>
        </w:rPr>
        <w:t xml:space="preserve">use their own training systems, platforms, and approaches, which </w:t>
      </w:r>
      <w:r w:rsidR="00F90DAB">
        <w:rPr>
          <w:rFonts w:ascii="Arial" w:eastAsia="Calibri" w:hAnsi="Arial" w:cs="Arial"/>
          <w:sz w:val="24"/>
          <w:szCs w:val="24"/>
          <w:lang w:eastAsia="en-GB"/>
        </w:rPr>
        <w:t>are</w:t>
      </w:r>
      <w:r w:rsidR="00904801">
        <w:rPr>
          <w:rFonts w:ascii="Arial" w:eastAsia="Calibri" w:hAnsi="Arial" w:cs="Arial"/>
          <w:sz w:val="24"/>
          <w:szCs w:val="24"/>
          <w:lang w:eastAsia="en-GB"/>
        </w:rPr>
        <w:t>n’t</w:t>
      </w:r>
      <w:r w:rsidR="00F90DAB">
        <w:rPr>
          <w:rFonts w:ascii="Arial" w:eastAsia="Calibri" w:hAnsi="Arial" w:cs="Arial"/>
          <w:sz w:val="24"/>
          <w:szCs w:val="24"/>
          <w:lang w:eastAsia="en-GB"/>
        </w:rPr>
        <w:t xml:space="preserve"> </w:t>
      </w:r>
      <w:r w:rsidR="00904801">
        <w:rPr>
          <w:rFonts w:ascii="Arial" w:eastAsia="Calibri" w:hAnsi="Arial" w:cs="Arial"/>
          <w:sz w:val="24"/>
          <w:szCs w:val="24"/>
          <w:lang w:eastAsia="en-GB"/>
        </w:rPr>
        <w:t>tracked</w:t>
      </w:r>
      <w:r w:rsidR="00F90DAB">
        <w:rPr>
          <w:rFonts w:ascii="Arial" w:eastAsia="Calibri" w:hAnsi="Arial" w:cs="Arial"/>
          <w:sz w:val="24"/>
          <w:szCs w:val="24"/>
          <w:lang w:eastAsia="en-GB"/>
        </w:rPr>
        <w:t xml:space="preserve"> through SCWWDP </w:t>
      </w:r>
      <w:proofErr w:type="gramStart"/>
      <w:r w:rsidR="00F90DAB">
        <w:rPr>
          <w:rFonts w:ascii="Arial" w:eastAsia="Calibri" w:hAnsi="Arial" w:cs="Arial"/>
          <w:sz w:val="24"/>
          <w:szCs w:val="24"/>
          <w:lang w:eastAsia="en-GB"/>
        </w:rPr>
        <w:t xml:space="preserve">reporting </w:t>
      </w:r>
      <w:r w:rsidR="00904801">
        <w:rPr>
          <w:rFonts w:ascii="Arial" w:eastAsia="Calibri" w:hAnsi="Arial" w:cs="Arial"/>
          <w:sz w:val="24"/>
          <w:szCs w:val="24"/>
          <w:lang w:eastAsia="en-GB"/>
        </w:rPr>
        <w:t xml:space="preserve"> or</w:t>
      </w:r>
      <w:proofErr w:type="gramEnd"/>
      <w:r w:rsidR="00904801">
        <w:rPr>
          <w:rFonts w:ascii="Arial" w:eastAsia="Calibri" w:hAnsi="Arial" w:cs="Arial"/>
          <w:sz w:val="24"/>
          <w:szCs w:val="24"/>
          <w:lang w:eastAsia="en-GB"/>
        </w:rPr>
        <w:t xml:space="preserve"> </w:t>
      </w:r>
      <w:r w:rsidR="00C34673">
        <w:rPr>
          <w:rFonts w:ascii="Arial" w:eastAsia="Calibri" w:hAnsi="Arial" w:cs="Arial"/>
          <w:sz w:val="24"/>
          <w:szCs w:val="24"/>
          <w:lang w:eastAsia="en-GB"/>
        </w:rPr>
        <w:t>by local authority workforce development teams</w:t>
      </w:r>
      <w:r w:rsidR="00D45AEF" w:rsidRPr="00D45AEF">
        <w:rPr>
          <w:rFonts w:ascii="Arial" w:eastAsia="Calibri" w:hAnsi="Arial" w:cs="Arial"/>
          <w:sz w:val="24"/>
          <w:szCs w:val="24"/>
          <w:lang w:eastAsia="en-GB"/>
        </w:rPr>
        <w:t>. This</w:t>
      </w:r>
      <w:r w:rsidR="00F90DAB">
        <w:rPr>
          <w:rFonts w:ascii="Arial" w:eastAsia="Calibri" w:hAnsi="Arial" w:cs="Arial"/>
          <w:sz w:val="24"/>
          <w:szCs w:val="24"/>
          <w:lang w:eastAsia="en-GB"/>
        </w:rPr>
        <w:t xml:space="preserve"> </w:t>
      </w:r>
      <w:r w:rsidR="000B1D68">
        <w:rPr>
          <w:rFonts w:ascii="Arial" w:eastAsia="Calibri" w:hAnsi="Arial" w:cs="Arial"/>
          <w:sz w:val="24"/>
          <w:szCs w:val="24"/>
          <w:lang w:eastAsia="en-GB"/>
        </w:rPr>
        <w:t>creates</w:t>
      </w:r>
      <w:r w:rsidR="00F90DAB">
        <w:rPr>
          <w:rFonts w:ascii="Arial" w:eastAsia="Calibri" w:hAnsi="Arial" w:cs="Arial"/>
          <w:sz w:val="24"/>
          <w:szCs w:val="24"/>
          <w:lang w:eastAsia="en-GB"/>
        </w:rPr>
        <w:t xml:space="preserve"> gaps in the data</w:t>
      </w:r>
      <w:r w:rsidR="00406C33">
        <w:rPr>
          <w:rFonts w:ascii="Arial" w:eastAsia="Calibri" w:hAnsi="Arial" w:cs="Arial"/>
          <w:sz w:val="24"/>
          <w:szCs w:val="24"/>
          <w:lang w:eastAsia="en-GB"/>
        </w:rPr>
        <w:t xml:space="preserve"> and makes it </w:t>
      </w:r>
      <w:r w:rsidR="00D45AEF" w:rsidRPr="00D45AEF">
        <w:rPr>
          <w:rFonts w:ascii="Arial" w:eastAsia="Calibri" w:hAnsi="Arial" w:cs="Arial"/>
          <w:sz w:val="24"/>
          <w:szCs w:val="24"/>
          <w:lang w:eastAsia="en-GB"/>
        </w:rPr>
        <w:t xml:space="preserve">challenging to assess the full </w:t>
      </w:r>
      <w:r w:rsidR="00717028">
        <w:rPr>
          <w:rFonts w:ascii="Arial" w:eastAsia="Calibri" w:hAnsi="Arial" w:cs="Arial"/>
          <w:sz w:val="24"/>
          <w:szCs w:val="24"/>
          <w:lang w:eastAsia="en-GB"/>
        </w:rPr>
        <w:t xml:space="preserve">picture </w:t>
      </w:r>
      <w:r w:rsidR="00406C33">
        <w:rPr>
          <w:rFonts w:ascii="Arial" w:eastAsia="Calibri" w:hAnsi="Arial" w:cs="Arial"/>
          <w:sz w:val="24"/>
          <w:szCs w:val="24"/>
          <w:lang w:eastAsia="en-GB"/>
        </w:rPr>
        <w:t xml:space="preserve">of </w:t>
      </w:r>
      <w:r w:rsidR="00D45AEF" w:rsidRPr="00D45AEF">
        <w:rPr>
          <w:rFonts w:ascii="Arial" w:eastAsia="Calibri" w:hAnsi="Arial" w:cs="Arial"/>
          <w:sz w:val="24"/>
          <w:szCs w:val="24"/>
          <w:lang w:eastAsia="en-GB"/>
        </w:rPr>
        <w:t>workforce development activity across the sector.</w:t>
      </w:r>
    </w:p>
    <w:p w14:paraId="1F6C9F02" w14:textId="77777777" w:rsidR="00993096" w:rsidRDefault="00993096" w:rsidP="00847CC3">
      <w:pPr>
        <w:pStyle w:val="ListParagraph"/>
        <w:rPr>
          <w:rFonts w:ascii="Arial" w:eastAsia="Calibri" w:hAnsi="Arial" w:cs="Arial"/>
          <w:sz w:val="24"/>
          <w:szCs w:val="24"/>
          <w:lang w:eastAsia="en-GB"/>
        </w:rPr>
      </w:pPr>
    </w:p>
    <w:p w14:paraId="0C2FC386" w14:textId="77777777" w:rsidR="00993096" w:rsidRDefault="00993096" w:rsidP="00993096">
      <w:pPr>
        <w:spacing w:after="200" w:line="276" w:lineRule="auto"/>
        <w:contextualSpacing/>
        <w:rPr>
          <w:rFonts w:ascii="Arial" w:eastAsia="Calibri" w:hAnsi="Arial" w:cs="Arial"/>
          <w:sz w:val="24"/>
          <w:szCs w:val="24"/>
          <w:lang w:eastAsia="en-GB"/>
        </w:rPr>
      </w:pPr>
    </w:p>
    <w:p w14:paraId="3FC78F16" w14:textId="77777777" w:rsidR="00993096" w:rsidRDefault="00993096" w:rsidP="00993096">
      <w:pPr>
        <w:spacing w:after="200" w:line="276" w:lineRule="auto"/>
        <w:contextualSpacing/>
        <w:rPr>
          <w:rFonts w:ascii="Arial" w:eastAsia="Calibri" w:hAnsi="Arial" w:cs="Arial"/>
          <w:sz w:val="24"/>
          <w:szCs w:val="24"/>
          <w:lang w:eastAsia="en-GB"/>
        </w:rPr>
      </w:pPr>
    </w:p>
    <w:p w14:paraId="54FDC835" w14:textId="77777777" w:rsidR="00993096" w:rsidRDefault="00993096" w:rsidP="00993096">
      <w:pPr>
        <w:spacing w:after="200" w:line="276" w:lineRule="auto"/>
        <w:contextualSpacing/>
        <w:rPr>
          <w:rFonts w:ascii="Arial" w:eastAsia="Calibri" w:hAnsi="Arial" w:cs="Arial"/>
          <w:sz w:val="24"/>
          <w:szCs w:val="24"/>
          <w:lang w:eastAsia="en-GB"/>
        </w:rPr>
      </w:pPr>
    </w:p>
    <w:p w14:paraId="74995D5B" w14:textId="77777777" w:rsidR="00993096" w:rsidRDefault="00993096" w:rsidP="00993096">
      <w:pPr>
        <w:spacing w:after="200" w:line="276" w:lineRule="auto"/>
        <w:contextualSpacing/>
        <w:rPr>
          <w:rFonts w:ascii="Arial" w:eastAsia="Calibri" w:hAnsi="Arial" w:cs="Arial"/>
          <w:sz w:val="24"/>
          <w:szCs w:val="24"/>
          <w:lang w:eastAsia="en-GB"/>
        </w:rPr>
      </w:pPr>
    </w:p>
    <w:p w14:paraId="4454CDE9" w14:textId="77777777" w:rsidR="00993096" w:rsidRDefault="00993096" w:rsidP="00993096">
      <w:pPr>
        <w:spacing w:after="200" w:line="276" w:lineRule="auto"/>
        <w:contextualSpacing/>
        <w:rPr>
          <w:rFonts w:ascii="Arial" w:eastAsia="Calibri" w:hAnsi="Arial" w:cs="Arial"/>
          <w:sz w:val="24"/>
          <w:szCs w:val="24"/>
          <w:lang w:eastAsia="en-GB"/>
        </w:rPr>
      </w:pPr>
    </w:p>
    <w:p w14:paraId="11D68FEA" w14:textId="77777777" w:rsidR="00993096" w:rsidRDefault="00993096" w:rsidP="00993096">
      <w:pPr>
        <w:spacing w:after="200" w:line="276" w:lineRule="auto"/>
        <w:contextualSpacing/>
        <w:rPr>
          <w:rFonts w:ascii="Arial" w:eastAsia="Calibri" w:hAnsi="Arial" w:cs="Arial"/>
          <w:sz w:val="24"/>
          <w:szCs w:val="24"/>
          <w:lang w:eastAsia="en-GB"/>
        </w:rPr>
      </w:pPr>
    </w:p>
    <w:p w14:paraId="728660F8" w14:textId="77777777" w:rsidR="00993096" w:rsidRDefault="00993096" w:rsidP="00993096">
      <w:pPr>
        <w:spacing w:after="200" w:line="276" w:lineRule="auto"/>
        <w:contextualSpacing/>
        <w:rPr>
          <w:rFonts w:ascii="Arial" w:eastAsia="Calibri" w:hAnsi="Arial" w:cs="Arial"/>
          <w:sz w:val="24"/>
          <w:szCs w:val="24"/>
          <w:lang w:eastAsia="en-GB"/>
        </w:rPr>
      </w:pPr>
    </w:p>
    <w:p w14:paraId="31C4B6FF" w14:textId="77777777" w:rsidR="00993096" w:rsidRDefault="00993096" w:rsidP="00993096">
      <w:pPr>
        <w:spacing w:after="200" w:line="276" w:lineRule="auto"/>
        <w:contextualSpacing/>
        <w:rPr>
          <w:rFonts w:ascii="Arial" w:eastAsia="Calibri" w:hAnsi="Arial" w:cs="Arial"/>
          <w:sz w:val="24"/>
          <w:szCs w:val="24"/>
          <w:lang w:eastAsia="en-GB"/>
        </w:rPr>
      </w:pPr>
    </w:p>
    <w:p w14:paraId="7823276D" w14:textId="77777777" w:rsidR="00993096" w:rsidRDefault="00993096" w:rsidP="00993096">
      <w:pPr>
        <w:spacing w:after="200" w:line="276" w:lineRule="auto"/>
        <w:contextualSpacing/>
        <w:rPr>
          <w:rFonts w:ascii="Arial" w:eastAsia="Calibri" w:hAnsi="Arial" w:cs="Arial"/>
          <w:sz w:val="24"/>
          <w:szCs w:val="24"/>
          <w:lang w:eastAsia="en-GB"/>
        </w:rPr>
      </w:pPr>
    </w:p>
    <w:p w14:paraId="70ACC0EB" w14:textId="77777777" w:rsidR="00993096" w:rsidRDefault="00993096" w:rsidP="00993096">
      <w:pPr>
        <w:spacing w:after="200" w:line="276" w:lineRule="auto"/>
        <w:contextualSpacing/>
        <w:rPr>
          <w:rFonts w:ascii="Arial" w:eastAsia="Calibri" w:hAnsi="Arial" w:cs="Arial"/>
          <w:sz w:val="24"/>
          <w:szCs w:val="24"/>
          <w:lang w:eastAsia="en-GB"/>
        </w:rPr>
      </w:pPr>
    </w:p>
    <w:p w14:paraId="5A250F86" w14:textId="77777777" w:rsidR="00993096" w:rsidRPr="00B568F3" w:rsidRDefault="00993096" w:rsidP="00847CC3">
      <w:pPr>
        <w:spacing w:after="200" w:line="276" w:lineRule="auto"/>
        <w:contextualSpacing/>
        <w:rPr>
          <w:rFonts w:ascii="Arial" w:eastAsia="Calibri" w:hAnsi="Arial" w:cs="Arial"/>
          <w:sz w:val="24"/>
          <w:szCs w:val="24"/>
          <w:lang w:eastAsia="en-GB"/>
        </w:rPr>
      </w:pPr>
    </w:p>
    <w:tbl>
      <w:tblPr>
        <w:tblStyle w:val="TableGrid"/>
        <w:tblW w:w="9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D1B1F" w:rsidRPr="00B568F3" w14:paraId="3AAD78D5" w14:textId="77777777" w:rsidTr="4BA15C28">
        <w:trPr>
          <w:jc w:val="center"/>
        </w:trPr>
        <w:tc>
          <w:tcPr>
            <w:tcW w:w="9026" w:type="dxa"/>
          </w:tcPr>
          <w:p w14:paraId="516103E4" w14:textId="6659D4E0" w:rsidR="002D1B1F" w:rsidRPr="00B568F3" w:rsidRDefault="002D1B1F" w:rsidP="00FC716F">
            <w:pPr>
              <w:contextualSpacing/>
              <w:rPr>
                <w:rFonts w:ascii="Arial" w:eastAsia="Calibri" w:hAnsi="Arial" w:cs="Arial"/>
                <w:b/>
                <w:bCs/>
                <w:sz w:val="24"/>
                <w:szCs w:val="24"/>
              </w:rPr>
            </w:pPr>
            <w:r w:rsidRPr="00EE46BE">
              <w:rPr>
                <w:rFonts w:ascii="Arial" w:eastAsia="Calibri" w:hAnsi="Arial" w:cs="Arial"/>
                <w:b/>
                <w:bCs/>
                <w:sz w:val="24"/>
                <w:szCs w:val="24"/>
              </w:rPr>
              <w:lastRenderedPageBreak/>
              <w:t xml:space="preserve">Figure </w:t>
            </w:r>
            <w:r w:rsidR="0029642F">
              <w:rPr>
                <w:rFonts w:ascii="Arial" w:eastAsia="Calibri" w:hAnsi="Arial" w:cs="Arial"/>
                <w:b/>
                <w:bCs/>
                <w:sz w:val="24"/>
                <w:szCs w:val="24"/>
              </w:rPr>
              <w:t>9</w:t>
            </w:r>
            <w:r w:rsidRPr="00EE46BE">
              <w:rPr>
                <w:rFonts w:ascii="Arial" w:eastAsia="Calibri" w:hAnsi="Arial" w:cs="Arial"/>
                <w:b/>
                <w:bCs/>
                <w:sz w:val="24"/>
                <w:szCs w:val="24"/>
              </w:rPr>
              <w:t xml:space="preserve">: Training attendance numbers, </w:t>
            </w:r>
            <w:r w:rsidR="00CF1B0C" w:rsidRPr="00EE46BE">
              <w:rPr>
                <w:rFonts w:ascii="Arial" w:eastAsia="Calibri" w:hAnsi="Arial" w:cs="Arial"/>
                <w:b/>
                <w:bCs/>
                <w:sz w:val="24"/>
                <w:szCs w:val="24"/>
              </w:rPr>
              <w:t xml:space="preserve">the </w:t>
            </w:r>
            <w:r w:rsidRPr="00EE46BE">
              <w:rPr>
                <w:rFonts w:ascii="Arial" w:eastAsia="Calibri" w:hAnsi="Arial" w:cs="Arial"/>
                <w:b/>
                <w:bCs/>
                <w:sz w:val="24"/>
                <w:szCs w:val="24"/>
              </w:rPr>
              <w:t>three</w:t>
            </w:r>
            <w:r w:rsidR="004A4ED5" w:rsidRPr="00EE46BE">
              <w:rPr>
                <w:rFonts w:ascii="Arial" w:eastAsia="Calibri" w:hAnsi="Arial" w:cs="Arial"/>
                <w:b/>
                <w:bCs/>
                <w:sz w:val="24"/>
                <w:szCs w:val="24"/>
              </w:rPr>
              <w:t>-</w:t>
            </w:r>
            <w:r w:rsidRPr="00EE46BE">
              <w:rPr>
                <w:rFonts w:ascii="Arial" w:eastAsia="Calibri" w:hAnsi="Arial" w:cs="Arial"/>
                <w:b/>
                <w:bCs/>
                <w:sz w:val="24"/>
                <w:szCs w:val="24"/>
              </w:rPr>
              <w:t>year trend</w:t>
            </w:r>
            <w:r w:rsidRPr="00B568F3">
              <w:rPr>
                <w:rFonts w:ascii="Arial" w:eastAsia="Calibri" w:hAnsi="Arial" w:cs="Arial"/>
                <w:b/>
                <w:bCs/>
                <w:sz w:val="24"/>
                <w:szCs w:val="24"/>
              </w:rPr>
              <w:t xml:space="preserve"> </w:t>
            </w:r>
          </w:p>
          <w:p w14:paraId="11DF32D3" w14:textId="77777777" w:rsidR="002D1B1F" w:rsidRPr="00B568F3" w:rsidRDefault="002D1B1F" w:rsidP="00C92ECE">
            <w:pPr>
              <w:spacing w:before="120"/>
              <w:contextualSpacing/>
              <w:rPr>
                <w:rFonts w:ascii="Arial" w:eastAsia="Calibri" w:hAnsi="Arial" w:cs="Arial"/>
                <w:b/>
                <w:bCs/>
                <w:color w:val="FF0000"/>
                <w:sz w:val="24"/>
                <w:szCs w:val="24"/>
              </w:rPr>
            </w:pPr>
          </w:p>
        </w:tc>
      </w:tr>
      <w:tr w:rsidR="002D1B1F" w:rsidRPr="00B568F3" w14:paraId="4A342C98" w14:textId="77777777" w:rsidTr="00F03894">
        <w:trPr>
          <w:jc w:val="center"/>
        </w:trPr>
        <w:tc>
          <w:tcPr>
            <w:tcW w:w="9026" w:type="dxa"/>
          </w:tcPr>
          <w:p w14:paraId="2C01555A" w14:textId="7B8B28C0" w:rsidR="002D1B1F" w:rsidRPr="00B568F3" w:rsidRDefault="00F03894" w:rsidP="00FC716F">
            <w:pPr>
              <w:contextualSpacing/>
              <w:rPr>
                <w:rFonts w:ascii="Arial" w:eastAsia="Calibri" w:hAnsi="Arial" w:cs="Arial"/>
                <w:color w:val="FF0000"/>
                <w:sz w:val="24"/>
                <w:szCs w:val="24"/>
              </w:rPr>
            </w:pPr>
            <w:r>
              <w:rPr>
                <w:noProof/>
              </w:rPr>
              <w:drawing>
                <wp:inline distT="0" distB="0" distL="0" distR="0" wp14:anchorId="363A06FB" wp14:editId="19C44009">
                  <wp:extent cx="5648325" cy="3505200"/>
                  <wp:effectExtent l="0" t="0" r="0" b="0"/>
                  <wp:docPr id="1434499034" name="Chart 1" descr="bar graph showing training attendance numbers">
                    <a:extLst xmlns:a="http://schemas.openxmlformats.org/drawingml/2006/main">
                      <a:ext uri="{FF2B5EF4-FFF2-40B4-BE49-F238E27FC236}">
                        <a16:creationId xmlns:a16="http://schemas.microsoft.com/office/drawing/2014/main" id="{DFA1F562-69F2-4820-BB03-98C3993EF5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22327CED" w14:textId="77777777" w:rsidR="00DA3A32" w:rsidRPr="00B568F3" w:rsidRDefault="00DA3A32" w:rsidP="0099722F">
      <w:pPr>
        <w:spacing w:after="0" w:line="276" w:lineRule="auto"/>
        <w:contextualSpacing/>
        <w:rPr>
          <w:rFonts w:ascii="Arial" w:eastAsia="Calibri" w:hAnsi="Arial" w:cs="Arial"/>
          <w:sz w:val="24"/>
          <w:szCs w:val="24"/>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575AB" w:rsidRPr="00B568F3" w14:paraId="402F2960" w14:textId="77777777" w:rsidTr="4BA15C28">
        <w:trPr>
          <w:jc w:val="center"/>
        </w:trPr>
        <w:tc>
          <w:tcPr>
            <w:tcW w:w="9026" w:type="dxa"/>
          </w:tcPr>
          <w:p w14:paraId="0D6F56F6" w14:textId="2D3C0FD7" w:rsidR="00F575AB" w:rsidRPr="00B568F3" w:rsidRDefault="00F575AB" w:rsidP="00FC716F">
            <w:pPr>
              <w:contextualSpacing/>
              <w:rPr>
                <w:rFonts w:ascii="Arial" w:eastAsia="Calibri" w:hAnsi="Arial" w:cs="Arial"/>
                <w:b/>
                <w:bCs/>
                <w:sz w:val="24"/>
                <w:szCs w:val="24"/>
              </w:rPr>
            </w:pPr>
            <w:r w:rsidRPr="00950212">
              <w:rPr>
                <w:rFonts w:ascii="Arial" w:eastAsia="Calibri" w:hAnsi="Arial" w:cs="Arial"/>
                <w:b/>
                <w:bCs/>
                <w:sz w:val="24"/>
                <w:szCs w:val="24"/>
              </w:rPr>
              <w:t>Figure 1</w:t>
            </w:r>
            <w:r w:rsidR="0029642F">
              <w:rPr>
                <w:rFonts w:ascii="Arial" w:eastAsia="Calibri" w:hAnsi="Arial" w:cs="Arial"/>
                <w:b/>
                <w:bCs/>
                <w:sz w:val="24"/>
                <w:szCs w:val="24"/>
              </w:rPr>
              <w:t>0</w:t>
            </w:r>
            <w:r w:rsidRPr="00950212">
              <w:rPr>
                <w:rFonts w:ascii="Arial" w:eastAsia="Calibri" w:hAnsi="Arial" w:cs="Arial"/>
                <w:b/>
                <w:bCs/>
                <w:sz w:val="24"/>
                <w:szCs w:val="24"/>
              </w:rPr>
              <w:t xml:space="preserve">: Training attendance </w:t>
            </w:r>
            <w:r w:rsidR="00CF1B0C" w:rsidRPr="00950212">
              <w:rPr>
                <w:rFonts w:ascii="Arial" w:eastAsia="Calibri" w:hAnsi="Arial" w:cs="Arial"/>
                <w:b/>
                <w:bCs/>
                <w:sz w:val="24"/>
                <w:szCs w:val="24"/>
              </w:rPr>
              <w:t>percentage</w:t>
            </w:r>
            <w:r w:rsidRPr="00950212">
              <w:rPr>
                <w:rFonts w:ascii="Arial" w:eastAsia="Calibri" w:hAnsi="Arial" w:cs="Arial"/>
                <w:b/>
                <w:bCs/>
                <w:sz w:val="24"/>
                <w:szCs w:val="24"/>
              </w:rPr>
              <w:t>,</w:t>
            </w:r>
            <w:r w:rsidR="00CF1B0C" w:rsidRPr="00950212">
              <w:rPr>
                <w:rFonts w:ascii="Arial" w:eastAsia="Calibri" w:hAnsi="Arial" w:cs="Arial"/>
                <w:b/>
                <w:bCs/>
                <w:sz w:val="24"/>
                <w:szCs w:val="24"/>
              </w:rPr>
              <w:t xml:space="preserve"> the</w:t>
            </w:r>
            <w:r w:rsidRPr="00950212">
              <w:rPr>
                <w:rFonts w:ascii="Arial" w:eastAsia="Calibri" w:hAnsi="Arial" w:cs="Arial"/>
                <w:b/>
                <w:bCs/>
                <w:sz w:val="24"/>
                <w:szCs w:val="24"/>
              </w:rPr>
              <w:t xml:space="preserve"> three</w:t>
            </w:r>
            <w:r w:rsidR="004A4ED5" w:rsidRPr="00950212">
              <w:rPr>
                <w:rFonts w:ascii="Arial" w:eastAsia="Calibri" w:hAnsi="Arial" w:cs="Arial"/>
                <w:b/>
                <w:bCs/>
                <w:sz w:val="24"/>
                <w:szCs w:val="24"/>
              </w:rPr>
              <w:t>-</w:t>
            </w:r>
            <w:r w:rsidRPr="00950212">
              <w:rPr>
                <w:rFonts w:ascii="Arial" w:eastAsia="Calibri" w:hAnsi="Arial" w:cs="Arial"/>
                <w:b/>
                <w:bCs/>
                <w:sz w:val="24"/>
                <w:szCs w:val="24"/>
              </w:rPr>
              <w:t>year trend</w:t>
            </w:r>
            <w:r w:rsidRPr="00B568F3">
              <w:rPr>
                <w:rFonts w:ascii="Arial" w:eastAsia="Calibri" w:hAnsi="Arial" w:cs="Arial"/>
                <w:b/>
                <w:bCs/>
                <w:sz w:val="24"/>
                <w:szCs w:val="24"/>
              </w:rPr>
              <w:t xml:space="preserve"> </w:t>
            </w:r>
          </w:p>
          <w:p w14:paraId="0367CCF9" w14:textId="77777777" w:rsidR="00F575AB" w:rsidRPr="00B568F3" w:rsidRDefault="00F575AB" w:rsidP="00FC716F">
            <w:pPr>
              <w:spacing w:before="120" w:after="120"/>
              <w:contextualSpacing/>
              <w:rPr>
                <w:rFonts w:ascii="Arial" w:eastAsia="Calibri" w:hAnsi="Arial" w:cs="Arial"/>
                <w:b/>
                <w:bCs/>
                <w:color w:val="FF0000"/>
                <w:sz w:val="24"/>
                <w:szCs w:val="24"/>
              </w:rPr>
            </w:pPr>
          </w:p>
        </w:tc>
      </w:tr>
      <w:tr w:rsidR="00F575AB" w:rsidRPr="00B568F3" w14:paraId="4A6130C0" w14:textId="77777777" w:rsidTr="00B7795B">
        <w:trPr>
          <w:trHeight w:val="5443"/>
          <w:jc w:val="center"/>
        </w:trPr>
        <w:tc>
          <w:tcPr>
            <w:tcW w:w="9026" w:type="dxa"/>
          </w:tcPr>
          <w:p w14:paraId="6C531533" w14:textId="30A3BA45" w:rsidR="00F575AB" w:rsidRPr="00B568F3" w:rsidRDefault="00B7795B" w:rsidP="00FC716F">
            <w:pPr>
              <w:contextualSpacing/>
              <w:rPr>
                <w:rFonts w:ascii="Arial" w:eastAsia="Calibri" w:hAnsi="Arial" w:cs="Arial"/>
                <w:color w:val="FF0000"/>
                <w:sz w:val="24"/>
                <w:szCs w:val="24"/>
              </w:rPr>
            </w:pPr>
            <w:r>
              <w:rPr>
                <w:noProof/>
              </w:rPr>
              <w:drawing>
                <wp:inline distT="0" distB="0" distL="0" distR="0" wp14:anchorId="1E2A125F" wp14:editId="70B44DC5">
                  <wp:extent cx="5731510" cy="4229100"/>
                  <wp:effectExtent l="0" t="0" r="2540" b="0"/>
                  <wp:docPr id="275862244" name="Chart 1" descr="bar graph showing training attendance percentage">
                    <a:extLst xmlns:a="http://schemas.openxmlformats.org/drawingml/2006/main">
                      <a:ext uri="{FF2B5EF4-FFF2-40B4-BE49-F238E27FC236}">
                        <a16:creationId xmlns:a16="http://schemas.microsoft.com/office/drawing/2014/main" id="{AD66B50F-F548-4346-B325-CD0A2B791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Del="00EC7DEA">
              <w:rPr>
                <w:noProof/>
              </w:rPr>
              <w:t xml:space="preserve"> </w:t>
            </w:r>
          </w:p>
        </w:tc>
      </w:tr>
    </w:tbl>
    <w:p w14:paraId="4BAAB932" w14:textId="35C3B699" w:rsidR="003C2949" w:rsidRPr="00B568F3" w:rsidRDefault="0011229C" w:rsidP="00632461">
      <w:pPr>
        <w:numPr>
          <w:ilvl w:val="0"/>
          <w:numId w:val="6"/>
        </w:numPr>
        <w:spacing w:after="200" w:line="276" w:lineRule="auto"/>
        <w:ind w:left="567" w:hanging="425"/>
        <w:contextualSpacing/>
        <w:rPr>
          <w:rFonts w:ascii="Arial" w:eastAsia="Calibri" w:hAnsi="Arial" w:cs="Arial"/>
          <w:sz w:val="24"/>
          <w:szCs w:val="24"/>
          <w:lang w:eastAsia="en-GB"/>
        </w:rPr>
      </w:pPr>
      <w:r w:rsidRPr="00B568F3">
        <w:rPr>
          <w:rFonts w:ascii="Arial" w:eastAsia="Calibri" w:hAnsi="Arial" w:cs="Arial"/>
          <w:sz w:val="24"/>
          <w:szCs w:val="24"/>
          <w:lang w:eastAsia="en-GB"/>
        </w:rPr>
        <w:lastRenderedPageBreak/>
        <w:t>Figure 1</w:t>
      </w:r>
      <w:r w:rsidR="0029642F">
        <w:rPr>
          <w:rFonts w:ascii="Arial" w:eastAsia="Calibri" w:hAnsi="Arial" w:cs="Arial"/>
          <w:sz w:val="24"/>
          <w:szCs w:val="24"/>
          <w:lang w:eastAsia="en-GB"/>
        </w:rPr>
        <w:t>0</w:t>
      </w:r>
      <w:r w:rsidR="00FD0EF3" w:rsidRPr="00B568F3">
        <w:rPr>
          <w:rFonts w:ascii="Arial" w:eastAsia="Calibri" w:hAnsi="Arial" w:cs="Arial"/>
          <w:sz w:val="24"/>
          <w:szCs w:val="24"/>
          <w:lang w:eastAsia="en-GB"/>
        </w:rPr>
        <w:t xml:space="preserve"> shows</w:t>
      </w:r>
      <w:r w:rsidR="00E0391A" w:rsidRPr="00B568F3">
        <w:rPr>
          <w:rFonts w:ascii="Arial" w:eastAsia="Calibri" w:hAnsi="Arial" w:cs="Arial"/>
          <w:sz w:val="24"/>
          <w:szCs w:val="24"/>
          <w:lang w:eastAsia="en-GB"/>
        </w:rPr>
        <w:t xml:space="preserve"> </w:t>
      </w:r>
      <w:r w:rsidRPr="00B568F3">
        <w:rPr>
          <w:rFonts w:ascii="Arial" w:eastAsia="Calibri" w:hAnsi="Arial" w:cs="Arial"/>
          <w:sz w:val="24"/>
          <w:szCs w:val="24"/>
          <w:lang w:eastAsia="en-GB"/>
        </w:rPr>
        <w:t xml:space="preserve">overall attendance </w:t>
      </w:r>
      <w:r w:rsidR="00A929D9" w:rsidRPr="00B568F3">
        <w:rPr>
          <w:rFonts w:ascii="Arial" w:eastAsia="Calibri" w:hAnsi="Arial" w:cs="Arial"/>
          <w:sz w:val="24"/>
          <w:szCs w:val="24"/>
          <w:lang w:eastAsia="en-GB"/>
        </w:rPr>
        <w:t>at</w:t>
      </w:r>
      <w:r w:rsidRPr="00B568F3">
        <w:rPr>
          <w:rFonts w:ascii="Arial" w:eastAsia="Calibri" w:hAnsi="Arial" w:cs="Arial"/>
          <w:sz w:val="24"/>
          <w:szCs w:val="24"/>
          <w:lang w:eastAsia="en-GB"/>
        </w:rPr>
        <w:t xml:space="preserve"> training</w:t>
      </w:r>
      <w:r w:rsidR="00395730">
        <w:rPr>
          <w:rFonts w:ascii="Arial" w:eastAsia="Calibri" w:hAnsi="Arial" w:cs="Arial"/>
          <w:sz w:val="24"/>
          <w:szCs w:val="24"/>
          <w:lang w:eastAsia="en-GB"/>
        </w:rPr>
        <w:t xml:space="preserve"> grew from </w:t>
      </w:r>
      <w:r w:rsidR="003E5B40">
        <w:rPr>
          <w:rFonts w:ascii="Arial" w:eastAsia="Calibri" w:hAnsi="Arial" w:cs="Arial"/>
          <w:sz w:val="24"/>
          <w:szCs w:val="24"/>
          <w:lang w:eastAsia="en-GB"/>
        </w:rPr>
        <w:t>82.8 per cent in 2023 to 2024, to 86.2 per cent in 2024 to 2025</w:t>
      </w:r>
      <w:r w:rsidRPr="00B568F3">
        <w:rPr>
          <w:rFonts w:ascii="Arial" w:eastAsia="Calibri" w:hAnsi="Arial" w:cs="Arial"/>
          <w:sz w:val="24"/>
          <w:szCs w:val="24"/>
          <w:lang w:eastAsia="en-GB"/>
        </w:rPr>
        <w:t xml:space="preserve">. </w:t>
      </w:r>
    </w:p>
    <w:p w14:paraId="581E197B" w14:textId="15152E66" w:rsidR="0010115C" w:rsidRPr="00365ADA" w:rsidRDefault="0011229C" w:rsidP="00365ADA">
      <w:pPr>
        <w:pStyle w:val="ListParagraph"/>
        <w:numPr>
          <w:ilvl w:val="0"/>
          <w:numId w:val="118"/>
        </w:numPr>
        <w:spacing w:after="200" w:line="276" w:lineRule="auto"/>
        <w:rPr>
          <w:rFonts w:ascii="Arial" w:eastAsia="Calibri" w:hAnsi="Arial" w:cs="Arial"/>
          <w:sz w:val="24"/>
          <w:szCs w:val="24"/>
          <w:lang w:eastAsia="en-GB"/>
        </w:rPr>
      </w:pPr>
      <w:r w:rsidRPr="00365ADA">
        <w:rPr>
          <w:rFonts w:ascii="Arial" w:eastAsia="Calibri" w:hAnsi="Arial" w:cs="Arial"/>
          <w:sz w:val="24"/>
          <w:szCs w:val="24"/>
          <w:lang w:eastAsia="en-GB"/>
        </w:rPr>
        <w:t xml:space="preserve">There was an increase in training attendance </w:t>
      </w:r>
      <w:r w:rsidR="00EC7E7C" w:rsidRPr="00365ADA">
        <w:rPr>
          <w:rFonts w:ascii="Arial" w:eastAsia="Calibri" w:hAnsi="Arial" w:cs="Arial"/>
          <w:sz w:val="24"/>
          <w:szCs w:val="24"/>
          <w:lang w:eastAsia="en-GB"/>
        </w:rPr>
        <w:t xml:space="preserve">in </w:t>
      </w:r>
      <w:r w:rsidR="004A19ED" w:rsidRPr="00365ADA">
        <w:rPr>
          <w:rFonts w:ascii="Arial" w:eastAsia="Calibri" w:hAnsi="Arial" w:cs="Arial"/>
          <w:sz w:val="24"/>
          <w:szCs w:val="24"/>
          <w:lang w:eastAsia="en-GB"/>
        </w:rPr>
        <w:t xml:space="preserve">the </w:t>
      </w:r>
      <w:r w:rsidR="000A0DE5" w:rsidRPr="00365ADA">
        <w:rPr>
          <w:rFonts w:ascii="Arial" w:eastAsia="Calibri" w:hAnsi="Arial" w:cs="Arial"/>
          <w:sz w:val="24"/>
          <w:szCs w:val="24"/>
          <w:lang w:eastAsia="en-GB"/>
        </w:rPr>
        <w:t xml:space="preserve">statutory </w:t>
      </w:r>
      <w:r w:rsidR="1FBD7313" w:rsidRPr="00365ADA">
        <w:rPr>
          <w:rFonts w:ascii="Arial" w:eastAsia="Calibri" w:hAnsi="Arial" w:cs="Arial"/>
          <w:sz w:val="24"/>
          <w:szCs w:val="24"/>
          <w:lang w:eastAsia="en-GB"/>
        </w:rPr>
        <w:t>sector</w:t>
      </w:r>
      <w:r w:rsidR="004A19ED" w:rsidRPr="00365ADA">
        <w:rPr>
          <w:rFonts w:ascii="Arial" w:eastAsia="Calibri" w:hAnsi="Arial" w:cs="Arial"/>
          <w:sz w:val="24"/>
          <w:szCs w:val="24"/>
          <w:lang w:eastAsia="en-GB"/>
        </w:rPr>
        <w:t xml:space="preserve"> (rising from </w:t>
      </w:r>
      <w:r w:rsidR="000A0DE5" w:rsidRPr="00365ADA">
        <w:rPr>
          <w:rFonts w:ascii="Arial" w:eastAsia="Calibri" w:hAnsi="Arial" w:cs="Arial"/>
          <w:sz w:val="24"/>
          <w:szCs w:val="24"/>
          <w:lang w:eastAsia="en-GB"/>
        </w:rPr>
        <w:t>84.6</w:t>
      </w:r>
      <w:r w:rsidR="00AC1255" w:rsidRPr="00365ADA">
        <w:rPr>
          <w:rFonts w:ascii="Arial" w:eastAsia="Calibri" w:hAnsi="Arial" w:cs="Arial"/>
          <w:sz w:val="24"/>
          <w:szCs w:val="24"/>
          <w:lang w:eastAsia="en-GB"/>
        </w:rPr>
        <w:t xml:space="preserve"> per cent</w:t>
      </w:r>
      <w:r w:rsidR="004A19ED" w:rsidRPr="00365ADA">
        <w:rPr>
          <w:rFonts w:ascii="Arial" w:eastAsia="Calibri" w:hAnsi="Arial" w:cs="Arial"/>
          <w:sz w:val="24"/>
          <w:szCs w:val="24"/>
          <w:lang w:eastAsia="en-GB"/>
        </w:rPr>
        <w:t xml:space="preserve"> </w:t>
      </w:r>
      <w:r w:rsidR="003C2949" w:rsidRPr="00365ADA">
        <w:rPr>
          <w:rFonts w:ascii="Arial" w:eastAsia="Calibri" w:hAnsi="Arial" w:cs="Arial"/>
          <w:sz w:val="24"/>
          <w:szCs w:val="24"/>
          <w:lang w:eastAsia="en-GB"/>
        </w:rPr>
        <w:t xml:space="preserve">in </w:t>
      </w:r>
      <w:r w:rsidR="000A0DE5" w:rsidRPr="00365ADA">
        <w:rPr>
          <w:rFonts w:ascii="Arial" w:eastAsia="Calibri" w:hAnsi="Arial" w:cs="Arial"/>
          <w:sz w:val="24"/>
          <w:szCs w:val="24"/>
          <w:lang w:eastAsia="en-GB"/>
        </w:rPr>
        <w:t xml:space="preserve">2023 </w:t>
      </w:r>
      <w:r w:rsidR="00AC1255" w:rsidRPr="00365ADA">
        <w:rPr>
          <w:rFonts w:ascii="Arial" w:eastAsia="Calibri" w:hAnsi="Arial" w:cs="Arial"/>
          <w:sz w:val="24"/>
          <w:szCs w:val="24"/>
          <w:lang w:eastAsia="en-GB"/>
        </w:rPr>
        <w:t xml:space="preserve">to </w:t>
      </w:r>
      <w:r w:rsidR="003C2949" w:rsidRPr="00365ADA">
        <w:rPr>
          <w:rFonts w:ascii="Arial" w:eastAsia="Calibri" w:hAnsi="Arial" w:cs="Arial"/>
          <w:sz w:val="24"/>
          <w:szCs w:val="24"/>
          <w:lang w:eastAsia="en-GB"/>
        </w:rPr>
        <w:t>202</w:t>
      </w:r>
      <w:r w:rsidR="000A0DE5" w:rsidRPr="00365ADA">
        <w:rPr>
          <w:rFonts w:ascii="Arial" w:eastAsia="Calibri" w:hAnsi="Arial" w:cs="Arial"/>
          <w:sz w:val="24"/>
          <w:szCs w:val="24"/>
          <w:lang w:eastAsia="en-GB"/>
        </w:rPr>
        <w:t>4</w:t>
      </w:r>
      <w:r w:rsidR="003C2949" w:rsidRPr="00365ADA">
        <w:rPr>
          <w:rFonts w:ascii="Arial" w:eastAsia="Calibri" w:hAnsi="Arial" w:cs="Arial"/>
          <w:sz w:val="24"/>
          <w:szCs w:val="24"/>
          <w:lang w:eastAsia="en-GB"/>
        </w:rPr>
        <w:t xml:space="preserve"> </w:t>
      </w:r>
      <w:r w:rsidR="004A19ED" w:rsidRPr="00365ADA">
        <w:rPr>
          <w:rFonts w:ascii="Arial" w:eastAsia="Calibri" w:hAnsi="Arial" w:cs="Arial"/>
          <w:sz w:val="24"/>
          <w:szCs w:val="24"/>
          <w:lang w:eastAsia="en-GB"/>
        </w:rPr>
        <w:t>to 8</w:t>
      </w:r>
      <w:r w:rsidR="000A0DE5" w:rsidRPr="00365ADA">
        <w:rPr>
          <w:rFonts w:ascii="Arial" w:eastAsia="Calibri" w:hAnsi="Arial" w:cs="Arial"/>
          <w:sz w:val="24"/>
          <w:szCs w:val="24"/>
          <w:lang w:eastAsia="en-GB"/>
        </w:rPr>
        <w:t>8.7</w:t>
      </w:r>
      <w:r w:rsidR="00AC1255" w:rsidRPr="00365ADA">
        <w:rPr>
          <w:rFonts w:ascii="Arial" w:eastAsia="Calibri" w:hAnsi="Arial" w:cs="Arial"/>
          <w:sz w:val="24"/>
          <w:szCs w:val="24"/>
          <w:lang w:eastAsia="en-GB"/>
        </w:rPr>
        <w:t xml:space="preserve"> per cent</w:t>
      </w:r>
      <w:r w:rsidR="003C2949" w:rsidRPr="00365ADA">
        <w:rPr>
          <w:rFonts w:ascii="Arial" w:eastAsia="Calibri" w:hAnsi="Arial" w:cs="Arial"/>
          <w:sz w:val="24"/>
          <w:szCs w:val="24"/>
          <w:lang w:eastAsia="en-GB"/>
        </w:rPr>
        <w:t xml:space="preserve"> in 202</w:t>
      </w:r>
      <w:r w:rsidR="000A0DE5" w:rsidRPr="00365ADA">
        <w:rPr>
          <w:rFonts w:ascii="Arial" w:eastAsia="Calibri" w:hAnsi="Arial" w:cs="Arial"/>
          <w:sz w:val="24"/>
          <w:szCs w:val="24"/>
          <w:lang w:eastAsia="en-GB"/>
        </w:rPr>
        <w:t>4 to 2025</w:t>
      </w:r>
      <w:r w:rsidR="004A19ED" w:rsidRPr="00365ADA">
        <w:rPr>
          <w:rFonts w:ascii="Arial" w:eastAsia="Calibri" w:hAnsi="Arial" w:cs="Arial"/>
          <w:sz w:val="24"/>
          <w:szCs w:val="24"/>
          <w:lang w:eastAsia="en-GB"/>
        </w:rPr>
        <w:t xml:space="preserve">) </w:t>
      </w:r>
      <w:r w:rsidR="00146E7D" w:rsidRPr="00365ADA">
        <w:rPr>
          <w:rFonts w:ascii="Arial" w:eastAsia="Calibri" w:hAnsi="Arial" w:cs="Arial"/>
          <w:sz w:val="24"/>
          <w:szCs w:val="24"/>
          <w:lang w:eastAsia="en-GB"/>
        </w:rPr>
        <w:t xml:space="preserve">and </w:t>
      </w:r>
      <w:r w:rsidR="007C5C92" w:rsidRPr="00365ADA">
        <w:rPr>
          <w:rFonts w:ascii="Arial" w:eastAsia="Calibri" w:hAnsi="Arial" w:cs="Arial"/>
          <w:sz w:val="24"/>
          <w:szCs w:val="24"/>
          <w:lang w:eastAsia="en-GB"/>
        </w:rPr>
        <w:t>the</w:t>
      </w:r>
      <w:r w:rsidR="00AD1BC5" w:rsidRPr="00365ADA">
        <w:rPr>
          <w:rFonts w:ascii="Arial" w:eastAsia="Calibri" w:hAnsi="Arial" w:cs="Arial"/>
          <w:sz w:val="24"/>
          <w:szCs w:val="24"/>
          <w:lang w:eastAsia="en-GB"/>
        </w:rPr>
        <w:t xml:space="preserve"> private sector</w:t>
      </w:r>
      <w:r w:rsidR="00146E7D" w:rsidRPr="00365ADA">
        <w:rPr>
          <w:rFonts w:ascii="Arial" w:eastAsia="Calibri" w:hAnsi="Arial" w:cs="Arial"/>
          <w:sz w:val="24"/>
          <w:szCs w:val="24"/>
          <w:lang w:eastAsia="en-GB"/>
        </w:rPr>
        <w:t xml:space="preserve"> (rising from </w:t>
      </w:r>
      <w:r w:rsidR="00AD1BC5" w:rsidRPr="00365ADA">
        <w:rPr>
          <w:rFonts w:ascii="Arial" w:eastAsia="Calibri" w:hAnsi="Arial" w:cs="Arial"/>
          <w:sz w:val="24"/>
          <w:szCs w:val="24"/>
          <w:lang w:eastAsia="en-GB"/>
        </w:rPr>
        <w:t>73.1</w:t>
      </w:r>
      <w:r w:rsidR="007C5C92" w:rsidRPr="00365ADA">
        <w:rPr>
          <w:rFonts w:ascii="Arial" w:eastAsia="Calibri" w:hAnsi="Arial" w:cs="Arial"/>
          <w:sz w:val="24"/>
          <w:szCs w:val="24"/>
          <w:lang w:eastAsia="en-GB"/>
        </w:rPr>
        <w:t xml:space="preserve"> per cent</w:t>
      </w:r>
      <w:r w:rsidR="003C2949" w:rsidRPr="00365ADA">
        <w:rPr>
          <w:rFonts w:ascii="Arial" w:eastAsia="Calibri" w:hAnsi="Arial" w:cs="Arial"/>
          <w:sz w:val="24"/>
          <w:szCs w:val="24"/>
          <w:lang w:eastAsia="en-GB"/>
        </w:rPr>
        <w:t xml:space="preserve"> in </w:t>
      </w:r>
      <w:r w:rsidR="00AD1BC5" w:rsidRPr="00365ADA">
        <w:rPr>
          <w:rFonts w:ascii="Arial" w:eastAsia="Calibri" w:hAnsi="Arial" w:cs="Arial"/>
          <w:sz w:val="24"/>
          <w:szCs w:val="24"/>
          <w:lang w:eastAsia="en-GB"/>
        </w:rPr>
        <w:t xml:space="preserve">2023 to2024 </w:t>
      </w:r>
      <w:r w:rsidR="00146E7D" w:rsidRPr="00365ADA">
        <w:rPr>
          <w:rFonts w:ascii="Arial" w:eastAsia="Calibri" w:hAnsi="Arial" w:cs="Arial"/>
          <w:sz w:val="24"/>
          <w:szCs w:val="24"/>
          <w:lang w:eastAsia="en-GB"/>
        </w:rPr>
        <w:t xml:space="preserve">to </w:t>
      </w:r>
      <w:r w:rsidR="00AD1BC5" w:rsidRPr="00365ADA">
        <w:rPr>
          <w:rFonts w:ascii="Arial" w:eastAsia="Calibri" w:hAnsi="Arial" w:cs="Arial"/>
          <w:sz w:val="24"/>
          <w:szCs w:val="24"/>
          <w:lang w:eastAsia="en-GB"/>
        </w:rPr>
        <w:t>79.1</w:t>
      </w:r>
      <w:r w:rsidR="007C5C92" w:rsidRPr="00365ADA">
        <w:rPr>
          <w:rFonts w:ascii="Arial" w:eastAsia="Calibri" w:hAnsi="Arial" w:cs="Arial"/>
          <w:sz w:val="24"/>
          <w:szCs w:val="24"/>
          <w:lang w:eastAsia="en-GB"/>
        </w:rPr>
        <w:t xml:space="preserve"> per cent</w:t>
      </w:r>
      <w:r w:rsidR="003C2949" w:rsidRPr="00365ADA">
        <w:rPr>
          <w:rFonts w:ascii="Arial" w:eastAsia="Calibri" w:hAnsi="Arial" w:cs="Arial"/>
          <w:sz w:val="24"/>
          <w:szCs w:val="24"/>
          <w:lang w:eastAsia="en-GB"/>
        </w:rPr>
        <w:t xml:space="preserve"> in </w:t>
      </w:r>
      <w:r w:rsidR="00AD1BC5" w:rsidRPr="00365ADA">
        <w:rPr>
          <w:rFonts w:ascii="Arial" w:eastAsia="Calibri" w:hAnsi="Arial" w:cs="Arial"/>
          <w:sz w:val="24"/>
          <w:szCs w:val="24"/>
          <w:lang w:eastAsia="en-GB"/>
        </w:rPr>
        <w:t xml:space="preserve">2024 </w:t>
      </w:r>
      <w:r w:rsidR="007C5C92" w:rsidRPr="00365ADA">
        <w:rPr>
          <w:rFonts w:ascii="Arial" w:eastAsia="Calibri" w:hAnsi="Arial" w:cs="Arial"/>
          <w:sz w:val="24"/>
          <w:szCs w:val="24"/>
          <w:lang w:eastAsia="en-GB"/>
        </w:rPr>
        <w:t xml:space="preserve">to </w:t>
      </w:r>
      <w:r w:rsidR="00AD1BC5" w:rsidRPr="00365ADA">
        <w:rPr>
          <w:rFonts w:ascii="Arial" w:eastAsia="Calibri" w:hAnsi="Arial" w:cs="Arial"/>
          <w:sz w:val="24"/>
          <w:szCs w:val="24"/>
          <w:lang w:eastAsia="en-GB"/>
        </w:rPr>
        <w:t>2025</w:t>
      </w:r>
      <w:r w:rsidR="003C2949" w:rsidRPr="00365ADA">
        <w:rPr>
          <w:rFonts w:ascii="Arial" w:eastAsia="Calibri" w:hAnsi="Arial" w:cs="Arial"/>
          <w:sz w:val="24"/>
          <w:szCs w:val="24"/>
          <w:lang w:eastAsia="en-GB"/>
        </w:rPr>
        <w:t>)</w:t>
      </w:r>
      <w:r w:rsidR="7FDDEFAF" w:rsidRPr="00365ADA">
        <w:rPr>
          <w:rFonts w:ascii="Arial" w:eastAsia="Calibri" w:hAnsi="Arial" w:cs="Arial"/>
          <w:sz w:val="24"/>
          <w:szCs w:val="24"/>
          <w:lang w:eastAsia="en-GB"/>
        </w:rPr>
        <w:t>.</w:t>
      </w:r>
    </w:p>
    <w:p w14:paraId="71AE310C" w14:textId="62A1E525" w:rsidR="0010115C" w:rsidRPr="005F0496" w:rsidRDefault="0010115C" w:rsidP="0010115C">
      <w:pPr>
        <w:numPr>
          <w:ilvl w:val="0"/>
          <w:numId w:val="6"/>
        </w:numPr>
        <w:spacing w:after="200" w:line="276" w:lineRule="auto"/>
        <w:ind w:left="567" w:hanging="425"/>
        <w:contextualSpacing/>
        <w:rPr>
          <w:rFonts w:ascii="Arial" w:eastAsia="Calibri" w:hAnsi="Arial" w:cs="Arial"/>
          <w:sz w:val="24"/>
          <w:szCs w:val="24"/>
        </w:rPr>
      </w:pPr>
      <w:r w:rsidRPr="005F0496">
        <w:rPr>
          <w:rFonts w:ascii="Arial" w:eastAsia="Calibri" w:hAnsi="Arial" w:cs="Arial"/>
          <w:sz w:val="24"/>
          <w:szCs w:val="24"/>
        </w:rPr>
        <w:t xml:space="preserve">As part of the 2025 to 2026 grant circular we </w:t>
      </w:r>
      <w:r w:rsidR="005D3217">
        <w:rPr>
          <w:rFonts w:ascii="Arial" w:eastAsia="Calibri" w:hAnsi="Arial" w:cs="Arial"/>
          <w:sz w:val="24"/>
          <w:szCs w:val="24"/>
        </w:rPr>
        <w:t>required</w:t>
      </w:r>
      <w:r w:rsidRPr="005F0496">
        <w:rPr>
          <w:rFonts w:ascii="Arial" w:eastAsia="Calibri" w:hAnsi="Arial" w:cs="Arial"/>
          <w:sz w:val="24"/>
          <w:szCs w:val="24"/>
        </w:rPr>
        <w:t xml:space="preserve"> all local authorities</w:t>
      </w:r>
      <w:r w:rsidR="00504604">
        <w:rPr>
          <w:rFonts w:ascii="Arial" w:eastAsia="Calibri" w:hAnsi="Arial" w:cs="Arial"/>
          <w:sz w:val="24"/>
          <w:szCs w:val="24"/>
        </w:rPr>
        <w:t xml:space="preserve"> to</w:t>
      </w:r>
      <w:r w:rsidRPr="005F0496">
        <w:rPr>
          <w:rFonts w:ascii="Arial" w:eastAsia="Calibri" w:hAnsi="Arial" w:cs="Arial"/>
          <w:sz w:val="24"/>
          <w:szCs w:val="24"/>
        </w:rPr>
        <w:t xml:space="preserve"> publish a digital learning and development programme that</w:t>
      </w:r>
      <w:r w:rsidR="00504604">
        <w:rPr>
          <w:rFonts w:ascii="Arial" w:eastAsia="Calibri" w:hAnsi="Arial" w:cs="Arial"/>
          <w:sz w:val="24"/>
          <w:szCs w:val="24"/>
        </w:rPr>
        <w:t>’s</w:t>
      </w:r>
      <w:r w:rsidRPr="005F0496">
        <w:rPr>
          <w:rFonts w:ascii="Arial" w:eastAsia="Calibri" w:hAnsi="Arial" w:cs="Arial"/>
          <w:sz w:val="24"/>
          <w:szCs w:val="24"/>
        </w:rPr>
        <w:t xml:space="preserve"> accessible to all providers.  </w:t>
      </w:r>
      <w:r w:rsidRPr="00FD4DC1">
        <w:rPr>
          <w:rFonts w:ascii="Arial" w:eastAsia="Calibri" w:hAnsi="Arial" w:cs="Arial"/>
          <w:sz w:val="24"/>
          <w:szCs w:val="24"/>
        </w:rPr>
        <w:t xml:space="preserve">To </w:t>
      </w:r>
      <w:r w:rsidR="000C6968">
        <w:rPr>
          <w:rFonts w:ascii="Arial" w:eastAsia="Calibri" w:hAnsi="Arial" w:cs="Arial"/>
          <w:sz w:val="24"/>
          <w:szCs w:val="24"/>
        </w:rPr>
        <w:t>make things more</w:t>
      </w:r>
      <w:r w:rsidRPr="00FD4DC1">
        <w:rPr>
          <w:rFonts w:ascii="Arial" w:eastAsia="Calibri" w:hAnsi="Arial" w:cs="Arial"/>
          <w:sz w:val="24"/>
          <w:szCs w:val="24"/>
        </w:rPr>
        <w:t xml:space="preserve"> transparen</w:t>
      </w:r>
      <w:r w:rsidR="000C6968">
        <w:rPr>
          <w:rFonts w:ascii="Arial" w:eastAsia="Calibri" w:hAnsi="Arial" w:cs="Arial"/>
          <w:sz w:val="24"/>
          <w:szCs w:val="24"/>
        </w:rPr>
        <w:t>t</w:t>
      </w:r>
      <w:r w:rsidRPr="00FD4DC1">
        <w:rPr>
          <w:rFonts w:ascii="Arial" w:eastAsia="Calibri" w:hAnsi="Arial" w:cs="Arial"/>
          <w:sz w:val="24"/>
          <w:szCs w:val="24"/>
        </w:rPr>
        <w:t xml:space="preserve"> and collaborati</w:t>
      </w:r>
      <w:r w:rsidR="000C6968">
        <w:rPr>
          <w:rFonts w:ascii="Arial" w:eastAsia="Calibri" w:hAnsi="Arial" w:cs="Arial"/>
          <w:sz w:val="24"/>
          <w:szCs w:val="24"/>
        </w:rPr>
        <w:t>ve</w:t>
      </w:r>
      <w:r w:rsidRPr="00FD4DC1">
        <w:rPr>
          <w:rFonts w:ascii="Arial" w:eastAsia="Calibri" w:hAnsi="Arial" w:cs="Arial"/>
          <w:sz w:val="24"/>
          <w:szCs w:val="24"/>
        </w:rPr>
        <w:t>, we</w:t>
      </w:r>
      <w:r w:rsidR="000C6968">
        <w:rPr>
          <w:rFonts w:ascii="Arial" w:eastAsia="Calibri" w:hAnsi="Arial" w:cs="Arial"/>
          <w:sz w:val="24"/>
          <w:szCs w:val="24"/>
        </w:rPr>
        <w:t>’ve</w:t>
      </w:r>
      <w:r w:rsidRPr="00FD4DC1">
        <w:rPr>
          <w:rFonts w:ascii="Arial" w:eastAsia="Calibri" w:hAnsi="Arial" w:cs="Arial"/>
          <w:sz w:val="24"/>
          <w:szCs w:val="24"/>
        </w:rPr>
        <w:t xml:space="preserve"> also launched a dedicated SCWWDP webpage on our website. This page </w:t>
      </w:r>
      <w:r w:rsidR="004E74A9">
        <w:rPr>
          <w:rFonts w:ascii="Arial" w:eastAsia="Calibri" w:hAnsi="Arial" w:cs="Arial"/>
          <w:sz w:val="24"/>
          <w:szCs w:val="24"/>
        </w:rPr>
        <w:t>includes</w:t>
      </w:r>
      <w:r w:rsidRPr="00FD4DC1">
        <w:rPr>
          <w:rFonts w:ascii="Arial" w:eastAsia="Calibri" w:hAnsi="Arial" w:cs="Arial"/>
          <w:sz w:val="24"/>
          <w:szCs w:val="24"/>
        </w:rPr>
        <w:t xml:space="preserve"> key information about the grant and includes contact details for workforce development teams in each local authority.</w:t>
      </w:r>
    </w:p>
    <w:p w14:paraId="1405FA65" w14:textId="0E6C7CC4" w:rsidR="00754170" w:rsidRDefault="00687AB7" w:rsidP="000C06A7">
      <w:pPr>
        <w:pStyle w:val="Heading3"/>
        <w:rPr>
          <w:bCs/>
        </w:rPr>
      </w:pPr>
      <w:r>
        <w:rPr>
          <w:rFonts w:eastAsia="Calibri"/>
          <w:bCs/>
          <w:sz w:val="24"/>
          <w:szCs w:val="24"/>
          <w:lang w:eastAsia="en-GB"/>
        </w:rPr>
        <w:t xml:space="preserve">  </w:t>
      </w:r>
      <w:bookmarkStart w:id="25" w:name="_Toc210987767"/>
      <w:bookmarkStart w:id="26" w:name="_Toc211279620"/>
    </w:p>
    <w:p w14:paraId="7B905F64" w14:textId="16BE0D03" w:rsidR="002D1B1F" w:rsidRPr="000C06A7" w:rsidRDefault="002D1B1F" w:rsidP="000C06A7">
      <w:pPr>
        <w:pStyle w:val="Heading3"/>
        <w:rPr>
          <w:lang w:eastAsia="en-GB"/>
        </w:rPr>
      </w:pPr>
      <w:r w:rsidRPr="000C06A7">
        <w:rPr>
          <w:lang w:eastAsia="en-GB"/>
        </w:rPr>
        <w:t xml:space="preserve">Vocational awards and </w:t>
      </w:r>
      <w:r w:rsidR="008237FF" w:rsidRPr="000C06A7">
        <w:rPr>
          <w:lang w:eastAsia="en-GB"/>
        </w:rPr>
        <w:t>All Wales induction framework (</w:t>
      </w:r>
      <w:r w:rsidRPr="000C06A7">
        <w:rPr>
          <w:lang w:eastAsia="en-GB"/>
        </w:rPr>
        <w:t>AWIF</w:t>
      </w:r>
      <w:r w:rsidR="008237FF" w:rsidRPr="000C06A7">
        <w:rPr>
          <w:lang w:eastAsia="en-GB"/>
        </w:rPr>
        <w:t>)</w:t>
      </w:r>
      <w:bookmarkEnd w:id="25"/>
      <w:bookmarkEnd w:id="26"/>
    </w:p>
    <w:p w14:paraId="13333760" w14:textId="2D5622E5" w:rsidR="00BC0B07" w:rsidRDefault="00E93DE9" w:rsidP="00632461">
      <w:pPr>
        <w:numPr>
          <w:ilvl w:val="0"/>
          <w:numId w:val="6"/>
        </w:numPr>
        <w:spacing w:after="200" w:line="276" w:lineRule="auto"/>
        <w:ind w:left="567" w:hanging="425"/>
        <w:contextualSpacing/>
        <w:rPr>
          <w:rFonts w:ascii="Arial" w:eastAsia="Calibri" w:hAnsi="Arial" w:cs="Arial"/>
          <w:sz w:val="24"/>
          <w:szCs w:val="24"/>
          <w:lang w:eastAsia="en-GB"/>
        </w:rPr>
      </w:pPr>
      <w:r w:rsidRPr="00E93DE9">
        <w:rPr>
          <w:rFonts w:ascii="Arial" w:eastAsia="Calibri" w:hAnsi="Arial" w:cs="Arial"/>
          <w:sz w:val="24"/>
          <w:szCs w:val="24"/>
          <w:lang w:eastAsia="en-GB"/>
        </w:rPr>
        <w:t xml:space="preserve">As shown in Table </w:t>
      </w:r>
      <w:r w:rsidR="00E86C8D">
        <w:rPr>
          <w:rFonts w:ascii="Arial" w:eastAsia="Calibri" w:hAnsi="Arial" w:cs="Arial"/>
          <w:sz w:val="24"/>
          <w:szCs w:val="24"/>
          <w:lang w:eastAsia="en-GB"/>
        </w:rPr>
        <w:t>9</w:t>
      </w:r>
      <w:r w:rsidRPr="00E93DE9">
        <w:rPr>
          <w:rFonts w:ascii="Arial" w:eastAsia="Calibri" w:hAnsi="Arial" w:cs="Arial"/>
          <w:sz w:val="24"/>
          <w:szCs w:val="24"/>
          <w:lang w:eastAsia="en-GB"/>
        </w:rPr>
        <w:t xml:space="preserve">, both the number of individuals enrolled on the programme and the levels of achievement in approved vocational qualifications have increased. </w:t>
      </w:r>
    </w:p>
    <w:p w14:paraId="435183CF" w14:textId="77777777" w:rsidR="00BC0B07" w:rsidRDefault="00BC0B07" w:rsidP="006A7071">
      <w:pPr>
        <w:spacing w:after="200" w:line="276" w:lineRule="auto"/>
        <w:ind w:left="567"/>
        <w:contextualSpacing/>
        <w:rPr>
          <w:rFonts w:ascii="Arial" w:eastAsia="Calibri" w:hAnsi="Arial" w:cs="Arial"/>
          <w:sz w:val="24"/>
          <w:szCs w:val="24"/>
          <w:lang w:eastAsia="en-GB"/>
        </w:rPr>
      </w:pPr>
    </w:p>
    <w:p w14:paraId="4C6FFC1D" w14:textId="3A1887A2" w:rsidR="00207A78" w:rsidRDefault="00E93DE9" w:rsidP="00632461">
      <w:pPr>
        <w:numPr>
          <w:ilvl w:val="0"/>
          <w:numId w:val="6"/>
        </w:numPr>
        <w:spacing w:after="200" w:line="276" w:lineRule="auto"/>
        <w:ind w:left="567" w:hanging="425"/>
        <w:contextualSpacing/>
        <w:rPr>
          <w:rFonts w:ascii="Arial" w:eastAsia="Calibri" w:hAnsi="Arial" w:cs="Arial"/>
          <w:sz w:val="24"/>
          <w:szCs w:val="24"/>
          <w:lang w:eastAsia="en-GB"/>
        </w:rPr>
      </w:pPr>
      <w:r w:rsidRPr="00E93DE9">
        <w:rPr>
          <w:rFonts w:ascii="Arial" w:eastAsia="Calibri" w:hAnsi="Arial" w:cs="Arial"/>
          <w:sz w:val="24"/>
          <w:szCs w:val="24"/>
          <w:lang w:eastAsia="en-GB"/>
        </w:rPr>
        <w:t xml:space="preserve">It’s important to note that many individuals may also access funding for vocational qualifications through apprenticeships, which are not captured in this report. </w:t>
      </w:r>
      <w:r w:rsidR="00C95BE8">
        <w:rPr>
          <w:rFonts w:ascii="Arial" w:eastAsia="Calibri" w:hAnsi="Arial" w:cs="Arial"/>
          <w:sz w:val="24"/>
          <w:szCs w:val="24"/>
          <w:lang w:eastAsia="en-GB"/>
        </w:rPr>
        <w:t xml:space="preserve">Health and social care </w:t>
      </w:r>
      <w:proofErr w:type="gramStart"/>
      <w:r w:rsidR="00C95BE8">
        <w:rPr>
          <w:rFonts w:ascii="Arial" w:eastAsia="Calibri" w:hAnsi="Arial" w:cs="Arial"/>
          <w:sz w:val="24"/>
          <w:szCs w:val="24"/>
          <w:lang w:eastAsia="en-GB"/>
        </w:rPr>
        <w:t>has</w:t>
      </w:r>
      <w:proofErr w:type="gramEnd"/>
      <w:r w:rsidR="00C95BE8">
        <w:rPr>
          <w:rFonts w:ascii="Arial" w:eastAsia="Calibri" w:hAnsi="Arial" w:cs="Arial"/>
          <w:sz w:val="24"/>
          <w:szCs w:val="24"/>
          <w:lang w:eastAsia="en-GB"/>
        </w:rPr>
        <w:t xml:space="preserve"> the largest uptake </w:t>
      </w:r>
      <w:r w:rsidR="00620F5C">
        <w:rPr>
          <w:rFonts w:ascii="Arial" w:eastAsia="Calibri" w:hAnsi="Arial" w:cs="Arial"/>
          <w:sz w:val="24"/>
          <w:szCs w:val="24"/>
          <w:lang w:eastAsia="en-GB"/>
        </w:rPr>
        <w:t>of apprenticeships across all sectors in Wales</w:t>
      </w:r>
      <w:r w:rsidR="00E073B9">
        <w:rPr>
          <w:rFonts w:ascii="Arial" w:eastAsia="Calibri" w:hAnsi="Arial" w:cs="Arial"/>
          <w:sz w:val="24"/>
          <w:szCs w:val="24"/>
          <w:lang w:eastAsia="en-GB"/>
        </w:rPr>
        <w:t xml:space="preserve">. In </w:t>
      </w:r>
      <w:r w:rsidR="00620F5C">
        <w:rPr>
          <w:rFonts w:ascii="Arial" w:eastAsia="Calibri" w:hAnsi="Arial" w:cs="Arial"/>
          <w:sz w:val="24"/>
          <w:szCs w:val="24"/>
          <w:lang w:eastAsia="en-GB"/>
        </w:rPr>
        <w:t>2024 to 2025</w:t>
      </w:r>
      <w:r w:rsidR="00E073B9">
        <w:rPr>
          <w:rFonts w:ascii="Arial" w:eastAsia="Calibri" w:hAnsi="Arial" w:cs="Arial"/>
          <w:sz w:val="24"/>
          <w:szCs w:val="24"/>
          <w:lang w:eastAsia="en-GB"/>
        </w:rPr>
        <w:t xml:space="preserve">, a total of </w:t>
      </w:r>
      <w:r w:rsidR="00A41CA9">
        <w:rPr>
          <w:rFonts w:ascii="Arial" w:eastAsia="Calibri" w:hAnsi="Arial" w:cs="Arial"/>
          <w:sz w:val="24"/>
          <w:szCs w:val="24"/>
          <w:lang w:eastAsia="en-GB"/>
        </w:rPr>
        <w:t>3,272</w:t>
      </w:r>
      <w:r w:rsidR="00B20015">
        <w:rPr>
          <w:rFonts w:ascii="Arial" w:eastAsia="Calibri" w:hAnsi="Arial" w:cs="Arial"/>
          <w:sz w:val="24"/>
          <w:szCs w:val="24"/>
          <w:lang w:eastAsia="en-GB"/>
        </w:rPr>
        <w:t xml:space="preserve"> health and social care apprentices were completed, compared to </w:t>
      </w:r>
      <w:r w:rsidR="002F1763">
        <w:rPr>
          <w:rFonts w:ascii="Arial" w:eastAsia="Calibri" w:hAnsi="Arial" w:cs="Arial"/>
          <w:sz w:val="24"/>
          <w:szCs w:val="24"/>
          <w:lang w:eastAsia="en-GB"/>
        </w:rPr>
        <w:t>2,390</w:t>
      </w:r>
      <w:r w:rsidR="00B20015">
        <w:rPr>
          <w:rFonts w:ascii="Arial" w:eastAsia="Calibri" w:hAnsi="Arial" w:cs="Arial"/>
          <w:sz w:val="24"/>
          <w:szCs w:val="24"/>
          <w:lang w:eastAsia="en-GB"/>
        </w:rPr>
        <w:t xml:space="preserve"> the previous year.</w:t>
      </w:r>
    </w:p>
    <w:p w14:paraId="05B791B1" w14:textId="77777777" w:rsidR="00207A78" w:rsidRDefault="00207A78" w:rsidP="00C92ECE">
      <w:pPr>
        <w:spacing w:after="200" w:line="276" w:lineRule="auto"/>
        <w:ind w:left="567"/>
        <w:contextualSpacing/>
        <w:rPr>
          <w:rFonts w:ascii="Arial" w:eastAsia="Calibri" w:hAnsi="Arial" w:cs="Arial"/>
          <w:sz w:val="24"/>
          <w:szCs w:val="24"/>
          <w:lang w:eastAsia="en-GB"/>
        </w:rPr>
      </w:pPr>
    </w:p>
    <w:p w14:paraId="592E84E7" w14:textId="3994A24F" w:rsidR="00157D06" w:rsidRDefault="00E93DE9" w:rsidP="00632461">
      <w:pPr>
        <w:numPr>
          <w:ilvl w:val="0"/>
          <w:numId w:val="6"/>
        </w:numPr>
        <w:spacing w:after="200" w:line="276" w:lineRule="auto"/>
        <w:ind w:left="567" w:hanging="425"/>
        <w:contextualSpacing/>
        <w:rPr>
          <w:rFonts w:ascii="Arial" w:eastAsia="Calibri" w:hAnsi="Arial" w:cs="Arial"/>
          <w:sz w:val="24"/>
          <w:szCs w:val="24"/>
          <w:lang w:eastAsia="en-GB"/>
        </w:rPr>
      </w:pPr>
      <w:r w:rsidRPr="00E93DE9">
        <w:rPr>
          <w:rFonts w:ascii="Arial" w:eastAsia="Calibri" w:hAnsi="Arial" w:cs="Arial"/>
          <w:sz w:val="24"/>
          <w:szCs w:val="24"/>
          <w:lang w:eastAsia="en-GB"/>
        </w:rPr>
        <w:t xml:space="preserve">However, data from local authorities </w:t>
      </w:r>
      <w:r w:rsidR="002641C0">
        <w:rPr>
          <w:rFonts w:ascii="Arial" w:eastAsia="Calibri" w:hAnsi="Arial" w:cs="Arial"/>
          <w:sz w:val="24"/>
          <w:szCs w:val="24"/>
          <w:lang w:eastAsia="en-GB"/>
        </w:rPr>
        <w:t xml:space="preserve">shows </w:t>
      </w:r>
      <w:r w:rsidRPr="00E93DE9">
        <w:rPr>
          <w:rFonts w:ascii="Arial" w:eastAsia="Calibri" w:hAnsi="Arial" w:cs="Arial"/>
          <w:sz w:val="24"/>
          <w:szCs w:val="24"/>
          <w:lang w:eastAsia="en-GB"/>
        </w:rPr>
        <w:t xml:space="preserve">a continued decline in the number of people </w:t>
      </w:r>
      <w:r w:rsidR="00EC1BEB">
        <w:rPr>
          <w:rFonts w:ascii="Arial" w:eastAsia="Calibri" w:hAnsi="Arial" w:cs="Arial"/>
          <w:sz w:val="24"/>
          <w:szCs w:val="24"/>
          <w:lang w:eastAsia="en-GB"/>
        </w:rPr>
        <w:t xml:space="preserve">taking and </w:t>
      </w:r>
      <w:r w:rsidR="00993096">
        <w:rPr>
          <w:rFonts w:ascii="Arial" w:eastAsia="Calibri" w:hAnsi="Arial" w:cs="Arial"/>
          <w:sz w:val="24"/>
          <w:szCs w:val="24"/>
          <w:lang w:eastAsia="en-GB"/>
        </w:rPr>
        <w:t xml:space="preserve">achieving </w:t>
      </w:r>
      <w:r w:rsidR="00993096" w:rsidRPr="00E93DE9">
        <w:rPr>
          <w:rFonts w:ascii="Arial" w:eastAsia="Calibri" w:hAnsi="Arial" w:cs="Arial"/>
          <w:sz w:val="24"/>
          <w:szCs w:val="24"/>
          <w:lang w:eastAsia="en-GB"/>
        </w:rPr>
        <w:t>the</w:t>
      </w:r>
      <w:r w:rsidRPr="00E93DE9">
        <w:rPr>
          <w:rFonts w:ascii="Arial" w:eastAsia="Calibri" w:hAnsi="Arial" w:cs="Arial"/>
          <w:sz w:val="24"/>
          <w:szCs w:val="24"/>
          <w:lang w:eastAsia="en-GB"/>
        </w:rPr>
        <w:t xml:space="preserve"> </w:t>
      </w:r>
      <w:proofErr w:type="gramStart"/>
      <w:r w:rsidRPr="00E93DE9">
        <w:rPr>
          <w:rFonts w:ascii="Arial" w:eastAsia="Calibri" w:hAnsi="Arial" w:cs="Arial"/>
          <w:sz w:val="24"/>
          <w:szCs w:val="24"/>
          <w:lang w:eastAsia="en-GB"/>
        </w:rPr>
        <w:t>All Wales</w:t>
      </w:r>
      <w:proofErr w:type="gramEnd"/>
      <w:r w:rsidRPr="00E93DE9">
        <w:rPr>
          <w:rFonts w:ascii="Arial" w:eastAsia="Calibri" w:hAnsi="Arial" w:cs="Arial"/>
          <w:sz w:val="24"/>
          <w:szCs w:val="24"/>
          <w:lang w:eastAsia="en-GB"/>
        </w:rPr>
        <w:t xml:space="preserve"> </w:t>
      </w:r>
      <w:r w:rsidR="00EC1BEB">
        <w:rPr>
          <w:rFonts w:ascii="Arial" w:eastAsia="Calibri" w:hAnsi="Arial" w:cs="Arial"/>
          <w:sz w:val="24"/>
          <w:szCs w:val="24"/>
          <w:lang w:eastAsia="en-GB"/>
        </w:rPr>
        <w:t>h</w:t>
      </w:r>
      <w:r w:rsidRPr="00E93DE9">
        <w:rPr>
          <w:rFonts w:ascii="Arial" w:eastAsia="Calibri" w:hAnsi="Arial" w:cs="Arial"/>
          <w:sz w:val="24"/>
          <w:szCs w:val="24"/>
          <w:lang w:eastAsia="en-GB"/>
        </w:rPr>
        <w:t xml:space="preserve">ealth and </w:t>
      </w:r>
      <w:r w:rsidR="00EC1BEB">
        <w:rPr>
          <w:rFonts w:ascii="Arial" w:eastAsia="Calibri" w:hAnsi="Arial" w:cs="Arial"/>
          <w:sz w:val="24"/>
          <w:szCs w:val="24"/>
          <w:lang w:eastAsia="en-GB"/>
        </w:rPr>
        <w:t>s</w:t>
      </w:r>
      <w:r w:rsidRPr="00E93DE9">
        <w:rPr>
          <w:rFonts w:ascii="Arial" w:eastAsia="Calibri" w:hAnsi="Arial" w:cs="Arial"/>
          <w:sz w:val="24"/>
          <w:szCs w:val="24"/>
          <w:lang w:eastAsia="en-GB"/>
        </w:rPr>
        <w:t xml:space="preserve">ocial </w:t>
      </w:r>
      <w:r w:rsidR="00EC1BEB">
        <w:rPr>
          <w:rFonts w:ascii="Arial" w:eastAsia="Calibri" w:hAnsi="Arial" w:cs="Arial"/>
          <w:sz w:val="24"/>
          <w:szCs w:val="24"/>
          <w:lang w:eastAsia="en-GB"/>
        </w:rPr>
        <w:t>c</w:t>
      </w:r>
      <w:r w:rsidRPr="00E93DE9">
        <w:rPr>
          <w:rFonts w:ascii="Arial" w:eastAsia="Calibri" w:hAnsi="Arial" w:cs="Arial"/>
          <w:sz w:val="24"/>
          <w:szCs w:val="24"/>
          <w:lang w:eastAsia="en-GB"/>
        </w:rPr>
        <w:t xml:space="preserve">are </w:t>
      </w:r>
      <w:r w:rsidR="00EC1BEB">
        <w:rPr>
          <w:rFonts w:ascii="Arial" w:eastAsia="Calibri" w:hAnsi="Arial" w:cs="Arial"/>
          <w:sz w:val="24"/>
          <w:szCs w:val="24"/>
          <w:lang w:eastAsia="en-GB"/>
        </w:rPr>
        <w:t>i</w:t>
      </w:r>
      <w:r w:rsidRPr="00E93DE9">
        <w:rPr>
          <w:rFonts w:ascii="Arial" w:eastAsia="Calibri" w:hAnsi="Arial" w:cs="Arial"/>
          <w:sz w:val="24"/>
          <w:szCs w:val="24"/>
          <w:lang w:eastAsia="en-GB"/>
        </w:rPr>
        <w:t xml:space="preserve">nduction </w:t>
      </w:r>
      <w:r w:rsidR="00EC1BEB">
        <w:rPr>
          <w:rFonts w:ascii="Arial" w:eastAsia="Calibri" w:hAnsi="Arial" w:cs="Arial"/>
          <w:sz w:val="24"/>
          <w:szCs w:val="24"/>
          <w:lang w:eastAsia="en-GB"/>
        </w:rPr>
        <w:t>f</w:t>
      </w:r>
      <w:r w:rsidRPr="00E93DE9">
        <w:rPr>
          <w:rFonts w:ascii="Arial" w:eastAsia="Calibri" w:hAnsi="Arial" w:cs="Arial"/>
          <w:sz w:val="24"/>
          <w:szCs w:val="24"/>
          <w:lang w:eastAsia="en-GB"/>
        </w:rPr>
        <w:t>ramework (AWIF), although the number of individuals achieving the framework has increased compared to the previous year.</w:t>
      </w:r>
    </w:p>
    <w:p w14:paraId="4D0F77F3" w14:textId="73CCB4A2" w:rsidR="008920DF" w:rsidRDefault="008920DF" w:rsidP="00D74872">
      <w:pPr>
        <w:spacing w:after="200" w:line="276" w:lineRule="auto"/>
        <w:ind w:left="567"/>
        <w:contextualSpacing/>
        <w:rPr>
          <w:rFonts w:ascii="Arial" w:eastAsia="Calibri" w:hAnsi="Arial" w:cs="Arial"/>
          <w:sz w:val="24"/>
          <w:szCs w:val="24"/>
          <w:lang w:eastAsia="en-GB"/>
        </w:rPr>
      </w:pPr>
    </w:p>
    <w:p w14:paraId="3D198B94" w14:textId="4F27CA1A" w:rsidR="003A7BD9" w:rsidRDefault="00157D06" w:rsidP="00157D06">
      <w:pPr>
        <w:numPr>
          <w:ilvl w:val="0"/>
          <w:numId w:val="6"/>
        </w:numPr>
        <w:spacing w:after="200" w:line="276" w:lineRule="auto"/>
        <w:ind w:left="567" w:hanging="425"/>
        <w:contextualSpacing/>
        <w:rPr>
          <w:rFonts w:ascii="Arial" w:eastAsia="Calibri" w:hAnsi="Arial" w:cs="Arial"/>
          <w:sz w:val="24"/>
          <w:szCs w:val="24"/>
          <w:lang w:eastAsia="en-GB"/>
        </w:rPr>
      </w:pPr>
      <w:r w:rsidRPr="00157D06">
        <w:rPr>
          <w:rFonts w:ascii="Arial" w:eastAsia="Calibri" w:hAnsi="Arial" w:cs="Arial"/>
          <w:sz w:val="24"/>
          <w:szCs w:val="24"/>
          <w:lang w:eastAsia="en-GB"/>
        </w:rPr>
        <w:t>Retention rates have improved for both the AWIF and Approved Awards</w:t>
      </w:r>
      <w:r w:rsidR="006E432A">
        <w:rPr>
          <w:rFonts w:ascii="Arial" w:eastAsia="Calibri" w:hAnsi="Arial" w:cs="Arial"/>
          <w:sz w:val="24"/>
          <w:szCs w:val="24"/>
          <w:lang w:eastAsia="en-GB"/>
        </w:rPr>
        <w:t>,</w:t>
      </w:r>
      <w:r w:rsidRPr="00157D06">
        <w:rPr>
          <w:rFonts w:ascii="Arial" w:eastAsia="Calibri" w:hAnsi="Arial" w:cs="Arial"/>
          <w:sz w:val="24"/>
          <w:szCs w:val="24"/>
          <w:lang w:eastAsia="en-GB"/>
        </w:rPr>
        <w:t xml:space="preserve"> </w:t>
      </w:r>
      <w:r w:rsidR="001E3BAD">
        <w:rPr>
          <w:rFonts w:ascii="Arial" w:eastAsia="Calibri" w:hAnsi="Arial" w:cs="Arial"/>
          <w:sz w:val="24"/>
          <w:szCs w:val="24"/>
          <w:lang w:eastAsia="en-GB"/>
        </w:rPr>
        <w:t xml:space="preserve">with less learners </w:t>
      </w:r>
      <w:r w:rsidR="005E67D4">
        <w:rPr>
          <w:rFonts w:ascii="Arial" w:eastAsia="Calibri" w:hAnsi="Arial" w:cs="Arial"/>
          <w:sz w:val="24"/>
          <w:szCs w:val="24"/>
          <w:lang w:eastAsia="en-GB"/>
        </w:rPr>
        <w:t xml:space="preserve">dropping out than last </w:t>
      </w:r>
      <w:r w:rsidR="00993096">
        <w:rPr>
          <w:rFonts w:ascii="Arial" w:eastAsia="Calibri" w:hAnsi="Arial" w:cs="Arial"/>
          <w:sz w:val="24"/>
          <w:szCs w:val="24"/>
          <w:lang w:eastAsia="en-GB"/>
        </w:rPr>
        <w:t>year.</w:t>
      </w:r>
      <w:r w:rsidRPr="00157D06">
        <w:rPr>
          <w:rFonts w:ascii="Arial" w:eastAsia="Calibri" w:hAnsi="Arial" w:cs="Arial"/>
          <w:sz w:val="24"/>
          <w:szCs w:val="24"/>
          <w:lang w:eastAsia="en-GB"/>
        </w:rPr>
        <w:t xml:space="preserve"> </w:t>
      </w:r>
      <w:r w:rsidR="0033633E">
        <w:rPr>
          <w:rFonts w:ascii="Arial" w:eastAsia="Calibri" w:hAnsi="Arial" w:cs="Arial"/>
          <w:sz w:val="24"/>
          <w:szCs w:val="24"/>
          <w:lang w:eastAsia="en-GB"/>
        </w:rPr>
        <w:t>More</w:t>
      </w:r>
      <w:r w:rsidRPr="00157D06">
        <w:rPr>
          <w:rFonts w:ascii="Arial" w:eastAsia="Calibri" w:hAnsi="Arial" w:cs="Arial"/>
          <w:sz w:val="24"/>
          <w:szCs w:val="24"/>
          <w:lang w:eastAsia="en-GB"/>
        </w:rPr>
        <w:t xml:space="preserve"> learners </w:t>
      </w:r>
      <w:r w:rsidR="0033633E">
        <w:rPr>
          <w:rFonts w:ascii="Arial" w:eastAsia="Calibri" w:hAnsi="Arial" w:cs="Arial"/>
          <w:sz w:val="24"/>
          <w:szCs w:val="24"/>
          <w:lang w:eastAsia="en-GB"/>
        </w:rPr>
        <w:t xml:space="preserve">are </w:t>
      </w:r>
      <w:r w:rsidRPr="00157D06">
        <w:rPr>
          <w:rFonts w:ascii="Arial" w:eastAsia="Calibri" w:hAnsi="Arial" w:cs="Arial"/>
          <w:sz w:val="24"/>
          <w:szCs w:val="24"/>
          <w:lang w:eastAsia="en-GB"/>
        </w:rPr>
        <w:t xml:space="preserve">continuing with their </w:t>
      </w:r>
      <w:r w:rsidR="00993096" w:rsidRPr="00157D06">
        <w:rPr>
          <w:rFonts w:ascii="Arial" w:eastAsia="Calibri" w:hAnsi="Arial" w:cs="Arial"/>
          <w:sz w:val="24"/>
          <w:szCs w:val="24"/>
          <w:lang w:eastAsia="en-GB"/>
        </w:rPr>
        <w:t>studies for</w:t>
      </w:r>
      <w:r w:rsidRPr="00157D06">
        <w:rPr>
          <w:rFonts w:ascii="Arial" w:eastAsia="Calibri" w:hAnsi="Arial" w:cs="Arial"/>
          <w:sz w:val="24"/>
          <w:szCs w:val="24"/>
          <w:lang w:eastAsia="en-GB"/>
        </w:rPr>
        <w:t xml:space="preserve"> the Approved Awards, while it has declined for the AWIF.</w:t>
      </w:r>
    </w:p>
    <w:p w14:paraId="4C474C7A" w14:textId="77777777" w:rsidR="0086431B" w:rsidRDefault="0086431B" w:rsidP="005D51B9">
      <w:pPr>
        <w:pStyle w:val="ListParagraph"/>
        <w:rPr>
          <w:rFonts w:ascii="Arial" w:eastAsia="Calibri" w:hAnsi="Arial" w:cs="Arial"/>
          <w:sz w:val="24"/>
          <w:szCs w:val="24"/>
          <w:lang w:eastAsia="en-GB"/>
        </w:rPr>
      </w:pPr>
    </w:p>
    <w:p w14:paraId="4C574D8F" w14:textId="77777777" w:rsidR="0086431B" w:rsidRDefault="0086431B" w:rsidP="005D51B9">
      <w:pPr>
        <w:spacing w:after="200" w:line="276" w:lineRule="auto"/>
        <w:ind w:left="567"/>
        <w:contextualSpacing/>
        <w:rPr>
          <w:rFonts w:ascii="Arial" w:eastAsia="Calibri" w:hAnsi="Arial" w:cs="Arial"/>
          <w:sz w:val="24"/>
          <w:szCs w:val="24"/>
          <w:lang w:eastAsia="en-GB"/>
        </w:rPr>
      </w:pPr>
    </w:p>
    <w:p w14:paraId="53BCA5AC" w14:textId="77777777" w:rsidR="00157D06" w:rsidRPr="00B568F3" w:rsidRDefault="00157D06" w:rsidP="00157D06">
      <w:pPr>
        <w:spacing w:after="200" w:line="276" w:lineRule="auto"/>
        <w:ind w:left="567"/>
        <w:contextualSpacing/>
        <w:rPr>
          <w:rFonts w:ascii="Arial" w:eastAsia="Calibri" w:hAnsi="Arial" w:cs="Arial"/>
          <w:sz w:val="24"/>
          <w:szCs w:val="24"/>
          <w:lang w:eastAsia="en-GB"/>
        </w:rPr>
      </w:pPr>
    </w:p>
    <w:p w14:paraId="07B08050" w14:textId="77777777" w:rsidR="00C43F96" w:rsidRDefault="00C43F96">
      <w:pPr>
        <w:rPr>
          <w:rFonts w:ascii="Arial" w:eastAsia="Calibri" w:hAnsi="Arial" w:cs="Arial"/>
          <w:b/>
          <w:bCs/>
          <w:sz w:val="24"/>
          <w:szCs w:val="24"/>
          <w:lang w:eastAsia="en-GB"/>
        </w:rPr>
      </w:pPr>
      <w:r>
        <w:rPr>
          <w:rFonts w:ascii="Arial" w:eastAsia="Calibri" w:hAnsi="Arial" w:cs="Arial"/>
          <w:b/>
          <w:bCs/>
          <w:sz w:val="24"/>
          <w:szCs w:val="24"/>
          <w:lang w:eastAsia="en-GB"/>
        </w:rPr>
        <w:br w:type="page"/>
      </w:r>
    </w:p>
    <w:p w14:paraId="61E9A3A6" w14:textId="7C208C3A" w:rsidR="00D37613" w:rsidRPr="00B568F3" w:rsidRDefault="00D37613" w:rsidP="00D37613">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lastRenderedPageBreak/>
        <w:t xml:space="preserve">Table </w:t>
      </w:r>
      <w:r w:rsidR="0086431B">
        <w:rPr>
          <w:rFonts w:ascii="Arial" w:eastAsia="Calibri" w:hAnsi="Arial" w:cs="Arial"/>
          <w:b/>
          <w:bCs/>
          <w:sz w:val="24"/>
          <w:szCs w:val="24"/>
          <w:lang w:eastAsia="en-GB"/>
        </w:rPr>
        <w:t>9</w:t>
      </w:r>
      <w:r w:rsidRPr="00B568F3">
        <w:rPr>
          <w:rFonts w:ascii="Arial" w:eastAsia="Calibri" w:hAnsi="Arial" w:cs="Arial"/>
          <w:b/>
          <w:bCs/>
          <w:sz w:val="24"/>
          <w:szCs w:val="24"/>
          <w:lang w:eastAsia="en-GB"/>
        </w:rPr>
        <w:t xml:space="preserve">: </w:t>
      </w:r>
      <w:r w:rsidRPr="00B568F3">
        <w:rPr>
          <w:rFonts w:ascii="Arial" w:eastAsia="Calibri" w:hAnsi="Arial" w:cs="Arial"/>
          <w:b/>
          <w:bCs/>
          <w:sz w:val="24"/>
          <w:szCs w:val="24"/>
        </w:rPr>
        <w:t xml:space="preserve">Vocational awards and AWIF </w:t>
      </w:r>
      <w:r w:rsidR="009149EF" w:rsidRPr="00B568F3">
        <w:rPr>
          <w:rFonts w:ascii="Arial" w:eastAsia="Calibri" w:hAnsi="Arial" w:cs="Arial"/>
          <w:b/>
          <w:bCs/>
          <w:sz w:val="24"/>
          <w:szCs w:val="24"/>
          <w:lang w:eastAsia="en-GB"/>
        </w:rPr>
        <w:t>a</w:t>
      </w:r>
      <w:r w:rsidRPr="00B568F3">
        <w:rPr>
          <w:rFonts w:ascii="Arial" w:eastAsia="Calibri" w:hAnsi="Arial" w:cs="Arial"/>
          <w:b/>
          <w:bCs/>
          <w:sz w:val="24"/>
          <w:szCs w:val="24"/>
          <w:lang w:eastAsia="en-GB"/>
        </w:rPr>
        <w:t xml:space="preserve">ctivity, </w:t>
      </w:r>
      <w:r w:rsidR="001D31A8" w:rsidRPr="00B568F3">
        <w:rPr>
          <w:rFonts w:ascii="Arial" w:eastAsia="Calibri" w:hAnsi="Arial" w:cs="Arial"/>
          <w:b/>
          <w:bCs/>
          <w:sz w:val="24"/>
          <w:szCs w:val="24"/>
          <w:lang w:eastAsia="en-GB"/>
        </w:rPr>
        <w:t>202</w:t>
      </w:r>
      <w:r w:rsidR="001D31A8">
        <w:rPr>
          <w:rFonts w:ascii="Arial" w:eastAsia="Calibri" w:hAnsi="Arial" w:cs="Arial"/>
          <w:b/>
          <w:bCs/>
          <w:sz w:val="24"/>
          <w:szCs w:val="24"/>
          <w:lang w:eastAsia="en-GB"/>
        </w:rPr>
        <w:t>4</w:t>
      </w:r>
      <w:r w:rsidR="001D31A8" w:rsidRPr="00B568F3">
        <w:rPr>
          <w:rFonts w:ascii="Arial" w:eastAsia="Calibri" w:hAnsi="Arial" w:cs="Arial"/>
          <w:b/>
          <w:bCs/>
          <w:sz w:val="24"/>
          <w:szCs w:val="24"/>
          <w:lang w:eastAsia="en-GB"/>
        </w:rPr>
        <w:t xml:space="preserve"> </w:t>
      </w:r>
      <w:r w:rsidR="009149EF" w:rsidRPr="00B568F3">
        <w:rPr>
          <w:rFonts w:ascii="Arial" w:eastAsia="Calibri" w:hAnsi="Arial" w:cs="Arial"/>
          <w:b/>
          <w:bCs/>
          <w:sz w:val="24"/>
          <w:szCs w:val="24"/>
          <w:lang w:eastAsia="en-GB"/>
        </w:rPr>
        <w:t xml:space="preserve">to </w:t>
      </w:r>
      <w:r w:rsidR="001D31A8" w:rsidRPr="00B568F3">
        <w:rPr>
          <w:rFonts w:ascii="Arial" w:eastAsia="Calibri" w:hAnsi="Arial" w:cs="Arial"/>
          <w:b/>
          <w:bCs/>
          <w:sz w:val="24"/>
          <w:szCs w:val="24"/>
          <w:lang w:eastAsia="en-GB"/>
        </w:rPr>
        <w:t>202</w:t>
      </w:r>
      <w:r w:rsidR="001D31A8">
        <w:rPr>
          <w:rFonts w:ascii="Arial" w:eastAsia="Calibri" w:hAnsi="Arial" w:cs="Arial"/>
          <w:b/>
          <w:bCs/>
          <w:sz w:val="24"/>
          <w:szCs w:val="24"/>
          <w:lang w:eastAsia="en-GB"/>
        </w:rPr>
        <w:t>5</w:t>
      </w:r>
    </w:p>
    <w:p w14:paraId="7B3C6439" w14:textId="77777777" w:rsidR="00022E02" w:rsidRPr="00B568F3" w:rsidRDefault="00022E02" w:rsidP="00D37613">
      <w:pPr>
        <w:spacing w:after="0" w:line="240" w:lineRule="auto"/>
        <w:rPr>
          <w:rFonts w:ascii="Arial" w:eastAsia="Calibri" w:hAnsi="Arial" w:cs="Arial"/>
          <w:b/>
          <w:bCs/>
          <w:sz w:val="24"/>
          <w:szCs w:val="24"/>
          <w:lang w:eastAsia="en-GB"/>
        </w:rPr>
      </w:pPr>
    </w:p>
    <w:tbl>
      <w:tblPr>
        <w:tblStyle w:val="TableGrid"/>
        <w:tblW w:w="9298" w:type="dxa"/>
        <w:tblLook w:val="04A0" w:firstRow="1" w:lastRow="0" w:firstColumn="1" w:lastColumn="0" w:noHBand="0" w:noVBand="1"/>
      </w:tblPr>
      <w:tblGrid>
        <w:gridCol w:w="3628"/>
        <w:gridCol w:w="1257"/>
        <w:gridCol w:w="1578"/>
        <w:gridCol w:w="1257"/>
        <w:gridCol w:w="1578"/>
      </w:tblGrid>
      <w:tr w:rsidR="00F82A51" w:rsidRPr="00B568F3" w14:paraId="19A88E8E" w14:textId="76952474" w:rsidTr="005D51B9">
        <w:tc>
          <w:tcPr>
            <w:tcW w:w="3628" w:type="dxa"/>
            <w:vMerge w:val="restart"/>
            <w:tcBorders>
              <w:top w:val="nil"/>
              <w:left w:val="nil"/>
            </w:tcBorders>
          </w:tcPr>
          <w:p w14:paraId="14A5B2F0" w14:textId="77777777" w:rsidR="00F82A51" w:rsidRPr="00B568F3" w:rsidRDefault="00F82A51" w:rsidP="002D1B1F">
            <w:pPr>
              <w:spacing w:after="200" w:line="276" w:lineRule="auto"/>
              <w:contextualSpacing/>
              <w:rPr>
                <w:rFonts w:ascii="Arial" w:eastAsia="Calibri" w:hAnsi="Arial" w:cs="Arial"/>
                <w:sz w:val="24"/>
                <w:szCs w:val="24"/>
                <w:lang w:eastAsia="en-GB"/>
              </w:rPr>
            </w:pPr>
          </w:p>
        </w:tc>
        <w:tc>
          <w:tcPr>
            <w:tcW w:w="2835" w:type="dxa"/>
            <w:gridSpan w:val="2"/>
            <w:vAlign w:val="center"/>
          </w:tcPr>
          <w:p w14:paraId="11C2FF32" w14:textId="3B7B3641" w:rsidR="00F82A51" w:rsidRPr="00B568F3" w:rsidRDefault="00F82A51" w:rsidP="0032616D">
            <w:pPr>
              <w:spacing w:after="200" w:line="276" w:lineRule="auto"/>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AWIF</w:t>
            </w:r>
          </w:p>
        </w:tc>
        <w:tc>
          <w:tcPr>
            <w:tcW w:w="2835" w:type="dxa"/>
            <w:gridSpan w:val="2"/>
            <w:vAlign w:val="center"/>
          </w:tcPr>
          <w:p w14:paraId="52A4730C" w14:textId="5CF8DDFD" w:rsidR="00F82A51" w:rsidRPr="00B568F3" w:rsidRDefault="00F82A51" w:rsidP="0032616D">
            <w:pPr>
              <w:spacing w:after="200" w:line="276" w:lineRule="auto"/>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Approved Awards</w:t>
            </w:r>
          </w:p>
        </w:tc>
      </w:tr>
      <w:tr w:rsidR="00F82A51" w:rsidRPr="00B568F3" w14:paraId="4EDF6B60" w14:textId="7788EC49" w:rsidTr="005D51B9">
        <w:tc>
          <w:tcPr>
            <w:tcW w:w="3628" w:type="dxa"/>
            <w:vMerge/>
            <w:tcBorders>
              <w:left w:val="nil"/>
            </w:tcBorders>
          </w:tcPr>
          <w:p w14:paraId="11EC8361" w14:textId="77777777" w:rsidR="00F82A51" w:rsidRPr="00B568F3" w:rsidRDefault="00F82A51" w:rsidP="002D1B1F">
            <w:pPr>
              <w:spacing w:after="200" w:line="276" w:lineRule="auto"/>
              <w:contextualSpacing/>
              <w:rPr>
                <w:rFonts w:ascii="Arial" w:eastAsia="Calibri" w:hAnsi="Arial" w:cs="Arial"/>
                <w:sz w:val="24"/>
                <w:szCs w:val="24"/>
                <w:lang w:eastAsia="en-GB"/>
              </w:rPr>
            </w:pPr>
          </w:p>
        </w:tc>
        <w:tc>
          <w:tcPr>
            <w:tcW w:w="1257" w:type="dxa"/>
            <w:vAlign w:val="center"/>
          </w:tcPr>
          <w:p w14:paraId="3978E759" w14:textId="19EC39DF" w:rsidR="00F82A51" w:rsidRPr="00B568F3" w:rsidRDefault="00F82A51" w:rsidP="0032616D">
            <w:pPr>
              <w:spacing w:after="200" w:line="276" w:lineRule="auto"/>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Number</w:t>
            </w:r>
          </w:p>
        </w:tc>
        <w:tc>
          <w:tcPr>
            <w:tcW w:w="1578" w:type="dxa"/>
            <w:vAlign w:val="center"/>
          </w:tcPr>
          <w:p w14:paraId="6E500344" w14:textId="6F441AE4" w:rsidR="00F82A51" w:rsidRPr="00B568F3" w:rsidRDefault="00F82A51" w:rsidP="0032616D">
            <w:pPr>
              <w:spacing w:after="200" w:line="276" w:lineRule="auto"/>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c>
          <w:tcPr>
            <w:tcW w:w="1257" w:type="dxa"/>
            <w:vAlign w:val="center"/>
          </w:tcPr>
          <w:p w14:paraId="0E9A41EA" w14:textId="48F10751" w:rsidR="00F82A51" w:rsidRPr="00B568F3" w:rsidRDefault="00F82A51" w:rsidP="0032616D">
            <w:pPr>
              <w:spacing w:after="200" w:line="276" w:lineRule="auto"/>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Number</w:t>
            </w:r>
          </w:p>
        </w:tc>
        <w:tc>
          <w:tcPr>
            <w:tcW w:w="1578" w:type="dxa"/>
            <w:vAlign w:val="center"/>
          </w:tcPr>
          <w:p w14:paraId="5ADDA082" w14:textId="05E123EA" w:rsidR="00F82A51" w:rsidRPr="00B568F3" w:rsidRDefault="00F82A51" w:rsidP="0032616D">
            <w:pPr>
              <w:spacing w:after="200" w:line="276" w:lineRule="auto"/>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r>
      <w:tr w:rsidR="00D313BB" w:rsidRPr="00B568F3" w14:paraId="6F092E57" w14:textId="3A56122A" w:rsidTr="005369AF">
        <w:tc>
          <w:tcPr>
            <w:tcW w:w="3628" w:type="dxa"/>
          </w:tcPr>
          <w:p w14:paraId="6C2712A5" w14:textId="2D47797F" w:rsidR="00D313BB" w:rsidRPr="00B568F3" w:rsidRDefault="00D313BB" w:rsidP="002D1B1F">
            <w:pPr>
              <w:spacing w:after="200" w:line="276" w:lineRule="auto"/>
              <w:contextualSpacing/>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Numbers on programme </w:t>
            </w:r>
          </w:p>
        </w:tc>
        <w:tc>
          <w:tcPr>
            <w:tcW w:w="1257" w:type="dxa"/>
            <w:vAlign w:val="center"/>
          </w:tcPr>
          <w:p w14:paraId="32033CCD" w14:textId="49FCAED0" w:rsidR="00D313BB" w:rsidRPr="00B568F3" w:rsidRDefault="007702C0"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530</w:t>
            </w:r>
          </w:p>
        </w:tc>
        <w:tc>
          <w:tcPr>
            <w:tcW w:w="1578" w:type="dxa"/>
            <w:vAlign w:val="center"/>
          </w:tcPr>
          <w:p w14:paraId="41405DDD" w14:textId="7D6CA843" w:rsidR="00D313BB" w:rsidRPr="00B568F3" w:rsidRDefault="00B022C2" w:rsidP="0032616D">
            <w:pPr>
              <w:spacing w:after="200" w:line="276" w:lineRule="auto"/>
              <w:contextualSpacing/>
              <w:jc w:val="center"/>
              <w:rPr>
                <w:rFonts w:ascii="Arial" w:eastAsia="Calibri" w:hAnsi="Arial" w:cs="Arial"/>
                <w:sz w:val="24"/>
                <w:szCs w:val="24"/>
                <w:lang w:eastAsia="en-GB"/>
              </w:rPr>
            </w:pPr>
            <w:r w:rsidRPr="00B568F3">
              <w:rPr>
                <w:rFonts w:ascii="Arial" w:eastAsia="Calibri" w:hAnsi="Arial" w:cs="Arial"/>
                <w:sz w:val="24"/>
                <w:szCs w:val="24"/>
                <w:lang w:eastAsia="en-GB"/>
              </w:rPr>
              <w:t>-</w:t>
            </w:r>
            <w:r w:rsidR="0043103D">
              <w:rPr>
                <w:rFonts w:ascii="Arial" w:eastAsia="Calibri" w:hAnsi="Arial" w:cs="Arial"/>
                <w:sz w:val="24"/>
                <w:szCs w:val="24"/>
                <w:lang w:eastAsia="en-GB"/>
              </w:rPr>
              <w:t>32.0</w:t>
            </w:r>
            <w:r w:rsidRPr="00B568F3">
              <w:rPr>
                <w:rFonts w:ascii="Arial" w:eastAsia="Calibri" w:hAnsi="Arial" w:cs="Arial"/>
                <w:sz w:val="24"/>
                <w:szCs w:val="24"/>
                <w:lang w:eastAsia="en-GB"/>
              </w:rPr>
              <w:t>%</w:t>
            </w:r>
          </w:p>
        </w:tc>
        <w:tc>
          <w:tcPr>
            <w:tcW w:w="1257" w:type="dxa"/>
            <w:vAlign w:val="center"/>
          </w:tcPr>
          <w:p w14:paraId="5D5DB582" w14:textId="6CB468D6" w:rsidR="00D313BB" w:rsidRPr="00B568F3" w:rsidRDefault="00706095"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2,486</w:t>
            </w:r>
          </w:p>
        </w:tc>
        <w:tc>
          <w:tcPr>
            <w:tcW w:w="1578" w:type="dxa"/>
            <w:vAlign w:val="center"/>
          </w:tcPr>
          <w:p w14:paraId="13039F97" w14:textId="291EA8D3" w:rsidR="00D313BB" w:rsidRPr="00B568F3" w:rsidRDefault="00D35291"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w:t>
            </w:r>
            <w:r w:rsidR="00E670E9">
              <w:rPr>
                <w:rFonts w:ascii="Arial" w:eastAsia="Calibri" w:hAnsi="Arial" w:cs="Arial"/>
                <w:sz w:val="24"/>
                <w:szCs w:val="24"/>
                <w:lang w:eastAsia="en-GB"/>
              </w:rPr>
              <w:t>31.6</w:t>
            </w:r>
            <w:r w:rsidR="003027B8" w:rsidRPr="00B568F3">
              <w:rPr>
                <w:rFonts w:ascii="Arial" w:eastAsia="Calibri" w:hAnsi="Arial" w:cs="Arial"/>
                <w:sz w:val="24"/>
                <w:szCs w:val="24"/>
                <w:lang w:eastAsia="en-GB"/>
              </w:rPr>
              <w:t>%</w:t>
            </w:r>
          </w:p>
        </w:tc>
      </w:tr>
      <w:tr w:rsidR="00D313BB" w:rsidRPr="00B568F3" w14:paraId="4D8D2CD6" w14:textId="68F1551D" w:rsidTr="005369AF">
        <w:tc>
          <w:tcPr>
            <w:tcW w:w="3628" w:type="dxa"/>
          </w:tcPr>
          <w:p w14:paraId="4E43B1F2" w14:textId="02E1E9E0" w:rsidR="00D313BB" w:rsidRPr="00B568F3" w:rsidRDefault="00D313BB" w:rsidP="002D1B1F">
            <w:pPr>
              <w:spacing w:after="200" w:line="276" w:lineRule="auto"/>
              <w:contextualSpacing/>
              <w:rPr>
                <w:rFonts w:ascii="Arial" w:eastAsia="Calibri" w:hAnsi="Arial" w:cs="Arial"/>
                <w:b/>
                <w:bCs/>
                <w:sz w:val="24"/>
                <w:szCs w:val="24"/>
                <w:lang w:eastAsia="en-GB"/>
              </w:rPr>
            </w:pPr>
            <w:r w:rsidRPr="00B568F3">
              <w:rPr>
                <w:rFonts w:ascii="Arial" w:eastAsia="Calibri" w:hAnsi="Arial" w:cs="Arial"/>
                <w:b/>
                <w:bCs/>
                <w:sz w:val="24"/>
                <w:szCs w:val="24"/>
                <w:lang w:eastAsia="en-GB"/>
              </w:rPr>
              <w:t>Numbers achieving</w:t>
            </w:r>
          </w:p>
        </w:tc>
        <w:tc>
          <w:tcPr>
            <w:tcW w:w="1257" w:type="dxa"/>
            <w:vAlign w:val="center"/>
          </w:tcPr>
          <w:p w14:paraId="160E71F3" w14:textId="0AF7913A" w:rsidR="00D313BB" w:rsidRPr="00B568F3" w:rsidRDefault="009E3C18"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299</w:t>
            </w:r>
          </w:p>
        </w:tc>
        <w:tc>
          <w:tcPr>
            <w:tcW w:w="1578" w:type="dxa"/>
            <w:vAlign w:val="center"/>
          </w:tcPr>
          <w:p w14:paraId="4336335F" w14:textId="7A977C3E" w:rsidR="00D313BB" w:rsidRPr="00B568F3" w:rsidRDefault="00D21583" w:rsidP="00D21583">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+16.8</w:t>
            </w:r>
            <w:r w:rsidR="00B022C2" w:rsidRPr="00B568F3">
              <w:rPr>
                <w:rFonts w:ascii="Arial" w:eastAsia="Calibri" w:hAnsi="Arial" w:cs="Arial"/>
                <w:sz w:val="24"/>
                <w:szCs w:val="24"/>
                <w:lang w:eastAsia="en-GB"/>
              </w:rPr>
              <w:t>%</w:t>
            </w:r>
          </w:p>
        </w:tc>
        <w:tc>
          <w:tcPr>
            <w:tcW w:w="1257" w:type="dxa"/>
            <w:vAlign w:val="center"/>
          </w:tcPr>
          <w:p w14:paraId="115D90EA" w14:textId="52FE0E3C" w:rsidR="00D313BB" w:rsidRPr="00B568F3" w:rsidRDefault="00513D7D"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788</w:t>
            </w:r>
          </w:p>
        </w:tc>
        <w:tc>
          <w:tcPr>
            <w:tcW w:w="1578" w:type="dxa"/>
            <w:vAlign w:val="center"/>
          </w:tcPr>
          <w:p w14:paraId="0D5B2BCE" w14:textId="153D34A8" w:rsidR="00D313BB" w:rsidRPr="00B568F3" w:rsidRDefault="00D35291"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+58.6</w:t>
            </w:r>
            <w:r w:rsidR="003027B8" w:rsidRPr="00B568F3">
              <w:rPr>
                <w:rFonts w:ascii="Arial" w:eastAsia="Calibri" w:hAnsi="Arial" w:cs="Arial"/>
                <w:sz w:val="24"/>
                <w:szCs w:val="24"/>
                <w:lang w:eastAsia="en-GB"/>
              </w:rPr>
              <w:t>%</w:t>
            </w:r>
          </w:p>
        </w:tc>
      </w:tr>
      <w:tr w:rsidR="00D313BB" w:rsidRPr="00B568F3" w14:paraId="161DEC66" w14:textId="6B65BEA6" w:rsidTr="005369AF">
        <w:tc>
          <w:tcPr>
            <w:tcW w:w="3628" w:type="dxa"/>
          </w:tcPr>
          <w:p w14:paraId="3BFDE0B0" w14:textId="2EE7FA39" w:rsidR="00D313BB" w:rsidRPr="00B568F3" w:rsidRDefault="00D313BB" w:rsidP="002D1B1F">
            <w:pPr>
              <w:spacing w:after="200" w:line="276" w:lineRule="auto"/>
              <w:contextualSpacing/>
              <w:rPr>
                <w:rFonts w:ascii="Arial" w:eastAsia="Calibri" w:hAnsi="Arial" w:cs="Arial"/>
                <w:b/>
                <w:bCs/>
                <w:sz w:val="24"/>
                <w:szCs w:val="24"/>
                <w:lang w:eastAsia="en-GB"/>
              </w:rPr>
            </w:pPr>
            <w:r w:rsidRPr="00B568F3">
              <w:rPr>
                <w:rFonts w:ascii="Arial" w:eastAsia="Calibri" w:hAnsi="Arial" w:cs="Arial"/>
                <w:b/>
                <w:bCs/>
                <w:sz w:val="24"/>
                <w:szCs w:val="24"/>
                <w:lang w:eastAsia="en-GB"/>
              </w:rPr>
              <w:t>Numbers withdrawing</w:t>
            </w:r>
          </w:p>
        </w:tc>
        <w:tc>
          <w:tcPr>
            <w:tcW w:w="1257" w:type="dxa"/>
            <w:vAlign w:val="center"/>
          </w:tcPr>
          <w:p w14:paraId="15A19CB4" w14:textId="33B0527A" w:rsidR="00D313BB" w:rsidRPr="00B568F3" w:rsidRDefault="009E3C18"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40</w:t>
            </w:r>
          </w:p>
        </w:tc>
        <w:tc>
          <w:tcPr>
            <w:tcW w:w="1578" w:type="dxa"/>
            <w:vAlign w:val="center"/>
          </w:tcPr>
          <w:p w14:paraId="740553EB" w14:textId="424695E8" w:rsidR="00D313BB" w:rsidRPr="00B568F3" w:rsidRDefault="00C547AE"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-50.0%</w:t>
            </w:r>
            <w:r w:rsidR="003027B8" w:rsidRPr="00B568F3">
              <w:rPr>
                <w:rFonts w:ascii="Arial" w:eastAsia="Calibri" w:hAnsi="Arial" w:cs="Arial"/>
                <w:sz w:val="24"/>
                <w:szCs w:val="24"/>
                <w:lang w:eastAsia="en-GB"/>
              </w:rPr>
              <w:t>%</w:t>
            </w:r>
          </w:p>
        </w:tc>
        <w:tc>
          <w:tcPr>
            <w:tcW w:w="1257" w:type="dxa"/>
            <w:vAlign w:val="center"/>
          </w:tcPr>
          <w:p w14:paraId="0B7156DC" w14:textId="272D5921" w:rsidR="00D313BB" w:rsidRPr="00B568F3" w:rsidRDefault="00513D7D"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97</w:t>
            </w:r>
          </w:p>
        </w:tc>
        <w:tc>
          <w:tcPr>
            <w:tcW w:w="1578" w:type="dxa"/>
            <w:vAlign w:val="center"/>
          </w:tcPr>
          <w:p w14:paraId="394FE23D" w14:textId="0CB55936" w:rsidR="00D313BB" w:rsidRPr="00B568F3" w:rsidRDefault="00F40ED2"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-53.4</w:t>
            </w:r>
            <w:r w:rsidR="003027B8" w:rsidRPr="00B568F3">
              <w:rPr>
                <w:rFonts w:ascii="Arial" w:eastAsia="Calibri" w:hAnsi="Arial" w:cs="Arial"/>
                <w:sz w:val="24"/>
                <w:szCs w:val="24"/>
                <w:lang w:eastAsia="en-GB"/>
              </w:rPr>
              <w:t>%</w:t>
            </w:r>
          </w:p>
        </w:tc>
      </w:tr>
      <w:tr w:rsidR="00D313BB" w:rsidRPr="00B568F3" w14:paraId="27C264B2" w14:textId="1687445E" w:rsidTr="005369AF">
        <w:tc>
          <w:tcPr>
            <w:tcW w:w="3628" w:type="dxa"/>
          </w:tcPr>
          <w:p w14:paraId="1502BA8E" w14:textId="5B9137E2" w:rsidR="00D313BB" w:rsidRPr="00B568F3" w:rsidRDefault="00D313BB" w:rsidP="002D1B1F">
            <w:pPr>
              <w:spacing w:after="200" w:line="276" w:lineRule="auto"/>
              <w:contextualSpacing/>
              <w:rPr>
                <w:rFonts w:ascii="Arial" w:eastAsia="Calibri" w:hAnsi="Arial" w:cs="Arial"/>
                <w:b/>
                <w:bCs/>
                <w:sz w:val="24"/>
                <w:szCs w:val="24"/>
                <w:lang w:eastAsia="en-GB"/>
              </w:rPr>
            </w:pPr>
            <w:r w:rsidRPr="00B568F3">
              <w:rPr>
                <w:rFonts w:ascii="Arial" w:eastAsia="Calibri" w:hAnsi="Arial" w:cs="Arial"/>
                <w:b/>
                <w:bCs/>
                <w:sz w:val="24"/>
                <w:szCs w:val="24"/>
                <w:lang w:eastAsia="en-GB"/>
              </w:rPr>
              <w:t>Numbers carrying forward</w:t>
            </w:r>
          </w:p>
        </w:tc>
        <w:tc>
          <w:tcPr>
            <w:tcW w:w="1257" w:type="dxa"/>
            <w:vAlign w:val="center"/>
          </w:tcPr>
          <w:p w14:paraId="24BBA797" w14:textId="001D3A8E" w:rsidR="00D313BB" w:rsidRPr="00B568F3" w:rsidRDefault="009E3C18"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191</w:t>
            </w:r>
          </w:p>
        </w:tc>
        <w:tc>
          <w:tcPr>
            <w:tcW w:w="1578" w:type="dxa"/>
            <w:vAlign w:val="center"/>
          </w:tcPr>
          <w:p w14:paraId="4E1902B4" w14:textId="45819864" w:rsidR="00D313BB" w:rsidRPr="00B568F3" w:rsidRDefault="00493239"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-56.9%</w:t>
            </w:r>
            <w:r w:rsidR="003027B8" w:rsidRPr="00B568F3">
              <w:rPr>
                <w:rFonts w:ascii="Arial" w:eastAsia="Calibri" w:hAnsi="Arial" w:cs="Arial"/>
                <w:sz w:val="24"/>
                <w:szCs w:val="24"/>
                <w:lang w:eastAsia="en-GB"/>
              </w:rPr>
              <w:t>%</w:t>
            </w:r>
          </w:p>
        </w:tc>
        <w:tc>
          <w:tcPr>
            <w:tcW w:w="1257" w:type="dxa"/>
            <w:vAlign w:val="center"/>
          </w:tcPr>
          <w:p w14:paraId="30898BBB" w14:textId="66685557" w:rsidR="00D313BB" w:rsidRPr="00B568F3" w:rsidRDefault="00921536" w:rsidP="0032616D">
            <w:pPr>
              <w:spacing w:after="200" w:line="276" w:lineRule="auto"/>
              <w:contextualSpacing/>
              <w:jc w:val="center"/>
              <w:rPr>
                <w:rFonts w:ascii="Arial" w:eastAsia="Calibri" w:hAnsi="Arial" w:cs="Arial"/>
                <w:sz w:val="24"/>
                <w:szCs w:val="24"/>
                <w:lang w:eastAsia="en-GB"/>
              </w:rPr>
            </w:pPr>
            <w:r w:rsidRPr="00B568F3">
              <w:rPr>
                <w:rFonts w:ascii="Arial" w:eastAsia="Calibri" w:hAnsi="Arial" w:cs="Arial"/>
                <w:sz w:val="24"/>
                <w:szCs w:val="24"/>
                <w:lang w:eastAsia="en-GB"/>
              </w:rPr>
              <w:t>1,</w:t>
            </w:r>
            <w:r w:rsidR="00D00E8B">
              <w:rPr>
                <w:rFonts w:ascii="Arial" w:eastAsia="Calibri" w:hAnsi="Arial" w:cs="Arial"/>
                <w:sz w:val="24"/>
                <w:szCs w:val="24"/>
                <w:lang w:eastAsia="en-GB"/>
              </w:rPr>
              <w:t>601</w:t>
            </w:r>
          </w:p>
        </w:tc>
        <w:tc>
          <w:tcPr>
            <w:tcW w:w="1578" w:type="dxa"/>
            <w:vAlign w:val="center"/>
          </w:tcPr>
          <w:p w14:paraId="5E567934" w14:textId="792C7385" w:rsidR="00D313BB" w:rsidRPr="00B568F3" w:rsidRDefault="005576A5" w:rsidP="0032616D">
            <w:pPr>
              <w:spacing w:after="200" w:line="276" w:lineRule="auto"/>
              <w:contextualSpacing/>
              <w:jc w:val="center"/>
              <w:rPr>
                <w:rFonts w:ascii="Arial" w:eastAsia="Calibri" w:hAnsi="Arial" w:cs="Arial"/>
                <w:sz w:val="24"/>
                <w:szCs w:val="24"/>
                <w:lang w:eastAsia="en-GB"/>
              </w:rPr>
            </w:pPr>
            <w:r>
              <w:rPr>
                <w:rFonts w:ascii="Arial" w:eastAsia="Calibri" w:hAnsi="Arial" w:cs="Arial"/>
                <w:sz w:val="24"/>
                <w:szCs w:val="24"/>
                <w:lang w:eastAsia="en-GB"/>
              </w:rPr>
              <w:t>+35.2</w:t>
            </w:r>
            <w:r w:rsidR="003027B8" w:rsidRPr="00B568F3">
              <w:rPr>
                <w:rFonts w:ascii="Arial" w:eastAsia="Calibri" w:hAnsi="Arial" w:cs="Arial"/>
                <w:sz w:val="24"/>
                <w:szCs w:val="24"/>
                <w:lang w:eastAsia="en-GB"/>
              </w:rPr>
              <w:t>%</w:t>
            </w:r>
          </w:p>
        </w:tc>
      </w:tr>
    </w:tbl>
    <w:p w14:paraId="7CD21666" w14:textId="306013A5" w:rsidR="0012567B" w:rsidRPr="000C06A7" w:rsidRDefault="00AD236F" w:rsidP="005369AF">
      <w:pPr>
        <w:spacing w:after="0"/>
        <w:jc w:val="right"/>
        <w:rPr>
          <w:rFonts w:ascii="Arial" w:hAnsi="Arial" w:cs="Arial"/>
          <w:i/>
          <w:iCs/>
        </w:rPr>
      </w:pPr>
      <w:r w:rsidRPr="000C06A7">
        <w:rPr>
          <w:rFonts w:ascii="Arial" w:hAnsi="Arial" w:cs="Arial"/>
          <w:i/>
          <w:iCs/>
        </w:rPr>
        <w:t xml:space="preserve">Number on programme = </w:t>
      </w:r>
      <w:r w:rsidR="00B74364" w:rsidRPr="000C06A7">
        <w:rPr>
          <w:rFonts w:ascii="Arial" w:hAnsi="Arial" w:cs="Arial"/>
          <w:i/>
          <w:iCs/>
        </w:rPr>
        <w:t xml:space="preserve">Number on programme on </w:t>
      </w:r>
      <w:r w:rsidR="009149EF" w:rsidRPr="000C06A7">
        <w:rPr>
          <w:rFonts w:ascii="Arial" w:hAnsi="Arial" w:cs="Arial"/>
          <w:i/>
          <w:iCs/>
        </w:rPr>
        <w:t xml:space="preserve">1 </w:t>
      </w:r>
      <w:r w:rsidR="00B74364" w:rsidRPr="000C06A7">
        <w:rPr>
          <w:rFonts w:ascii="Arial" w:hAnsi="Arial" w:cs="Arial"/>
          <w:i/>
          <w:iCs/>
        </w:rPr>
        <w:t>Apri</w:t>
      </w:r>
      <w:r w:rsidR="007815AE">
        <w:rPr>
          <w:rFonts w:ascii="Arial" w:hAnsi="Arial" w:cs="Arial"/>
          <w:i/>
          <w:iCs/>
        </w:rPr>
        <w:t>l</w:t>
      </w:r>
      <w:r w:rsidR="00B74364" w:rsidRPr="000C06A7">
        <w:rPr>
          <w:rFonts w:ascii="Arial" w:hAnsi="Arial" w:cs="Arial"/>
          <w:i/>
          <w:iCs/>
        </w:rPr>
        <w:t xml:space="preserve"> and enrolled during the year</w:t>
      </w:r>
    </w:p>
    <w:p w14:paraId="624AE0EC" w14:textId="77777777" w:rsidR="002D3454" w:rsidRPr="000C06A7" w:rsidRDefault="002D3454" w:rsidP="00C92ECE">
      <w:pPr>
        <w:rPr>
          <w:rFonts w:ascii="Arial" w:hAnsi="Arial" w:cs="Arial"/>
          <w:i/>
          <w:iCs/>
        </w:rPr>
      </w:pPr>
    </w:p>
    <w:p w14:paraId="45F6D43B" w14:textId="77777777" w:rsidR="002D3454" w:rsidRPr="000C06A7" w:rsidRDefault="002D3454" w:rsidP="002D3454">
      <w:pPr>
        <w:jc w:val="right"/>
        <w:rPr>
          <w:rFonts w:ascii="Arial" w:hAnsi="Arial" w:cs="Arial"/>
          <w:i/>
          <w:iCs/>
        </w:rPr>
      </w:pPr>
    </w:p>
    <w:p w14:paraId="374E353B" w14:textId="77777777" w:rsidR="00C2532E" w:rsidRDefault="00C2532E" w:rsidP="002D3454">
      <w:pPr>
        <w:jc w:val="right"/>
        <w:rPr>
          <w:rFonts w:ascii="Arial" w:hAnsi="Arial" w:cs="Arial"/>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D1B1F" w:rsidRPr="00B568F3" w14:paraId="2AFCFE9D" w14:textId="77777777" w:rsidTr="00456981">
        <w:tc>
          <w:tcPr>
            <w:tcW w:w="9026" w:type="dxa"/>
          </w:tcPr>
          <w:p w14:paraId="3CE357BE" w14:textId="51F49D0B" w:rsidR="002D1B1F" w:rsidRDefault="002D1B1F" w:rsidP="00FC716F">
            <w:pPr>
              <w:contextualSpacing/>
              <w:rPr>
                <w:rFonts w:ascii="Arial" w:eastAsia="Calibri" w:hAnsi="Arial" w:cs="Arial"/>
                <w:b/>
                <w:bCs/>
                <w:sz w:val="24"/>
                <w:szCs w:val="24"/>
              </w:rPr>
            </w:pPr>
            <w:r w:rsidRPr="00391132">
              <w:rPr>
                <w:rFonts w:ascii="Arial" w:eastAsia="Calibri" w:hAnsi="Arial" w:cs="Arial"/>
                <w:b/>
                <w:bCs/>
                <w:sz w:val="24"/>
                <w:szCs w:val="24"/>
              </w:rPr>
              <w:t xml:space="preserve">Figure </w:t>
            </w:r>
            <w:r w:rsidR="00365ADA" w:rsidRPr="00391132">
              <w:rPr>
                <w:rFonts w:ascii="Arial" w:eastAsia="Calibri" w:hAnsi="Arial" w:cs="Arial"/>
                <w:b/>
                <w:bCs/>
                <w:sz w:val="24"/>
                <w:szCs w:val="24"/>
              </w:rPr>
              <w:t>1</w:t>
            </w:r>
            <w:r w:rsidR="00365ADA">
              <w:rPr>
                <w:rFonts w:ascii="Arial" w:eastAsia="Calibri" w:hAnsi="Arial" w:cs="Arial"/>
                <w:b/>
                <w:bCs/>
                <w:sz w:val="24"/>
                <w:szCs w:val="24"/>
              </w:rPr>
              <w:t>1</w:t>
            </w:r>
            <w:r w:rsidRPr="00391132">
              <w:rPr>
                <w:rFonts w:ascii="Arial" w:eastAsia="Calibri" w:hAnsi="Arial" w:cs="Arial"/>
                <w:b/>
                <w:bCs/>
                <w:sz w:val="24"/>
                <w:szCs w:val="24"/>
              </w:rPr>
              <w:t xml:space="preserve">: </w:t>
            </w:r>
            <w:r w:rsidR="00513153" w:rsidRPr="00391132">
              <w:rPr>
                <w:rFonts w:ascii="Arial" w:eastAsia="Calibri" w:hAnsi="Arial" w:cs="Arial"/>
                <w:b/>
                <w:bCs/>
                <w:sz w:val="24"/>
                <w:szCs w:val="24"/>
              </w:rPr>
              <w:t xml:space="preserve">Number of people on </w:t>
            </w:r>
            <w:r w:rsidR="00FC434B" w:rsidRPr="00391132">
              <w:rPr>
                <w:rFonts w:ascii="Arial" w:eastAsia="Calibri" w:hAnsi="Arial" w:cs="Arial"/>
                <w:b/>
                <w:bCs/>
                <w:sz w:val="24"/>
                <w:szCs w:val="24"/>
              </w:rPr>
              <w:t>v</w:t>
            </w:r>
            <w:r w:rsidRPr="00391132">
              <w:rPr>
                <w:rFonts w:ascii="Arial" w:eastAsia="Calibri" w:hAnsi="Arial" w:cs="Arial"/>
                <w:b/>
                <w:bCs/>
                <w:sz w:val="24"/>
                <w:szCs w:val="24"/>
              </w:rPr>
              <w:t xml:space="preserve">ocational awards and AWIF </w:t>
            </w:r>
            <w:r w:rsidR="00FC434B" w:rsidRPr="00391132">
              <w:rPr>
                <w:rFonts w:ascii="Arial" w:eastAsia="Calibri" w:hAnsi="Arial" w:cs="Arial"/>
                <w:b/>
                <w:bCs/>
                <w:sz w:val="24"/>
                <w:szCs w:val="24"/>
              </w:rPr>
              <w:t>programmes</w:t>
            </w:r>
            <w:r w:rsidRPr="00391132">
              <w:rPr>
                <w:rFonts w:ascii="Arial" w:eastAsia="Calibri" w:hAnsi="Arial" w:cs="Arial"/>
                <w:b/>
                <w:bCs/>
                <w:sz w:val="24"/>
                <w:szCs w:val="24"/>
              </w:rPr>
              <w:t xml:space="preserve">, </w:t>
            </w:r>
            <w:r w:rsidR="009149EF" w:rsidRPr="00391132">
              <w:rPr>
                <w:rFonts w:ascii="Arial" w:eastAsia="Calibri" w:hAnsi="Arial" w:cs="Arial"/>
                <w:b/>
                <w:bCs/>
                <w:sz w:val="24"/>
                <w:szCs w:val="24"/>
              </w:rPr>
              <w:t xml:space="preserve">the </w:t>
            </w:r>
            <w:r w:rsidRPr="00391132">
              <w:rPr>
                <w:rFonts w:ascii="Arial" w:eastAsia="Calibri" w:hAnsi="Arial" w:cs="Arial"/>
                <w:b/>
                <w:bCs/>
                <w:sz w:val="24"/>
                <w:szCs w:val="24"/>
              </w:rPr>
              <w:t>three</w:t>
            </w:r>
            <w:r w:rsidR="004A4ED5" w:rsidRPr="00391132">
              <w:rPr>
                <w:rFonts w:ascii="Arial" w:eastAsia="Calibri" w:hAnsi="Arial" w:cs="Arial"/>
                <w:b/>
                <w:bCs/>
                <w:sz w:val="24"/>
                <w:szCs w:val="24"/>
              </w:rPr>
              <w:t>-</w:t>
            </w:r>
            <w:r w:rsidRPr="00391132">
              <w:rPr>
                <w:rFonts w:ascii="Arial" w:eastAsia="Calibri" w:hAnsi="Arial" w:cs="Arial"/>
                <w:b/>
                <w:bCs/>
                <w:sz w:val="24"/>
                <w:szCs w:val="24"/>
              </w:rPr>
              <w:t>year trend</w:t>
            </w:r>
            <w:r w:rsidRPr="00B568F3">
              <w:rPr>
                <w:rFonts w:ascii="Arial" w:eastAsia="Calibri" w:hAnsi="Arial" w:cs="Arial"/>
                <w:b/>
                <w:bCs/>
                <w:sz w:val="24"/>
                <w:szCs w:val="24"/>
              </w:rPr>
              <w:t xml:space="preserve"> </w:t>
            </w:r>
          </w:p>
          <w:p w14:paraId="513D1207" w14:textId="2CD7EF89" w:rsidR="002404EE" w:rsidRPr="00B568F3" w:rsidRDefault="00456981" w:rsidP="00FC716F">
            <w:pPr>
              <w:contextualSpacing/>
              <w:rPr>
                <w:rFonts w:ascii="Arial" w:eastAsia="Calibri" w:hAnsi="Arial" w:cs="Arial"/>
                <w:b/>
                <w:bCs/>
                <w:sz w:val="24"/>
                <w:szCs w:val="24"/>
              </w:rPr>
            </w:pPr>
            <w:r>
              <w:rPr>
                <w:noProof/>
              </w:rPr>
              <w:drawing>
                <wp:inline distT="0" distB="0" distL="0" distR="0" wp14:anchorId="2B1CA4BB" wp14:editId="0F89739A">
                  <wp:extent cx="5731510" cy="4229100"/>
                  <wp:effectExtent l="0" t="0" r="2540" b="0"/>
                  <wp:docPr id="1006236932" name="Chart 1" descr="bar graph showing number of people on vocational awards and AWIF programmes">
                    <a:extLst xmlns:a="http://schemas.openxmlformats.org/drawingml/2006/main">
                      <a:ext uri="{FF2B5EF4-FFF2-40B4-BE49-F238E27FC236}">
                        <a16:creationId xmlns:a16="http://schemas.microsoft.com/office/drawing/2014/main" id="{6F90FC1F-14CE-4F4C-AAC5-40252311E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8A9F3DB" w14:textId="77777777" w:rsidR="002D1B1F" w:rsidRPr="00B568F3" w:rsidRDefault="002D1B1F" w:rsidP="00FC716F">
            <w:pPr>
              <w:spacing w:before="120" w:after="120"/>
              <w:contextualSpacing/>
              <w:rPr>
                <w:rFonts w:ascii="Arial" w:eastAsia="Calibri" w:hAnsi="Arial" w:cs="Arial"/>
                <w:b/>
                <w:bCs/>
                <w:color w:val="FF0000"/>
                <w:sz w:val="24"/>
                <w:szCs w:val="24"/>
              </w:rPr>
            </w:pPr>
          </w:p>
        </w:tc>
      </w:tr>
      <w:tr w:rsidR="002D1B1F" w:rsidRPr="00B568F3" w14:paraId="645958E1" w14:textId="77777777" w:rsidTr="4BA15C28">
        <w:tc>
          <w:tcPr>
            <w:tcW w:w="9026" w:type="dxa"/>
          </w:tcPr>
          <w:p w14:paraId="4F8D60B9" w14:textId="77777777" w:rsidR="002D1B1F" w:rsidRDefault="002D1B1F" w:rsidP="00FC716F">
            <w:pPr>
              <w:contextualSpacing/>
              <w:rPr>
                <w:rFonts w:ascii="Arial" w:eastAsia="Calibri" w:hAnsi="Arial" w:cs="Arial"/>
                <w:color w:val="FF0000"/>
                <w:sz w:val="24"/>
                <w:szCs w:val="24"/>
              </w:rPr>
            </w:pPr>
          </w:p>
          <w:p w14:paraId="4E9C6E96" w14:textId="77777777" w:rsidR="0086431B" w:rsidRDefault="0086431B" w:rsidP="00FC716F">
            <w:pPr>
              <w:contextualSpacing/>
              <w:rPr>
                <w:rFonts w:ascii="Arial" w:eastAsia="Calibri" w:hAnsi="Arial" w:cs="Arial"/>
                <w:color w:val="FF0000"/>
                <w:sz w:val="24"/>
                <w:szCs w:val="24"/>
              </w:rPr>
            </w:pPr>
          </w:p>
          <w:p w14:paraId="24BF4A0F" w14:textId="77777777" w:rsidR="0086431B" w:rsidRDefault="0086431B" w:rsidP="00FC716F">
            <w:pPr>
              <w:contextualSpacing/>
              <w:rPr>
                <w:rFonts w:ascii="Arial" w:eastAsia="Calibri" w:hAnsi="Arial" w:cs="Arial"/>
                <w:color w:val="FF0000"/>
                <w:sz w:val="24"/>
                <w:szCs w:val="24"/>
              </w:rPr>
            </w:pPr>
          </w:p>
          <w:p w14:paraId="46C08FCC" w14:textId="12338945" w:rsidR="0086431B" w:rsidRPr="00B568F3" w:rsidRDefault="0086431B" w:rsidP="00FC716F">
            <w:pPr>
              <w:contextualSpacing/>
              <w:rPr>
                <w:rFonts w:ascii="Arial" w:eastAsia="Calibri" w:hAnsi="Arial" w:cs="Arial"/>
                <w:color w:val="FF0000"/>
                <w:sz w:val="24"/>
                <w:szCs w:val="24"/>
              </w:rPr>
            </w:pPr>
          </w:p>
        </w:tc>
      </w:tr>
    </w:tbl>
    <w:p w14:paraId="4AE70D3B" w14:textId="77777777" w:rsidR="00C43F96" w:rsidRDefault="00C43F96" w:rsidP="000C06A7">
      <w:pPr>
        <w:pStyle w:val="Heading3"/>
        <w:rPr>
          <w:lang w:eastAsia="en-GB"/>
        </w:rPr>
      </w:pPr>
      <w:bookmarkStart w:id="27" w:name="_Toc210987768"/>
      <w:bookmarkStart w:id="28" w:name="_Toc211279621"/>
    </w:p>
    <w:p w14:paraId="41F02936" w14:textId="77777777" w:rsidR="00C43F96" w:rsidRDefault="00C43F96">
      <w:pPr>
        <w:rPr>
          <w:rFonts w:ascii="Arial" w:eastAsiaTheme="majorEastAsia" w:hAnsi="Arial" w:cs="Arial"/>
          <w:b/>
          <w:color w:val="000000" w:themeColor="text1"/>
          <w:sz w:val="28"/>
          <w:szCs w:val="28"/>
          <w:lang w:eastAsia="en-GB"/>
        </w:rPr>
      </w:pPr>
      <w:r>
        <w:rPr>
          <w:lang w:eastAsia="en-GB"/>
        </w:rPr>
        <w:br w:type="page"/>
      </w:r>
    </w:p>
    <w:p w14:paraId="4D1EFF86" w14:textId="1CF36ED9" w:rsidR="002D1B1F" w:rsidRPr="000C06A7" w:rsidRDefault="002D1B1F" w:rsidP="000C06A7">
      <w:pPr>
        <w:pStyle w:val="Heading3"/>
        <w:rPr>
          <w:lang w:eastAsia="en-GB"/>
        </w:rPr>
      </w:pPr>
      <w:r w:rsidRPr="000C06A7">
        <w:rPr>
          <w:lang w:eastAsia="en-GB"/>
        </w:rPr>
        <w:lastRenderedPageBreak/>
        <w:t>Social work</w:t>
      </w:r>
      <w:bookmarkEnd w:id="27"/>
      <w:bookmarkEnd w:id="28"/>
    </w:p>
    <w:p w14:paraId="4DEE5106" w14:textId="139C8EE6" w:rsidR="004B3D66" w:rsidRPr="00BB471B" w:rsidRDefault="00727EDE" w:rsidP="008578B5">
      <w:pPr>
        <w:rPr>
          <w:rFonts w:ascii="Arial" w:eastAsia="Calibri" w:hAnsi="Arial" w:cs="Arial"/>
          <w:sz w:val="24"/>
          <w:szCs w:val="24"/>
        </w:rPr>
      </w:pPr>
      <w:r>
        <w:rPr>
          <w:rFonts w:ascii="Arial" w:eastAsia="Calibri" w:hAnsi="Arial" w:cs="Arial"/>
          <w:sz w:val="24"/>
          <w:szCs w:val="24"/>
        </w:rPr>
        <w:br/>
      </w:r>
      <w:r w:rsidR="004B3D66" w:rsidRPr="00BB471B">
        <w:rPr>
          <w:rFonts w:ascii="Arial" w:eastAsia="Calibri" w:hAnsi="Arial" w:cs="Arial"/>
          <w:sz w:val="24"/>
          <w:szCs w:val="24"/>
        </w:rPr>
        <w:t xml:space="preserve">Social work qualifying </w:t>
      </w:r>
      <w:r w:rsidR="00040D76" w:rsidRPr="00BB471B">
        <w:rPr>
          <w:rFonts w:ascii="Arial" w:eastAsia="Calibri" w:hAnsi="Arial" w:cs="Arial"/>
          <w:sz w:val="24"/>
          <w:szCs w:val="24"/>
        </w:rPr>
        <w:t>awards</w:t>
      </w:r>
      <w:r w:rsidR="006B69B1">
        <w:rPr>
          <w:rFonts w:ascii="Arial" w:eastAsia="Calibri" w:hAnsi="Arial" w:cs="Arial"/>
          <w:sz w:val="24"/>
          <w:szCs w:val="24"/>
        </w:rPr>
        <w:t>.</w:t>
      </w:r>
    </w:p>
    <w:p w14:paraId="1C07E844" w14:textId="5D8F3390" w:rsidR="00F04E95" w:rsidRPr="00B568F3" w:rsidRDefault="00E77B7E" w:rsidP="00632461">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Ta</w:t>
      </w:r>
      <w:r w:rsidR="005C6981" w:rsidRPr="00B568F3">
        <w:rPr>
          <w:rFonts w:ascii="Arial" w:eastAsia="Calibri" w:hAnsi="Arial" w:cs="Arial"/>
          <w:sz w:val="24"/>
          <w:szCs w:val="24"/>
          <w:lang w:eastAsia="en-GB"/>
        </w:rPr>
        <w:t xml:space="preserve">ble </w:t>
      </w:r>
      <w:r w:rsidR="007D408C">
        <w:rPr>
          <w:rFonts w:ascii="Arial" w:eastAsia="Calibri" w:hAnsi="Arial" w:cs="Arial"/>
          <w:sz w:val="24"/>
          <w:szCs w:val="24"/>
          <w:lang w:eastAsia="en-GB"/>
        </w:rPr>
        <w:t>10</w:t>
      </w:r>
      <w:r w:rsidR="007D408C" w:rsidRPr="00B568F3">
        <w:rPr>
          <w:rFonts w:ascii="Arial" w:eastAsia="Calibri" w:hAnsi="Arial" w:cs="Arial"/>
          <w:sz w:val="24"/>
          <w:szCs w:val="24"/>
          <w:lang w:eastAsia="en-GB"/>
        </w:rPr>
        <w:t xml:space="preserve"> </w:t>
      </w:r>
      <w:r w:rsidR="00173678" w:rsidRPr="00B568F3">
        <w:rPr>
          <w:rFonts w:ascii="Arial" w:eastAsia="Calibri" w:hAnsi="Arial" w:cs="Arial"/>
          <w:sz w:val="24"/>
          <w:szCs w:val="24"/>
          <w:lang w:eastAsia="en-GB"/>
        </w:rPr>
        <w:t>shows the three</w:t>
      </w:r>
      <w:r w:rsidR="00E074F2" w:rsidRPr="00B568F3">
        <w:rPr>
          <w:rFonts w:ascii="Arial" w:eastAsia="Calibri" w:hAnsi="Arial" w:cs="Arial"/>
          <w:sz w:val="24"/>
          <w:szCs w:val="24"/>
          <w:lang w:eastAsia="en-GB"/>
        </w:rPr>
        <w:t>-</w:t>
      </w:r>
      <w:r w:rsidR="00173678" w:rsidRPr="00B568F3">
        <w:rPr>
          <w:rFonts w:ascii="Arial" w:eastAsia="Calibri" w:hAnsi="Arial" w:cs="Arial"/>
          <w:sz w:val="24"/>
          <w:szCs w:val="24"/>
          <w:lang w:eastAsia="en-GB"/>
        </w:rPr>
        <w:t xml:space="preserve">year trend </w:t>
      </w:r>
      <w:r w:rsidR="00A33DCB">
        <w:rPr>
          <w:rFonts w:ascii="Arial" w:eastAsia="Calibri" w:hAnsi="Arial" w:cs="Arial"/>
          <w:sz w:val="24"/>
          <w:szCs w:val="24"/>
          <w:lang w:eastAsia="en-GB"/>
        </w:rPr>
        <w:t xml:space="preserve">in </w:t>
      </w:r>
      <w:r w:rsidR="00F04E95" w:rsidRPr="00B568F3">
        <w:rPr>
          <w:rFonts w:ascii="Arial" w:eastAsia="Calibri" w:hAnsi="Arial" w:cs="Arial"/>
          <w:sz w:val="24"/>
          <w:szCs w:val="24"/>
          <w:lang w:eastAsia="en-GB"/>
        </w:rPr>
        <w:t>routes into social work qualifying awards</w:t>
      </w:r>
      <w:r w:rsidR="008861D5">
        <w:rPr>
          <w:rFonts w:ascii="Arial" w:eastAsia="Calibri" w:hAnsi="Arial" w:cs="Arial"/>
          <w:sz w:val="24"/>
          <w:szCs w:val="24"/>
          <w:lang w:eastAsia="en-GB"/>
        </w:rPr>
        <w:t xml:space="preserve">, as reported by the regions </w:t>
      </w:r>
      <w:r w:rsidR="00A33DCB">
        <w:rPr>
          <w:rFonts w:ascii="Arial" w:eastAsia="Calibri" w:hAnsi="Arial" w:cs="Arial"/>
          <w:sz w:val="24"/>
          <w:szCs w:val="24"/>
          <w:lang w:eastAsia="en-GB"/>
        </w:rPr>
        <w:t xml:space="preserve">in their </w:t>
      </w:r>
      <w:r w:rsidR="00844B9D">
        <w:rPr>
          <w:rFonts w:ascii="Arial" w:eastAsia="Calibri" w:hAnsi="Arial" w:cs="Arial"/>
          <w:sz w:val="24"/>
          <w:szCs w:val="24"/>
          <w:lang w:eastAsia="en-GB"/>
        </w:rPr>
        <w:t>end-of-year returns</w:t>
      </w:r>
      <w:r w:rsidR="00F04E95" w:rsidRPr="00B568F3">
        <w:rPr>
          <w:rFonts w:ascii="Arial" w:eastAsia="Calibri" w:hAnsi="Arial" w:cs="Arial"/>
          <w:sz w:val="24"/>
          <w:szCs w:val="24"/>
          <w:lang w:eastAsia="en-GB"/>
        </w:rPr>
        <w:t>.</w:t>
      </w:r>
    </w:p>
    <w:p w14:paraId="15BC63CF" w14:textId="77777777" w:rsidR="00467408" w:rsidRPr="00B568F3" w:rsidRDefault="00467408" w:rsidP="00467408">
      <w:pPr>
        <w:spacing w:after="200" w:line="276" w:lineRule="auto"/>
        <w:contextualSpacing/>
        <w:rPr>
          <w:rFonts w:ascii="Arial" w:eastAsia="Calibri"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80670" w:rsidRPr="00B568F3" w14:paraId="4C2593FD" w14:textId="77777777" w:rsidTr="00E463DE">
        <w:tc>
          <w:tcPr>
            <w:tcW w:w="9016" w:type="dxa"/>
          </w:tcPr>
          <w:p w14:paraId="718EF610" w14:textId="3670B6AD" w:rsidR="002B5A52" w:rsidRPr="00B568F3" w:rsidRDefault="002B5A52" w:rsidP="002B5A52">
            <w:pPr>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w:t>
            </w:r>
            <w:r w:rsidR="007D408C">
              <w:rPr>
                <w:rFonts w:ascii="Arial" w:eastAsia="Calibri" w:hAnsi="Arial" w:cs="Arial"/>
                <w:b/>
                <w:bCs/>
                <w:sz w:val="24"/>
                <w:szCs w:val="24"/>
                <w:lang w:eastAsia="en-GB"/>
              </w:rPr>
              <w:t>10</w:t>
            </w:r>
            <w:r w:rsidRPr="00B568F3">
              <w:rPr>
                <w:rFonts w:ascii="Arial" w:eastAsia="Calibri" w:hAnsi="Arial" w:cs="Arial"/>
                <w:b/>
                <w:bCs/>
                <w:sz w:val="24"/>
                <w:szCs w:val="24"/>
                <w:lang w:eastAsia="en-GB"/>
              </w:rPr>
              <w:t xml:space="preserve">: Social work students, the </w:t>
            </w:r>
            <w:r w:rsidRPr="00B568F3">
              <w:rPr>
                <w:rFonts w:ascii="Arial" w:eastAsia="Calibri" w:hAnsi="Arial" w:cs="Arial"/>
                <w:b/>
                <w:bCs/>
                <w:sz w:val="24"/>
                <w:szCs w:val="24"/>
              </w:rPr>
              <w:t>three-year trend</w:t>
            </w:r>
          </w:p>
          <w:p w14:paraId="1482BABA" w14:textId="77777777" w:rsidR="002B5A52" w:rsidRPr="00B568F3" w:rsidRDefault="002B5A52" w:rsidP="002B5A52">
            <w:pPr>
              <w:spacing w:after="200" w:line="276" w:lineRule="auto"/>
              <w:contextualSpacing/>
              <w:rPr>
                <w:rFonts w:ascii="Arial" w:eastAsia="Calibri" w:hAnsi="Arial" w:cs="Arial"/>
                <w:sz w:val="24"/>
                <w:szCs w:val="24"/>
                <w:lang w:eastAsia="en-GB"/>
              </w:rPr>
            </w:pPr>
          </w:p>
          <w:tbl>
            <w:tblPr>
              <w:tblStyle w:val="TableGrid"/>
              <w:tblW w:w="0" w:type="auto"/>
              <w:jc w:val="center"/>
              <w:tblLook w:val="04A0" w:firstRow="1" w:lastRow="0" w:firstColumn="1" w:lastColumn="0" w:noHBand="0" w:noVBand="1"/>
            </w:tblPr>
            <w:tblGrid>
              <w:gridCol w:w="1673"/>
              <w:gridCol w:w="1603"/>
              <w:gridCol w:w="1057"/>
              <w:gridCol w:w="1117"/>
              <w:gridCol w:w="1057"/>
              <w:gridCol w:w="1058"/>
              <w:gridCol w:w="1057"/>
            </w:tblGrid>
            <w:tr w:rsidR="002B5A52" w:rsidRPr="00B568F3" w14:paraId="608AAEE4" w14:textId="77777777">
              <w:trPr>
                <w:jc w:val="center"/>
              </w:trPr>
              <w:tc>
                <w:tcPr>
                  <w:tcW w:w="1673" w:type="dxa"/>
                  <w:vAlign w:val="center"/>
                </w:tcPr>
                <w:p w14:paraId="76422F3C" w14:textId="77777777"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Financial Year</w:t>
                  </w:r>
                </w:p>
              </w:tc>
              <w:tc>
                <w:tcPr>
                  <w:tcW w:w="1603" w:type="dxa"/>
                  <w:vAlign w:val="center"/>
                </w:tcPr>
                <w:p w14:paraId="641AFD71" w14:textId="77777777"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Sponsored</w:t>
                  </w:r>
                </w:p>
              </w:tc>
              <w:tc>
                <w:tcPr>
                  <w:tcW w:w="1057" w:type="dxa"/>
                </w:tcPr>
                <w:p w14:paraId="7A79C093" w14:textId="77777777"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c>
                <w:tcPr>
                  <w:tcW w:w="1117" w:type="dxa"/>
                  <w:vAlign w:val="center"/>
                </w:tcPr>
                <w:p w14:paraId="2BDDB027" w14:textId="77777777"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Other</w:t>
                  </w:r>
                </w:p>
              </w:tc>
              <w:tc>
                <w:tcPr>
                  <w:tcW w:w="1057" w:type="dxa"/>
                </w:tcPr>
                <w:p w14:paraId="72BB9F9B" w14:textId="77777777"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c>
                <w:tcPr>
                  <w:tcW w:w="1058" w:type="dxa"/>
                  <w:vAlign w:val="center"/>
                </w:tcPr>
                <w:p w14:paraId="22E6FC8A" w14:textId="151A1E9C"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Total</w:t>
                  </w:r>
                </w:p>
              </w:tc>
              <w:tc>
                <w:tcPr>
                  <w:tcW w:w="1057" w:type="dxa"/>
                </w:tcPr>
                <w:p w14:paraId="1272FE19" w14:textId="77777777" w:rsidR="002B5A52" w:rsidRPr="00B568F3" w:rsidRDefault="002B5A52" w:rsidP="002B5A52">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r>
            <w:tr w:rsidR="002B5A52" w:rsidRPr="00B568F3" w14:paraId="6B8989CE" w14:textId="77777777">
              <w:trPr>
                <w:jc w:val="center"/>
              </w:trPr>
              <w:tc>
                <w:tcPr>
                  <w:tcW w:w="1673" w:type="dxa"/>
                  <w:vAlign w:val="center"/>
                </w:tcPr>
                <w:p w14:paraId="4364484E" w14:textId="77777777" w:rsidR="002B5A52" w:rsidRPr="00B568F3" w:rsidRDefault="002B5A52" w:rsidP="002B5A52">
                  <w:pPr>
                    <w:contextualSpacing/>
                    <w:jc w:val="center"/>
                    <w:rPr>
                      <w:rFonts w:ascii="Arial" w:eastAsia="Calibri" w:hAnsi="Arial" w:cs="Arial"/>
                      <w:b/>
                      <w:bCs/>
                      <w:sz w:val="24"/>
                      <w:szCs w:val="24"/>
                      <w:lang w:eastAsia="en-GB"/>
                    </w:rPr>
                  </w:pPr>
                  <w:r>
                    <w:rPr>
                      <w:rFonts w:ascii="Arial" w:eastAsia="Calibri" w:hAnsi="Arial" w:cs="Arial"/>
                      <w:b/>
                      <w:bCs/>
                      <w:sz w:val="24"/>
                      <w:szCs w:val="24"/>
                      <w:lang w:eastAsia="en-GB"/>
                    </w:rPr>
                    <w:t>2024/2025</w:t>
                  </w:r>
                </w:p>
              </w:tc>
              <w:tc>
                <w:tcPr>
                  <w:tcW w:w="1603" w:type="dxa"/>
                  <w:vAlign w:val="center"/>
                </w:tcPr>
                <w:p w14:paraId="7936AC41" w14:textId="02BA4D39" w:rsidR="002B5A52" w:rsidRPr="00B568F3" w:rsidRDefault="00FD208B" w:rsidP="008C0007">
                  <w:pPr>
                    <w:contextualSpacing/>
                    <w:jc w:val="center"/>
                    <w:rPr>
                      <w:rFonts w:ascii="Arial" w:eastAsia="Calibri" w:hAnsi="Arial" w:cs="Arial"/>
                      <w:sz w:val="24"/>
                      <w:szCs w:val="24"/>
                      <w:lang w:eastAsia="en-GB"/>
                    </w:rPr>
                  </w:pPr>
                  <w:r>
                    <w:rPr>
                      <w:rFonts w:ascii="Arial" w:eastAsia="Calibri" w:hAnsi="Arial" w:cs="Arial"/>
                      <w:sz w:val="24"/>
                      <w:szCs w:val="24"/>
                      <w:lang w:eastAsia="en-GB"/>
                    </w:rPr>
                    <w:t>389</w:t>
                  </w:r>
                </w:p>
              </w:tc>
              <w:tc>
                <w:tcPr>
                  <w:tcW w:w="1057" w:type="dxa"/>
                  <w:vAlign w:val="center"/>
                </w:tcPr>
                <w:p w14:paraId="417B243D" w14:textId="3B2C6AAA" w:rsidR="002B5A52" w:rsidRPr="00B568F3" w:rsidRDefault="00877227" w:rsidP="002B5A52">
                  <w:pPr>
                    <w:contextualSpacing/>
                    <w:jc w:val="center"/>
                    <w:rPr>
                      <w:rFonts w:ascii="Arial" w:eastAsia="Calibri" w:hAnsi="Arial" w:cs="Arial"/>
                      <w:sz w:val="24"/>
                      <w:szCs w:val="24"/>
                      <w:lang w:eastAsia="en-GB"/>
                    </w:rPr>
                  </w:pPr>
                  <w:r>
                    <w:rPr>
                      <w:rFonts w:ascii="Arial" w:eastAsia="Calibri" w:hAnsi="Arial" w:cs="Arial"/>
                      <w:sz w:val="24"/>
                      <w:szCs w:val="24"/>
                      <w:lang w:eastAsia="en-GB"/>
                    </w:rPr>
                    <w:t>+26.7%</w:t>
                  </w:r>
                </w:p>
              </w:tc>
              <w:tc>
                <w:tcPr>
                  <w:tcW w:w="1117" w:type="dxa"/>
                  <w:vAlign w:val="center"/>
                </w:tcPr>
                <w:p w14:paraId="2C29FDEC" w14:textId="0CDE81F7" w:rsidR="002B5A52" w:rsidRPr="00B568F3" w:rsidRDefault="00EC47A8" w:rsidP="002B5A52">
                  <w:pPr>
                    <w:contextualSpacing/>
                    <w:jc w:val="center"/>
                    <w:rPr>
                      <w:rFonts w:ascii="Arial" w:eastAsia="Calibri" w:hAnsi="Arial" w:cs="Arial"/>
                      <w:sz w:val="24"/>
                      <w:szCs w:val="24"/>
                      <w:lang w:eastAsia="en-GB"/>
                    </w:rPr>
                  </w:pPr>
                  <w:r>
                    <w:rPr>
                      <w:rFonts w:ascii="Arial" w:eastAsia="Calibri" w:hAnsi="Arial" w:cs="Arial"/>
                      <w:sz w:val="24"/>
                      <w:szCs w:val="24"/>
                      <w:lang w:eastAsia="en-GB"/>
                    </w:rPr>
                    <w:t>304</w:t>
                  </w:r>
                </w:p>
              </w:tc>
              <w:tc>
                <w:tcPr>
                  <w:tcW w:w="1057" w:type="dxa"/>
                  <w:vAlign w:val="center"/>
                </w:tcPr>
                <w:p w14:paraId="61FEFE54" w14:textId="3D082368" w:rsidR="002B5A52" w:rsidRPr="00B568F3" w:rsidRDefault="00161970" w:rsidP="002B5A52">
                  <w:pPr>
                    <w:jc w:val="center"/>
                    <w:rPr>
                      <w:rFonts w:ascii="Arial" w:eastAsia="Calibri" w:hAnsi="Arial" w:cs="Arial"/>
                      <w:sz w:val="24"/>
                      <w:szCs w:val="24"/>
                      <w:lang w:eastAsia="en-GB"/>
                    </w:rPr>
                  </w:pPr>
                  <w:r>
                    <w:rPr>
                      <w:rFonts w:ascii="Arial" w:eastAsia="Calibri" w:hAnsi="Arial" w:cs="Arial"/>
                      <w:sz w:val="24"/>
                      <w:szCs w:val="24"/>
                      <w:lang w:eastAsia="en-GB"/>
                    </w:rPr>
                    <w:t>-18.1%</w:t>
                  </w:r>
                </w:p>
              </w:tc>
              <w:tc>
                <w:tcPr>
                  <w:tcW w:w="1058" w:type="dxa"/>
                  <w:vAlign w:val="center"/>
                </w:tcPr>
                <w:p w14:paraId="0E6FD42E" w14:textId="3AED6764" w:rsidR="002B5A52" w:rsidRPr="00B568F3" w:rsidRDefault="00EC47A8" w:rsidP="002B5A52">
                  <w:pPr>
                    <w:jc w:val="center"/>
                    <w:rPr>
                      <w:rFonts w:ascii="Arial" w:eastAsia="Calibri" w:hAnsi="Arial" w:cs="Arial"/>
                      <w:sz w:val="24"/>
                      <w:szCs w:val="24"/>
                      <w:lang w:eastAsia="en-GB"/>
                    </w:rPr>
                  </w:pPr>
                  <w:r>
                    <w:rPr>
                      <w:rFonts w:ascii="Arial" w:eastAsia="Calibri" w:hAnsi="Arial" w:cs="Arial"/>
                      <w:sz w:val="24"/>
                      <w:szCs w:val="24"/>
                      <w:lang w:eastAsia="en-GB"/>
                    </w:rPr>
                    <w:t>693</w:t>
                  </w:r>
                </w:p>
              </w:tc>
              <w:tc>
                <w:tcPr>
                  <w:tcW w:w="1057" w:type="dxa"/>
                  <w:vAlign w:val="center"/>
                </w:tcPr>
                <w:p w14:paraId="732B9F42" w14:textId="0B60C66F" w:rsidR="002B5A52" w:rsidRPr="00B568F3" w:rsidRDefault="00F843FF" w:rsidP="002B5A52">
                  <w:pPr>
                    <w:jc w:val="center"/>
                    <w:rPr>
                      <w:rFonts w:ascii="Arial" w:eastAsia="Calibri" w:hAnsi="Arial" w:cs="Arial"/>
                      <w:sz w:val="24"/>
                      <w:szCs w:val="24"/>
                      <w:lang w:eastAsia="en-GB"/>
                    </w:rPr>
                  </w:pPr>
                  <w:r>
                    <w:rPr>
                      <w:rFonts w:ascii="Arial" w:eastAsia="Calibri" w:hAnsi="Arial" w:cs="Arial"/>
                      <w:sz w:val="24"/>
                      <w:szCs w:val="24"/>
                      <w:lang w:eastAsia="en-GB"/>
                    </w:rPr>
                    <w:t>+2.2%</w:t>
                  </w:r>
                </w:p>
              </w:tc>
            </w:tr>
            <w:tr w:rsidR="002B5A52" w:rsidRPr="00B568F3" w14:paraId="5D91248D" w14:textId="77777777">
              <w:trPr>
                <w:jc w:val="center"/>
              </w:trPr>
              <w:tc>
                <w:tcPr>
                  <w:tcW w:w="1673" w:type="dxa"/>
                  <w:vAlign w:val="center"/>
                </w:tcPr>
                <w:p w14:paraId="16789428" w14:textId="77777777" w:rsidR="002B5A52" w:rsidRPr="00B568F3" w:rsidRDefault="002B5A52" w:rsidP="002B5A52">
                  <w:pPr>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2023/2024</w:t>
                  </w:r>
                </w:p>
              </w:tc>
              <w:tc>
                <w:tcPr>
                  <w:tcW w:w="1603" w:type="dxa"/>
                  <w:vAlign w:val="center"/>
                </w:tcPr>
                <w:p w14:paraId="2AD880CC" w14:textId="7750999D" w:rsidR="002B5A52" w:rsidRPr="00B568F3" w:rsidRDefault="008C0007" w:rsidP="002B5A52">
                  <w:pPr>
                    <w:contextualSpacing/>
                    <w:jc w:val="center"/>
                    <w:rPr>
                      <w:rFonts w:ascii="Arial" w:eastAsia="Calibri" w:hAnsi="Arial" w:cs="Arial"/>
                      <w:sz w:val="24"/>
                      <w:szCs w:val="24"/>
                      <w:lang w:eastAsia="en-GB"/>
                    </w:rPr>
                  </w:pPr>
                  <w:r>
                    <w:rPr>
                      <w:rFonts w:ascii="Arial" w:eastAsia="Calibri" w:hAnsi="Arial" w:cs="Arial"/>
                      <w:sz w:val="24"/>
                      <w:szCs w:val="24"/>
                      <w:lang w:eastAsia="en-GB"/>
                    </w:rPr>
                    <w:t>307</w:t>
                  </w:r>
                </w:p>
              </w:tc>
              <w:tc>
                <w:tcPr>
                  <w:tcW w:w="1057" w:type="dxa"/>
                  <w:vAlign w:val="center"/>
                </w:tcPr>
                <w:p w14:paraId="4ED1E9C6" w14:textId="2EFE7C80" w:rsidR="002B5A52" w:rsidRPr="00B568F3" w:rsidRDefault="00503920" w:rsidP="002B5A52">
                  <w:pPr>
                    <w:contextualSpacing/>
                    <w:jc w:val="center"/>
                    <w:rPr>
                      <w:rFonts w:ascii="Arial" w:eastAsia="Calibri" w:hAnsi="Arial" w:cs="Arial"/>
                      <w:sz w:val="24"/>
                      <w:szCs w:val="24"/>
                      <w:lang w:eastAsia="en-GB"/>
                    </w:rPr>
                  </w:pPr>
                  <w:r>
                    <w:rPr>
                      <w:rFonts w:ascii="Arial" w:eastAsia="Calibri" w:hAnsi="Arial" w:cs="Arial"/>
                      <w:sz w:val="24"/>
                      <w:szCs w:val="24"/>
                      <w:lang w:eastAsia="en-GB"/>
                    </w:rPr>
                    <w:t>+35.8%</w:t>
                  </w:r>
                </w:p>
              </w:tc>
              <w:tc>
                <w:tcPr>
                  <w:tcW w:w="1117" w:type="dxa"/>
                  <w:vAlign w:val="center"/>
                </w:tcPr>
                <w:p w14:paraId="66023EB3" w14:textId="6624EA7D" w:rsidR="002B5A52" w:rsidRPr="00B568F3" w:rsidRDefault="00FA00DA" w:rsidP="002B5A52">
                  <w:pPr>
                    <w:contextualSpacing/>
                    <w:jc w:val="center"/>
                    <w:rPr>
                      <w:rFonts w:ascii="Arial" w:eastAsia="Calibri" w:hAnsi="Arial" w:cs="Arial"/>
                      <w:sz w:val="24"/>
                      <w:szCs w:val="24"/>
                      <w:lang w:eastAsia="en-GB"/>
                    </w:rPr>
                  </w:pPr>
                  <w:r>
                    <w:rPr>
                      <w:rFonts w:ascii="Arial" w:eastAsia="Calibri" w:hAnsi="Arial" w:cs="Arial"/>
                      <w:sz w:val="24"/>
                      <w:szCs w:val="24"/>
                      <w:lang w:eastAsia="en-GB"/>
                    </w:rPr>
                    <w:t>371</w:t>
                  </w:r>
                </w:p>
              </w:tc>
              <w:tc>
                <w:tcPr>
                  <w:tcW w:w="1057" w:type="dxa"/>
                  <w:vAlign w:val="center"/>
                </w:tcPr>
                <w:p w14:paraId="7F2C36D6" w14:textId="4286BC88" w:rsidR="002B5A52" w:rsidRPr="00B568F3" w:rsidRDefault="00161970" w:rsidP="002B5A52">
                  <w:pPr>
                    <w:jc w:val="center"/>
                    <w:rPr>
                      <w:rFonts w:ascii="Arial" w:eastAsia="Calibri" w:hAnsi="Arial" w:cs="Arial"/>
                      <w:sz w:val="24"/>
                      <w:szCs w:val="24"/>
                      <w:lang w:eastAsia="en-GB"/>
                    </w:rPr>
                  </w:pPr>
                  <w:r>
                    <w:rPr>
                      <w:rFonts w:ascii="Arial" w:eastAsia="Calibri" w:hAnsi="Arial" w:cs="Arial"/>
                      <w:sz w:val="24"/>
                      <w:szCs w:val="24"/>
                      <w:lang w:eastAsia="en-GB"/>
                    </w:rPr>
                    <w:t>+17.8</w:t>
                  </w:r>
                </w:p>
              </w:tc>
              <w:tc>
                <w:tcPr>
                  <w:tcW w:w="1058" w:type="dxa"/>
                  <w:vAlign w:val="center"/>
                </w:tcPr>
                <w:p w14:paraId="5E409977" w14:textId="2BE47C1D" w:rsidR="002B5A52" w:rsidRPr="00B568F3" w:rsidRDefault="00A94E3E" w:rsidP="002B5A52">
                  <w:pPr>
                    <w:jc w:val="center"/>
                    <w:rPr>
                      <w:rFonts w:ascii="Arial" w:eastAsia="Calibri" w:hAnsi="Arial" w:cs="Arial"/>
                      <w:sz w:val="24"/>
                      <w:szCs w:val="24"/>
                      <w:lang w:eastAsia="en-GB"/>
                    </w:rPr>
                  </w:pPr>
                  <w:r>
                    <w:rPr>
                      <w:rFonts w:ascii="Arial" w:eastAsia="Calibri" w:hAnsi="Arial" w:cs="Arial"/>
                      <w:sz w:val="24"/>
                      <w:szCs w:val="24"/>
                      <w:lang w:eastAsia="en-GB"/>
                    </w:rPr>
                    <w:t>678</w:t>
                  </w:r>
                </w:p>
              </w:tc>
              <w:tc>
                <w:tcPr>
                  <w:tcW w:w="1057" w:type="dxa"/>
                  <w:vAlign w:val="center"/>
                </w:tcPr>
                <w:p w14:paraId="6F4C4F75" w14:textId="7B2A5F23" w:rsidR="002B5A52" w:rsidRPr="00B568F3" w:rsidRDefault="00F843FF" w:rsidP="002B5A52">
                  <w:pPr>
                    <w:jc w:val="center"/>
                    <w:rPr>
                      <w:rFonts w:ascii="Arial" w:eastAsia="Calibri" w:hAnsi="Arial" w:cs="Arial"/>
                      <w:sz w:val="24"/>
                      <w:szCs w:val="24"/>
                      <w:lang w:eastAsia="en-GB"/>
                    </w:rPr>
                  </w:pPr>
                  <w:r>
                    <w:rPr>
                      <w:rFonts w:ascii="Arial" w:eastAsia="Calibri" w:hAnsi="Arial" w:cs="Arial"/>
                      <w:sz w:val="24"/>
                      <w:szCs w:val="24"/>
                      <w:lang w:eastAsia="en-GB"/>
                    </w:rPr>
                    <w:t>+25.3%</w:t>
                  </w:r>
                </w:p>
              </w:tc>
            </w:tr>
            <w:tr w:rsidR="002B5A52" w:rsidRPr="00B568F3" w14:paraId="15099C0B" w14:textId="77777777">
              <w:trPr>
                <w:jc w:val="center"/>
              </w:trPr>
              <w:tc>
                <w:tcPr>
                  <w:tcW w:w="1673" w:type="dxa"/>
                  <w:vAlign w:val="center"/>
                </w:tcPr>
                <w:p w14:paraId="2434288A" w14:textId="77777777" w:rsidR="002B5A52" w:rsidRPr="00B568F3" w:rsidRDefault="002B5A52" w:rsidP="002B5A52">
                  <w:pPr>
                    <w:spacing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2022/2023</w:t>
                  </w:r>
                </w:p>
              </w:tc>
              <w:tc>
                <w:tcPr>
                  <w:tcW w:w="1603" w:type="dxa"/>
                  <w:vAlign w:val="center"/>
                </w:tcPr>
                <w:p w14:paraId="0003FE85" w14:textId="6840F9BE" w:rsidR="002B5A52" w:rsidRPr="00B568F3" w:rsidRDefault="00A94E3E" w:rsidP="002B5A52">
                  <w:pPr>
                    <w:spacing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226</w:t>
                  </w:r>
                </w:p>
              </w:tc>
              <w:tc>
                <w:tcPr>
                  <w:tcW w:w="1057" w:type="dxa"/>
                  <w:vAlign w:val="center"/>
                </w:tcPr>
                <w:p w14:paraId="3447D343" w14:textId="7962A0EB" w:rsidR="002B5A52" w:rsidRPr="00B568F3" w:rsidRDefault="00503920" w:rsidP="002B5A52">
                  <w:pPr>
                    <w:spacing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+26.3%</w:t>
                  </w:r>
                </w:p>
              </w:tc>
              <w:tc>
                <w:tcPr>
                  <w:tcW w:w="1117" w:type="dxa"/>
                  <w:vAlign w:val="center"/>
                </w:tcPr>
                <w:p w14:paraId="42808BDB" w14:textId="6D19B420" w:rsidR="002B5A52" w:rsidRPr="00B568F3" w:rsidRDefault="00A94E3E" w:rsidP="002B5A52">
                  <w:pPr>
                    <w:spacing w:after="120"/>
                    <w:contextualSpacing/>
                    <w:jc w:val="center"/>
                    <w:rPr>
                      <w:rFonts w:ascii="Arial" w:eastAsia="Calibri" w:hAnsi="Arial" w:cs="Arial"/>
                      <w:sz w:val="24"/>
                      <w:szCs w:val="24"/>
                      <w:lang w:eastAsia="en-GB"/>
                    </w:rPr>
                  </w:pPr>
                  <w:r>
                    <w:rPr>
                      <w:rFonts w:ascii="Arial" w:eastAsia="Calibri" w:hAnsi="Arial" w:cs="Arial"/>
                      <w:sz w:val="24"/>
                      <w:szCs w:val="24"/>
                      <w:lang w:eastAsia="en-GB"/>
                    </w:rPr>
                    <w:t>315</w:t>
                  </w:r>
                </w:p>
              </w:tc>
              <w:tc>
                <w:tcPr>
                  <w:tcW w:w="1057" w:type="dxa"/>
                  <w:vAlign w:val="center"/>
                </w:tcPr>
                <w:p w14:paraId="5882220B" w14:textId="39A998A7" w:rsidR="002B5A52" w:rsidRPr="00B568F3" w:rsidRDefault="00704B0B" w:rsidP="002B5A52">
                  <w:pPr>
                    <w:spacing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-10.8%</w:t>
                  </w:r>
                </w:p>
              </w:tc>
              <w:tc>
                <w:tcPr>
                  <w:tcW w:w="1058" w:type="dxa"/>
                  <w:vAlign w:val="center"/>
                </w:tcPr>
                <w:p w14:paraId="1360DB1D" w14:textId="0059E967" w:rsidR="002B5A52" w:rsidRPr="00B568F3" w:rsidRDefault="002A795B" w:rsidP="002B5A52">
                  <w:pPr>
                    <w:spacing w:after="120"/>
                    <w:contextualSpacing/>
                    <w:jc w:val="center"/>
                    <w:rPr>
                      <w:rFonts w:ascii="Arial" w:eastAsia="Calibri" w:hAnsi="Arial" w:cs="Arial"/>
                      <w:sz w:val="24"/>
                      <w:szCs w:val="24"/>
                      <w:lang w:eastAsia="en-GB"/>
                    </w:rPr>
                  </w:pPr>
                  <w:r>
                    <w:rPr>
                      <w:rFonts w:ascii="Arial" w:eastAsia="Calibri" w:hAnsi="Arial" w:cs="Arial"/>
                      <w:sz w:val="24"/>
                      <w:szCs w:val="24"/>
                      <w:lang w:eastAsia="en-GB"/>
                    </w:rPr>
                    <w:t>541</w:t>
                  </w:r>
                </w:p>
              </w:tc>
              <w:tc>
                <w:tcPr>
                  <w:tcW w:w="1057" w:type="dxa"/>
                  <w:vAlign w:val="center"/>
                </w:tcPr>
                <w:p w14:paraId="05C29638" w14:textId="33917755" w:rsidR="002B5A52" w:rsidRPr="00B568F3" w:rsidRDefault="00E77B7E" w:rsidP="002B5A52">
                  <w:pPr>
                    <w:spacing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+1.7%</w:t>
                  </w:r>
                </w:p>
              </w:tc>
            </w:tr>
            <w:tr w:rsidR="002B5A52" w:rsidRPr="00B568F3" w14:paraId="223D3989" w14:textId="77777777">
              <w:trPr>
                <w:jc w:val="center"/>
              </w:trPr>
              <w:tc>
                <w:tcPr>
                  <w:tcW w:w="8622" w:type="dxa"/>
                  <w:gridSpan w:val="7"/>
                  <w:tcBorders>
                    <w:left w:val="nil"/>
                    <w:bottom w:val="nil"/>
                    <w:right w:val="nil"/>
                  </w:tcBorders>
                  <w:vAlign w:val="center"/>
                </w:tcPr>
                <w:p w14:paraId="10798DAF" w14:textId="5C8E18C7" w:rsidR="002B5A52" w:rsidRPr="00B568F3" w:rsidRDefault="002B5A52" w:rsidP="00E463DE">
                  <w:pPr>
                    <w:spacing w:before="120" w:after="120"/>
                    <w:contextualSpacing/>
                    <w:jc w:val="right"/>
                    <w:rPr>
                      <w:rFonts w:ascii="Arial" w:eastAsia="Calibri" w:hAnsi="Arial" w:cs="Arial"/>
                      <w:i/>
                      <w:iCs/>
                      <w:sz w:val="20"/>
                      <w:szCs w:val="20"/>
                      <w:lang w:eastAsia="en-GB"/>
                    </w:rPr>
                  </w:pPr>
                  <w:r w:rsidRPr="00B568F3">
                    <w:rPr>
                      <w:rFonts w:ascii="Arial" w:eastAsia="Calibri" w:hAnsi="Arial" w:cs="Arial"/>
                      <w:i/>
                      <w:iCs/>
                      <w:sz w:val="20"/>
                      <w:szCs w:val="20"/>
                      <w:lang w:eastAsia="en-GB"/>
                    </w:rPr>
                    <w:t>Figures are for those enrolled during the year</w:t>
                  </w:r>
                  <w:r w:rsidR="0011678F">
                    <w:rPr>
                      <w:rFonts w:ascii="Arial" w:eastAsia="Calibri" w:hAnsi="Arial" w:cs="Arial"/>
                      <w:i/>
                      <w:iCs/>
                      <w:sz w:val="20"/>
                      <w:szCs w:val="20"/>
                      <w:lang w:eastAsia="en-GB"/>
                    </w:rPr>
                    <w:t xml:space="preserve"> minus numbers withdrawing</w:t>
                  </w:r>
                </w:p>
              </w:tc>
            </w:tr>
          </w:tbl>
          <w:p w14:paraId="5AB77C3A" w14:textId="210D76B9" w:rsidR="00780670" w:rsidRPr="00B568F3" w:rsidRDefault="00780670" w:rsidP="00C92ECE">
            <w:pPr>
              <w:contextualSpacing/>
              <w:rPr>
                <w:rFonts w:ascii="Arial" w:eastAsia="Calibri" w:hAnsi="Arial" w:cs="Arial"/>
                <w:b/>
                <w:bCs/>
                <w:color w:val="FF0000"/>
                <w:sz w:val="24"/>
                <w:szCs w:val="24"/>
              </w:rPr>
            </w:pPr>
          </w:p>
        </w:tc>
      </w:tr>
    </w:tbl>
    <w:p w14:paraId="58926364" w14:textId="77777777" w:rsidR="00780670" w:rsidRPr="00B568F3" w:rsidRDefault="00780670" w:rsidP="00780670">
      <w:pPr>
        <w:spacing w:after="200" w:line="276" w:lineRule="auto"/>
        <w:contextualSpacing/>
        <w:rPr>
          <w:rFonts w:ascii="Arial" w:eastAsia="Calibri" w:hAnsi="Arial" w:cs="Arial"/>
          <w:sz w:val="24"/>
          <w:szCs w:val="24"/>
          <w:lang w:eastAsia="en-GB"/>
        </w:rPr>
      </w:pPr>
    </w:p>
    <w:p w14:paraId="3C1F9E0D" w14:textId="2B3F842A" w:rsidR="00C13797" w:rsidRDefault="00CA4BFF" w:rsidP="00632461">
      <w:pPr>
        <w:numPr>
          <w:ilvl w:val="0"/>
          <w:numId w:val="6"/>
        </w:numPr>
        <w:spacing w:after="200" w:line="276" w:lineRule="auto"/>
        <w:ind w:left="567" w:hanging="425"/>
        <w:contextualSpacing/>
        <w:rPr>
          <w:rFonts w:ascii="Arial" w:eastAsia="Calibri" w:hAnsi="Arial" w:cs="Arial"/>
          <w:sz w:val="24"/>
          <w:szCs w:val="24"/>
          <w:lang w:eastAsia="en-GB"/>
        </w:rPr>
      </w:pPr>
      <w:r w:rsidRPr="00CA4BFF">
        <w:rPr>
          <w:rFonts w:ascii="Arial" w:eastAsia="Calibri" w:hAnsi="Arial" w:cs="Arial"/>
          <w:sz w:val="24"/>
          <w:szCs w:val="24"/>
          <w:lang w:eastAsia="en-GB"/>
        </w:rPr>
        <w:t>In 2024</w:t>
      </w:r>
      <w:r>
        <w:rPr>
          <w:rFonts w:ascii="Arial" w:eastAsia="Calibri" w:hAnsi="Arial" w:cs="Arial"/>
          <w:sz w:val="24"/>
          <w:szCs w:val="24"/>
          <w:lang w:eastAsia="en-GB"/>
        </w:rPr>
        <w:t xml:space="preserve"> to </w:t>
      </w:r>
      <w:r w:rsidRPr="00CA4BFF">
        <w:rPr>
          <w:rFonts w:ascii="Arial" w:eastAsia="Calibri" w:hAnsi="Arial" w:cs="Arial"/>
          <w:sz w:val="24"/>
          <w:szCs w:val="24"/>
          <w:lang w:eastAsia="en-GB"/>
        </w:rPr>
        <w:t xml:space="preserve">2025, </w:t>
      </w:r>
      <w:r w:rsidR="00993096">
        <w:rPr>
          <w:rFonts w:ascii="Arial" w:eastAsia="Calibri" w:hAnsi="Arial" w:cs="Arial"/>
          <w:sz w:val="24"/>
          <w:szCs w:val="24"/>
          <w:lang w:eastAsia="en-GB"/>
        </w:rPr>
        <w:t>the regions</w:t>
      </w:r>
      <w:r w:rsidR="00A65072">
        <w:rPr>
          <w:rFonts w:ascii="Arial" w:eastAsia="Calibri" w:hAnsi="Arial" w:cs="Arial"/>
          <w:sz w:val="24"/>
          <w:szCs w:val="24"/>
          <w:lang w:eastAsia="en-GB"/>
        </w:rPr>
        <w:t xml:space="preserve"> </w:t>
      </w:r>
      <w:r w:rsidR="00DE0BD6">
        <w:rPr>
          <w:rFonts w:ascii="Arial" w:eastAsia="Calibri" w:hAnsi="Arial" w:cs="Arial"/>
          <w:sz w:val="24"/>
          <w:szCs w:val="24"/>
          <w:lang w:eastAsia="en-GB"/>
        </w:rPr>
        <w:t>reported</w:t>
      </w:r>
      <w:r w:rsidR="00E155B1">
        <w:rPr>
          <w:rFonts w:ascii="Arial" w:eastAsia="Calibri" w:hAnsi="Arial" w:cs="Arial"/>
          <w:sz w:val="24"/>
          <w:szCs w:val="24"/>
          <w:lang w:eastAsia="en-GB"/>
        </w:rPr>
        <w:t xml:space="preserve"> </w:t>
      </w:r>
      <w:r w:rsidRPr="00CA4BFF">
        <w:rPr>
          <w:rFonts w:ascii="Arial" w:eastAsia="Calibri" w:hAnsi="Arial" w:cs="Arial"/>
          <w:sz w:val="24"/>
          <w:szCs w:val="24"/>
          <w:lang w:eastAsia="en-GB"/>
        </w:rPr>
        <w:t xml:space="preserve">a total of </w:t>
      </w:r>
      <w:r w:rsidR="00FE0250">
        <w:rPr>
          <w:rFonts w:ascii="Arial" w:eastAsia="Calibri" w:hAnsi="Arial" w:cs="Arial"/>
          <w:sz w:val="24"/>
          <w:szCs w:val="24"/>
          <w:lang w:eastAsia="en-GB"/>
        </w:rPr>
        <w:t>693</w:t>
      </w:r>
      <w:r w:rsidRPr="00CA4BFF">
        <w:rPr>
          <w:rFonts w:ascii="Arial" w:eastAsia="Calibri" w:hAnsi="Arial" w:cs="Arial"/>
          <w:sz w:val="24"/>
          <w:szCs w:val="24"/>
          <w:lang w:eastAsia="en-GB"/>
        </w:rPr>
        <w:t xml:space="preserve"> social work students</w:t>
      </w:r>
      <w:r w:rsidR="00DE0BD6">
        <w:rPr>
          <w:rFonts w:ascii="Arial" w:eastAsia="Calibri" w:hAnsi="Arial" w:cs="Arial"/>
          <w:sz w:val="24"/>
          <w:szCs w:val="24"/>
          <w:lang w:eastAsia="en-GB"/>
        </w:rPr>
        <w:t xml:space="preserve">, </w:t>
      </w:r>
      <w:r w:rsidRPr="00CA4BFF">
        <w:rPr>
          <w:rFonts w:ascii="Arial" w:eastAsia="Calibri" w:hAnsi="Arial" w:cs="Arial"/>
          <w:sz w:val="24"/>
          <w:szCs w:val="24"/>
          <w:lang w:eastAsia="en-GB"/>
        </w:rPr>
        <w:t>both sponsored and non-sponsored</w:t>
      </w:r>
      <w:r w:rsidR="00DE0BD6">
        <w:rPr>
          <w:rFonts w:ascii="Arial" w:eastAsia="Calibri" w:hAnsi="Arial" w:cs="Arial"/>
          <w:sz w:val="24"/>
          <w:szCs w:val="24"/>
          <w:lang w:eastAsia="en-GB"/>
        </w:rPr>
        <w:t xml:space="preserve">, </w:t>
      </w:r>
      <w:r w:rsidRPr="00CA4BFF">
        <w:rPr>
          <w:rFonts w:ascii="Arial" w:eastAsia="Calibri" w:hAnsi="Arial" w:cs="Arial"/>
          <w:sz w:val="24"/>
          <w:szCs w:val="24"/>
          <w:lang w:eastAsia="en-GB"/>
        </w:rPr>
        <w:t xml:space="preserve">were </w:t>
      </w:r>
      <w:r w:rsidR="0022593A">
        <w:rPr>
          <w:rFonts w:ascii="Arial" w:eastAsia="Calibri" w:hAnsi="Arial" w:cs="Arial"/>
          <w:sz w:val="24"/>
          <w:szCs w:val="24"/>
          <w:lang w:eastAsia="en-GB"/>
        </w:rPr>
        <w:t xml:space="preserve">on the </w:t>
      </w:r>
      <w:r w:rsidRPr="00CA4BFF">
        <w:rPr>
          <w:rFonts w:ascii="Arial" w:eastAsia="Calibri" w:hAnsi="Arial" w:cs="Arial"/>
          <w:sz w:val="24"/>
          <w:szCs w:val="24"/>
          <w:lang w:eastAsia="en-GB"/>
        </w:rPr>
        <w:t xml:space="preserve">social work degree programme. This marks continued growth over the past three years, although the rate of increase has slowed slightly, rising by </w:t>
      </w:r>
      <w:r w:rsidR="00FE0250">
        <w:rPr>
          <w:rFonts w:ascii="Arial" w:eastAsia="Calibri" w:hAnsi="Arial" w:cs="Arial"/>
          <w:sz w:val="24"/>
          <w:szCs w:val="24"/>
          <w:lang w:eastAsia="en-GB"/>
        </w:rPr>
        <w:t>2.2</w:t>
      </w:r>
      <w:r w:rsidR="0022593A">
        <w:rPr>
          <w:rFonts w:ascii="Arial" w:eastAsia="Calibri" w:hAnsi="Arial" w:cs="Arial"/>
          <w:sz w:val="24"/>
          <w:szCs w:val="24"/>
          <w:lang w:eastAsia="en-GB"/>
        </w:rPr>
        <w:t xml:space="preserve"> per cent</w:t>
      </w:r>
      <w:r w:rsidR="00463474">
        <w:rPr>
          <w:rFonts w:ascii="Arial" w:eastAsia="Calibri" w:hAnsi="Arial" w:cs="Arial"/>
          <w:sz w:val="24"/>
          <w:szCs w:val="24"/>
          <w:lang w:eastAsia="en-GB"/>
        </w:rPr>
        <w:t xml:space="preserve"> in 2024 to 2025</w:t>
      </w:r>
      <w:r w:rsidRPr="00CA4BFF">
        <w:rPr>
          <w:rFonts w:ascii="Arial" w:eastAsia="Calibri" w:hAnsi="Arial" w:cs="Arial"/>
          <w:sz w:val="24"/>
          <w:szCs w:val="24"/>
          <w:lang w:eastAsia="en-GB"/>
        </w:rPr>
        <w:t xml:space="preserve"> compared to a </w:t>
      </w:r>
      <w:r w:rsidR="00FE0250">
        <w:rPr>
          <w:rFonts w:ascii="Arial" w:eastAsia="Calibri" w:hAnsi="Arial" w:cs="Arial"/>
          <w:sz w:val="24"/>
          <w:szCs w:val="24"/>
          <w:lang w:eastAsia="en-GB"/>
        </w:rPr>
        <w:t>25.3</w:t>
      </w:r>
      <w:r w:rsidR="00463474">
        <w:rPr>
          <w:rFonts w:ascii="Arial" w:eastAsia="Calibri" w:hAnsi="Arial" w:cs="Arial"/>
          <w:sz w:val="24"/>
          <w:szCs w:val="24"/>
          <w:lang w:eastAsia="en-GB"/>
        </w:rPr>
        <w:t xml:space="preserve"> per cent</w:t>
      </w:r>
      <w:r w:rsidRPr="00CA4BFF">
        <w:rPr>
          <w:rFonts w:ascii="Arial" w:eastAsia="Calibri" w:hAnsi="Arial" w:cs="Arial"/>
          <w:sz w:val="24"/>
          <w:szCs w:val="24"/>
          <w:lang w:eastAsia="en-GB"/>
        </w:rPr>
        <w:t xml:space="preserve"> increase in the previous year.</w:t>
      </w:r>
    </w:p>
    <w:p w14:paraId="5E0DB8E7" w14:textId="77777777" w:rsidR="00C13797" w:rsidRDefault="00C13797" w:rsidP="001E0808">
      <w:pPr>
        <w:spacing w:after="200" w:line="276" w:lineRule="auto"/>
        <w:ind w:left="567"/>
        <w:contextualSpacing/>
        <w:rPr>
          <w:rFonts w:ascii="Arial" w:eastAsia="Calibri" w:hAnsi="Arial" w:cs="Arial"/>
          <w:sz w:val="24"/>
          <w:szCs w:val="24"/>
          <w:lang w:eastAsia="en-GB"/>
        </w:rPr>
      </w:pPr>
    </w:p>
    <w:p w14:paraId="735A3FC1" w14:textId="4A1BC9F3" w:rsidR="00463474" w:rsidRDefault="00C13797" w:rsidP="00632461">
      <w:pPr>
        <w:numPr>
          <w:ilvl w:val="0"/>
          <w:numId w:val="6"/>
        </w:numPr>
        <w:spacing w:after="200" w:line="276" w:lineRule="auto"/>
        <w:ind w:left="567" w:hanging="425"/>
        <w:contextualSpacing/>
        <w:rPr>
          <w:rFonts w:ascii="Arial" w:eastAsia="Calibri" w:hAnsi="Arial" w:cs="Arial"/>
          <w:sz w:val="24"/>
          <w:szCs w:val="24"/>
          <w:lang w:eastAsia="en-GB"/>
        </w:rPr>
      </w:pPr>
      <w:r w:rsidRPr="00684E25">
        <w:rPr>
          <w:rFonts w:ascii="Arial" w:eastAsia="Calibri" w:hAnsi="Arial" w:cs="Arial"/>
          <w:sz w:val="24"/>
          <w:szCs w:val="24"/>
        </w:rPr>
        <w:t xml:space="preserve">Sponsored </w:t>
      </w:r>
      <w:r w:rsidR="008A3601">
        <w:rPr>
          <w:rFonts w:ascii="Arial" w:eastAsia="Calibri" w:hAnsi="Arial" w:cs="Arial"/>
          <w:sz w:val="24"/>
          <w:szCs w:val="24"/>
        </w:rPr>
        <w:t xml:space="preserve">social work students </w:t>
      </w:r>
      <w:r w:rsidRPr="00684E25">
        <w:rPr>
          <w:rFonts w:ascii="Arial" w:eastAsia="Calibri" w:hAnsi="Arial" w:cs="Arial"/>
          <w:sz w:val="24"/>
          <w:szCs w:val="24"/>
        </w:rPr>
        <w:t xml:space="preserve">through the </w:t>
      </w:r>
      <w:r w:rsidR="0044019D">
        <w:rPr>
          <w:rFonts w:ascii="Arial" w:eastAsia="Calibri" w:hAnsi="Arial" w:cs="Arial"/>
          <w:sz w:val="24"/>
          <w:szCs w:val="24"/>
        </w:rPr>
        <w:t>g</w:t>
      </w:r>
      <w:r w:rsidRPr="00684E25">
        <w:rPr>
          <w:rFonts w:ascii="Arial" w:eastAsia="Calibri" w:hAnsi="Arial" w:cs="Arial"/>
          <w:sz w:val="24"/>
          <w:szCs w:val="24"/>
        </w:rPr>
        <w:t xml:space="preserve">row </w:t>
      </w:r>
      <w:r w:rsidR="0044019D">
        <w:rPr>
          <w:rFonts w:ascii="Arial" w:eastAsia="Calibri" w:hAnsi="Arial" w:cs="Arial"/>
          <w:sz w:val="24"/>
          <w:szCs w:val="24"/>
        </w:rPr>
        <w:t>y</w:t>
      </w:r>
      <w:r w:rsidRPr="00684E25">
        <w:rPr>
          <w:rFonts w:ascii="Arial" w:eastAsia="Calibri" w:hAnsi="Arial" w:cs="Arial"/>
          <w:sz w:val="24"/>
          <w:szCs w:val="24"/>
        </w:rPr>
        <w:t xml:space="preserve">our </w:t>
      </w:r>
      <w:r w:rsidR="0044019D">
        <w:rPr>
          <w:rFonts w:ascii="Arial" w:eastAsia="Calibri" w:hAnsi="Arial" w:cs="Arial"/>
          <w:sz w:val="24"/>
          <w:szCs w:val="24"/>
        </w:rPr>
        <w:t>o</w:t>
      </w:r>
      <w:r w:rsidRPr="00684E25">
        <w:rPr>
          <w:rFonts w:ascii="Arial" w:eastAsia="Calibri" w:hAnsi="Arial" w:cs="Arial"/>
          <w:sz w:val="24"/>
          <w:szCs w:val="24"/>
        </w:rPr>
        <w:t xml:space="preserve">wn pathway have continued to rise significantly year on year, with </w:t>
      </w:r>
      <w:r w:rsidR="000A4588">
        <w:rPr>
          <w:rFonts w:ascii="Arial" w:eastAsia="Calibri" w:hAnsi="Arial" w:cs="Arial"/>
          <w:sz w:val="24"/>
          <w:szCs w:val="24"/>
        </w:rPr>
        <w:t>389</w:t>
      </w:r>
      <w:r w:rsidR="000A4588" w:rsidRPr="00684E25">
        <w:rPr>
          <w:rFonts w:ascii="Arial" w:eastAsia="Calibri" w:hAnsi="Arial" w:cs="Arial"/>
          <w:sz w:val="24"/>
          <w:szCs w:val="24"/>
        </w:rPr>
        <w:t xml:space="preserve"> </w:t>
      </w:r>
      <w:r w:rsidRPr="00684E25">
        <w:rPr>
          <w:rFonts w:ascii="Arial" w:eastAsia="Calibri" w:hAnsi="Arial" w:cs="Arial"/>
          <w:sz w:val="24"/>
          <w:szCs w:val="24"/>
        </w:rPr>
        <w:t>social work students in 2024 to 2025</w:t>
      </w:r>
      <w:r w:rsidR="00221B3C">
        <w:rPr>
          <w:rFonts w:ascii="Arial" w:eastAsia="Calibri" w:hAnsi="Arial" w:cs="Arial"/>
          <w:sz w:val="24"/>
          <w:szCs w:val="24"/>
        </w:rPr>
        <w:t xml:space="preserve">, </w:t>
      </w:r>
      <w:r w:rsidRPr="00684E25">
        <w:rPr>
          <w:rFonts w:ascii="Arial" w:eastAsia="Calibri" w:hAnsi="Arial" w:cs="Arial"/>
          <w:sz w:val="24"/>
          <w:szCs w:val="24"/>
        </w:rPr>
        <w:t xml:space="preserve">an increase of </w:t>
      </w:r>
      <w:r w:rsidR="000A4588">
        <w:rPr>
          <w:rFonts w:ascii="Arial" w:eastAsia="Calibri" w:hAnsi="Arial" w:cs="Arial"/>
          <w:sz w:val="24"/>
          <w:szCs w:val="24"/>
        </w:rPr>
        <w:t>26.7</w:t>
      </w:r>
      <w:r w:rsidRPr="00684E25">
        <w:rPr>
          <w:rFonts w:ascii="Arial" w:eastAsia="Calibri" w:hAnsi="Arial" w:cs="Arial"/>
          <w:sz w:val="24"/>
          <w:szCs w:val="24"/>
        </w:rPr>
        <w:t xml:space="preserve"> per cent compared to the previous year</w:t>
      </w:r>
      <w:r>
        <w:rPr>
          <w:rFonts w:ascii="Arial" w:eastAsia="Calibri" w:hAnsi="Arial" w:cs="Arial"/>
          <w:sz w:val="24"/>
          <w:szCs w:val="24"/>
        </w:rPr>
        <w:t>.</w:t>
      </w:r>
    </w:p>
    <w:p w14:paraId="09D2156D" w14:textId="77777777" w:rsidR="00681E85" w:rsidRDefault="00681E85" w:rsidP="00C92ECE">
      <w:pPr>
        <w:spacing w:after="200" w:line="276" w:lineRule="auto"/>
        <w:ind w:left="567"/>
        <w:contextualSpacing/>
        <w:rPr>
          <w:rFonts w:ascii="Arial" w:eastAsia="Calibri" w:hAnsi="Arial" w:cs="Arial"/>
          <w:sz w:val="24"/>
          <w:szCs w:val="24"/>
          <w:lang w:eastAsia="en-GB"/>
        </w:rPr>
      </w:pPr>
    </w:p>
    <w:p w14:paraId="3306F3B5" w14:textId="5F63DE01" w:rsidR="00CE44A4" w:rsidRDefault="00D37DDF" w:rsidP="00632461">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rPr>
        <w:t>Foll</w:t>
      </w:r>
      <w:r w:rsidR="00C82EE5">
        <w:rPr>
          <w:rFonts w:ascii="Arial" w:eastAsia="Calibri" w:hAnsi="Arial" w:cs="Arial"/>
          <w:sz w:val="24"/>
          <w:szCs w:val="24"/>
        </w:rPr>
        <w:t>owing a</w:t>
      </w:r>
      <w:r w:rsidR="006E4170">
        <w:rPr>
          <w:rFonts w:ascii="Arial" w:eastAsia="Calibri" w:hAnsi="Arial" w:cs="Arial"/>
          <w:sz w:val="24"/>
          <w:szCs w:val="24"/>
        </w:rPr>
        <w:t xml:space="preserve">n </w:t>
      </w:r>
      <w:r w:rsidR="00C82EE5">
        <w:rPr>
          <w:rFonts w:ascii="Arial" w:eastAsia="Calibri" w:hAnsi="Arial" w:cs="Arial"/>
          <w:sz w:val="24"/>
          <w:szCs w:val="24"/>
        </w:rPr>
        <w:t xml:space="preserve">increase </w:t>
      </w:r>
      <w:r w:rsidR="007E6F3B">
        <w:rPr>
          <w:rFonts w:ascii="Arial" w:eastAsia="Calibri" w:hAnsi="Arial" w:cs="Arial"/>
          <w:sz w:val="24"/>
          <w:szCs w:val="24"/>
        </w:rPr>
        <w:t xml:space="preserve">in the previous year, the number of other social work students </w:t>
      </w:r>
      <w:r w:rsidR="007B4284">
        <w:rPr>
          <w:rFonts w:ascii="Arial" w:eastAsia="Calibri" w:hAnsi="Arial" w:cs="Arial"/>
          <w:sz w:val="24"/>
          <w:szCs w:val="24"/>
        </w:rPr>
        <w:t xml:space="preserve">fell </w:t>
      </w:r>
      <w:r w:rsidR="007E6F3B">
        <w:rPr>
          <w:rFonts w:ascii="Arial" w:eastAsia="Calibri" w:hAnsi="Arial" w:cs="Arial"/>
          <w:sz w:val="24"/>
          <w:szCs w:val="24"/>
        </w:rPr>
        <w:t xml:space="preserve">by </w:t>
      </w:r>
      <w:r w:rsidR="004C7601">
        <w:rPr>
          <w:rFonts w:ascii="Arial" w:eastAsia="Calibri" w:hAnsi="Arial" w:cs="Arial"/>
          <w:sz w:val="24"/>
          <w:szCs w:val="24"/>
        </w:rPr>
        <w:t>18.1</w:t>
      </w:r>
      <w:r w:rsidR="007E6F3B">
        <w:rPr>
          <w:rFonts w:ascii="Arial" w:eastAsia="Calibri" w:hAnsi="Arial" w:cs="Arial"/>
          <w:sz w:val="24"/>
          <w:szCs w:val="24"/>
        </w:rPr>
        <w:t xml:space="preserve"> per cent in 2024 to 2025. These students </w:t>
      </w:r>
      <w:r w:rsidR="00C812B0">
        <w:rPr>
          <w:rFonts w:ascii="Arial" w:eastAsia="Calibri" w:hAnsi="Arial" w:cs="Arial"/>
          <w:sz w:val="24"/>
          <w:szCs w:val="24"/>
        </w:rPr>
        <w:t>usually pay for their studies</w:t>
      </w:r>
      <w:r w:rsidR="00CB3BEF">
        <w:rPr>
          <w:rFonts w:ascii="Arial" w:eastAsia="Calibri" w:hAnsi="Arial" w:cs="Arial"/>
          <w:sz w:val="24"/>
          <w:szCs w:val="24"/>
        </w:rPr>
        <w:t xml:space="preserve">, often </w:t>
      </w:r>
      <w:r w:rsidR="0089307D">
        <w:rPr>
          <w:rFonts w:ascii="Arial" w:eastAsia="Calibri" w:hAnsi="Arial" w:cs="Arial"/>
          <w:sz w:val="24"/>
          <w:szCs w:val="24"/>
        </w:rPr>
        <w:t xml:space="preserve">using </w:t>
      </w:r>
      <w:r w:rsidR="00CB3BEF">
        <w:rPr>
          <w:rFonts w:ascii="Arial" w:eastAsia="Calibri" w:hAnsi="Arial" w:cs="Arial"/>
          <w:sz w:val="24"/>
          <w:szCs w:val="24"/>
        </w:rPr>
        <w:t xml:space="preserve">student loans or </w:t>
      </w:r>
      <w:r w:rsidR="0089307D">
        <w:rPr>
          <w:rFonts w:ascii="Arial" w:eastAsia="Calibri" w:hAnsi="Arial" w:cs="Arial"/>
          <w:sz w:val="24"/>
          <w:szCs w:val="24"/>
        </w:rPr>
        <w:t>bursaries</w:t>
      </w:r>
      <w:r w:rsidR="00681E85">
        <w:rPr>
          <w:rFonts w:ascii="Arial" w:eastAsia="Calibri" w:hAnsi="Arial" w:cs="Arial"/>
          <w:sz w:val="24"/>
          <w:szCs w:val="24"/>
        </w:rPr>
        <w:t>.</w:t>
      </w:r>
    </w:p>
    <w:p w14:paraId="56687034" w14:textId="77777777" w:rsidR="00DA2AFB" w:rsidRDefault="00DA2AFB" w:rsidP="00C92ECE">
      <w:pPr>
        <w:spacing w:after="200" w:line="276" w:lineRule="auto"/>
        <w:ind w:left="567"/>
        <w:contextualSpacing/>
        <w:rPr>
          <w:rFonts w:ascii="Arial" w:eastAsia="Calibri" w:hAnsi="Arial" w:cs="Arial"/>
          <w:sz w:val="24"/>
          <w:szCs w:val="24"/>
          <w:lang w:eastAsia="en-GB"/>
        </w:rPr>
      </w:pPr>
    </w:p>
    <w:p w14:paraId="34860C8B" w14:textId="0B650B4D" w:rsidR="00AB685A" w:rsidRDefault="00DA2AFB" w:rsidP="00AB685A">
      <w:pPr>
        <w:numPr>
          <w:ilvl w:val="0"/>
          <w:numId w:val="6"/>
        </w:numPr>
        <w:spacing w:after="200" w:line="276" w:lineRule="auto"/>
        <w:ind w:left="567" w:hanging="425"/>
        <w:contextualSpacing/>
        <w:rPr>
          <w:rFonts w:ascii="Arial" w:eastAsia="Calibri" w:hAnsi="Arial" w:cs="Arial"/>
          <w:sz w:val="24"/>
          <w:szCs w:val="24"/>
          <w:lang w:eastAsia="en-GB"/>
        </w:rPr>
      </w:pPr>
      <w:r w:rsidRPr="00DA2AFB">
        <w:rPr>
          <w:rFonts w:ascii="Arial" w:eastAsia="Calibri" w:hAnsi="Arial" w:cs="Arial"/>
          <w:sz w:val="24"/>
          <w:szCs w:val="24"/>
          <w:lang w:eastAsia="en-GB"/>
        </w:rPr>
        <w:t>Local authorities continue to s</w:t>
      </w:r>
      <w:r w:rsidR="00802D20">
        <w:rPr>
          <w:rFonts w:ascii="Arial" w:eastAsia="Calibri" w:hAnsi="Arial" w:cs="Arial"/>
          <w:sz w:val="24"/>
          <w:szCs w:val="24"/>
          <w:lang w:eastAsia="en-GB"/>
        </w:rPr>
        <w:t xml:space="preserve">ay they’re worried </w:t>
      </w:r>
      <w:r w:rsidRPr="00DA2AFB">
        <w:rPr>
          <w:rFonts w:ascii="Arial" w:eastAsia="Calibri" w:hAnsi="Arial" w:cs="Arial"/>
          <w:sz w:val="24"/>
          <w:szCs w:val="24"/>
          <w:lang w:eastAsia="en-GB"/>
        </w:rPr>
        <w:t xml:space="preserve">about the declining number of self-funding </w:t>
      </w:r>
      <w:r>
        <w:rPr>
          <w:rFonts w:ascii="Arial" w:eastAsia="Calibri" w:hAnsi="Arial" w:cs="Arial"/>
          <w:sz w:val="24"/>
          <w:szCs w:val="24"/>
          <w:lang w:eastAsia="en-GB"/>
        </w:rPr>
        <w:t xml:space="preserve">‘other’ </w:t>
      </w:r>
      <w:r w:rsidRPr="00DA2AFB">
        <w:rPr>
          <w:rFonts w:ascii="Arial" w:eastAsia="Calibri" w:hAnsi="Arial" w:cs="Arial"/>
          <w:sz w:val="24"/>
          <w:szCs w:val="24"/>
          <w:lang w:eastAsia="en-GB"/>
        </w:rPr>
        <w:t xml:space="preserve">social work students being admitted to </w:t>
      </w:r>
      <w:r w:rsidR="00150D4D">
        <w:rPr>
          <w:rFonts w:ascii="Arial" w:eastAsia="Calibri" w:hAnsi="Arial" w:cs="Arial"/>
          <w:sz w:val="24"/>
          <w:szCs w:val="24"/>
          <w:lang w:eastAsia="en-GB"/>
        </w:rPr>
        <w:t xml:space="preserve">traditional (physical, not online) </w:t>
      </w:r>
      <w:r w:rsidRPr="00DA2AFB">
        <w:rPr>
          <w:rFonts w:ascii="Arial" w:eastAsia="Calibri" w:hAnsi="Arial" w:cs="Arial"/>
          <w:sz w:val="24"/>
          <w:szCs w:val="24"/>
          <w:lang w:eastAsia="en-GB"/>
        </w:rPr>
        <w:t xml:space="preserve">higher education institutions (HEIs), </w:t>
      </w:r>
      <w:r w:rsidR="005579BB">
        <w:rPr>
          <w:rFonts w:ascii="Arial" w:eastAsia="Calibri" w:hAnsi="Arial" w:cs="Arial"/>
          <w:sz w:val="24"/>
          <w:szCs w:val="24"/>
          <w:lang w:eastAsia="en-GB"/>
        </w:rPr>
        <w:t>they say that</w:t>
      </w:r>
      <w:r w:rsidRPr="00DA2AFB">
        <w:rPr>
          <w:rFonts w:ascii="Arial" w:eastAsia="Calibri" w:hAnsi="Arial" w:cs="Arial"/>
          <w:sz w:val="24"/>
          <w:szCs w:val="24"/>
          <w:lang w:eastAsia="en-GB"/>
        </w:rPr>
        <w:t xml:space="preserve"> affordability </w:t>
      </w:r>
      <w:r w:rsidR="00A8651A">
        <w:rPr>
          <w:rFonts w:ascii="Arial" w:eastAsia="Calibri" w:hAnsi="Arial" w:cs="Arial"/>
          <w:sz w:val="24"/>
          <w:szCs w:val="24"/>
          <w:lang w:eastAsia="en-GB"/>
        </w:rPr>
        <w:t>i</w:t>
      </w:r>
      <w:r w:rsidRPr="00DA2AFB">
        <w:rPr>
          <w:rFonts w:ascii="Arial" w:eastAsia="Calibri" w:hAnsi="Arial" w:cs="Arial"/>
          <w:sz w:val="24"/>
          <w:szCs w:val="24"/>
          <w:lang w:eastAsia="en-GB"/>
        </w:rPr>
        <w:t xml:space="preserve">s one of the main </w:t>
      </w:r>
      <w:r w:rsidR="00A8651A">
        <w:rPr>
          <w:rFonts w:ascii="Arial" w:eastAsia="Calibri" w:hAnsi="Arial" w:cs="Arial"/>
          <w:sz w:val="24"/>
          <w:szCs w:val="24"/>
          <w:lang w:eastAsia="en-GB"/>
        </w:rPr>
        <w:t>reasons for this</w:t>
      </w:r>
      <w:r w:rsidRPr="00DA2AFB">
        <w:rPr>
          <w:rFonts w:ascii="Arial" w:eastAsia="Calibri" w:hAnsi="Arial" w:cs="Arial"/>
          <w:sz w:val="24"/>
          <w:szCs w:val="24"/>
          <w:lang w:eastAsia="en-GB"/>
        </w:rPr>
        <w:t>.</w:t>
      </w:r>
    </w:p>
    <w:p w14:paraId="168C8A7A" w14:textId="77777777" w:rsidR="004C7601" w:rsidRDefault="004C7601" w:rsidP="00E463DE">
      <w:pPr>
        <w:spacing w:after="200" w:line="276" w:lineRule="auto"/>
        <w:ind w:left="567"/>
        <w:contextualSpacing/>
        <w:rPr>
          <w:rFonts w:ascii="Arial" w:eastAsia="Calibri" w:hAnsi="Arial" w:cs="Arial"/>
          <w:sz w:val="24"/>
          <w:szCs w:val="24"/>
          <w:lang w:eastAsia="en-GB"/>
        </w:rPr>
      </w:pPr>
    </w:p>
    <w:p w14:paraId="1584035E" w14:textId="1B2C6468" w:rsidR="00354D60" w:rsidRDefault="00AB685A" w:rsidP="00354D60">
      <w:pPr>
        <w:numPr>
          <w:ilvl w:val="0"/>
          <w:numId w:val="6"/>
        </w:numPr>
        <w:spacing w:after="200" w:line="276" w:lineRule="auto"/>
        <w:ind w:left="567" w:hanging="425"/>
        <w:contextualSpacing/>
        <w:rPr>
          <w:rFonts w:ascii="Arial" w:eastAsia="Calibri" w:hAnsi="Arial" w:cs="Arial"/>
          <w:sz w:val="24"/>
          <w:szCs w:val="24"/>
          <w:lang w:eastAsia="en-GB"/>
        </w:rPr>
      </w:pPr>
      <w:r w:rsidRPr="00AB685A">
        <w:rPr>
          <w:rFonts w:ascii="Arial" w:eastAsia="Calibri" w:hAnsi="Arial" w:cs="Arial"/>
          <w:sz w:val="24"/>
          <w:szCs w:val="24"/>
          <w:lang w:eastAsia="en-GB"/>
        </w:rPr>
        <w:t>As part of our ongoing engagement with the social work sector, we gather and communicate feedback</w:t>
      </w:r>
      <w:r w:rsidR="00016A0B">
        <w:rPr>
          <w:rFonts w:ascii="Arial" w:eastAsia="Calibri" w:hAnsi="Arial" w:cs="Arial"/>
          <w:sz w:val="24"/>
          <w:szCs w:val="24"/>
          <w:lang w:eastAsia="en-GB"/>
        </w:rPr>
        <w:t xml:space="preserve"> </w:t>
      </w:r>
      <w:r w:rsidR="00E64D89">
        <w:rPr>
          <w:rFonts w:ascii="Arial" w:eastAsia="Calibri" w:hAnsi="Arial" w:cs="Arial"/>
          <w:sz w:val="24"/>
          <w:szCs w:val="24"/>
          <w:lang w:eastAsia="en-GB"/>
        </w:rPr>
        <w:t>about</w:t>
      </w:r>
      <w:r w:rsidRPr="00AB685A">
        <w:rPr>
          <w:rFonts w:ascii="Arial" w:eastAsia="Calibri" w:hAnsi="Arial" w:cs="Arial"/>
          <w:sz w:val="24"/>
          <w:szCs w:val="24"/>
          <w:lang w:eastAsia="en-GB"/>
        </w:rPr>
        <w:t xml:space="preserve"> bursary levels </w:t>
      </w:r>
      <w:r w:rsidR="00993096" w:rsidRPr="00AB685A">
        <w:rPr>
          <w:rFonts w:ascii="Arial" w:eastAsia="Calibri" w:hAnsi="Arial" w:cs="Arial"/>
          <w:sz w:val="24"/>
          <w:szCs w:val="24"/>
          <w:lang w:eastAsia="en-GB"/>
        </w:rPr>
        <w:t>and funding</w:t>
      </w:r>
      <w:r w:rsidRPr="00AB685A">
        <w:rPr>
          <w:rFonts w:ascii="Arial" w:eastAsia="Calibri" w:hAnsi="Arial" w:cs="Arial"/>
          <w:sz w:val="24"/>
          <w:szCs w:val="24"/>
          <w:lang w:eastAsia="en-GB"/>
        </w:rPr>
        <w:t xml:space="preserve"> concerns. This includes highlighting the potential impact of current funding arrangements on the recruitment and retention of social work students. All feedback received is shared with Welsh Government</w:t>
      </w:r>
      <w:r w:rsidR="00E64D89">
        <w:rPr>
          <w:rFonts w:ascii="Arial" w:eastAsia="Calibri" w:hAnsi="Arial" w:cs="Arial"/>
          <w:sz w:val="24"/>
          <w:szCs w:val="24"/>
          <w:lang w:eastAsia="en-GB"/>
        </w:rPr>
        <w:t xml:space="preserve">, so this information can shape </w:t>
      </w:r>
      <w:r w:rsidRPr="00AB685A">
        <w:rPr>
          <w:rFonts w:ascii="Arial" w:eastAsia="Calibri" w:hAnsi="Arial" w:cs="Arial"/>
          <w:sz w:val="24"/>
          <w:szCs w:val="24"/>
          <w:lang w:eastAsia="en-GB"/>
        </w:rPr>
        <w:t xml:space="preserve">future policy. </w:t>
      </w:r>
    </w:p>
    <w:p w14:paraId="56B2C566" w14:textId="77777777" w:rsidR="00354D60" w:rsidRDefault="00354D60" w:rsidP="00C92ECE">
      <w:pPr>
        <w:spacing w:after="200" w:line="276" w:lineRule="auto"/>
        <w:ind w:left="567"/>
        <w:contextualSpacing/>
        <w:rPr>
          <w:rFonts w:ascii="Arial" w:eastAsia="Calibri" w:hAnsi="Arial" w:cs="Arial"/>
          <w:sz w:val="24"/>
          <w:szCs w:val="24"/>
          <w:lang w:eastAsia="en-GB"/>
        </w:rPr>
      </w:pPr>
    </w:p>
    <w:p w14:paraId="6003FC07" w14:textId="2F5804E3" w:rsidR="00AB685A" w:rsidRPr="00354D60" w:rsidRDefault="00AB685A" w:rsidP="00C92ECE">
      <w:pPr>
        <w:numPr>
          <w:ilvl w:val="0"/>
          <w:numId w:val="6"/>
        </w:numPr>
        <w:spacing w:after="200" w:line="276" w:lineRule="auto"/>
        <w:ind w:left="567" w:hanging="425"/>
        <w:contextualSpacing/>
        <w:rPr>
          <w:rFonts w:ascii="Arial" w:eastAsia="Calibri" w:hAnsi="Arial" w:cs="Arial"/>
          <w:sz w:val="24"/>
          <w:szCs w:val="24"/>
          <w:lang w:eastAsia="en-GB"/>
        </w:rPr>
      </w:pPr>
      <w:r w:rsidRPr="00354D60">
        <w:rPr>
          <w:rFonts w:ascii="Arial" w:eastAsia="Calibri" w:hAnsi="Arial" w:cs="Arial"/>
          <w:sz w:val="24"/>
          <w:szCs w:val="24"/>
          <w:lang w:eastAsia="en-GB"/>
        </w:rPr>
        <w:t xml:space="preserve">During </w:t>
      </w:r>
      <w:r w:rsidR="00354D60">
        <w:rPr>
          <w:rFonts w:ascii="Arial" w:eastAsia="Calibri" w:hAnsi="Arial" w:cs="Arial"/>
          <w:sz w:val="24"/>
          <w:szCs w:val="24"/>
          <w:lang w:eastAsia="en-GB"/>
        </w:rPr>
        <w:t xml:space="preserve">recent discussions </w:t>
      </w:r>
      <w:r w:rsidR="0063010A">
        <w:rPr>
          <w:rFonts w:ascii="Arial" w:eastAsia="Calibri" w:hAnsi="Arial" w:cs="Arial"/>
          <w:sz w:val="24"/>
          <w:szCs w:val="24"/>
          <w:lang w:eastAsia="en-GB"/>
        </w:rPr>
        <w:t>between</w:t>
      </w:r>
      <w:r w:rsidR="0063010A" w:rsidRPr="00354D60">
        <w:rPr>
          <w:rFonts w:ascii="Arial" w:eastAsia="Calibri" w:hAnsi="Arial" w:cs="Arial"/>
          <w:sz w:val="24"/>
          <w:szCs w:val="24"/>
          <w:lang w:eastAsia="en-GB"/>
        </w:rPr>
        <w:t xml:space="preserve"> </w:t>
      </w:r>
      <w:r w:rsidRPr="00354D60">
        <w:rPr>
          <w:rFonts w:ascii="Arial" w:eastAsia="Calibri" w:hAnsi="Arial" w:cs="Arial"/>
          <w:sz w:val="24"/>
          <w:szCs w:val="24"/>
          <w:lang w:eastAsia="en-GB"/>
        </w:rPr>
        <w:t>HEIs, S</w:t>
      </w:r>
      <w:r w:rsidR="00354D60">
        <w:rPr>
          <w:rFonts w:ascii="Arial" w:eastAsia="Calibri" w:hAnsi="Arial" w:cs="Arial"/>
          <w:sz w:val="24"/>
          <w:szCs w:val="24"/>
          <w:lang w:eastAsia="en-GB"/>
        </w:rPr>
        <w:t xml:space="preserve">ocial Care Wales </w:t>
      </w:r>
      <w:r w:rsidRPr="00354D60">
        <w:rPr>
          <w:rFonts w:ascii="Arial" w:eastAsia="Calibri" w:hAnsi="Arial" w:cs="Arial"/>
          <w:sz w:val="24"/>
          <w:szCs w:val="24"/>
          <w:lang w:eastAsia="en-GB"/>
        </w:rPr>
        <w:t>and</w:t>
      </w:r>
      <w:r w:rsidR="00354D60">
        <w:rPr>
          <w:rFonts w:ascii="Arial" w:eastAsia="Calibri" w:hAnsi="Arial" w:cs="Arial"/>
          <w:sz w:val="24"/>
          <w:szCs w:val="24"/>
          <w:lang w:eastAsia="en-GB"/>
        </w:rPr>
        <w:t xml:space="preserve"> </w:t>
      </w:r>
      <w:r w:rsidRPr="00354D60">
        <w:rPr>
          <w:rFonts w:ascii="Arial" w:eastAsia="Calibri" w:hAnsi="Arial" w:cs="Arial"/>
          <w:sz w:val="24"/>
          <w:szCs w:val="24"/>
          <w:lang w:eastAsia="en-GB"/>
        </w:rPr>
        <w:t>Welsh Government, concerns were raised about funding</w:t>
      </w:r>
      <w:r w:rsidR="0063010A">
        <w:rPr>
          <w:rFonts w:ascii="Arial" w:eastAsia="Calibri" w:hAnsi="Arial" w:cs="Arial"/>
          <w:sz w:val="24"/>
          <w:szCs w:val="24"/>
          <w:lang w:eastAsia="en-GB"/>
        </w:rPr>
        <w:t xml:space="preserve">, </w:t>
      </w:r>
      <w:r w:rsidRPr="00354D60">
        <w:rPr>
          <w:rFonts w:ascii="Arial" w:eastAsia="Calibri" w:hAnsi="Arial" w:cs="Arial"/>
          <w:sz w:val="24"/>
          <w:szCs w:val="24"/>
          <w:lang w:eastAsia="en-GB"/>
        </w:rPr>
        <w:t xml:space="preserve">particularly in relation to the decline in admissions to </w:t>
      </w:r>
      <w:r w:rsidR="00150D4D">
        <w:rPr>
          <w:rFonts w:ascii="Arial" w:eastAsia="Calibri" w:hAnsi="Arial" w:cs="Arial"/>
          <w:sz w:val="24"/>
          <w:szCs w:val="24"/>
          <w:lang w:eastAsia="en-GB"/>
        </w:rPr>
        <w:t xml:space="preserve">traditional </w:t>
      </w:r>
      <w:r w:rsidRPr="00354D60">
        <w:rPr>
          <w:rFonts w:ascii="Arial" w:eastAsia="Calibri" w:hAnsi="Arial" w:cs="Arial"/>
          <w:sz w:val="24"/>
          <w:szCs w:val="24"/>
          <w:lang w:eastAsia="en-GB"/>
        </w:rPr>
        <w:t xml:space="preserve">universities. </w:t>
      </w:r>
    </w:p>
    <w:p w14:paraId="1CF8542A" w14:textId="0DC46945" w:rsidR="00E47C4A" w:rsidRPr="007F248B" w:rsidRDefault="004B3D66" w:rsidP="004B3D66">
      <w:pPr>
        <w:rPr>
          <w:rFonts w:ascii="Arial" w:eastAsia="Calibri" w:hAnsi="Arial" w:cs="Arial"/>
          <w:b/>
          <w:bCs/>
          <w:i/>
          <w:iCs/>
          <w:sz w:val="24"/>
          <w:szCs w:val="24"/>
        </w:rPr>
      </w:pPr>
      <w:r w:rsidRPr="007F248B">
        <w:rPr>
          <w:rFonts w:ascii="Arial" w:eastAsia="Calibri" w:hAnsi="Arial" w:cs="Arial"/>
          <w:b/>
          <w:bCs/>
          <w:i/>
          <w:iCs/>
          <w:sz w:val="24"/>
          <w:szCs w:val="24"/>
        </w:rPr>
        <w:lastRenderedPageBreak/>
        <w:t>First three years post qualifying awards</w:t>
      </w:r>
    </w:p>
    <w:p w14:paraId="3F3F236A" w14:textId="223B3434" w:rsidR="00814631" w:rsidRDefault="001A52EB" w:rsidP="00814631">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T</w:t>
      </w:r>
      <w:r w:rsidR="00AC6F50" w:rsidRPr="00B568F3">
        <w:rPr>
          <w:rFonts w:ascii="Arial" w:eastAsia="Calibri" w:hAnsi="Arial" w:cs="Arial"/>
          <w:sz w:val="24"/>
          <w:szCs w:val="24"/>
          <w:lang w:eastAsia="en-GB"/>
        </w:rPr>
        <w:t xml:space="preserve">able </w:t>
      </w:r>
      <w:r w:rsidR="007D408C" w:rsidRPr="00B568F3">
        <w:rPr>
          <w:rFonts w:ascii="Arial" w:eastAsia="Calibri" w:hAnsi="Arial" w:cs="Arial"/>
          <w:sz w:val="24"/>
          <w:szCs w:val="24"/>
          <w:lang w:eastAsia="en-GB"/>
        </w:rPr>
        <w:t>1</w:t>
      </w:r>
      <w:r w:rsidR="007D408C">
        <w:rPr>
          <w:rFonts w:ascii="Arial" w:eastAsia="Calibri" w:hAnsi="Arial" w:cs="Arial"/>
          <w:sz w:val="24"/>
          <w:szCs w:val="24"/>
          <w:lang w:eastAsia="en-GB"/>
        </w:rPr>
        <w:t>1</w:t>
      </w:r>
      <w:r w:rsidR="007D408C" w:rsidRPr="00B568F3">
        <w:rPr>
          <w:rFonts w:ascii="Arial" w:eastAsia="Calibri" w:hAnsi="Arial" w:cs="Arial"/>
          <w:sz w:val="24"/>
          <w:szCs w:val="24"/>
          <w:lang w:eastAsia="en-GB"/>
        </w:rPr>
        <w:t xml:space="preserve"> </w:t>
      </w:r>
      <w:r w:rsidR="00AC6F50" w:rsidRPr="00B568F3">
        <w:rPr>
          <w:rFonts w:ascii="Arial" w:eastAsia="Calibri" w:hAnsi="Arial" w:cs="Arial"/>
          <w:sz w:val="24"/>
          <w:szCs w:val="24"/>
          <w:lang w:eastAsia="en-GB"/>
        </w:rPr>
        <w:t>shows the three</w:t>
      </w:r>
      <w:r w:rsidR="004B1107" w:rsidRPr="00B568F3">
        <w:rPr>
          <w:rFonts w:ascii="Arial" w:eastAsia="Calibri" w:hAnsi="Arial" w:cs="Arial"/>
          <w:sz w:val="24"/>
          <w:szCs w:val="24"/>
          <w:lang w:eastAsia="en-GB"/>
        </w:rPr>
        <w:t>-</w:t>
      </w:r>
      <w:r w:rsidR="00AC6F50" w:rsidRPr="00B568F3">
        <w:rPr>
          <w:rFonts w:ascii="Arial" w:eastAsia="Calibri" w:hAnsi="Arial" w:cs="Arial"/>
          <w:sz w:val="24"/>
          <w:szCs w:val="24"/>
          <w:lang w:eastAsia="en-GB"/>
        </w:rPr>
        <w:t>year trend</w:t>
      </w:r>
      <w:r>
        <w:rPr>
          <w:rFonts w:ascii="Arial" w:eastAsia="Calibri" w:hAnsi="Arial" w:cs="Arial"/>
          <w:sz w:val="24"/>
          <w:szCs w:val="24"/>
          <w:lang w:eastAsia="en-GB"/>
        </w:rPr>
        <w:t xml:space="preserve"> in the levels </w:t>
      </w:r>
      <w:r w:rsidRPr="00B568F3">
        <w:rPr>
          <w:rFonts w:ascii="Arial" w:eastAsia="Calibri" w:hAnsi="Arial" w:cs="Arial"/>
          <w:sz w:val="24"/>
          <w:szCs w:val="24"/>
          <w:lang w:eastAsia="en-GB"/>
        </w:rPr>
        <w:t>of engagement in the social work first three years post qualifying programmes</w:t>
      </w:r>
      <w:r w:rsidR="00604AFE">
        <w:rPr>
          <w:rFonts w:ascii="Arial" w:eastAsia="Calibri" w:hAnsi="Arial" w:cs="Arial"/>
          <w:sz w:val="24"/>
          <w:szCs w:val="24"/>
          <w:lang w:eastAsia="en-GB"/>
        </w:rPr>
        <w:t xml:space="preserve">, as reported by the </w:t>
      </w:r>
      <w:proofErr w:type="gramStart"/>
      <w:r w:rsidR="00604AFE">
        <w:rPr>
          <w:rFonts w:ascii="Arial" w:eastAsia="Calibri" w:hAnsi="Arial" w:cs="Arial"/>
          <w:sz w:val="24"/>
          <w:szCs w:val="24"/>
          <w:lang w:eastAsia="en-GB"/>
        </w:rPr>
        <w:t>regions</w:t>
      </w:r>
      <w:r w:rsidR="000B3F40">
        <w:rPr>
          <w:rFonts w:ascii="Arial" w:eastAsia="Calibri" w:hAnsi="Arial" w:cs="Arial"/>
          <w:sz w:val="24"/>
          <w:szCs w:val="24"/>
          <w:lang w:eastAsia="en-GB"/>
        </w:rPr>
        <w:t>.</w:t>
      </w:r>
      <w:r w:rsidR="00604AFE" w:rsidRPr="00B568F3">
        <w:rPr>
          <w:rFonts w:ascii="Arial" w:eastAsia="Calibri" w:hAnsi="Arial" w:cs="Arial"/>
          <w:sz w:val="24"/>
          <w:szCs w:val="24"/>
          <w:lang w:eastAsia="en-GB"/>
        </w:rPr>
        <w:t>.</w:t>
      </w:r>
      <w:proofErr w:type="gramEnd"/>
    </w:p>
    <w:p w14:paraId="289815E3" w14:textId="77777777" w:rsidR="00814631" w:rsidRDefault="00814631" w:rsidP="00814631">
      <w:pPr>
        <w:spacing w:after="200" w:line="276" w:lineRule="auto"/>
        <w:ind w:left="567"/>
        <w:contextualSpacing/>
        <w:rPr>
          <w:rFonts w:ascii="Arial" w:eastAsia="Calibri" w:hAnsi="Arial" w:cs="Arial"/>
          <w:sz w:val="24"/>
          <w:szCs w:val="24"/>
          <w:lang w:eastAsia="en-GB"/>
        </w:rPr>
      </w:pPr>
    </w:p>
    <w:p w14:paraId="58FDAB41" w14:textId="245FB3DD" w:rsidR="00814631" w:rsidRPr="00814631" w:rsidRDefault="00814631" w:rsidP="00814631">
      <w:pPr>
        <w:numPr>
          <w:ilvl w:val="0"/>
          <w:numId w:val="6"/>
        </w:numPr>
        <w:spacing w:after="200" w:line="276" w:lineRule="auto"/>
        <w:ind w:left="567" w:hanging="425"/>
        <w:contextualSpacing/>
        <w:rPr>
          <w:rFonts w:ascii="Arial" w:eastAsia="Calibri" w:hAnsi="Arial" w:cs="Arial"/>
          <w:sz w:val="24"/>
          <w:szCs w:val="24"/>
          <w:lang w:eastAsia="en-GB"/>
        </w:rPr>
      </w:pPr>
      <w:r w:rsidRPr="00814631">
        <w:rPr>
          <w:rFonts w:ascii="Arial" w:eastAsia="Calibri" w:hAnsi="Arial" w:cs="Arial"/>
          <w:sz w:val="24"/>
          <w:szCs w:val="24"/>
          <w:lang w:eastAsia="en-GB"/>
        </w:rPr>
        <w:t xml:space="preserve">416 people </w:t>
      </w:r>
      <w:r>
        <w:rPr>
          <w:rFonts w:ascii="Arial" w:eastAsia="Calibri" w:hAnsi="Arial" w:cs="Arial"/>
          <w:sz w:val="24"/>
          <w:szCs w:val="24"/>
          <w:lang w:eastAsia="en-GB"/>
        </w:rPr>
        <w:t xml:space="preserve">were supported </w:t>
      </w:r>
      <w:r w:rsidRPr="00814631">
        <w:rPr>
          <w:rFonts w:ascii="Arial" w:eastAsia="Calibri" w:hAnsi="Arial" w:cs="Arial"/>
          <w:sz w:val="24"/>
          <w:szCs w:val="24"/>
          <w:lang w:eastAsia="en-GB"/>
        </w:rPr>
        <w:t>with social work post qualifying training, a decrease of 3.7 per cent on last year</w:t>
      </w:r>
    </w:p>
    <w:p w14:paraId="1F01EE72" w14:textId="77777777" w:rsidR="00BC1CA6" w:rsidRDefault="00BC1CA6" w:rsidP="00860812">
      <w:pPr>
        <w:spacing w:after="200" w:line="276" w:lineRule="auto"/>
        <w:contextualSpacing/>
        <w:rPr>
          <w:rFonts w:ascii="Arial" w:eastAsia="Calibri" w:hAnsi="Arial" w:cs="Arial"/>
          <w:sz w:val="24"/>
          <w:szCs w:val="24"/>
        </w:rPr>
      </w:pPr>
    </w:p>
    <w:p w14:paraId="6D06D543" w14:textId="6DE43BDB" w:rsidR="00BC1CA6" w:rsidRPr="00B568F3" w:rsidRDefault="00BC1CA6" w:rsidP="00BC1CA6">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t>Table 1</w:t>
      </w:r>
      <w:r w:rsidR="007D408C">
        <w:rPr>
          <w:rFonts w:ascii="Arial" w:eastAsia="Calibri" w:hAnsi="Arial" w:cs="Arial"/>
          <w:b/>
          <w:bCs/>
          <w:sz w:val="24"/>
          <w:szCs w:val="24"/>
          <w:lang w:eastAsia="en-GB"/>
        </w:rPr>
        <w:t>1</w:t>
      </w:r>
      <w:r w:rsidRPr="00B568F3">
        <w:rPr>
          <w:rFonts w:ascii="Arial" w:eastAsia="Calibri" w:hAnsi="Arial" w:cs="Arial"/>
          <w:b/>
          <w:bCs/>
          <w:sz w:val="24"/>
          <w:szCs w:val="24"/>
          <w:lang w:eastAsia="en-GB"/>
        </w:rPr>
        <w:t xml:space="preserve">: </w:t>
      </w:r>
      <w:r w:rsidRPr="00B568F3">
        <w:rPr>
          <w:rFonts w:ascii="Arial" w:eastAsia="Calibri" w:hAnsi="Arial" w:cs="Arial"/>
          <w:b/>
          <w:bCs/>
          <w:sz w:val="24"/>
          <w:szCs w:val="24"/>
        </w:rPr>
        <w:t>First three years post qualifying awards</w:t>
      </w:r>
      <w:r w:rsidRPr="00B568F3">
        <w:rPr>
          <w:rFonts w:ascii="Arial" w:eastAsia="Calibri" w:hAnsi="Arial" w:cs="Arial"/>
          <w:b/>
          <w:bCs/>
          <w:sz w:val="24"/>
          <w:szCs w:val="24"/>
          <w:lang w:eastAsia="en-GB"/>
        </w:rPr>
        <w:t xml:space="preserve">, the </w:t>
      </w:r>
      <w:r w:rsidRPr="00B568F3">
        <w:rPr>
          <w:rFonts w:ascii="Arial" w:eastAsia="Calibri" w:hAnsi="Arial" w:cs="Arial"/>
          <w:b/>
          <w:bCs/>
          <w:sz w:val="24"/>
          <w:szCs w:val="24"/>
        </w:rPr>
        <w:t>three-year trend</w:t>
      </w:r>
    </w:p>
    <w:p w14:paraId="3A30640D" w14:textId="77777777" w:rsidR="00BC1CA6" w:rsidRPr="00B568F3" w:rsidRDefault="00BC1CA6" w:rsidP="00BC1CA6">
      <w:pPr>
        <w:spacing w:after="200" w:line="276" w:lineRule="auto"/>
        <w:contextualSpacing/>
        <w:rPr>
          <w:rFonts w:ascii="Arial" w:eastAsia="Calibri" w:hAnsi="Arial" w:cs="Arial"/>
          <w:sz w:val="24"/>
          <w:szCs w:val="24"/>
          <w:lang w:eastAsia="en-GB"/>
        </w:rPr>
      </w:pPr>
    </w:p>
    <w:tbl>
      <w:tblPr>
        <w:tblStyle w:val="TableGrid"/>
        <w:tblW w:w="7385" w:type="dxa"/>
        <w:jc w:val="center"/>
        <w:tblLook w:val="04A0" w:firstRow="1" w:lastRow="0" w:firstColumn="1" w:lastColumn="0" w:noHBand="0" w:noVBand="1"/>
      </w:tblPr>
      <w:tblGrid>
        <w:gridCol w:w="1670"/>
        <w:gridCol w:w="1635"/>
        <w:gridCol w:w="1110"/>
        <w:gridCol w:w="1830"/>
        <w:gridCol w:w="1140"/>
      </w:tblGrid>
      <w:tr w:rsidR="00BC1CA6" w:rsidRPr="00B568F3" w14:paraId="10094CB0" w14:textId="77777777">
        <w:trPr>
          <w:jc w:val="center"/>
        </w:trPr>
        <w:tc>
          <w:tcPr>
            <w:tcW w:w="1670" w:type="dxa"/>
            <w:vAlign w:val="center"/>
          </w:tcPr>
          <w:p w14:paraId="6D7B122C" w14:textId="544E7E2A"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Financial </w:t>
            </w:r>
            <w:r w:rsidR="00862670">
              <w:rPr>
                <w:rFonts w:ascii="Arial" w:eastAsia="Calibri" w:hAnsi="Arial" w:cs="Arial"/>
                <w:b/>
                <w:bCs/>
                <w:sz w:val="24"/>
                <w:szCs w:val="24"/>
                <w:lang w:eastAsia="en-GB"/>
              </w:rPr>
              <w:t>y</w:t>
            </w:r>
            <w:r w:rsidRPr="00B568F3">
              <w:rPr>
                <w:rFonts w:ascii="Arial" w:eastAsia="Calibri" w:hAnsi="Arial" w:cs="Arial"/>
                <w:b/>
                <w:bCs/>
                <w:sz w:val="24"/>
                <w:szCs w:val="24"/>
                <w:lang w:eastAsia="en-GB"/>
              </w:rPr>
              <w:t>ear</w:t>
            </w:r>
          </w:p>
        </w:tc>
        <w:tc>
          <w:tcPr>
            <w:tcW w:w="1635" w:type="dxa"/>
            <w:vAlign w:val="center"/>
          </w:tcPr>
          <w:p w14:paraId="25751ED1" w14:textId="77777777"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NQSW Programme</w:t>
            </w:r>
          </w:p>
        </w:tc>
        <w:tc>
          <w:tcPr>
            <w:tcW w:w="1110" w:type="dxa"/>
          </w:tcPr>
          <w:p w14:paraId="192C0315" w14:textId="77777777"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c>
          <w:tcPr>
            <w:tcW w:w="1830" w:type="dxa"/>
            <w:vAlign w:val="center"/>
          </w:tcPr>
          <w:p w14:paraId="487EF739" w14:textId="77777777"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Consolidation</w:t>
            </w:r>
          </w:p>
        </w:tc>
        <w:tc>
          <w:tcPr>
            <w:tcW w:w="1140" w:type="dxa"/>
          </w:tcPr>
          <w:p w14:paraId="49DF2132" w14:textId="77777777"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change</w:t>
            </w:r>
          </w:p>
        </w:tc>
      </w:tr>
      <w:tr w:rsidR="00BC1CA6" w:rsidRPr="00B568F3" w14:paraId="57993E17" w14:textId="77777777">
        <w:trPr>
          <w:jc w:val="center"/>
        </w:trPr>
        <w:tc>
          <w:tcPr>
            <w:tcW w:w="1670" w:type="dxa"/>
            <w:vAlign w:val="center"/>
          </w:tcPr>
          <w:p w14:paraId="4FCFC764" w14:textId="624AF1D7" w:rsidR="00BC1CA6" w:rsidRPr="00B568F3" w:rsidRDefault="00BC1CA6">
            <w:pPr>
              <w:spacing w:before="120" w:after="120"/>
              <w:contextualSpacing/>
              <w:jc w:val="center"/>
              <w:rPr>
                <w:rFonts w:ascii="Arial" w:eastAsia="Calibri" w:hAnsi="Arial" w:cs="Arial"/>
                <w:b/>
                <w:bCs/>
                <w:sz w:val="24"/>
                <w:szCs w:val="24"/>
                <w:lang w:eastAsia="en-GB"/>
              </w:rPr>
            </w:pPr>
            <w:r>
              <w:rPr>
                <w:rFonts w:ascii="Arial" w:eastAsia="Calibri" w:hAnsi="Arial" w:cs="Arial"/>
                <w:b/>
                <w:bCs/>
                <w:sz w:val="24"/>
                <w:szCs w:val="24"/>
                <w:lang w:eastAsia="en-GB"/>
              </w:rPr>
              <w:t>2024</w:t>
            </w:r>
            <w:r w:rsidR="00862670">
              <w:rPr>
                <w:rFonts w:ascii="Arial" w:eastAsia="Calibri" w:hAnsi="Arial" w:cs="Arial"/>
                <w:b/>
                <w:bCs/>
                <w:sz w:val="24"/>
                <w:szCs w:val="24"/>
                <w:lang w:eastAsia="en-GB"/>
              </w:rPr>
              <w:t xml:space="preserve"> to </w:t>
            </w:r>
            <w:r>
              <w:rPr>
                <w:rFonts w:ascii="Arial" w:eastAsia="Calibri" w:hAnsi="Arial" w:cs="Arial"/>
                <w:b/>
                <w:bCs/>
                <w:sz w:val="24"/>
                <w:szCs w:val="24"/>
                <w:lang w:eastAsia="en-GB"/>
              </w:rPr>
              <w:t>2025</w:t>
            </w:r>
          </w:p>
        </w:tc>
        <w:tc>
          <w:tcPr>
            <w:tcW w:w="1635" w:type="dxa"/>
            <w:vAlign w:val="center"/>
          </w:tcPr>
          <w:p w14:paraId="71211DCB" w14:textId="3C4354BB" w:rsidR="00BC1CA6" w:rsidRPr="00B568F3" w:rsidRDefault="00CE647E">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188</w:t>
            </w:r>
          </w:p>
        </w:tc>
        <w:tc>
          <w:tcPr>
            <w:tcW w:w="1110" w:type="dxa"/>
            <w:vAlign w:val="center"/>
          </w:tcPr>
          <w:p w14:paraId="1E80E61D" w14:textId="66F82907" w:rsidR="00BC1CA6" w:rsidRPr="00B568F3" w:rsidRDefault="00202958">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-10.5%</w:t>
            </w:r>
          </w:p>
        </w:tc>
        <w:tc>
          <w:tcPr>
            <w:tcW w:w="1830" w:type="dxa"/>
            <w:vAlign w:val="center"/>
          </w:tcPr>
          <w:p w14:paraId="5208B9A1" w14:textId="4DD40EEF" w:rsidR="00BC1CA6" w:rsidRPr="00B568F3" w:rsidRDefault="00D54541">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228</w:t>
            </w:r>
          </w:p>
        </w:tc>
        <w:tc>
          <w:tcPr>
            <w:tcW w:w="1140" w:type="dxa"/>
            <w:vAlign w:val="center"/>
          </w:tcPr>
          <w:p w14:paraId="33C64030" w14:textId="3CA1953A" w:rsidR="00BC1CA6" w:rsidRPr="00B568F3" w:rsidRDefault="00D54541">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+2.7%</w:t>
            </w:r>
          </w:p>
        </w:tc>
      </w:tr>
      <w:tr w:rsidR="00BC1CA6" w:rsidRPr="00B568F3" w14:paraId="5893F725" w14:textId="77777777">
        <w:trPr>
          <w:jc w:val="center"/>
        </w:trPr>
        <w:tc>
          <w:tcPr>
            <w:tcW w:w="1670" w:type="dxa"/>
            <w:vAlign w:val="center"/>
          </w:tcPr>
          <w:p w14:paraId="2CEFCB3A" w14:textId="702CA41D"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2023</w:t>
            </w:r>
            <w:r w:rsidR="00862670">
              <w:rPr>
                <w:rFonts w:ascii="Arial" w:eastAsia="Calibri" w:hAnsi="Arial" w:cs="Arial"/>
                <w:b/>
                <w:bCs/>
                <w:sz w:val="24"/>
                <w:szCs w:val="24"/>
                <w:lang w:eastAsia="en-GB"/>
              </w:rPr>
              <w:t xml:space="preserve"> to </w:t>
            </w:r>
            <w:r w:rsidRPr="00B568F3">
              <w:rPr>
                <w:rFonts w:ascii="Arial" w:eastAsia="Calibri" w:hAnsi="Arial" w:cs="Arial"/>
                <w:b/>
                <w:bCs/>
                <w:sz w:val="24"/>
                <w:szCs w:val="24"/>
                <w:lang w:eastAsia="en-GB"/>
              </w:rPr>
              <w:t>2024</w:t>
            </w:r>
          </w:p>
        </w:tc>
        <w:tc>
          <w:tcPr>
            <w:tcW w:w="1635" w:type="dxa"/>
            <w:vAlign w:val="center"/>
          </w:tcPr>
          <w:p w14:paraId="065445DE" w14:textId="0D138AB5" w:rsidR="00BC1CA6" w:rsidRPr="00B568F3" w:rsidRDefault="00A524F6">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210</w:t>
            </w:r>
          </w:p>
        </w:tc>
        <w:tc>
          <w:tcPr>
            <w:tcW w:w="1110" w:type="dxa"/>
            <w:vAlign w:val="center"/>
          </w:tcPr>
          <w:p w14:paraId="6A09084C" w14:textId="0C93ACA7" w:rsidR="00BC1CA6" w:rsidRPr="00B568F3" w:rsidRDefault="00202958">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+16.0%</w:t>
            </w:r>
          </w:p>
        </w:tc>
        <w:tc>
          <w:tcPr>
            <w:tcW w:w="1830" w:type="dxa"/>
            <w:vAlign w:val="center"/>
          </w:tcPr>
          <w:p w14:paraId="779043B7" w14:textId="7036A1D0" w:rsidR="00BC1CA6" w:rsidRPr="00B568F3" w:rsidRDefault="00D54541">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222</w:t>
            </w:r>
          </w:p>
        </w:tc>
        <w:tc>
          <w:tcPr>
            <w:tcW w:w="1140" w:type="dxa"/>
            <w:vAlign w:val="center"/>
          </w:tcPr>
          <w:p w14:paraId="7482CA33" w14:textId="7C8ACD4A" w:rsidR="00BC1CA6" w:rsidRPr="00B568F3" w:rsidRDefault="00D54541">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+1.8%</w:t>
            </w:r>
          </w:p>
        </w:tc>
      </w:tr>
      <w:tr w:rsidR="00BC1CA6" w:rsidRPr="00B568F3" w14:paraId="6270C349" w14:textId="77777777">
        <w:trPr>
          <w:jc w:val="center"/>
        </w:trPr>
        <w:tc>
          <w:tcPr>
            <w:tcW w:w="1670" w:type="dxa"/>
            <w:vAlign w:val="center"/>
          </w:tcPr>
          <w:p w14:paraId="3F7D2095" w14:textId="7BA0D2A9" w:rsidR="00BC1CA6" w:rsidRPr="00B568F3" w:rsidRDefault="00BC1CA6">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2022</w:t>
            </w:r>
            <w:r w:rsidR="00862670">
              <w:rPr>
                <w:rFonts w:ascii="Arial" w:eastAsia="Calibri" w:hAnsi="Arial" w:cs="Arial"/>
                <w:b/>
                <w:bCs/>
                <w:sz w:val="24"/>
                <w:szCs w:val="24"/>
                <w:lang w:eastAsia="en-GB"/>
              </w:rPr>
              <w:t xml:space="preserve"> to </w:t>
            </w:r>
            <w:r w:rsidRPr="00B568F3">
              <w:rPr>
                <w:rFonts w:ascii="Arial" w:eastAsia="Calibri" w:hAnsi="Arial" w:cs="Arial"/>
                <w:b/>
                <w:bCs/>
                <w:sz w:val="24"/>
                <w:szCs w:val="24"/>
                <w:lang w:eastAsia="en-GB"/>
              </w:rPr>
              <w:t>2023</w:t>
            </w:r>
          </w:p>
        </w:tc>
        <w:tc>
          <w:tcPr>
            <w:tcW w:w="1635" w:type="dxa"/>
            <w:vAlign w:val="center"/>
          </w:tcPr>
          <w:p w14:paraId="3E57BB50" w14:textId="4DADF781" w:rsidR="00BC1CA6" w:rsidRPr="00B568F3" w:rsidRDefault="00A524F6">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181</w:t>
            </w:r>
          </w:p>
        </w:tc>
        <w:tc>
          <w:tcPr>
            <w:tcW w:w="1110" w:type="dxa"/>
            <w:vAlign w:val="center"/>
          </w:tcPr>
          <w:p w14:paraId="46B9B4F8" w14:textId="5E952898" w:rsidR="00BC1CA6" w:rsidRPr="00B568F3" w:rsidRDefault="00202958">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+12.4%</w:t>
            </w:r>
          </w:p>
        </w:tc>
        <w:tc>
          <w:tcPr>
            <w:tcW w:w="1830" w:type="dxa"/>
            <w:vAlign w:val="center"/>
          </w:tcPr>
          <w:p w14:paraId="5D605DD1" w14:textId="019A5F0D" w:rsidR="00BC1CA6" w:rsidRPr="00B568F3" w:rsidRDefault="00D54541">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218</w:t>
            </w:r>
          </w:p>
        </w:tc>
        <w:tc>
          <w:tcPr>
            <w:tcW w:w="1140" w:type="dxa"/>
            <w:vAlign w:val="center"/>
          </w:tcPr>
          <w:p w14:paraId="54FBFEF4" w14:textId="0526AC43" w:rsidR="00BC1CA6" w:rsidRPr="00B568F3" w:rsidRDefault="00D54541">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-1.4%</w:t>
            </w:r>
          </w:p>
        </w:tc>
      </w:tr>
      <w:tr w:rsidR="00BC1CA6" w:rsidRPr="00B568F3" w14:paraId="0468BF02" w14:textId="77777777">
        <w:trPr>
          <w:jc w:val="center"/>
        </w:trPr>
        <w:tc>
          <w:tcPr>
            <w:tcW w:w="7385" w:type="dxa"/>
            <w:gridSpan w:val="5"/>
            <w:tcBorders>
              <w:left w:val="nil"/>
              <w:bottom w:val="nil"/>
              <w:right w:val="nil"/>
            </w:tcBorders>
            <w:vAlign w:val="center"/>
          </w:tcPr>
          <w:p w14:paraId="1B00AFE6" w14:textId="21CCFBCD" w:rsidR="00BC1CA6" w:rsidRPr="00C92ECE" w:rsidRDefault="00AD482F">
            <w:pPr>
              <w:spacing w:before="120" w:after="120"/>
              <w:contextualSpacing/>
              <w:jc w:val="right"/>
              <w:rPr>
                <w:rFonts w:ascii="Arial" w:eastAsia="Calibri" w:hAnsi="Arial" w:cs="Arial"/>
                <w:sz w:val="20"/>
                <w:szCs w:val="20"/>
                <w:lang w:eastAsia="en-GB"/>
              </w:rPr>
            </w:pPr>
            <w:r w:rsidRPr="00AD482F">
              <w:rPr>
                <w:rFonts w:ascii="Arial" w:eastAsia="Calibri" w:hAnsi="Arial" w:cs="Arial"/>
                <w:i/>
                <w:iCs/>
                <w:sz w:val="20"/>
                <w:szCs w:val="20"/>
                <w:lang w:eastAsia="en-GB"/>
              </w:rPr>
              <w:t>Figures are for those enrolled during the year minus numbers withdrawing</w:t>
            </w:r>
          </w:p>
        </w:tc>
      </w:tr>
    </w:tbl>
    <w:p w14:paraId="2FB87A1A" w14:textId="77777777" w:rsidR="00BC1CA6" w:rsidRDefault="00BC1CA6" w:rsidP="002535AA">
      <w:pPr>
        <w:spacing w:after="200" w:line="276" w:lineRule="auto"/>
        <w:ind w:left="567"/>
        <w:contextualSpacing/>
        <w:rPr>
          <w:rFonts w:ascii="Arial" w:eastAsia="Calibri" w:hAnsi="Arial" w:cs="Arial"/>
          <w:sz w:val="24"/>
          <w:szCs w:val="24"/>
        </w:rPr>
      </w:pPr>
    </w:p>
    <w:p w14:paraId="2181A14A" w14:textId="4434F6B0" w:rsidR="00216526" w:rsidRDefault="00D1530E" w:rsidP="00632461">
      <w:pPr>
        <w:numPr>
          <w:ilvl w:val="0"/>
          <w:numId w:val="6"/>
        </w:numPr>
        <w:spacing w:after="200" w:line="276" w:lineRule="auto"/>
        <w:ind w:left="567" w:hanging="425"/>
        <w:contextualSpacing/>
        <w:rPr>
          <w:rFonts w:ascii="Arial" w:eastAsia="Calibri" w:hAnsi="Arial" w:cs="Arial"/>
          <w:sz w:val="24"/>
          <w:szCs w:val="24"/>
          <w:lang w:eastAsia="en-GB"/>
        </w:rPr>
      </w:pPr>
      <w:r w:rsidRPr="00D1530E">
        <w:rPr>
          <w:rFonts w:ascii="Arial" w:eastAsia="Calibri" w:hAnsi="Arial" w:cs="Arial"/>
          <w:sz w:val="24"/>
          <w:szCs w:val="24"/>
        </w:rPr>
        <w:t>In 2024</w:t>
      </w:r>
      <w:r>
        <w:rPr>
          <w:rFonts w:ascii="Arial" w:eastAsia="Calibri" w:hAnsi="Arial" w:cs="Arial"/>
          <w:sz w:val="24"/>
          <w:szCs w:val="24"/>
        </w:rPr>
        <w:t xml:space="preserve"> to </w:t>
      </w:r>
      <w:r w:rsidRPr="00D1530E">
        <w:rPr>
          <w:rFonts w:ascii="Arial" w:eastAsia="Calibri" w:hAnsi="Arial" w:cs="Arial"/>
          <w:sz w:val="24"/>
          <w:szCs w:val="24"/>
        </w:rPr>
        <w:t>2025, there was a reduction in the number of participants in the Newly Qualified Social Worker (NQSW) Programme</w:t>
      </w:r>
      <w:r>
        <w:rPr>
          <w:rFonts w:ascii="Arial" w:eastAsia="Calibri" w:hAnsi="Arial" w:cs="Arial"/>
          <w:sz w:val="24"/>
          <w:szCs w:val="24"/>
        </w:rPr>
        <w:t xml:space="preserve"> (</w:t>
      </w:r>
      <w:r w:rsidR="008B217E">
        <w:rPr>
          <w:rFonts w:ascii="Arial" w:eastAsia="Calibri" w:hAnsi="Arial" w:cs="Arial"/>
          <w:sz w:val="24"/>
          <w:szCs w:val="24"/>
        </w:rPr>
        <w:t xml:space="preserve">decreased by </w:t>
      </w:r>
      <w:r w:rsidR="00CE1F9F">
        <w:rPr>
          <w:rFonts w:ascii="Arial" w:eastAsia="Calibri" w:hAnsi="Arial" w:cs="Arial"/>
          <w:sz w:val="24"/>
          <w:szCs w:val="24"/>
        </w:rPr>
        <w:t>10.5</w:t>
      </w:r>
      <w:r w:rsidR="008B217E">
        <w:rPr>
          <w:rFonts w:ascii="Arial" w:eastAsia="Calibri" w:hAnsi="Arial" w:cs="Arial"/>
          <w:sz w:val="24"/>
          <w:szCs w:val="24"/>
        </w:rPr>
        <w:t xml:space="preserve"> per cent)</w:t>
      </w:r>
      <w:r w:rsidRPr="00D1530E">
        <w:rPr>
          <w:rFonts w:ascii="Arial" w:eastAsia="Calibri" w:hAnsi="Arial" w:cs="Arial"/>
          <w:sz w:val="24"/>
          <w:szCs w:val="24"/>
        </w:rPr>
        <w:t xml:space="preserve"> and </w:t>
      </w:r>
      <w:r w:rsidR="00CE1F9F">
        <w:rPr>
          <w:rFonts w:ascii="Arial" w:eastAsia="Calibri" w:hAnsi="Arial" w:cs="Arial"/>
          <w:sz w:val="24"/>
          <w:szCs w:val="24"/>
        </w:rPr>
        <w:t xml:space="preserve">an increase in the number participating in </w:t>
      </w:r>
      <w:r w:rsidRPr="00D1530E">
        <w:rPr>
          <w:rFonts w:ascii="Arial" w:eastAsia="Calibri" w:hAnsi="Arial" w:cs="Arial"/>
          <w:sz w:val="24"/>
          <w:szCs w:val="24"/>
        </w:rPr>
        <w:t>the Consolidation Programme</w:t>
      </w:r>
      <w:r w:rsidR="008B217E">
        <w:rPr>
          <w:rFonts w:ascii="Arial" w:eastAsia="Calibri" w:hAnsi="Arial" w:cs="Arial"/>
          <w:sz w:val="24"/>
          <w:szCs w:val="24"/>
        </w:rPr>
        <w:t xml:space="preserve"> (</w:t>
      </w:r>
      <w:r w:rsidR="00CE1F9F">
        <w:rPr>
          <w:rFonts w:ascii="Arial" w:eastAsia="Calibri" w:hAnsi="Arial" w:cs="Arial"/>
          <w:sz w:val="24"/>
          <w:szCs w:val="24"/>
        </w:rPr>
        <w:t xml:space="preserve">increased </w:t>
      </w:r>
      <w:r w:rsidR="008B217E">
        <w:rPr>
          <w:rFonts w:ascii="Arial" w:eastAsia="Calibri" w:hAnsi="Arial" w:cs="Arial"/>
          <w:sz w:val="24"/>
          <w:szCs w:val="24"/>
        </w:rPr>
        <w:t xml:space="preserve">by </w:t>
      </w:r>
      <w:r w:rsidR="00CE1F9F">
        <w:rPr>
          <w:rFonts w:ascii="Arial" w:eastAsia="Calibri" w:hAnsi="Arial" w:cs="Arial"/>
          <w:sz w:val="24"/>
          <w:szCs w:val="24"/>
        </w:rPr>
        <w:t>2.7</w:t>
      </w:r>
      <w:r w:rsidR="008B217E">
        <w:rPr>
          <w:rFonts w:ascii="Arial" w:eastAsia="Calibri" w:hAnsi="Arial" w:cs="Arial"/>
          <w:sz w:val="24"/>
          <w:szCs w:val="24"/>
        </w:rPr>
        <w:t xml:space="preserve"> per cent)</w:t>
      </w:r>
    </w:p>
    <w:p w14:paraId="211967DA" w14:textId="77777777" w:rsidR="00216526" w:rsidRDefault="00216526" w:rsidP="00C92ECE">
      <w:pPr>
        <w:spacing w:after="200" w:line="276" w:lineRule="auto"/>
        <w:ind w:left="567"/>
        <w:contextualSpacing/>
        <w:rPr>
          <w:rFonts w:ascii="Arial" w:eastAsia="Calibri" w:hAnsi="Arial" w:cs="Arial"/>
          <w:sz w:val="24"/>
          <w:szCs w:val="24"/>
          <w:lang w:eastAsia="en-GB"/>
        </w:rPr>
      </w:pPr>
    </w:p>
    <w:p w14:paraId="064739B7" w14:textId="4B65F926" w:rsidR="00FE4149" w:rsidRPr="007F248B" w:rsidRDefault="00CF3A83" w:rsidP="00FE4149">
      <w:pPr>
        <w:spacing w:after="200" w:line="276" w:lineRule="auto"/>
        <w:contextualSpacing/>
        <w:rPr>
          <w:rFonts w:ascii="Arial" w:eastAsia="Calibri" w:hAnsi="Arial" w:cs="Arial"/>
          <w:b/>
          <w:bCs/>
          <w:i/>
          <w:iCs/>
          <w:sz w:val="24"/>
          <w:szCs w:val="24"/>
        </w:rPr>
      </w:pPr>
      <w:r w:rsidRPr="007F248B">
        <w:rPr>
          <w:rFonts w:ascii="Arial" w:eastAsia="Calibri" w:hAnsi="Arial" w:cs="Arial"/>
          <w:b/>
          <w:bCs/>
          <w:i/>
          <w:iCs/>
          <w:sz w:val="24"/>
          <w:szCs w:val="24"/>
        </w:rPr>
        <w:t>Post qualifying awards</w:t>
      </w:r>
    </w:p>
    <w:p w14:paraId="75218355" w14:textId="77777777" w:rsidR="00CF3A83" w:rsidRPr="00B568F3" w:rsidRDefault="00CF3A83" w:rsidP="00FE4149">
      <w:pPr>
        <w:spacing w:after="200" w:line="276" w:lineRule="auto"/>
        <w:contextualSpacing/>
        <w:rPr>
          <w:rFonts w:ascii="Arial" w:eastAsia="Calibri" w:hAnsi="Arial" w:cs="Arial"/>
          <w:bCs/>
          <w:sz w:val="24"/>
          <w:szCs w:val="24"/>
        </w:rPr>
      </w:pPr>
    </w:p>
    <w:p w14:paraId="172B18AC" w14:textId="77777777" w:rsidR="008F67C9" w:rsidRDefault="005B3B2A" w:rsidP="008F67C9">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T</w:t>
      </w:r>
      <w:r w:rsidR="00357B42" w:rsidRPr="00B568F3">
        <w:rPr>
          <w:rFonts w:ascii="Arial" w:eastAsia="Calibri" w:hAnsi="Arial" w:cs="Arial"/>
          <w:sz w:val="24"/>
          <w:szCs w:val="24"/>
          <w:lang w:eastAsia="en-GB"/>
        </w:rPr>
        <w:t xml:space="preserve">able </w:t>
      </w:r>
      <w:r w:rsidR="007D408C" w:rsidRPr="00B568F3">
        <w:rPr>
          <w:rFonts w:ascii="Arial" w:eastAsia="Calibri" w:hAnsi="Arial" w:cs="Arial"/>
          <w:sz w:val="24"/>
          <w:szCs w:val="24"/>
          <w:lang w:eastAsia="en-GB"/>
        </w:rPr>
        <w:t>1</w:t>
      </w:r>
      <w:r w:rsidR="007D408C">
        <w:rPr>
          <w:rFonts w:ascii="Arial" w:eastAsia="Calibri" w:hAnsi="Arial" w:cs="Arial"/>
          <w:sz w:val="24"/>
          <w:szCs w:val="24"/>
          <w:lang w:eastAsia="en-GB"/>
        </w:rPr>
        <w:t>2</w:t>
      </w:r>
      <w:r w:rsidR="007D408C" w:rsidRPr="00B568F3">
        <w:rPr>
          <w:rFonts w:ascii="Arial" w:eastAsia="Calibri" w:hAnsi="Arial" w:cs="Arial"/>
          <w:sz w:val="24"/>
          <w:szCs w:val="24"/>
          <w:lang w:eastAsia="en-GB"/>
        </w:rPr>
        <w:t xml:space="preserve"> </w:t>
      </w:r>
      <w:r w:rsidR="00357B42" w:rsidRPr="00B568F3">
        <w:rPr>
          <w:rFonts w:ascii="Arial" w:eastAsia="Calibri" w:hAnsi="Arial" w:cs="Arial"/>
          <w:sz w:val="24"/>
          <w:szCs w:val="24"/>
          <w:lang w:eastAsia="en-GB"/>
        </w:rPr>
        <w:t>shows the three</w:t>
      </w:r>
      <w:r w:rsidR="00E833D0" w:rsidRPr="00B568F3">
        <w:rPr>
          <w:rFonts w:ascii="Arial" w:eastAsia="Calibri" w:hAnsi="Arial" w:cs="Arial"/>
          <w:sz w:val="24"/>
          <w:szCs w:val="24"/>
          <w:lang w:eastAsia="en-GB"/>
        </w:rPr>
        <w:t>-</w:t>
      </w:r>
      <w:r w:rsidR="00357B42" w:rsidRPr="00B568F3">
        <w:rPr>
          <w:rFonts w:ascii="Arial" w:eastAsia="Calibri" w:hAnsi="Arial" w:cs="Arial"/>
          <w:sz w:val="24"/>
          <w:szCs w:val="24"/>
          <w:lang w:eastAsia="en-GB"/>
        </w:rPr>
        <w:t>year trend</w:t>
      </w:r>
      <w:r>
        <w:rPr>
          <w:rFonts w:ascii="Arial" w:eastAsia="Calibri" w:hAnsi="Arial" w:cs="Arial"/>
          <w:sz w:val="24"/>
          <w:szCs w:val="24"/>
          <w:lang w:eastAsia="en-GB"/>
        </w:rPr>
        <w:t xml:space="preserve"> in the </w:t>
      </w:r>
      <w:r w:rsidRPr="00B568F3">
        <w:rPr>
          <w:rFonts w:ascii="Arial" w:eastAsia="Calibri" w:hAnsi="Arial" w:cs="Arial"/>
          <w:sz w:val="24"/>
          <w:szCs w:val="24"/>
          <w:lang w:eastAsia="en-GB"/>
        </w:rPr>
        <w:t>levels of engagement in post qualifying specialist awards</w:t>
      </w:r>
      <w:r w:rsidR="00357B42" w:rsidRPr="00B568F3">
        <w:rPr>
          <w:rFonts w:ascii="Arial" w:eastAsia="Calibri" w:hAnsi="Arial" w:cs="Arial"/>
          <w:sz w:val="24"/>
          <w:szCs w:val="24"/>
          <w:lang w:eastAsia="en-GB"/>
        </w:rPr>
        <w:t>.</w:t>
      </w:r>
    </w:p>
    <w:p w14:paraId="50C25A75" w14:textId="77777777" w:rsidR="00691A90" w:rsidRDefault="00691A90" w:rsidP="00691A90">
      <w:pPr>
        <w:spacing w:after="200" w:line="276" w:lineRule="auto"/>
        <w:ind w:left="567"/>
        <w:contextualSpacing/>
        <w:rPr>
          <w:rFonts w:ascii="Arial" w:eastAsia="Calibri" w:hAnsi="Arial" w:cs="Arial"/>
          <w:sz w:val="24"/>
          <w:szCs w:val="24"/>
          <w:lang w:eastAsia="en-GB"/>
        </w:rPr>
      </w:pPr>
    </w:p>
    <w:p w14:paraId="46DAEBC2" w14:textId="077FEDAA" w:rsidR="008F67C9" w:rsidRPr="00691A90" w:rsidRDefault="00691A90" w:rsidP="00691A90">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A total of </w:t>
      </w:r>
      <w:r w:rsidR="008F67C9" w:rsidRPr="00691A90">
        <w:rPr>
          <w:rFonts w:ascii="Arial" w:eastAsia="Calibri" w:hAnsi="Arial" w:cs="Arial"/>
          <w:sz w:val="24"/>
          <w:szCs w:val="24"/>
          <w:lang w:eastAsia="en-GB"/>
        </w:rPr>
        <w:t xml:space="preserve">171 people </w:t>
      </w:r>
      <w:r>
        <w:rPr>
          <w:rFonts w:ascii="Arial" w:eastAsia="Calibri" w:hAnsi="Arial" w:cs="Arial"/>
          <w:sz w:val="24"/>
          <w:szCs w:val="24"/>
          <w:lang w:eastAsia="en-GB"/>
        </w:rPr>
        <w:t xml:space="preserve">were supported </w:t>
      </w:r>
      <w:r w:rsidR="008F67C9" w:rsidRPr="00691A90">
        <w:rPr>
          <w:rFonts w:ascii="Arial" w:eastAsia="Calibri" w:hAnsi="Arial" w:cs="Arial"/>
          <w:sz w:val="24"/>
          <w:szCs w:val="24"/>
          <w:lang w:eastAsia="en-GB"/>
        </w:rPr>
        <w:t>with social work post qualifying specialist</w:t>
      </w:r>
      <w:r>
        <w:rPr>
          <w:rFonts w:ascii="Arial" w:eastAsia="Calibri" w:hAnsi="Arial" w:cs="Arial"/>
          <w:sz w:val="24"/>
          <w:szCs w:val="24"/>
          <w:lang w:eastAsia="en-GB"/>
        </w:rPr>
        <w:t xml:space="preserve"> </w:t>
      </w:r>
      <w:r w:rsidR="00F00F70">
        <w:rPr>
          <w:rFonts w:ascii="Arial" w:eastAsia="Calibri" w:hAnsi="Arial" w:cs="Arial"/>
          <w:sz w:val="24"/>
          <w:szCs w:val="24"/>
          <w:lang w:eastAsia="en-GB"/>
        </w:rPr>
        <w:t>awards</w:t>
      </w:r>
      <w:r w:rsidR="00993096">
        <w:rPr>
          <w:rFonts w:ascii="Arial" w:eastAsia="Calibri" w:hAnsi="Arial" w:cs="Arial"/>
          <w:sz w:val="24"/>
          <w:szCs w:val="24"/>
          <w:lang w:eastAsia="en-GB"/>
        </w:rPr>
        <w:t xml:space="preserve"> </w:t>
      </w:r>
      <w:r w:rsidR="00F00F70">
        <w:rPr>
          <w:rFonts w:ascii="Arial" w:eastAsia="Calibri" w:hAnsi="Arial" w:cs="Arial"/>
          <w:sz w:val="24"/>
          <w:szCs w:val="24"/>
          <w:lang w:eastAsia="en-GB"/>
        </w:rPr>
        <w:t>(</w:t>
      </w:r>
      <w:r w:rsidR="00BB5B6D">
        <w:rPr>
          <w:rFonts w:ascii="Arial" w:eastAsia="Calibri" w:hAnsi="Arial" w:cs="Arial"/>
          <w:sz w:val="24"/>
          <w:szCs w:val="24"/>
          <w:lang w:eastAsia="en-GB"/>
        </w:rPr>
        <w:t>E</w:t>
      </w:r>
      <w:r w:rsidR="008F67C9" w:rsidRPr="00691A90">
        <w:rPr>
          <w:rFonts w:ascii="Arial" w:eastAsia="Calibri" w:hAnsi="Arial" w:cs="Arial"/>
          <w:sz w:val="24"/>
          <w:szCs w:val="24"/>
          <w:lang w:eastAsia="en-GB"/>
        </w:rPr>
        <w:t xml:space="preserve">nabling </w:t>
      </w:r>
      <w:r w:rsidR="00BB5B6D">
        <w:rPr>
          <w:rFonts w:ascii="Arial" w:eastAsia="Calibri" w:hAnsi="Arial" w:cs="Arial"/>
          <w:sz w:val="24"/>
          <w:szCs w:val="24"/>
          <w:lang w:eastAsia="en-GB"/>
        </w:rPr>
        <w:t>P</w:t>
      </w:r>
      <w:r w:rsidR="008F67C9" w:rsidRPr="00691A90">
        <w:rPr>
          <w:rFonts w:ascii="Arial" w:eastAsia="Calibri" w:hAnsi="Arial" w:cs="Arial"/>
          <w:sz w:val="24"/>
          <w:szCs w:val="24"/>
          <w:lang w:eastAsia="en-GB"/>
        </w:rPr>
        <w:t xml:space="preserve">ractice, </w:t>
      </w:r>
      <w:r w:rsidR="00BB5B6D">
        <w:rPr>
          <w:rFonts w:ascii="Arial" w:eastAsia="Calibri" w:hAnsi="Arial" w:cs="Arial"/>
          <w:sz w:val="24"/>
          <w:szCs w:val="24"/>
          <w:lang w:eastAsia="en-GB"/>
        </w:rPr>
        <w:t>B</w:t>
      </w:r>
      <w:r w:rsidR="008F67C9" w:rsidRPr="00691A90">
        <w:rPr>
          <w:rFonts w:ascii="Arial" w:eastAsia="Calibri" w:hAnsi="Arial" w:cs="Arial"/>
          <w:sz w:val="24"/>
          <w:szCs w:val="24"/>
          <w:lang w:eastAsia="en-GB"/>
        </w:rPr>
        <w:t xml:space="preserve">est </w:t>
      </w:r>
      <w:r w:rsidR="00BB5B6D">
        <w:rPr>
          <w:rFonts w:ascii="Arial" w:eastAsia="Calibri" w:hAnsi="Arial" w:cs="Arial"/>
          <w:sz w:val="24"/>
          <w:szCs w:val="24"/>
          <w:lang w:eastAsia="en-GB"/>
        </w:rPr>
        <w:t>I</w:t>
      </w:r>
      <w:r w:rsidR="008F67C9" w:rsidRPr="00691A90">
        <w:rPr>
          <w:rFonts w:ascii="Arial" w:eastAsia="Calibri" w:hAnsi="Arial" w:cs="Arial"/>
          <w:sz w:val="24"/>
          <w:szCs w:val="24"/>
          <w:lang w:eastAsia="en-GB"/>
        </w:rPr>
        <w:t xml:space="preserve">nterest </w:t>
      </w:r>
      <w:r w:rsidR="00BB5B6D">
        <w:rPr>
          <w:rFonts w:ascii="Arial" w:eastAsia="Calibri" w:hAnsi="Arial" w:cs="Arial"/>
          <w:sz w:val="24"/>
          <w:szCs w:val="24"/>
          <w:lang w:eastAsia="en-GB"/>
        </w:rPr>
        <w:t>A</w:t>
      </w:r>
      <w:r w:rsidR="008F67C9" w:rsidRPr="00691A90">
        <w:rPr>
          <w:rFonts w:ascii="Arial" w:eastAsia="Calibri" w:hAnsi="Arial" w:cs="Arial"/>
          <w:sz w:val="24"/>
          <w:szCs w:val="24"/>
          <w:lang w:eastAsia="en-GB"/>
        </w:rPr>
        <w:t>ssessor and Approved Mental Health Professional (AMHP)</w:t>
      </w:r>
      <w:r w:rsidR="00BB5B6D">
        <w:rPr>
          <w:rFonts w:ascii="Arial" w:eastAsia="Calibri" w:hAnsi="Arial" w:cs="Arial"/>
          <w:sz w:val="24"/>
          <w:szCs w:val="24"/>
          <w:lang w:eastAsia="en-GB"/>
        </w:rPr>
        <w:t>)</w:t>
      </w:r>
      <w:r w:rsidR="008F67C9" w:rsidRPr="00691A90">
        <w:rPr>
          <w:rFonts w:ascii="Arial" w:eastAsia="Calibri" w:hAnsi="Arial" w:cs="Arial"/>
          <w:sz w:val="24"/>
          <w:szCs w:val="24"/>
          <w:lang w:eastAsia="en-GB"/>
        </w:rPr>
        <w:t>. This was a decrease of 8.6 per cent on last year</w:t>
      </w:r>
      <w:r w:rsidR="00706395">
        <w:rPr>
          <w:rFonts w:ascii="Arial" w:eastAsia="Calibri" w:hAnsi="Arial" w:cs="Arial"/>
          <w:sz w:val="24"/>
          <w:szCs w:val="24"/>
          <w:lang w:eastAsia="en-GB"/>
        </w:rPr>
        <w:t>.</w:t>
      </w:r>
    </w:p>
    <w:p w14:paraId="25375D2C" w14:textId="77777777" w:rsidR="008F67C9" w:rsidRDefault="008F67C9" w:rsidP="00691A90">
      <w:pPr>
        <w:spacing w:after="200" w:line="276" w:lineRule="auto"/>
        <w:ind w:left="567"/>
        <w:contextualSpacing/>
        <w:rPr>
          <w:rFonts w:ascii="Arial" w:eastAsia="Calibri" w:hAnsi="Arial" w:cs="Arial"/>
          <w:sz w:val="24"/>
          <w:szCs w:val="24"/>
          <w:lang w:eastAsia="en-GB"/>
        </w:rPr>
      </w:pPr>
    </w:p>
    <w:p w14:paraId="4F67E594" w14:textId="77777777" w:rsidR="00357B42" w:rsidRPr="00B568F3" w:rsidRDefault="00357B42" w:rsidP="00FE4149">
      <w:pPr>
        <w:spacing w:after="200" w:line="276" w:lineRule="auto"/>
        <w:contextualSpacing/>
        <w:rPr>
          <w:rFonts w:ascii="Arial" w:eastAsia="Calibri" w:hAnsi="Arial" w:cs="Arial"/>
          <w:bCs/>
          <w:sz w:val="24"/>
          <w:szCs w:val="24"/>
        </w:rPr>
      </w:pPr>
    </w:p>
    <w:p w14:paraId="65568316" w14:textId="7B9BB66E" w:rsidR="00CF3A83" w:rsidRDefault="00CF3A83" w:rsidP="00CF3A83">
      <w:pPr>
        <w:spacing w:after="0" w:line="240" w:lineRule="auto"/>
        <w:rPr>
          <w:rFonts w:ascii="Arial" w:eastAsia="Calibri" w:hAnsi="Arial" w:cs="Arial"/>
          <w:b/>
          <w:bCs/>
          <w:sz w:val="24"/>
          <w:szCs w:val="24"/>
        </w:rPr>
      </w:pPr>
      <w:r w:rsidRPr="00B568F3">
        <w:rPr>
          <w:rFonts w:ascii="Arial" w:eastAsia="Calibri" w:hAnsi="Arial" w:cs="Arial"/>
          <w:b/>
          <w:bCs/>
          <w:sz w:val="24"/>
          <w:szCs w:val="24"/>
          <w:lang w:eastAsia="en-GB"/>
        </w:rPr>
        <w:t xml:space="preserve">Table </w:t>
      </w:r>
      <w:r w:rsidR="007D408C" w:rsidRPr="00B568F3">
        <w:rPr>
          <w:rFonts w:ascii="Arial" w:eastAsia="Calibri" w:hAnsi="Arial" w:cs="Arial"/>
          <w:b/>
          <w:bCs/>
          <w:sz w:val="24"/>
          <w:szCs w:val="24"/>
          <w:lang w:eastAsia="en-GB"/>
        </w:rPr>
        <w:t>1</w:t>
      </w:r>
      <w:r w:rsidR="007D408C">
        <w:rPr>
          <w:rFonts w:ascii="Arial" w:eastAsia="Calibri" w:hAnsi="Arial" w:cs="Arial"/>
          <w:b/>
          <w:bCs/>
          <w:sz w:val="24"/>
          <w:szCs w:val="24"/>
          <w:lang w:eastAsia="en-GB"/>
        </w:rPr>
        <w:t>2</w:t>
      </w:r>
      <w:r w:rsidRPr="00B568F3">
        <w:rPr>
          <w:rFonts w:ascii="Arial" w:eastAsia="Calibri" w:hAnsi="Arial" w:cs="Arial"/>
          <w:b/>
          <w:bCs/>
          <w:sz w:val="24"/>
          <w:szCs w:val="24"/>
          <w:lang w:eastAsia="en-GB"/>
        </w:rPr>
        <w:t xml:space="preserve">: </w:t>
      </w:r>
      <w:r w:rsidRPr="00B568F3">
        <w:rPr>
          <w:rFonts w:ascii="Arial" w:eastAsia="Calibri" w:hAnsi="Arial" w:cs="Arial"/>
          <w:b/>
          <w:bCs/>
          <w:sz w:val="24"/>
          <w:szCs w:val="24"/>
        </w:rPr>
        <w:t xml:space="preserve">Post qualifying </w:t>
      </w:r>
      <w:r w:rsidR="00867444" w:rsidRPr="00B568F3">
        <w:rPr>
          <w:rFonts w:ascii="Arial" w:eastAsia="Calibri" w:hAnsi="Arial" w:cs="Arial"/>
          <w:b/>
          <w:bCs/>
          <w:sz w:val="24"/>
          <w:szCs w:val="24"/>
        </w:rPr>
        <w:t xml:space="preserve">specialist </w:t>
      </w:r>
      <w:r w:rsidRPr="00B568F3">
        <w:rPr>
          <w:rFonts w:ascii="Arial" w:eastAsia="Calibri" w:hAnsi="Arial" w:cs="Arial"/>
          <w:b/>
          <w:bCs/>
          <w:sz w:val="24"/>
          <w:szCs w:val="24"/>
        </w:rPr>
        <w:t>awards</w:t>
      </w:r>
      <w:r w:rsidRPr="00B568F3">
        <w:rPr>
          <w:rFonts w:ascii="Arial" w:eastAsia="Calibri" w:hAnsi="Arial" w:cs="Arial"/>
          <w:b/>
          <w:bCs/>
          <w:sz w:val="24"/>
          <w:szCs w:val="24"/>
          <w:lang w:eastAsia="en-GB"/>
        </w:rPr>
        <w:t xml:space="preserve">, </w:t>
      </w:r>
      <w:r w:rsidR="00051ABE" w:rsidRPr="00B568F3">
        <w:rPr>
          <w:rFonts w:ascii="Arial" w:eastAsia="Calibri" w:hAnsi="Arial" w:cs="Arial"/>
          <w:b/>
          <w:bCs/>
          <w:sz w:val="24"/>
          <w:szCs w:val="24"/>
          <w:lang w:eastAsia="en-GB"/>
        </w:rPr>
        <w:t xml:space="preserve">the </w:t>
      </w:r>
      <w:r w:rsidRPr="00B568F3">
        <w:rPr>
          <w:rFonts w:ascii="Arial" w:eastAsia="Calibri" w:hAnsi="Arial" w:cs="Arial"/>
          <w:b/>
          <w:bCs/>
          <w:sz w:val="24"/>
          <w:szCs w:val="24"/>
        </w:rPr>
        <w:t>three</w:t>
      </w:r>
      <w:r w:rsidR="000D3094" w:rsidRPr="00B568F3">
        <w:rPr>
          <w:rFonts w:ascii="Arial" w:eastAsia="Calibri" w:hAnsi="Arial" w:cs="Arial"/>
          <w:b/>
          <w:bCs/>
          <w:sz w:val="24"/>
          <w:szCs w:val="24"/>
        </w:rPr>
        <w:t>-</w:t>
      </w:r>
      <w:r w:rsidRPr="00B568F3">
        <w:rPr>
          <w:rFonts w:ascii="Arial" w:eastAsia="Calibri" w:hAnsi="Arial" w:cs="Arial"/>
          <w:b/>
          <w:bCs/>
          <w:sz w:val="24"/>
          <w:szCs w:val="24"/>
        </w:rPr>
        <w:t>year trend</w:t>
      </w:r>
    </w:p>
    <w:p w14:paraId="72C63508" w14:textId="77777777" w:rsidR="009A0AC9" w:rsidRPr="00B568F3" w:rsidRDefault="009A0AC9" w:rsidP="00CF3A83">
      <w:pPr>
        <w:spacing w:after="0" w:line="240" w:lineRule="auto"/>
        <w:rPr>
          <w:rFonts w:ascii="Arial" w:eastAsia="Calibri" w:hAnsi="Arial" w:cs="Arial"/>
          <w:b/>
          <w:bCs/>
          <w:sz w:val="24"/>
          <w:szCs w:val="24"/>
          <w:lang w:eastAsia="en-GB"/>
        </w:rPr>
      </w:pPr>
    </w:p>
    <w:tbl>
      <w:tblPr>
        <w:tblStyle w:val="TableGrid"/>
        <w:tblW w:w="7694" w:type="dxa"/>
        <w:jc w:val="center"/>
        <w:tblLook w:val="04A0" w:firstRow="1" w:lastRow="0" w:firstColumn="1" w:lastColumn="0" w:noHBand="0" w:noVBand="1"/>
      </w:tblPr>
      <w:tblGrid>
        <w:gridCol w:w="1431"/>
        <w:gridCol w:w="2458"/>
        <w:gridCol w:w="2017"/>
        <w:gridCol w:w="1602"/>
        <w:gridCol w:w="186"/>
      </w:tblGrid>
      <w:tr w:rsidR="00662D34" w:rsidRPr="00B568F3" w14:paraId="79ACA0DA" w14:textId="77777777" w:rsidTr="007D408C">
        <w:trPr>
          <w:jc w:val="center"/>
        </w:trPr>
        <w:tc>
          <w:tcPr>
            <w:tcW w:w="1431" w:type="dxa"/>
            <w:vAlign w:val="center"/>
          </w:tcPr>
          <w:p w14:paraId="3B3748ED" w14:textId="05B80BA8"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Financial </w:t>
            </w:r>
            <w:r w:rsidR="009702A8">
              <w:rPr>
                <w:rFonts w:ascii="Arial" w:eastAsia="Calibri" w:hAnsi="Arial" w:cs="Arial"/>
                <w:b/>
                <w:bCs/>
                <w:sz w:val="24"/>
                <w:szCs w:val="24"/>
                <w:lang w:eastAsia="en-GB"/>
              </w:rPr>
              <w:t>y</w:t>
            </w:r>
            <w:r w:rsidRPr="00B568F3">
              <w:rPr>
                <w:rFonts w:ascii="Arial" w:eastAsia="Calibri" w:hAnsi="Arial" w:cs="Arial"/>
                <w:b/>
                <w:bCs/>
                <w:sz w:val="24"/>
                <w:szCs w:val="24"/>
                <w:lang w:eastAsia="en-GB"/>
              </w:rPr>
              <w:t>ear</w:t>
            </w:r>
          </w:p>
        </w:tc>
        <w:tc>
          <w:tcPr>
            <w:tcW w:w="2458" w:type="dxa"/>
            <w:vAlign w:val="center"/>
          </w:tcPr>
          <w:p w14:paraId="7A2C38FC" w14:textId="77777777"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Practice Assessor</w:t>
            </w:r>
          </w:p>
          <w:p w14:paraId="25DC986A" w14:textId="17B967CB"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 Level 6 or 7</w:t>
            </w:r>
          </w:p>
        </w:tc>
        <w:tc>
          <w:tcPr>
            <w:tcW w:w="2017" w:type="dxa"/>
            <w:vAlign w:val="center"/>
          </w:tcPr>
          <w:p w14:paraId="323201CE" w14:textId="0ED1A727"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Best Interest Assessor</w:t>
            </w:r>
          </w:p>
        </w:tc>
        <w:tc>
          <w:tcPr>
            <w:tcW w:w="1788" w:type="dxa"/>
            <w:gridSpan w:val="2"/>
            <w:vAlign w:val="center"/>
          </w:tcPr>
          <w:p w14:paraId="087B34FE" w14:textId="7A755DE1"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AMHP</w:t>
            </w:r>
          </w:p>
        </w:tc>
      </w:tr>
      <w:tr w:rsidR="00662D34" w:rsidRPr="00B568F3" w14:paraId="301788FE" w14:textId="77777777" w:rsidTr="007D408C">
        <w:trPr>
          <w:jc w:val="center"/>
        </w:trPr>
        <w:tc>
          <w:tcPr>
            <w:tcW w:w="1431" w:type="dxa"/>
            <w:vAlign w:val="center"/>
          </w:tcPr>
          <w:p w14:paraId="6EA3CE51" w14:textId="77777777" w:rsidR="00C86D37" w:rsidRPr="00B568F3" w:rsidRDefault="00C86D37">
            <w:pPr>
              <w:spacing w:before="120" w:after="120"/>
              <w:contextualSpacing/>
              <w:jc w:val="center"/>
              <w:rPr>
                <w:rFonts w:ascii="Arial" w:eastAsia="Calibri" w:hAnsi="Arial" w:cs="Arial"/>
                <w:b/>
                <w:bCs/>
                <w:sz w:val="24"/>
                <w:szCs w:val="24"/>
                <w:lang w:eastAsia="en-GB"/>
              </w:rPr>
            </w:pPr>
            <w:r>
              <w:rPr>
                <w:rFonts w:ascii="Arial" w:eastAsia="Calibri" w:hAnsi="Arial" w:cs="Arial"/>
                <w:b/>
                <w:bCs/>
                <w:sz w:val="24"/>
                <w:szCs w:val="24"/>
                <w:lang w:eastAsia="en-GB"/>
              </w:rPr>
              <w:t>2024/2025</w:t>
            </w:r>
          </w:p>
        </w:tc>
        <w:tc>
          <w:tcPr>
            <w:tcW w:w="2458" w:type="dxa"/>
            <w:vAlign w:val="center"/>
          </w:tcPr>
          <w:p w14:paraId="2D736F83" w14:textId="45C8346A" w:rsidR="00C86D37" w:rsidRPr="00B568F3" w:rsidRDefault="00C86D37">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128</w:t>
            </w:r>
          </w:p>
        </w:tc>
        <w:tc>
          <w:tcPr>
            <w:tcW w:w="2017" w:type="dxa"/>
            <w:vAlign w:val="center"/>
          </w:tcPr>
          <w:p w14:paraId="020340AA" w14:textId="17C8E0F8" w:rsidR="00C86D37" w:rsidRPr="00B568F3" w:rsidRDefault="00C86D37">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17</w:t>
            </w:r>
          </w:p>
        </w:tc>
        <w:tc>
          <w:tcPr>
            <w:tcW w:w="1788" w:type="dxa"/>
            <w:gridSpan w:val="2"/>
          </w:tcPr>
          <w:p w14:paraId="5AA9686A" w14:textId="72FE7C8B" w:rsidR="00C86D37" w:rsidRPr="00B568F3" w:rsidRDefault="00C86D37">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26</w:t>
            </w:r>
          </w:p>
        </w:tc>
      </w:tr>
      <w:tr w:rsidR="00662D34" w:rsidRPr="00B568F3" w14:paraId="34F0C003" w14:textId="77777777" w:rsidTr="007D408C">
        <w:trPr>
          <w:jc w:val="center"/>
        </w:trPr>
        <w:tc>
          <w:tcPr>
            <w:tcW w:w="1431" w:type="dxa"/>
            <w:vAlign w:val="center"/>
          </w:tcPr>
          <w:p w14:paraId="11EF53FD" w14:textId="77777777"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2023/2024</w:t>
            </w:r>
          </w:p>
        </w:tc>
        <w:tc>
          <w:tcPr>
            <w:tcW w:w="2458" w:type="dxa"/>
            <w:vAlign w:val="center"/>
          </w:tcPr>
          <w:p w14:paraId="33DEC5E9" w14:textId="28134A5C" w:rsidR="00C86D37" w:rsidRPr="00B568F3" w:rsidRDefault="00C86D37">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130</w:t>
            </w:r>
          </w:p>
        </w:tc>
        <w:tc>
          <w:tcPr>
            <w:tcW w:w="2017" w:type="dxa"/>
            <w:vAlign w:val="center"/>
          </w:tcPr>
          <w:p w14:paraId="3E950B99" w14:textId="111E8B0C" w:rsidR="00C86D37" w:rsidRPr="00B568F3" w:rsidRDefault="00C86D37">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30</w:t>
            </w:r>
          </w:p>
        </w:tc>
        <w:tc>
          <w:tcPr>
            <w:tcW w:w="1788" w:type="dxa"/>
            <w:gridSpan w:val="2"/>
          </w:tcPr>
          <w:p w14:paraId="290160F1" w14:textId="542ACB07" w:rsidR="00C86D37" w:rsidRPr="00B568F3" w:rsidRDefault="00C86D37">
            <w:pPr>
              <w:spacing w:before="120" w:after="120"/>
              <w:jc w:val="center"/>
              <w:rPr>
                <w:rFonts w:ascii="Arial" w:eastAsia="Calibri" w:hAnsi="Arial" w:cs="Arial"/>
                <w:sz w:val="24"/>
                <w:szCs w:val="24"/>
                <w:lang w:eastAsia="en-GB"/>
              </w:rPr>
            </w:pPr>
            <w:r>
              <w:rPr>
                <w:rFonts w:ascii="Arial" w:eastAsia="Calibri" w:hAnsi="Arial" w:cs="Arial"/>
                <w:sz w:val="24"/>
                <w:szCs w:val="24"/>
                <w:lang w:eastAsia="en-GB"/>
              </w:rPr>
              <w:t>27</w:t>
            </w:r>
          </w:p>
        </w:tc>
      </w:tr>
      <w:tr w:rsidR="00662D34" w:rsidRPr="00B568F3" w14:paraId="3BCA8965" w14:textId="77777777" w:rsidTr="007D408C">
        <w:trPr>
          <w:jc w:val="center"/>
        </w:trPr>
        <w:tc>
          <w:tcPr>
            <w:tcW w:w="1431" w:type="dxa"/>
            <w:vAlign w:val="center"/>
          </w:tcPr>
          <w:p w14:paraId="1303115A" w14:textId="77777777" w:rsidR="00C86D37" w:rsidRPr="00B568F3" w:rsidRDefault="00C86D37">
            <w:pPr>
              <w:spacing w:before="120" w:after="120"/>
              <w:contextualSpacing/>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2022/2023</w:t>
            </w:r>
          </w:p>
        </w:tc>
        <w:tc>
          <w:tcPr>
            <w:tcW w:w="2458" w:type="dxa"/>
            <w:vAlign w:val="center"/>
          </w:tcPr>
          <w:p w14:paraId="3991D14A" w14:textId="53DCE6E8" w:rsidR="00C86D37" w:rsidRPr="00B568F3" w:rsidRDefault="00C86D37">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97</w:t>
            </w:r>
          </w:p>
        </w:tc>
        <w:tc>
          <w:tcPr>
            <w:tcW w:w="2017" w:type="dxa"/>
            <w:vAlign w:val="center"/>
          </w:tcPr>
          <w:p w14:paraId="4BD741C6" w14:textId="2F49515A" w:rsidR="00C86D37" w:rsidRPr="00B568F3" w:rsidRDefault="00C86D37">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44</w:t>
            </w:r>
          </w:p>
        </w:tc>
        <w:tc>
          <w:tcPr>
            <w:tcW w:w="1788" w:type="dxa"/>
            <w:gridSpan w:val="2"/>
          </w:tcPr>
          <w:p w14:paraId="3F0EF49A" w14:textId="21FD9443" w:rsidR="00C86D37" w:rsidRPr="00B568F3" w:rsidRDefault="00C86D37">
            <w:pPr>
              <w:spacing w:before="120" w:after="120"/>
              <w:contextualSpacing/>
              <w:jc w:val="center"/>
              <w:rPr>
                <w:rFonts w:ascii="Arial" w:eastAsia="Calibri" w:hAnsi="Arial" w:cs="Arial"/>
                <w:sz w:val="24"/>
                <w:szCs w:val="24"/>
                <w:lang w:eastAsia="en-GB"/>
              </w:rPr>
            </w:pPr>
            <w:r>
              <w:rPr>
                <w:rFonts w:ascii="Arial" w:eastAsia="Calibri" w:hAnsi="Arial" w:cs="Arial"/>
                <w:sz w:val="24"/>
                <w:szCs w:val="24"/>
                <w:lang w:eastAsia="en-GB"/>
              </w:rPr>
              <w:t>24</w:t>
            </w:r>
          </w:p>
        </w:tc>
      </w:tr>
      <w:tr w:rsidR="009E162A" w:rsidRPr="00B568F3" w14:paraId="48AB14F0" w14:textId="77777777" w:rsidTr="007D408C">
        <w:trPr>
          <w:gridAfter w:val="1"/>
          <w:wAfter w:w="186" w:type="dxa"/>
          <w:jc w:val="center"/>
        </w:trPr>
        <w:tc>
          <w:tcPr>
            <w:tcW w:w="7508" w:type="dxa"/>
            <w:gridSpan w:val="4"/>
            <w:tcBorders>
              <w:left w:val="nil"/>
              <w:bottom w:val="nil"/>
              <w:right w:val="nil"/>
            </w:tcBorders>
            <w:vAlign w:val="center"/>
          </w:tcPr>
          <w:p w14:paraId="6405AC2D" w14:textId="77777777" w:rsidR="009E162A" w:rsidRPr="00B568F3" w:rsidRDefault="009E162A">
            <w:pPr>
              <w:spacing w:before="120" w:after="120"/>
              <w:contextualSpacing/>
              <w:jc w:val="right"/>
              <w:rPr>
                <w:rFonts w:ascii="Arial" w:eastAsia="Calibri" w:hAnsi="Arial" w:cs="Arial"/>
                <w:i/>
                <w:iCs/>
                <w:lang w:eastAsia="en-GB"/>
              </w:rPr>
            </w:pPr>
            <w:r w:rsidRPr="00AD482F">
              <w:rPr>
                <w:rFonts w:ascii="Arial" w:eastAsia="Calibri" w:hAnsi="Arial" w:cs="Arial"/>
                <w:i/>
                <w:iCs/>
                <w:sz w:val="20"/>
                <w:szCs w:val="20"/>
                <w:lang w:eastAsia="en-GB"/>
              </w:rPr>
              <w:t>Figures are for those enrolled during the year minus numbers withdrawing</w:t>
            </w:r>
          </w:p>
        </w:tc>
      </w:tr>
    </w:tbl>
    <w:p w14:paraId="19DADD62" w14:textId="77777777" w:rsidR="009E162A" w:rsidRDefault="009E162A" w:rsidP="000A72F5">
      <w:pPr>
        <w:pStyle w:val="ListParagraph"/>
        <w:spacing w:after="200" w:line="276" w:lineRule="auto"/>
        <w:rPr>
          <w:rFonts w:ascii="Arial" w:eastAsia="Calibri" w:hAnsi="Arial" w:cs="Arial"/>
          <w:bCs/>
          <w:sz w:val="24"/>
          <w:szCs w:val="24"/>
        </w:rPr>
      </w:pPr>
    </w:p>
    <w:p w14:paraId="5C5A55B3" w14:textId="11694214" w:rsidR="00215B6D" w:rsidRDefault="00104CA2" w:rsidP="00632461">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lastRenderedPageBreak/>
        <w:t>In 2024 to 2025 t</w:t>
      </w:r>
      <w:r w:rsidR="004A1520" w:rsidRPr="00B568F3">
        <w:rPr>
          <w:rFonts w:ascii="Arial" w:eastAsia="Calibri" w:hAnsi="Arial" w:cs="Arial"/>
          <w:sz w:val="24"/>
          <w:szCs w:val="24"/>
        </w:rPr>
        <w:t>he n</w:t>
      </w:r>
      <w:r w:rsidR="005E006D" w:rsidRPr="00B568F3">
        <w:rPr>
          <w:rFonts w:ascii="Arial" w:eastAsia="Calibri" w:hAnsi="Arial" w:cs="Arial"/>
          <w:sz w:val="24"/>
          <w:szCs w:val="24"/>
        </w:rPr>
        <w:t>umbers</w:t>
      </w:r>
      <w:r w:rsidR="004A1520" w:rsidRPr="00B568F3">
        <w:rPr>
          <w:rFonts w:ascii="Arial" w:eastAsia="Calibri" w:hAnsi="Arial" w:cs="Arial"/>
          <w:sz w:val="24"/>
          <w:szCs w:val="24"/>
        </w:rPr>
        <w:t xml:space="preserve"> of those </w:t>
      </w:r>
      <w:r w:rsidR="00036FEA" w:rsidRPr="00B568F3">
        <w:rPr>
          <w:rFonts w:ascii="Arial" w:eastAsia="Calibri" w:hAnsi="Arial" w:cs="Arial"/>
          <w:sz w:val="24"/>
          <w:szCs w:val="24"/>
        </w:rPr>
        <w:t xml:space="preserve">taking </w:t>
      </w:r>
      <w:r w:rsidR="004A1520" w:rsidRPr="00B568F3">
        <w:rPr>
          <w:rFonts w:ascii="Arial" w:eastAsia="Calibri" w:hAnsi="Arial" w:cs="Arial"/>
          <w:sz w:val="24"/>
          <w:szCs w:val="24"/>
        </w:rPr>
        <w:t>p</w:t>
      </w:r>
      <w:r w:rsidR="005E006D" w:rsidRPr="00B568F3">
        <w:rPr>
          <w:rFonts w:ascii="Arial" w:eastAsia="Calibri" w:hAnsi="Arial" w:cs="Arial"/>
          <w:sz w:val="24"/>
          <w:szCs w:val="24"/>
        </w:rPr>
        <w:t xml:space="preserve">ost </w:t>
      </w:r>
      <w:r w:rsidR="004A1520" w:rsidRPr="00B568F3">
        <w:rPr>
          <w:rFonts w:ascii="Arial" w:eastAsia="Calibri" w:hAnsi="Arial" w:cs="Arial"/>
          <w:sz w:val="24"/>
          <w:szCs w:val="24"/>
        </w:rPr>
        <w:t>q</w:t>
      </w:r>
      <w:r w:rsidR="005E006D" w:rsidRPr="00B568F3">
        <w:rPr>
          <w:rFonts w:ascii="Arial" w:eastAsia="Calibri" w:hAnsi="Arial" w:cs="Arial"/>
          <w:sz w:val="24"/>
          <w:szCs w:val="24"/>
        </w:rPr>
        <w:t xml:space="preserve">ualifying </w:t>
      </w:r>
      <w:r w:rsidR="00385710" w:rsidRPr="00B568F3">
        <w:rPr>
          <w:rFonts w:ascii="Arial" w:eastAsia="Calibri" w:hAnsi="Arial" w:cs="Arial"/>
          <w:sz w:val="24"/>
          <w:szCs w:val="24"/>
        </w:rPr>
        <w:t xml:space="preserve">specialists </w:t>
      </w:r>
      <w:r w:rsidR="005E006D" w:rsidRPr="00B568F3">
        <w:rPr>
          <w:rFonts w:ascii="Arial" w:eastAsia="Calibri" w:hAnsi="Arial" w:cs="Arial"/>
          <w:sz w:val="24"/>
          <w:szCs w:val="24"/>
        </w:rPr>
        <w:t xml:space="preserve">awards </w:t>
      </w:r>
      <w:r w:rsidR="00523CF0" w:rsidRPr="00B568F3">
        <w:rPr>
          <w:rFonts w:ascii="Arial" w:eastAsia="Calibri" w:hAnsi="Arial" w:cs="Arial"/>
          <w:sz w:val="24"/>
          <w:szCs w:val="24"/>
        </w:rPr>
        <w:t>have</w:t>
      </w:r>
      <w:r w:rsidR="00215B6D">
        <w:rPr>
          <w:rFonts w:ascii="Arial" w:eastAsia="Calibri" w:hAnsi="Arial" w:cs="Arial"/>
          <w:sz w:val="24"/>
          <w:szCs w:val="24"/>
        </w:rPr>
        <w:t>:</w:t>
      </w:r>
    </w:p>
    <w:p w14:paraId="523CF8D9" w14:textId="3A1965B2" w:rsidR="001D65FC" w:rsidRPr="00344C07" w:rsidRDefault="00C908FA" w:rsidP="007D408C">
      <w:pPr>
        <w:numPr>
          <w:ilvl w:val="0"/>
          <w:numId w:val="12"/>
        </w:numPr>
        <w:spacing w:after="0" w:line="276" w:lineRule="auto"/>
        <w:contextualSpacing/>
        <w:rPr>
          <w:rFonts w:ascii="Arial" w:eastAsia="Calibri" w:hAnsi="Arial" w:cs="Arial"/>
          <w:sz w:val="24"/>
          <w:szCs w:val="24"/>
        </w:rPr>
      </w:pPr>
      <w:r w:rsidRPr="00344C07">
        <w:rPr>
          <w:rFonts w:ascii="Arial" w:eastAsia="Calibri" w:hAnsi="Arial" w:cs="Arial"/>
          <w:sz w:val="24"/>
          <w:szCs w:val="24"/>
        </w:rPr>
        <w:t xml:space="preserve">decreased </w:t>
      </w:r>
      <w:r w:rsidR="00344C07" w:rsidRPr="00344C07">
        <w:rPr>
          <w:rFonts w:ascii="Arial" w:eastAsia="Calibri" w:hAnsi="Arial" w:cs="Arial"/>
          <w:sz w:val="24"/>
          <w:szCs w:val="24"/>
        </w:rPr>
        <w:t>slightly</w:t>
      </w:r>
      <w:r w:rsidR="00077811" w:rsidRPr="00344C07">
        <w:rPr>
          <w:rFonts w:ascii="Arial" w:eastAsia="Calibri" w:hAnsi="Arial" w:cs="Arial"/>
          <w:sz w:val="24"/>
          <w:szCs w:val="24"/>
        </w:rPr>
        <w:t xml:space="preserve"> for </w:t>
      </w:r>
      <w:r w:rsidR="00D820B6">
        <w:rPr>
          <w:rFonts w:ascii="Arial" w:eastAsia="Calibri" w:hAnsi="Arial" w:cs="Arial"/>
          <w:sz w:val="24"/>
          <w:szCs w:val="24"/>
        </w:rPr>
        <w:t>P</w:t>
      </w:r>
      <w:r w:rsidR="00077811" w:rsidRPr="00344C07">
        <w:rPr>
          <w:rFonts w:ascii="Arial" w:eastAsia="Calibri" w:hAnsi="Arial" w:cs="Arial"/>
          <w:sz w:val="24"/>
          <w:szCs w:val="24"/>
        </w:rPr>
        <w:t xml:space="preserve">ractice </w:t>
      </w:r>
      <w:r w:rsidR="00D820B6">
        <w:rPr>
          <w:rFonts w:ascii="Arial" w:eastAsia="Calibri" w:hAnsi="Arial" w:cs="Arial"/>
          <w:sz w:val="24"/>
          <w:szCs w:val="24"/>
        </w:rPr>
        <w:t>A</w:t>
      </w:r>
      <w:r w:rsidR="00077811" w:rsidRPr="00344C07">
        <w:rPr>
          <w:rFonts w:ascii="Arial" w:eastAsia="Calibri" w:hAnsi="Arial" w:cs="Arial"/>
          <w:sz w:val="24"/>
          <w:szCs w:val="24"/>
        </w:rPr>
        <w:t xml:space="preserve">ssessor </w:t>
      </w:r>
      <w:r w:rsidR="00D820B6">
        <w:rPr>
          <w:rFonts w:ascii="Arial" w:eastAsia="Calibri" w:hAnsi="Arial" w:cs="Arial"/>
          <w:sz w:val="24"/>
          <w:szCs w:val="24"/>
        </w:rPr>
        <w:t>l</w:t>
      </w:r>
      <w:r w:rsidR="00077811" w:rsidRPr="00344C07">
        <w:rPr>
          <w:rFonts w:ascii="Arial" w:eastAsia="Calibri" w:hAnsi="Arial" w:cs="Arial"/>
          <w:sz w:val="24"/>
          <w:szCs w:val="24"/>
        </w:rPr>
        <w:t>evel 6 or 7</w:t>
      </w:r>
    </w:p>
    <w:p w14:paraId="3F679622" w14:textId="69D01B63" w:rsidR="001D65FC" w:rsidRPr="00344C07" w:rsidRDefault="00104CA2" w:rsidP="007D408C">
      <w:pPr>
        <w:numPr>
          <w:ilvl w:val="0"/>
          <w:numId w:val="12"/>
        </w:numPr>
        <w:spacing w:after="0" w:line="276" w:lineRule="auto"/>
        <w:contextualSpacing/>
        <w:rPr>
          <w:rFonts w:ascii="Arial" w:eastAsia="Calibri" w:hAnsi="Arial" w:cs="Arial"/>
          <w:sz w:val="24"/>
          <w:szCs w:val="24"/>
        </w:rPr>
      </w:pPr>
      <w:r w:rsidRPr="00344C07">
        <w:rPr>
          <w:rFonts w:ascii="Arial" w:eastAsia="Calibri" w:hAnsi="Arial" w:cs="Arial"/>
          <w:sz w:val="24"/>
          <w:szCs w:val="24"/>
        </w:rPr>
        <w:t>n</w:t>
      </w:r>
      <w:r w:rsidR="001D65FC" w:rsidRPr="00344C07">
        <w:rPr>
          <w:rFonts w:ascii="Arial" w:eastAsia="Calibri" w:hAnsi="Arial" w:cs="Arial"/>
          <w:sz w:val="24"/>
          <w:szCs w:val="24"/>
        </w:rPr>
        <w:t xml:space="preserve">early </w:t>
      </w:r>
      <w:r w:rsidRPr="00344C07">
        <w:rPr>
          <w:rFonts w:ascii="Arial" w:eastAsia="Calibri" w:hAnsi="Arial" w:cs="Arial"/>
          <w:sz w:val="24"/>
          <w:szCs w:val="24"/>
        </w:rPr>
        <w:t>halved</w:t>
      </w:r>
      <w:r w:rsidR="001D65FC" w:rsidRPr="00344C07">
        <w:rPr>
          <w:rFonts w:ascii="Arial" w:eastAsia="Calibri" w:hAnsi="Arial" w:cs="Arial"/>
          <w:sz w:val="24"/>
          <w:szCs w:val="24"/>
        </w:rPr>
        <w:t xml:space="preserve"> for </w:t>
      </w:r>
      <w:r w:rsidR="00EC4CC1">
        <w:rPr>
          <w:rFonts w:ascii="Arial" w:eastAsia="Calibri" w:hAnsi="Arial" w:cs="Arial"/>
          <w:sz w:val="24"/>
          <w:szCs w:val="24"/>
        </w:rPr>
        <w:t>B</w:t>
      </w:r>
      <w:r w:rsidR="001D65FC" w:rsidRPr="00344C07">
        <w:rPr>
          <w:rFonts w:ascii="Arial" w:eastAsia="Calibri" w:hAnsi="Arial" w:cs="Arial"/>
          <w:sz w:val="24"/>
          <w:szCs w:val="24"/>
        </w:rPr>
        <w:t xml:space="preserve">est </w:t>
      </w:r>
      <w:r w:rsidR="00EC4CC1">
        <w:rPr>
          <w:rFonts w:ascii="Arial" w:eastAsia="Calibri" w:hAnsi="Arial" w:cs="Arial"/>
          <w:sz w:val="24"/>
          <w:szCs w:val="24"/>
        </w:rPr>
        <w:t>I</w:t>
      </w:r>
      <w:r w:rsidR="001D65FC" w:rsidRPr="00344C07">
        <w:rPr>
          <w:rFonts w:ascii="Arial" w:eastAsia="Calibri" w:hAnsi="Arial" w:cs="Arial"/>
          <w:sz w:val="24"/>
          <w:szCs w:val="24"/>
        </w:rPr>
        <w:t xml:space="preserve">nterest </w:t>
      </w:r>
      <w:r w:rsidR="00EC4CC1">
        <w:rPr>
          <w:rFonts w:ascii="Arial" w:eastAsia="Calibri" w:hAnsi="Arial" w:cs="Arial"/>
          <w:sz w:val="24"/>
          <w:szCs w:val="24"/>
        </w:rPr>
        <w:t>A</w:t>
      </w:r>
      <w:r w:rsidR="001D65FC" w:rsidRPr="00344C07">
        <w:rPr>
          <w:rFonts w:ascii="Arial" w:eastAsia="Calibri" w:hAnsi="Arial" w:cs="Arial"/>
          <w:sz w:val="24"/>
          <w:szCs w:val="24"/>
        </w:rPr>
        <w:t>ssessor</w:t>
      </w:r>
      <w:r w:rsidR="00741C70" w:rsidRPr="00344C07">
        <w:rPr>
          <w:rFonts w:ascii="Arial" w:eastAsia="Calibri" w:hAnsi="Arial" w:cs="Arial"/>
          <w:sz w:val="24"/>
          <w:szCs w:val="24"/>
        </w:rPr>
        <w:t xml:space="preserve"> </w:t>
      </w:r>
      <w:r w:rsidR="00741C70" w:rsidRPr="007D408C">
        <w:rPr>
          <w:rFonts w:ascii="Arial" w:eastAsia="Calibri" w:hAnsi="Arial" w:cs="Arial"/>
          <w:sz w:val="24"/>
          <w:szCs w:val="24"/>
        </w:rPr>
        <w:t>specialist awards</w:t>
      </w:r>
    </w:p>
    <w:p w14:paraId="32D2DEF5" w14:textId="5B9ECD96" w:rsidR="00854956" w:rsidRPr="00344C07" w:rsidRDefault="00741C70" w:rsidP="007D408C">
      <w:pPr>
        <w:numPr>
          <w:ilvl w:val="0"/>
          <w:numId w:val="12"/>
        </w:numPr>
        <w:spacing w:after="0" w:line="276" w:lineRule="auto"/>
        <w:contextualSpacing/>
        <w:rPr>
          <w:rFonts w:ascii="Arial" w:eastAsia="Calibri" w:hAnsi="Arial" w:cs="Arial"/>
          <w:sz w:val="24"/>
          <w:szCs w:val="24"/>
        </w:rPr>
      </w:pPr>
      <w:r w:rsidRPr="00344C07">
        <w:rPr>
          <w:rFonts w:ascii="Arial" w:eastAsia="Calibri" w:hAnsi="Arial" w:cs="Arial"/>
          <w:sz w:val="24"/>
          <w:szCs w:val="24"/>
        </w:rPr>
        <w:t>r</w:t>
      </w:r>
      <w:r w:rsidR="001D65FC" w:rsidRPr="00344C07">
        <w:rPr>
          <w:rFonts w:ascii="Arial" w:eastAsia="Calibri" w:hAnsi="Arial" w:cs="Arial"/>
          <w:sz w:val="24"/>
          <w:szCs w:val="24"/>
        </w:rPr>
        <w:t xml:space="preserve">emained constant for </w:t>
      </w:r>
      <w:r w:rsidR="00104CA2" w:rsidRPr="00344C07">
        <w:rPr>
          <w:rFonts w:ascii="Arial" w:eastAsia="Calibri" w:hAnsi="Arial" w:cs="Arial"/>
          <w:sz w:val="24"/>
          <w:szCs w:val="24"/>
        </w:rPr>
        <w:t>AMHP</w:t>
      </w:r>
      <w:r w:rsidRPr="00344C07">
        <w:rPr>
          <w:rFonts w:ascii="Arial" w:eastAsia="Calibri" w:hAnsi="Arial" w:cs="Arial"/>
          <w:sz w:val="24"/>
          <w:szCs w:val="24"/>
        </w:rPr>
        <w:t xml:space="preserve"> </w:t>
      </w:r>
      <w:r w:rsidRPr="007D408C">
        <w:rPr>
          <w:rFonts w:ascii="Arial" w:eastAsia="Calibri" w:hAnsi="Arial" w:cs="Arial"/>
          <w:sz w:val="24"/>
          <w:szCs w:val="24"/>
        </w:rPr>
        <w:t>specialist awards</w:t>
      </w:r>
      <w:r w:rsidR="00523CF0" w:rsidRPr="00344C07">
        <w:rPr>
          <w:rFonts w:ascii="Arial" w:eastAsia="Calibri" w:hAnsi="Arial" w:cs="Arial"/>
          <w:sz w:val="24"/>
          <w:szCs w:val="24"/>
        </w:rPr>
        <w:t xml:space="preserve">. </w:t>
      </w:r>
    </w:p>
    <w:p w14:paraId="0EEE7D8E" w14:textId="77777777" w:rsidR="0081350F" w:rsidRDefault="0081350F" w:rsidP="00C92ECE">
      <w:pPr>
        <w:spacing w:after="200" w:line="276" w:lineRule="auto"/>
        <w:ind w:left="567"/>
        <w:contextualSpacing/>
        <w:rPr>
          <w:rFonts w:ascii="Arial" w:eastAsia="Calibri" w:hAnsi="Arial" w:cs="Arial"/>
          <w:sz w:val="24"/>
          <w:szCs w:val="24"/>
        </w:rPr>
      </w:pPr>
    </w:p>
    <w:p w14:paraId="5B4A6C24" w14:textId="7E9C9EB3" w:rsidR="006B6105" w:rsidRPr="000A4672" w:rsidRDefault="0081350F" w:rsidP="000A4672">
      <w:pPr>
        <w:numPr>
          <w:ilvl w:val="0"/>
          <w:numId w:val="6"/>
        </w:numPr>
        <w:spacing w:after="200" w:line="276" w:lineRule="auto"/>
        <w:ind w:left="567" w:hanging="425"/>
        <w:contextualSpacing/>
        <w:rPr>
          <w:rFonts w:ascii="Arial" w:eastAsia="Calibri" w:hAnsi="Arial" w:cs="Arial"/>
          <w:sz w:val="24"/>
          <w:szCs w:val="24"/>
        </w:rPr>
      </w:pPr>
      <w:r w:rsidRPr="000A4672">
        <w:rPr>
          <w:rFonts w:ascii="Arial" w:eastAsia="Calibri" w:hAnsi="Arial" w:cs="Arial"/>
          <w:sz w:val="24"/>
          <w:szCs w:val="24"/>
        </w:rPr>
        <w:t>Over the</w:t>
      </w:r>
      <w:r w:rsidR="002052BA" w:rsidRPr="000A4672">
        <w:rPr>
          <w:rFonts w:ascii="Arial" w:eastAsia="Calibri" w:hAnsi="Arial" w:cs="Arial"/>
          <w:sz w:val="24"/>
          <w:szCs w:val="24"/>
        </w:rPr>
        <w:t xml:space="preserve"> past</w:t>
      </w:r>
      <w:r w:rsidRPr="000A4672">
        <w:rPr>
          <w:rFonts w:ascii="Arial" w:eastAsia="Calibri" w:hAnsi="Arial" w:cs="Arial"/>
          <w:sz w:val="24"/>
          <w:szCs w:val="24"/>
        </w:rPr>
        <w:t xml:space="preserve"> three years, participation in all three programmes </w:t>
      </w:r>
      <w:r w:rsidR="002052BA" w:rsidRPr="000A4672">
        <w:rPr>
          <w:rFonts w:ascii="Arial" w:eastAsia="Calibri" w:hAnsi="Arial" w:cs="Arial"/>
          <w:sz w:val="24"/>
          <w:szCs w:val="24"/>
        </w:rPr>
        <w:t xml:space="preserve">has </w:t>
      </w:r>
      <w:r w:rsidR="00321C62">
        <w:rPr>
          <w:rFonts w:ascii="Arial" w:eastAsia="Calibri" w:hAnsi="Arial" w:cs="Arial"/>
          <w:sz w:val="24"/>
          <w:szCs w:val="24"/>
        </w:rPr>
        <w:t>varied</w:t>
      </w:r>
      <w:r w:rsidR="002052BA" w:rsidRPr="000A4672">
        <w:rPr>
          <w:rFonts w:ascii="Arial" w:eastAsia="Calibri" w:hAnsi="Arial" w:cs="Arial"/>
          <w:sz w:val="24"/>
          <w:szCs w:val="24"/>
        </w:rPr>
        <w:t xml:space="preserve">, </w:t>
      </w:r>
      <w:r w:rsidRPr="000A4672">
        <w:rPr>
          <w:rFonts w:ascii="Arial" w:eastAsia="Calibri" w:hAnsi="Arial" w:cs="Arial"/>
          <w:sz w:val="24"/>
          <w:szCs w:val="24"/>
        </w:rPr>
        <w:t>reflecting broader workforce dynamics and sector pressures.</w:t>
      </w:r>
      <w:r w:rsidR="004F193E" w:rsidRPr="000A4672">
        <w:rPr>
          <w:rFonts w:ascii="Arial" w:eastAsia="Calibri" w:hAnsi="Arial" w:cs="Arial"/>
          <w:sz w:val="24"/>
          <w:szCs w:val="24"/>
        </w:rPr>
        <w:t xml:space="preserve"> </w:t>
      </w:r>
      <w:r w:rsidR="00407D1D">
        <w:rPr>
          <w:rFonts w:ascii="Arial" w:eastAsia="Calibri" w:hAnsi="Arial" w:cs="Arial"/>
          <w:sz w:val="24"/>
          <w:szCs w:val="24"/>
        </w:rPr>
        <w:t>Changes in how many people join the programme every year</w:t>
      </w:r>
      <w:r w:rsidR="00C32C0C">
        <w:rPr>
          <w:rFonts w:ascii="Arial" w:eastAsia="Calibri" w:hAnsi="Arial" w:cs="Arial"/>
          <w:sz w:val="24"/>
          <w:szCs w:val="24"/>
        </w:rPr>
        <w:t xml:space="preserve"> </w:t>
      </w:r>
      <w:r w:rsidR="00792062">
        <w:rPr>
          <w:rFonts w:ascii="Arial" w:eastAsia="Calibri" w:hAnsi="Arial" w:cs="Arial"/>
          <w:sz w:val="24"/>
          <w:szCs w:val="24"/>
        </w:rPr>
        <w:t>can also</w:t>
      </w:r>
      <w:r w:rsidR="002D3B1A">
        <w:rPr>
          <w:rFonts w:ascii="Arial" w:eastAsia="Calibri" w:hAnsi="Arial" w:cs="Arial"/>
          <w:sz w:val="24"/>
          <w:szCs w:val="24"/>
        </w:rPr>
        <w:t xml:space="preserve"> depend</w:t>
      </w:r>
      <w:r w:rsidR="000A4672" w:rsidRPr="000A4672">
        <w:rPr>
          <w:rFonts w:ascii="Arial" w:eastAsia="Calibri" w:hAnsi="Arial" w:cs="Arial"/>
          <w:sz w:val="24"/>
          <w:szCs w:val="24"/>
        </w:rPr>
        <w:t xml:space="preserve"> </w:t>
      </w:r>
      <w:r w:rsidR="00C32C0C">
        <w:rPr>
          <w:rFonts w:ascii="Arial" w:eastAsia="Calibri" w:hAnsi="Arial" w:cs="Arial"/>
          <w:sz w:val="24"/>
          <w:szCs w:val="24"/>
        </w:rPr>
        <w:t xml:space="preserve">on </w:t>
      </w:r>
      <w:r w:rsidR="000A4672" w:rsidRPr="000A4672">
        <w:rPr>
          <w:rFonts w:ascii="Arial" w:eastAsia="Calibri" w:hAnsi="Arial" w:cs="Arial"/>
          <w:sz w:val="24"/>
          <w:szCs w:val="24"/>
        </w:rPr>
        <w:t xml:space="preserve">how SCWWDP grant funding is prioritised locally and regionally, </w:t>
      </w:r>
      <w:r w:rsidR="002D3B1A">
        <w:rPr>
          <w:rFonts w:ascii="Arial" w:eastAsia="Calibri" w:hAnsi="Arial" w:cs="Arial"/>
          <w:sz w:val="24"/>
          <w:szCs w:val="24"/>
        </w:rPr>
        <w:t>to meet their</w:t>
      </w:r>
      <w:r w:rsidR="000A4672" w:rsidRPr="000A4672">
        <w:rPr>
          <w:rFonts w:ascii="Arial" w:eastAsia="Calibri" w:hAnsi="Arial" w:cs="Arial"/>
          <w:sz w:val="24"/>
          <w:szCs w:val="24"/>
        </w:rPr>
        <w:t xml:space="preserve"> needs.</w:t>
      </w:r>
    </w:p>
    <w:p w14:paraId="10F9D419" w14:textId="77777777" w:rsidR="006B6105" w:rsidRPr="00B568F3" w:rsidRDefault="006B6105" w:rsidP="00C92ECE">
      <w:pPr>
        <w:spacing w:after="200" w:line="276" w:lineRule="auto"/>
        <w:ind w:left="567"/>
        <w:contextualSpacing/>
        <w:rPr>
          <w:rFonts w:ascii="Arial" w:eastAsia="Calibri" w:hAnsi="Arial" w:cs="Arial"/>
          <w:sz w:val="24"/>
          <w:szCs w:val="24"/>
        </w:rPr>
      </w:pPr>
    </w:p>
    <w:p w14:paraId="1E6B0C60" w14:textId="66753811" w:rsidR="00FE4149" w:rsidRPr="00685868" w:rsidRDefault="002A37EB" w:rsidP="00FE4149">
      <w:pPr>
        <w:spacing w:after="200" w:line="276" w:lineRule="auto"/>
        <w:contextualSpacing/>
        <w:rPr>
          <w:rFonts w:ascii="Arial" w:eastAsia="Calibri" w:hAnsi="Arial" w:cs="Arial"/>
          <w:b/>
          <w:bCs/>
          <w:i/>
          <w:iCs/>
          <w:sz w:val="24"/>
          <w:szCs w:val="24"/>
        </w:rPr>
      </w:pPr>
      <w:r w:rsidRPr="00685868">
        <w:rPr>
          <w:rFonts w:ascii="Arial" w:eastAsia="Calibri" w:hAnsi="Arial" w:cs="Arial"/>
          <w:b/>
          <w:bCs/>
          <w:i/>
          <w:iCs/>
          <w:sz w:val="24"/>
          <w:szCs w:val="24"/>
        </w:rPr>
        <w:t>Management awards (other than vocational awards)</w:t>
      </w:r>
    </w:p>
    <w:p w14:paraId="56827F5A" w14:textId="77777777" w:rsidR="00FE4149" w:rsidRPr="00B568F3" w:rsidRDefault="00FE4149" w:rsidP="00FE4149">
      <w:pPr>
        <w:spacing w:after="200" w:line="276" w:lineRule="auto"/>
        <w:contextualSpacing/>
        <w:rPr>
          <w:rFonts w:ascii="Arial" w:eastAsia="Calibri" w:hAnsi="Arial" w:cs="Arial"/>
          <w:sz w:val="24"/>
          <w:szCs w:val="24"/>
          <w:lang w:eastAsia="en-GB"/>
        </w:rPr>
      </w:pPr>
    </w:p>
    <w:p w14:paraId="09DE3096" w14:textId="41D9D454" w:rsidR="00FB1EFC" w:rsidRPr="00126F84" w:rsidRDefault="00D16B24" w:rsidP="00632461">
      <w:pPr>
        <w:numPr>
          <w:ilvl w:val="0"/>
          <w:numId w:val="6"/>
        </w:numPr>
        <w:spacing w:after="200" w:line="276" w:lineRule="auto"/>
        <w:ind w:left="567" w:hanging="425"/>
        <w:contextualSpacing/>
        <w:rPr>
          <w:rFonts w:ascii="Arial" w:eastAsia="Calibri" w:hAnsi="Arial" w:cs="Arial"/>
          <w:sz w:val="24"/>
          <w:szCs w:val="24"/>
          <w:lang w:eastAsia="en-GB"/>
        </w:rPr>
      </w:pPr>
      <w:r w:rsidRPr="00126F84">
        <w:rPr>
          <w:rFonts w:ascii="Arial" w:eastAsia="Calibri" w:hAnsi="Arial" w:cs="Arial"/>
          <w:sz w:val="24"/>
          <w:szCs w:val="24"/>
        </w:rPr>
        <w:t xml:space="preserve">Table </w:t>
      </w:r>
      <w:r w:rsidR="007D408C" w:rsidRPr="00126F84">
        <w:rPr>
          <w:rFonts w:ascii="Arial" w:eastAsia="Calibri" w:hAnsi="Arial" w:cs="Arial"/>
          <w:sz w:val="24"/>
          <w:szCs w:val="24"/>
        </w:rPr>
        <w:t>1</w:t>
      </w:r>
      <w:r w:rsidR="007D408C">
        <w:rPr>
          <w:rFonts w:ascii="Arial" w:eastAsia="Calibri" w:hAnsi="Arial" w:cs="Arial"/>
          <w:sz w:val="24"/>
          <w:szCs w:val="24"/>
        </w:rPr>
        <w:t>3</w:t>
      </w:r>
      <w:r w:rsidR="007D408C" w:rsidRPr="00126F84">
        <w:rPr>
          <w:rFonts w:ascii="Arial" w:eastAsia="Calibri" w:hAnsi="Arial" w:cs="Arial"/>
          <w:sz w:val="24"/>
          <w:szCs w:val="24"/>
        </w:rPr>
        <w:t xml:space="preserve"> </w:t>
      </w:r>
      <w:r w:rsidRPr="00126F84">
        <w:rPr>
          <w:rFonts w:ascii="Arial" w:eastAsia="Calibri" w:hAnsi="Arial" w:cs="Arial"/>
          <w:sz w:val="24"/>
          <w:szCs w:val="24"/>
        </w:rPr>
        <w:t xml:space="preserve">shows </w:t>
      </w:r>
      <w:r w:rsidR="002D1B1F" w:rsidRPr="00126F84">
        <w:rPr>
          <w:rFonts w:ascii="Arial" w:eastAsia="Calibri" w:hAnsi="Arial" w:cs="Arial"/>
          <w:sz w:val="24"/>
          <w:szCs w:val="24"/>
        </w:rPr>
        <w:t xml:space="preserve">a </w:t>
      </w:r>
      <w:r w:rsidR="000C3B0B" w:rsidRPr="00126F84">
        <w:rPr>
          <w:rFonts w:ascii="Arial" w:eastAsia="Calibri" w:hAnsi="Arial" w:cs="Arial"/>
          <w:sz w:val="24"/>
          <w:szCs w:val="24"/>
        </w:rPr>
        <w:t>growth</w:t>
      </w:r>
      <w:r w:rsidR="002D1B1F" w:rsidRPr="00126F84">
        <w:rPr>
          <w:rFonts w:ascii="Arial" w:eastAsia="Calibri" w:hAnsi="Arial" w:cs="Arial"/>
          <w:sz w:val="24"/>
          <w:szCs w:val="24"/>
        </w:rPr>
        <w:t xml:space="preserve"> in the numbers </w:t>
      </w:r>
      <w:r w:rsidR="00542D07" w:rsidRPr="00126F84">
        <w:rPr>
          <w:rFonts w:ascii="Arial" w:eastAsia="Calibri" w:hAnsi="Arial" w:cs="Arial"/>
          <w:sz w:val="24"/>
          <w:szCs w:val="24"/>
        </w:rPr>
        <w:t xml:space="preserve">taking on </w:t>
      </w:r>
      <w:r w:rsidR="00184607" w:rsidRPr="00126F84">
        <w:rPr>
          <w:rFonts w:ascii="Arial" w:eastAsia="Calibri" w:hAnsi="Arial" w:cs="Arial"/>
          <w:sz w:val="24"/>
          <w:szCs w:val="24"/>
        </w:rPr>
        <w:t xml:space="preserve">a </w:t>
      </w:r>
      <w:r w:rsidR="00114DD5" w:rsidRPr="00126F84">
        <w:rPr>
          <w:rFonts w:ascii="Arial" w:eastAsia="Calibri" w:hAnsi="Arial" w:cs="Arial"/>
          <w:sz w:val="24"/>
          <w:szCs w:val="24"/>
        </w:rPr>
        <w:t xml:space="preserve">national management programme </w:t>
      </w:r>
      <w:r w:rsidR="3EE4EFC0" w:rsidRPr="00126F84">
        <w:rPr>
          <w:rFonts w:ascii="Arial" w:eastAsia="Calibri" w:hAnsi="Arial" w:cs="Arial"/>
          <w:sz w:val="24"/>
          <w:szCs w:val="24"/>
        </w:rPr>
        <w:t xml:space="preserve">funded through </w:t>
      </w:r>
      <w:r w:rsidR="005F1B48" w:rsidRPr="00126F84">
        <w:rPr>
          <w:rFonts w:ascii="Arial" w:eastAsia="Calibri" w:hAnsi="Arial" w:cs="Arial"/>
          <w:sz w:val="24"/>
          <w:szCs w:val="24"/>
        </w:rPr>
        <w:t>SCWWDP in</w:t>
      </w:r>
      <w:r w:rsidR="009F5B28" w:rsidRPr="00126F84">
        <w:rPr>
          <w:rFonts w:ascii="Arial" w:eastAsia="Calibri" w:hAnsi="Arial" w:cs="Arial"/>
          <w:sz w:val="24"/>
          <w:szCs w:val="24"/>
        </w:rPr>
        <w:t xml:space="preserve"> 2024 to 2025</w:t>
      </w:r>
      <w:r w:rsidR="00FB1EFC" w:rsidRPr="00126F84">
        <w:rPr>
          <w:rFonts w:ascii="Arial" w:eastAsia="Calibri" w:hAnsi="Arial" w:cs="Arial"/>
          <w:sz w:val="24"/>
          <w:szCs w:val="24"/>
        </w:rPr>
        <w:t xml:space="preserve">. </w:t>
      </w:r>
    </w:p>
    <w:p w14:paraId="1145F209" w14:textId="77777777" w:rsidR="00ED33D9" w:rsidRPr="00B568F3" w:rsidRDefault="00ED33D9" w:rsidP="00ED33D9">
      <w:pPr>
        <w:spacing w:after="200" w:line="276" w:lineRule="auto"/>
        <w:contextualSpacing/>
        <w:rPr>
          <w:rFonts w:ascii="Arial" w:eastAsia="Calibri" w:hAnsi="Arial" w:cs="Arial"/>
          <w:bCs/>
          <w:sz w:val="24"/>
          <w:szCs w:val="24"/>
        </w:rPr>
      </w:pPr>
    </w:p>
    <w:p w14:paraId="1C61D34A" w14:textId="4B5E16B3" w:rsidR="00ED33D9" w:rsidRPr="00B568F3" w:rsidRDefault="00ED33D9" w:rsidP="00ED33D9">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t xml:space="preserve">Table </w:t>
      </w:r>
      <w:r w:rsidR="00721B16" w:rsidRPr="00B568F3">
        <w:rPr>
          <w:rFonts w:ascii="Arial" w:eastAsia="Calibri" w:hAnsi="Arial" w:cs="Arial"/>
          <w:b/>
          <w:bCs/>
          <w:sz w:val="24"/>
          <w:szCs w:val="24"/>
          <w:lang w:eastAsia="en-GB"/>
        </w:rPr>
        <w:t>12</w:t>
      </w:r>
      <w:r w:rsidRPr="00B568F3">
        <w:rPr>
          <w:rFonts w:ascii="Arial" w:eastAsia="Calibri" w:hAnsi="Arial" w:cs="Arial"/>
          <w:b/>
          <w:bCs/>
          <w:sz w:val="24"/>
          <w:szCs w:val="24"/>
          <w:lang w:eastAsia="en-GB"/>
        </w:rPr>
        <w:t>:</w:t>
      </w:r>
      <w:r w:rsidR="003921D8">
        <w:rPr>
          <w:rFonts w:ascii="Arial" w:eastAsia="Calibri" w:hAnsi="Arial" w:cs="Arial"/>
          <w:b/>
          <w:bCs/>
          <w:sz w:val="24"/>
          <w:szCs w:val="24"/>
          <w:lang w:eastAsia="en-GB"/>
        </w:rPr>
        <w:t xml:space="preserve"> </w:t>
      </w:r>
      <w:r w:rsidR="003921D8" w:rsidRPr="00BB471B">
        <w:rPr>
          <w:rFonts w:ascii="Arial" w:eastAsia="Calibri" w:hAnsi="Arial" w:cs="Arial"/>
          <w:b/>
          <w:bCs/>
          <w:sz w:val="24"/>
          <w:szCs w:val="24"/>
        </w:rPr>
        <w:t>Team Manager Development Programme</w:t>
      </w:r>
      <w:r w:rsidRPr="006360DE">
        <w:rPr>
          <w:rFonts w:ascii="Arial" w:eastAsia="Calibri" w:hAnsi="Arial" w:cs="Arial"/>
          <w:b/>
          <w:bCs/>
          <w:sz w:val="24"/>
          <w:szCs w:val="24"/>
          <w:lang w:eastAsia="en-GB"/>
        </w:rPr>
        <w:t xml:space="preserve"> </w:t>
      </w:r>
      <w:r w:rsidR="003921D8" w:rsidRPr="006360DE">
        <w:rPr>
          <w:rFonts w:ascii="Arial" w:eastAsia="Calibri" w:hAnsi="Arial" w:cs="Arial"/>
          <w:b/>
          <w:bCs/>
          <w:sz w:val="24"/>
          <w:szCs w:val="24"/>
          <w:lang w:eastAsia="en-GB"/>
        </w:rPr>
        <w:t>(</w:t>
      </w:r>
      <w:r w:rsidRPr="006360DE">
        <w:rPr>
          <w:rFonts w:ascii="Arial" w:eastAsia="Calibri" w:hAnsi="Arial" w:cs="Arial"/>
          <w:b/>
          <w:bCs/>
          <w:sz w:val="24"/>
          <w:szCs w:val="24"/>
          <w:lang w:eastAsia="en-GB"/>
        </w:rPr>
        <w:t>TMDP</w:t>
      </w:r>
      <w:r w:rsidR="003921D8" w:rsidRPr="006360DE">
        <w:rPr>
          <w:rFonts w:ascii="Arial" w:eastAsia="Calibri" w:hAnsi="Arial" w:cs="Arial"/>
          <w:b/>
          <w:bCs/>
          <w:sz w:val="24"/>
          <w:szCs w:val="24"/>
          <w:lang w:eastAsia="en-GB"/>
        </w:rPr>
        <w:t>) and</w:t>
      </w:r>
      <w:r w:rsidRPr="006360DE">
        <w:rPr>
          <w:rFonts w:ascii="Arial" w:eastAsia="Calibri" w:hAnsi="Arial" w:cs="Arial"/>
          <w:b/>
          <w:bCs/>
          <w:sz w:val="24"/>
          <w:szCs w:val="24"/>
          <w:lang w:eastAsia="en-GB"/>
        </w:rPr>
        <w:t xml:space="preserve"> </w:t>
      </w:r>
      <w:r w:rsidR="003921D8" w:rsidRPr="00BB471B">
        <w:rPr>
          <w:rFonts w:ascii="Arial" w:eastAsia="Calibri" w:hAnsi="Arial" w:cs="Arial"/>
          <w:b/>
          <w:bCs/>
          <w:sz w:val="24"/>
          <w:szCs w:val="24"/>
        </w:rPr>
        <w:t xml:space="preserve">Middle Manager Development Programme </w:t>
      </w:r>
      <w:r w:rsidR="0015372B" w:rsidRPr="00BB471B">
        <w:rPr>
          <w:rFonts w:ascii="Arial" w:eastAsia="Calibri" w:hAnsi="Arial" w:cs="Arial"/>
          <w:b/>
          <w:bCs/>
          <w:sz w:val="24"/>
          <w:szCs w:val="24"/>
        </w:rPr>
        <w:t>(</w:t>
      </w:r>
      <w:r w:rsidRPr="006360DE">
        <w:rPr>
          <w:rFonts w:ascii="Arial" w:eastAsia="Calibri" w:hAnsi="Arial" w:cs="Arial"/>
          <w:b/>
          <w:bCs/>
          <w:sz w:val="24"/>
          <w:szCs w:val="24"/>
          <w:lang w:eastAsia="en-GB"/>
        </w:rPr>
        <w:t>MMDP</w:t>
      </w:r>
      <w:r w:rsidR="0015372B" w:rsidRPr="006360DE">
        <w:rPr>
          <w:rFonts w:ascii="Arial" w:eastAsia="Calibri" w:hAnsi="Arial" w:cs="Arial"/>
          <w:b/>
          <w:bCs/>
          <w:sz w:val="24"/>
          <w:szCs w:val="24"/>
          <w:lang w:eastAsia="en-GB"/>
        </w:rPr>
        <w:t>)</w:t>
      </w:r>
      <w:r w:rsidRPr="006360DE">
        <w:rPr>
          <w:rFonts w:ascii="Arial" w:eastAsia="Calibri" w:hAnsi="Arial" w:cs="Arial"/>
          <w:b/>
          <w:bCs/>
          <w:sz w:val="24"/>
          <w:szCs w:val="24"/>
          <w:lang w:eastAsia="en-GB"/>
        </w:rPr>
        <w:t xml:space="preserve"> </w:t>
      </w:r>
      <w:r w:rsidR="0015372B" w:rsidRPr="006360DE">
        <w:rPr>
          <w:rFonts w:ascii="Arial" w:eastAsia="Calibri" w:hAnsi="Arial" w:cs="Arial"/>
          <w:b/>
          <w:bCs/>
          <w:sz w:val="24"/>
          <w:szCs w:val="24"/>
          <w:lang w:eastAsia="en-GB"/>
        </w:rPr>
        <w:t>e</w:t>
      </w:r>
      <w:r w:rsidRPr="006360DE">
        <w:rPr>
          <w:rFonts w:ascii="Arial" w:eastAsia="Calibri" w:hAnsi="Arial" w:cs="Arial"/>
          <w:b/>
          <w:bCs/>
          <w:sz w:val="24"/>
          <w:szCs w:val="24"/>
          <w:lang w:eastAsia="en-GB"/>
        </w:rPr>
        <w:t xml:space="preserve">ngagement, </w:t>
      </w:r>
      <w:r w:rsidR="00542D07" w:rsidRPr="006360DE">
        <w:rPr>
          <w:rFonts w:ascii="Arial" w:eastAsia="Calibri" w:hAnsi="Arial" w:cs="Arial"/>
          <w:b/>
          <w:bCs/>
          <w:sz w:val="24"/>
          <w:szCs w:val="24"/>
          <w:lang w:eastAsia="en-GB"/>
        </w:rPr>
        <w:t xml:space="preserve">the </w:t>
      </w:r>
      <w:r w:rsidRPr="006360DE">
        <w:rPr>
          <w:rFonts w:ascii="Arial" w:eastAsia="Calibri" w:hAnsi="Arial" w:cs="Arial"/>
          <w:b/>
          <w:bCs/>
          <w:sz w:val="24"/>
          <w:szCs w:val="24"/>
        </w:rPr>
        <w:t>three</w:t>
      </w:r>
      <w:r w:rsidR="000D3094" w:rsidRPr="006360DE">
        <w:rPr>
          <w:rFonts w:ascii="Arial" w:eastAsia="Calibri" w:hAnsi="Arial" w:cs="Arial"/>
          <w:b/>
          <w:bCs/>
          <w:sz w:val="24"/>
          <w:szCs w:val="24"/>
        </w:rPr>
        <w:t>-</w:t>
      </w:r>
      <w:r w:rsidRPr="006360DE">
        <w:rPr>
          <w:rFonts w:ascii="Arial" w:eastAsia="Calibri" w:hAnsi="Arial" w:cs="Arial"/>
          <w:b/>
          <w:bCs/>
          <w:sz w:val="24"/>
          <w:szCs w:val="24"/>
        </w:rPr>
        <w:t>year trend</w:t>
      </w:r>
    </w:p>
    <w:p w14:paraId="6FF3740E" w14:textId="77777777" w:rsidR="00ED33D9" w:rsidRPr="00B568F3" w:rsidRDefault="00ED33D9" w:rsidP="00ED33D9">
      <w:pPr>
        <w:pStyle w:val="ListParagraph"/>
        <w:spacing w:after="0" w:line="240" w:lineRule="auto"/>
        <w:ind w:left="1440"/>
        <w:rPr>
          <w:rFonts w:ascii="Arial" w:eastAsia="Calibri" w:hAnsi="Arial" w:cs="Arial"/>
          <w:color w:val="FF0000"/>
          <w:sz w:val="24"/>
          <w:szCs w:val="24"/>
          <w:lang w:eastAsia="en-GB"/>
        </w:rPr>
      </w:pPr>
    </w:p>
    <w:tbl>
      <w:tblPr>
        <w:tblStyle w:val="TableGrid"/>
        <w:tblW w:w="7738" w:type="dxa"/>
        <w:jc w:val="center"/>
        <w:tblLook w:val="04A0" w:firstRow="1" w:lastRow="0" w:firstColumn="1" w:lastColumn="0" w:noHBand="0" w:noVBand="1"/>
      </w:tblPr>
      <w:tblGrid>
        <w:gridCol w:w="1351"/>
        <w:gridCol w:w="3180"/>
        <w:gridCol w:w="3207"/>
      </w:tblGrid>
      <w:tr w:rsidR="00126F84" w:rsidRPr="00B568F3" w14:paraId="7150DD9E" w14:textId="77777777">
        <w:trPr>
          <w:jc w:val="center"/>
        </w:trPr>
        <w:tc>
          <w:tcPr>
            <w:tcW w:w="1351" w:type="dxa"/>
            <w:vAlign w:val="center"/>
          </w:tcPr>
          <w:p w14:paraId="4D43D8C1" w14:textId="77777777" w:rsidR="00126F84" w:rsidRPr="00B568F3" w:rsidRDefault="00126F84">
            <w:pPr>
              <w:pStyle w:val="ListParagraph"/>
              <w:ind w:left="0"/>
              <w:jc w:val="center"/>
              <w:rPr>
                <w:rFonts w:ascii="Arial" w:eastAsia="Calibri" w:hAnsi="Arial" w:cs="Arial"/>
                <w:b/>
                <w:bCs/>
                <w:sz w:val="24"/>
                <w:szCs w:val="24"/>
                <w:lang w:eastAsia="en-GB"/>
              </w:rPr>
            </w:pPr>
            <w:r w:rsidRPr="00B568F3">
              <w:rPr>
                <w:rFonts w:ascii="Arial" w:eastAsia="Calibri" w:hAnsi="Arial" w:cs="Arial"/>
                <w:b/>
                <w:bCs/>
                <w:sz w:val="24"/>
                <w:szCs w:val="24"/>
                <w:lang w:eastAsia="en-GB"/>
              </w:rPr>
              <w:t>Year</w:t>
            </w:r>
          </w:p>
        </w:tc>
        <w:tc>
          <w:tcPr>
            <w:tcW w:w="3180" w:type="dxa"/>
            <w:vAlign w:val="center"/>
          </w:tcPr>
          <w:p w14:paraId="3EDF36FC" w14:textId="77777777" w:rsidR="00126F84" w:rsidRPr="00B568F3" w:rsidRDefault="00126F84">
            <w:pPr>
              <w:pStyle w:val="ListParagraph"/>
              <w:ind w:left="0"/>
              <w:jc w:val="center"/>
              <w:rPr>
                <w:rFonts w:ascii="Arial" w:eastAsia="Calibri" w:hAnsi="Arial" w:cs="Arial"/>
                <w:b/>
                <w:bCs/>
                <w:lang w:eastAsia="en-GB"/>
              </w:rPr>
            </w:pPr>
            <w:r w:rsidRPr="00B568F3">
              <w:rPr>
                <w:rFonts w:ascii="Arial" w:eastAsia="Calibri" w:hAnsi="Arial" w:cs="Arial"/>
                <w:b/>
                <w:bCs/>
                <w:lang w:eastAsia="en-GB"/>
              </w:rPr>
              <w:t>TMDP</w:t>
            </w:r>
          </w:p>
        </w:tc>
        <w:tc>
          <w:tcPr>
            <w:tcW w:w="3207" w:type="dxa"/>
            <w:vAlign w:val="center"/>
          </w:tcPr>
          <w:p w14:paraId="144D3758" w14:textId="77777777" w:rsidR="00126F84" w:rsidRPr="00B568F3" w:rsidRDefault="00126F84">
            <w:pPr>
              <w:pStyle w:val="ListParagraph"/>
              <w:ind w:left="0"/>
              <w:jc w:val="center"/>
              <w:rPr>
                <w:rFonts w:ascii="Arial" w:eastAsia="Calibri" w:hAnsi="Arial" w:cs="Arial"/>
                <w:b/>
                <w:bCs/>
                <w:lang w:eastAsia="en-GB"/>
              </w:rPr>
            </w:pPr>
            <w:r w:rsidRPr="00B568F3">
              <w:rPr>
                <w:rFonts w:ascii="Arial" w:eastAsia="Calibri" w:hAnsi="Arial" w:cs="Arial"/>
                <w:b/>
                <w:bCs/>
                <w:lang w:eastAsia="en-GB"/>
              </w:rPr>
              <w:t>MMDP</w:t>
            </w:r>
          </w:p>
        </w:tc>
      </w:tr>
      <w:tr w:rsidR="00126F84" w:rsidRPr="00B568F3" w14:paraId="0976F0C1" w14:textId="77777777">
        <w:trPr>
          <w:jc w:val="center"/>
        </w:trPr>
        <w:tc>
          <w:tcPr>
            <w:tcW w:w="1351" w:type="dxa"/>
            <w:vAlign w:val="center"/>
          </w:tcPr>
          <w:p w14:paraId="4652EE82" w14:textId="77777777" w:rsidR="00126F84" w:rsidRPr="00B568F3" w:rsidRDefault="00126F84">
            <w:pPr>
              <w:pStyle w:val="ListParagraph"/>
              <w:ind w:left="0"/>
              <w:rPr>
                <w:rFonts w:ascii="Arial" w:eastAsia="Calibri" w:hAnsi="Arial" w:cs="Arial"/>
                <w:b/>
                <w:bCs/>
                <w:sz w:val="24"/>
                <w:szCs w:val="24"/>
                <w:lang w:eastAsia="en-GB"/>
              </w:rPr>
            </w:pPr>
            <w:r>
              <w:rPr>
                <w:rFonts w:ascii="Arial" w:eastAsia="Calibri" w:hAnsi="Arial" w:cs="Arial"/>
                <w:b/>
                <w:bCs/>
                <w:sz w:val="24"/>
                <w:szCs w:val="24"/>
                <w:lang w:eastAsia="en-GB"/>
              </w:rPr>
              <w:t>2024/2025</w:t>
            </w:r>
          </w:p>
        </w:tc>
        <w:tc>
          <w:tcPr>
            <w:tcW w:w="3180" w:type="dxa"/>
            <w:vAlign w:val="center"/>
          </w:tcPr>
          <w:p w14:paraId="7694D1A8" w14:textId="77777777" w:rsidR="00126F84" w:rsidRPr="00B568F3" w:rsidRDefault="00126F84">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28</w:t>
            </w:r>
          </w:p>
        </w:tc>
        <w:tc>
          <w:tcPr>
            <w:tcW w:w="3207" w:type="dxa"/>
            <w:vAlign w:val="center"/>
          </w:tcPr>
          <w:p w14:paraId="463C1178" w14:textId="77777777" w:rsidR="00126F84" w:rsidRPr="00B568F3" w:rsidRDefault="00126F84">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18</w:t>
            </w:r>
          </w:p>
        </w:tc>
      </w:tr>
      <w:tr w:rsidR="00126F84" w:rsidRPr="00B568F3" w14:paraId="0D91693D" w14:textId="77777777">
        <w:trPr>
          <w:jc w:val="center"/>
        </w:trPr>
        <w:tc>
          <w:tcPr>
            <w:tcW w:w="1351" w:type="dxa"/>
            <w:vAlign w:val="center"/>
          </w:tcPr>
          <w:p w14:paraId="32FECC85" w14:textId="77777777" w:rsidR="00126F84" w:rsidRPr="00B568F3" w:rsidRDefault="00126F84">
            <w:pPr>
              <w:pStyle w:val="ListParagraph"/>
              <w:ind w:left="0"/>
              <w:rPr>
                <w:rFonts w:ascii="Arial" w:eastAsia="Calibri" w:hAnsi="Arial" w:cs="Arial"/>
                <w:sz w:val="24"/>
                <w:szCs w:val="24"/>
                <w:lang w:eastAsia="en-GB"/>
              </w:rPr>
            </w:pPr>
            <w:r w:rsidRPr="00B568F3">
              <w:rPr>
                <w:rFonts w:ascii="Arial" w:eastAsia="Calibri" w:hAnsi="Arial" w:cs="Arial"/>
                <w:b/>
                <w:bCs/>
                <w:sz w:val="24"/>
                <w:szCs w:val="24"/>
                <w:lang w:eastAsia="en-GB"/>
              </w:rPr>
              <w:t>2023/2024</w:t>
            </w:r>
          </w:p>
        </w:tc>
        <w:tc>
          <w:tcPr>
            <w:tcW w:w="3180" w:type="dxa"/>
            <w:vAlign w:val="center"/>
          </w:tcPr>
          <w:p w14:paraId="73F8CAD4" w14:textId="77777777" w:rsidR="00126F84" w:rsidRPr="00B568F3" w:rsidRDefault="00126F84">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20</w:t>
            </w:r>
          </w:p>
        </w:tc>
        <w:tc>
          <w:tcPr>
            <w:tcW w:w="3207" w:type="dxa"/>
            <w:vAlign w:val="center"/>
          </w:tcPr>
          <w:p w14:paraId="2A8A0FEB" w14:textId="77777777" w:rsidR="00126F84" w:rsidRPr="00B568F3" w:rsidRDefault="00126F84">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10</w:t>
            </w:r>
          </w:p>
        </w:tc>
      </w:tr>
      <w:tr w:rsidR="00126F84" w:rsidRPr="00B568F3" w14:paraId="1FE41BF3" w14:textId="77777777">
        <w:trPr>
          <w:jc w:val="center"/>
        </w:trPr>
        <w:tc>
          <w:tcPr>
            <w:tcW w:w="1351" w:type="dxa"/>
            <w:vAlign w:val="center"/>
          </w:tcPr>
          <w:p w14:paraId="1E7F0BD9" w14:textId="77777777" w:rsidR="00126F84" w:rsidRPr="00B568F3" w:rsidRDefault="00126F84">
            <w:pPr>
              <w:pStyle w:val="ListParagraph"/>
              <w:ind w:left="0"/>
              <w:rPr>
                <w:rFonts w:ascii="Arial" w:eastAsia="Calibri" w:hAnsi="Arial" w:cs="Arial"/>
                <w:sz w:val="24"/>
                <w:szCs w:val="24"/>
                <w:lang w:eastAsia="en-GB"/>
              </w:rPr>
            </w:pPr>
            <w:r w:rsidRPr="00B568F3">
              <w:rPr>
                <w:rFonts w:ascii="Arial" w:eastAsia="Calibri" w:hAnsi="Arial" w:cs="Arial"/>
                <w:b/>
                <w:bCs/>
                <w:sz w:val="24"/>
                <w:szCs w:val="24"/>
                <w:lang w:eastAsia="en-GB"/>
              </w:rPr>
              <w:t>2022/2023</w:t>
            </w:r>
          </w:p>
        </w:tc>
        <w:tc>
          <w:tcPr>
            <w:tcW w:w="3180" w:type="dxa"/>
            <w:vAlign w:val="center"/>
          </w:tcPr>
          <w:p w14:paraId="0AF650A3" w14:textId="77777777" w:rsidR="00126F84" w:rsidRPr="00B568F3" w:rsidRDefault="00126F84">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21</w:t>
            </w:r>
          </w:p>
        </w:tc>
        <w:tc>
          <w:tcPr>
            <w:tcW w:w="3207" w:type="dxa"/>
            <w:vAlign w:val="center"/>
          </w:tcPr>
          <w:p w14:paraId="268037A9" w14:textId="0A3B6CCA" w:rsidR="00126F84" w:rsidRPr="00B568F3" w:rsidRDefault="00E10A69">
            <w:pPr>
              <w:pStyle w:val="ListParagraph"/>
              <w:ind w:left="0"/>
              <w:jc w:val="center"/>
              <w:rPr>
                <w:rFonts w:ascii="Arial" w:eastAsia="Calibri" w:hAnsi="Arial" w:cs="Arial"/>
                <w:sz w:val="24"/>
                <w:szCs w:val="24"/>
                <w:lang w:eastAsia="en-GB"/>
              </w:rPr>
            </w:pPr>
            <w:r>
              <w:rPr>
                <w:rFonts w:ascii="Arial" w:eastAsia="Calibri" w:hAnsi="Arial" w:cs="Arial"/>
                <w:sz w:val="24"/>
                <w:szCs w:val="24"/>
                <w:lang w:eastAsia="en-GB"/>
              </w:rPr>
              <w:t>19</w:t>
            </w:r>
          </w:p>
        </w:tc>
      </w:tr>
      <w:tr w:rsidR="00126F84" w:rsidRPr="00B568F3" w14:paraId="11A18385" w14:textId="77777777">
        <w:trPr>
          <w:trHeight w:val="309"/>
          <w:jc w:val="center"/>
        </w:trPr>
        <w:tc>
          <w:tcPr>
            <w:tcW w:w="7738" w:type="dxa"/>
            <w:gridSpan w:val="3"/>
            <w:tcBorders>
              <w:left w:val="nil"/>
              <w:bottom w:val="nil"/>
              <w:right w:val="nil"/>
            </w:tcBorders>
            <w:vAlign w:val="center"/>
          </w:tcPr>
          <w:p w14:paraId="5D5499EA" w14:textId="6159720A" w:rsidR="00126F84" w:rsidRPr="00B568F3" w:rsidRDefault="00126F84" w:rsidP="00426931">
            <w:pPr>
              <w:pStyle w:val="ListParagraph"/>
              <w:ind w:left="0"/>
              <w:jc w:val="right"/>
              <w:rPr>
                <w:rFonts w:ascii="Arial" w:eastAsia="Calibri" w:hAnsi="Arial" w:cs="Arial"/>
                <w:i/>
                <w:iCs/>
                <w:lang w:eastAsia="en-GB"/>
              </w:rPr>
            </w:pPr>
            <w:r w:rsidRPr="00AD482F">
              <w:rPr>
                <w:rFonts w:ascii="Arial" w:eastAsia="Calibri" w:hAnsi="Arial" w:cs="Arial"/>
                <w:i/>
                <w:iCs/>
                <w:sz w:val="20"/>
                <w:szCs w:val="20"/>
                <w:lang w:eastAsia="en-GB"/>
              </w:rPr>
              <w:t>Figures are for those enrolled during the year minus numbers withdrawing</w:t>
            </w:r>
            <w:r w:rsidRPr="00B568F3">
              <w:rPr>
                <w:rFonts w:ascii="Arial" w:eastAsia="Calibri" w:hAnsi="Arial" w:cs="Arial"/>
                <w:i/>
                <w:iCs/>
                <w:lang w:eastAsia="en-GB"/>
              </w:rPr>
              <w:t xml:space="preserve"> </w:t>
            </w:r>
          </w:p>
        </w:tc>
      </w:tr>
    </w:tbl>
    <w:p w14:paraId="5AE5C1D7" w14:textId="77777777" w:rsidR="007D408C" w:rsidRDefault="007D408C" w:rsidP="007D408C">
      <w:pPr>
        <w:spacing w:after="200" w:line="276" w:lineRule="auto"/>
        <w:ind w:left="567"/>
        <w:contextualSpacing/>
        <w:rPr>
          <w:rFonts w:ascii="Arial" w:eastAsia="Calibri" w:hAnsi="Arial" w:cs="Arial"/>
          <w:sz w:val="24"/>
          <w:szCs w:val="24"/>
        </w:rPr>
      </w:pPr>
    </w:p>
    <w:p w14:paraId="75C25751" w14:textId="61740108" w:rsidR="00911B99" w:rsidRDefault="00F91FC5" w:rsidP="005202F4">
      <w:pPr>
        <w:numPr>
          <w:ilvl w:val="0"/>
          <w:numId w:val="6"/>
        </w:numPr>
        <w:spacing w:after="200" w:line="276" w:lineRule="auto"/>
        <w:ind w:left="567" w:hanging="425"/>
        <w:contextualSpacing/>
        <w:rPr>
          <w:rFonts w:ascii="Arial" w:eastAsia="Calibri" w:hAnsi="Arial" w:cs="Arial"/>
          <w:sz w:val="24"/>
          <w:szCs w:val="24"/>
        </w:rPr>
      </w:pPr>
      <w:r w:rsidRPr="005202F4">
        <w:rPr>
          <w:rFonts w:ascii="Arial" w:eastAsia="Calibri" w:hAnsi="Arial" w:cs="Arial"/>
          <w:sz w:val="24"/>
          <w:szCs w:val="24"/>
        </w:rPr>
        <w:t xml:space="preserve">After </w:t>
      </w:r>
      <w:r w:rsidR="00CF301F">
        <w:rPr>
          <w:rFonts w:ascii="Arial" w:eastAsia="Calibri" w:hAnsi="Arial" w:cs="Arial"/>
          <w:sz w:val="24"/>
          <w:szCs w:val="24"/>
        </w:rPr>
        <w:t>remaining relatively stable</w:t>
      </w:r>
      <w:r w:rsidR="00545D31">
        <w:rPr>
          <w:rFonts w:ascii="Arial" w:eastAsia="Calibri" w:hAnsi="Arial" w:cs="Arial"/>
          <w:sz w:val="24"/>
          <w:szCs w:val="24"/>
        </w:rPr>
        <w:t>,</w:t>
      </w:r>
      <w:r w:rsidR="00CF301F">
        <w:rPr>
          <w:rFonts w:ascii="Arial" w:eastAsia="Calibri" w:hAnsi="Arial" w:cs="Arial"/>
          <w:sz w:val="24"/>
          <w:szCs w:val="24"/>
        </w:rPr>
        <w:t xml:space="preserve"> there has been </w:t>
      </w:r>
      <w:r w:rsidR="00BE53B0">
        <w:rPr>
          <w:rFonts w:ascii="Arial" w:eastAsia="Calibri" w:hAnsi="Arial" w:cs="Arial"/>
          <w:sz w:val="24"/>
          <w:szCs w:val="24"/>
        </w:rPr>
        <w:t xml:space="preserve">increased </w:t>
      </w:r>
      <w:r w:rsidR="00DB1D2E">
        <w:rPr>
          <w:rFonts w:ascii="Arial" w:eastAsia="Calibri" w:hAnsi="Arial" w:cs="Arial"/>
          <w:sz w:val="24"/>
          <w:szCs w:val="24"/>
        </w:rPr>
        <w:t>uptake</w:t>
      </w:r>
      <w:r w:rsidR="00DB1D2E" w:rsidRPr="005202F4">
        <w:rPr>
          <w:rFonts w:ascii="Arial" w:eastAsia="Calibri" w:hAnsi="Arial" w:cs="Arial"/>
          <w:sz w:val="24"/>
          <w:szCs w:val="24"/>
        </w:rPr>
        <w:t xml:space="preserve"> </w:t>
      </w:r>
      <w:r w:rsidR="00BC56CD" w:rsidRPr="005202F4">
        <w:rPr>
          <w:rFonts w:ascii="Arial" w:eastAsia="Calibri" w:hAnsi="Arial" w:cs="Arial"/>
          <w:sz w:val="24"/>
          <w:szCs w:val="24"/>
        </w:rPr>
        <w:t xml:space="preserve">in the Team Manager Development Programme (TMDP) </w:t>
      </w:r>
      <w:r w:rsidR="00CD3812">
        <w:rPr>
          <w:rFonts w:ascii="Arial" w:eastAsia="Calibri" w:hAnsi="Arial" w:cs="Arial"/>
          <w:sz w:val="24"/>
          <w:szCs w:val="24"/>
        </w:rPr>
        <w:t xml:space="preserve">during </w:t>
      </w:r>
      <w:r w:rsidRPr="005202F4">
        <w:rPr>
          <w:rFonts w:ascii="Arial" w:eastAsia="Calibri" w:hAnsi="Arial" w:cs="Arial"/>
          <w:sz w:val="24"/>
          <w:szCs w:val="24"/>
        </w:rPr>
        <w:t>2024</w:t>
      </w:r>
      <w:r w:rsidR="00BC56CD" w:rsidRPr="005202F4">
        <w:rPr>
          <w:rFonts w:ascii="Arial" w:eastAsia="Calibri" w:hAnsi="Arial" w:cs="Arial"/>
          <w:sz w:val="24"/>
          <w:szCs w:val="24"/>
        </w:rPr>
        <w:t xml:space="preserve"> to </w:t>
      </w:r>
      <w:r w:rsidRPr="005202F4">
        <w:rPr>
          <w:rFonts w:ascii="Arial" w:eastAsia="Calibri" w:hAnsi="Arial" w:cs="Arial"/>
          <w:sz w:val="24"/>
          <w:szCs w:val="24"/>
        </w:rPr>
        <w:t>2025</w:t>
      </w:r>
      <w:r w:rsidR="00CD3812">
        <w:rPr>
          <w:rFonts w:ascii="Arial" w:eastAsia="Calibri" w:hAnsi="Arial" w:cs="Arial"/>
          <w:sz w:val="24"/>
          <w:szCs w:val="24"/>
        </w:rPr>
        <w:t>, with 28</w:t>
      </w:r>
      <w:r w:rsidR="00BD065A">
        <w:rPr>
          <w:rFonts w:ascii="Arial" w:eastAsia="Calibri" w:hAnsi="Arial" w:cs="Arial"/>
          <w:sz w:val="24"/>
          <w:szCs w:val="24"/>
        </w:rPr>
        <w:t xml:space="preserve"> participants, compared to 20 in 2023 to 2024</w:t>
      </w:r>
      <w:r w:rsidRPr="005202F4">
        <w:rPr>
          <w:rFonts w:ascii="Arial" w:eastAsia="Calibri" w:hAnsi="Arial" w:cs="Arial"/>
          <w:sz w:val="24"/>
          <w:szCs w:val="24"/>
        </w:rPr>
        <w:t>.</w:t>
      </w:r>
      <w:r w:rsidR="00BC56CD" w:rsidRPr="005202F4">
        <w:rPr>
          <w:rFonts w:ascii="Arial" w:eastAsia="Calibri" w:hAnsi="Arial" w:cs="Arial"/>
          <w:sz w:val="24"/>
          <w:szCs w:val="24"/>
        </w:rPr>
        <w:t xml:space="preserve"> </w:t>
      </w:r>
      <w:r w:rsidR="00952A10" w:rsidRPr="005202F4">
        <w:rPr>
          <w:rFonts w:ascii="Arial" w:eastAsia="Calibri" w:hAnsi="Arial" w:cs="Arial"/>
          <w:sz w:val="24"/>
          <w:szCs w:val="24"/>
        </w:rPr>
        <w:t xml:space="preserve">This </w:t>
      </w:r>
      <w:r w:rsidR="00CD3812">
        <w:rPr>
          <w:rFonts w:ascii="Arial" w:eastAsia="Calibri" w:hAnsi="Arial" w:cs="Arial"/>
          <w:sz w:val="24"/>
          <w:szCs w:val="24"/>
        </w:rPr>
        <w:t xml:space="preserve">increase </w:t>
      </w:r>
      <w:r w:rsidR="00DB1AE8">
        <w:rPr>
          <w:rFonts w:ascii="Arial" w:eastAsia="Calibri" w:hAnsi="Arial" w:cs="Arial"/>
          <w:sz w:val="24"/>
          <w:szCs w:val="24"/>
        </w:rPr>
        <w:t>shows</w:t>
      </w:r>
      <w:r w:rsidR="00030DC1">
        <w:rPr>
          <w:rFonts w:ascii="Arial" w:eastAsia="Calibri" w:hAnsi="Arial" w:cs="Arial"/>
          <w:sz w:val="24"/>
          <w:szCs w:val="24"/>
        </w:rPr>
        <w:t xml:space="preserve"> more</w:t>
      </w:r>
      <w:r w:rsidR="00952A10" w:rsidRPr="005202F4">
        <w:rPr>
          <w:rFonts w:ascii="Arial" w:eastAsia="Calibri" w:hAnsi="Arial" w:cs="Arial"/>
          <w:sz w:val="24"/>
          <w:szCs w:val="24"/>
        </w:rPr>
        <w:t xml:space="preserve"> investment in frontline leadership through the </w:t>
      </w:r>
      <w:r w:rsidR="00993096" w:rsidRPr="005202F4">
        <w:rPr>
          <w:rFonts w:ascii="Arial" w:eastAsia="Calibri" w:hAnsi="Arial" w:cs="Arial"/>
          <w:sz w:val="24"/>
          <w:szCs w:val="24"/>
        </w:rPr>
        <w:t>national programme</w:t>
      </w:r>
      <w:r w:rsidR="005202F4" w:rsidRPr="005202F4">
        <w:rPr>
          <w:rFonts w:ascii="Arial" w:eastAsia="Calibri" w:hAnsi="Arial" w:cs="Arial"/>
          <w:sz w:val="24"/>
          <w:szCs w:val="24"/>
        </w:rPr>
        <w:t>.</w:t>
      </w:r>
      <w:r w:rsidR="00952A10" w:rsidRPr="005202F4">
        <w:rPr>
          <w:rFonts w:ascii="Arial" w:eastAsia="Calibri" w:hAnsi="Arial" w:cs="Arial"/>
          <w:sz w:val="24"/>
          <w:szCs w:val="24"/>
        </w:rPr>
        <w:t xml:space="preserve"> </w:t>
      </w:r>
    </w:p>
    <w:p w14:paraId="4C638381" w14:textId="77777777" w:rsidR="005202F4" w:rsidRPr="005202F4" w:rsidRDefault="005202F4" w:rsidP="00C92ECE">
      <w:pPr>
        <w:spacing w:after="200" w:line="276" w:lineRule="auto"/>
        <w:ind w:left="567"/>
        <w:contextualSpacing/>
        <w:rPr>
          <w:rFonts w:ascii="Arial" w:eastAsia="Calibri" w:hAnsi="Arial" w:cs="Arial"/>
          <w:sz w:val="24"/>
          <w:szCs w:val="24"/>
        </w:rPr>
      </w:pPr>
    </w:p>
    <w:p w14:paraId="743F3BDF" w14:textId="3943DCAF" w:rsidR="00637D06" w:rsidRDefault="00993096" w:rsidP="00911B99">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There’s also</w:t>
      </w:r>
      <w:r w:rsidR="00C66CC8">
        <w:rPr>
          <w:rFonts w:ascii="Arial" w:eastAsia="Calibri" w:hAnsi="Arial" w:cs="Arial"/>
          <w:sz w:val="24"/>
          <w:szCs w:val="24"/>
        </w:rPr>
        <w:t xml:space="preserve"> been an increase in participation on the </w:t>
      </w:r>
      <w:r w:rsidR="00637D06" w:rsidRPr="00911B99">
        <w:rPr>
          <w:rFonts w:ascii="Arial" w:eastAsia="Calibri" w:hAnsi="Arial" w:cs="Arial"/>
          <w:sz w:val="24"/>
          <w:szCs w:val="24"/>
        </w:rPr>
        <w:t>Middle Manager Development Programme (MMDP)</w:t>
      </w:r>
      <w:r w:rsidR="00C66CC8">
        <w:rPr>
          <w:rFonts w:ascii="Arial" w:eastAsia="Calibri" w:hAnsi="Arial" w:cs="Arial"/>
          <w:sz w:val="24"/>
          <w:szCs w:val="24"/>
        </w:rPr>
        <w:t xml:space="preserve">, reaching 18 participants in </w:t>
      </w:r>
      <w:r w:rsidR="00637D06" w:rsidRPr="00911B99">
        <w:rPr>
          <w:rFonts w:ascii="Arial" w:eastAsia="Calibri" w:hAnsi="Arial" w:cs="Arial"/>
          <w:sz w:val="24"/>
          <w:szCs w:val="24"/>
        </w:rPr>
        <w:t>2024</w:t>
      </w:r>
      <w:r w:rsidR="009C1B12" w:rsidRPr="00911B99">
        <w:rPr>
          <w:rFonts w:ascii="Arial" w:eastAsia="Calibri" w:hAnsi="Arial" w:cs="Arial"/>
          <w:sz w:val="24"/>
          <w:szCs w:val="24"/>
        </w:rPr>
        <w:t xml:space="preserve"> to </w:t>
      </w:r>
      <w:r w:rsidR="00637D06" w:rsidRPr="00911B99">
        <w:rPr>
          <w:rFonts w:ascii="Arial" w:eastAsia="Calibri" w:hAnsi="Arial" w:cs="Arial"/>
          <w:sz w:val="24"/>
          <w:szCs w:val="24"/>
        </w:rPr>
        <w:t>2025</w:t>
      </w:r>
      <w:r w:rsidR="00BD065A">
        <w:rPr>
          <w:rFonts w:ascii="Arial" w:eastAsia="Calibri" w:hAnsi="Arial" w:cs="Arial"/>
          <w:sz w:val="24"/>
          <w:szCs w:val="24"/>
        </w:rPr>
        <w:t>, compared with ten in 2023 to 2024</w:t>
      </w:r>
      <w:r w:rsidR="00637D06" w:rsidRPr="00911B99">
        <w:rPr>
          <w:rFonts w:ascii="Arial" w:eastAsia="Calibri" w:hAnsi="Arial" w:cs="Arial"/>
          <w:sz w:val="24"/>
          <w:szCs w:val="24"/>
        </w:rPr>
        <w:t>.</w:t>
      </w:r>
      <w:r w:rsidR="00911B99">
        <w:rPr>
          <w:rFonts w:ascii="Arial" w:eastAsia="Calibri" w:hAnsi="Arial" w:cs="Arial"/>
          <w:sz w:val="24"/>
          <w:szCs w:val="24"/>
        </w:rPr>
        <w:t xml:space="preserve"> </w:t>
      </w:r>
      <w:r w:rsidR="00637D06" w:rsidRPr="00911B99">
        <w:rPr>
          <w:rFonts w:ascii="Arial" w:eastAsia="Calibri" w:hAnsi="Arial" w:cs="Arial"/>
          <w:sz w:val="24"/>
          <w:szCs w:val="24"/>
        </w:rPr>
        <w:t xml:space="preserve">This </w:t>
      </w:r>
      <w:r w:rsidR="00E5770C">
        <w:rPr>
          <w:rFonts w:ascii="Arial" w:eastAsia="Calibri" w:hAnsi="Arial" w:cs="Arial"/>
          <w:sz w:val="24"/>
          <w:szCs w:val="24"/>
        </w:rPr>
        <w:t>jump shows a</w:t>
      </w:r>
      <w:r w:rsidR="00DF252B">
        <w:rPr>
          <w:rFonts w:ascii="Arial" w:eastAsia="Calibri" w:hAnsi="Arial" w:cs="Arial"/>
          <w:sz w:val="24"/>
          <w:szCs w:val="24"/>
        </w:rPr>
        <w:t xml:space="preserve"> stronger </w:t>
      </w:r>
      <w:r w:rsidR="00637D06" w:rsidRPr="00911B99">
        <w:rPr>
          <w:rFonts w:ascii="Arial" w:eastAsia="Calibri" w:hAnsi="Arial" w:cs="Arial"/>
          <w:sz w:val="24"/>
          <w:szCs w:val="24"/>
        </w:rPr>
        <w:t xml:space="preserve">focus on strengthening middle management, possibly linked to succession planning or </w:t>
      </w:r>
      <w:r w:rsidR="00DF252B">
        <w:rPr>
          <w:rFonts w:ascii="Arial" w:eastAsia="Calibri" w:hAnsi="Arial" w:cs="Arial"/>
          <w:sz w:val="24"/>
          <w:szCs w:val="24"/>
        </w:rPr>
        <w:t xml:space="preserve">making the </w:t>
      </w:r>
      <w:r w:rsidR="00637D06" w:rsidRPr="00911B99">
        <w:rPr>
          <w:rFonts w:ascii="Arial" w:eastAsia="Calibri" w:hAnsi="Arial" w:cs="Arial"/>
          <w:sz w:val="24"/>
          <w:szCs w:val="24"/>
        </w:rPr>
        <w:t>organisation</w:t>
      </w:r>
      <w:r w:rsidR="00DF252B">
        <w:rPr>
          <w:rFonts w:ascii="Arial" w:eastAsia="Calibri" w:hAnsi="Arial" w:cs="Arial"/>
          <w:sz w:val="24"/>
          <w:szCs w:val="24"/>
        </w:rPr>
        <w:t xml:space="preserve"> more</w:t>
      </w:r>
      <w:r w:rsidR="00637D06" w:rsidRPr="00911B99">
        <w:rPr>
          <w:rFonts w:ascii="Arial" w:eastAsia="Calibri" w:hAnsi="Arial" w:cs="Arial"/>
          <w:sz w:val="24"/>
          <w:szCs w:val="24"/>
        </w:rPr>
        <w:t xml:space="preserve"> resilien</w:t>
      </w:r>
      <w:r w:rsidR="00DF252B">
        <w:rPr>
          <w:rFonts w:ascii="Arial" w:eastAsia="Calibri" w:hAnsi="Arial" w:cs="Arial"/>
          <w:sz w:val="24"/>
          <w:szCs w:val="24"/>
        </w:rPr>
        <w:t>t</w:t>
      </w:r>
      <w:r w:rsidR="00637D06" w:rsidRPr="00911B99">
        <w:rPr>
          <w:rFonts w:ascii="Arial" w:eastAsia="Calibri" w:hAnsi="Arial" w:cs="Arial"/>
          <w:sz w:val="24"/>
          <w:szCs w:val="24"/>
        </w:rPr>
        <w:t>.</w:t>
      </w:r>
    </w:p>
    <w:p w14:paraId="6D18D317" w14:textId="77777777" w:rsidR="005F432C" w:rsidRDefault="005F432C" w:rsidP="00BB471B">
      <w:pPr>
        <w:pStyle w:val="ListParagraph"/>
        <w:rPr>
          <w:rFonts w:ascii="Arial" w:eastAsia="Calibri" w:hAnsi="Arial" w:cs="Arial"/>
          <w:sz w:val="24"/>
          <w:szCs w:val="24"/>
        </w:rPr>
      </w:pPr>
    </w:p>
    <w:p w14:paraId="67BA31E4" w14:textId="77777777" w:rsidR="005F432C" w:rsidRDefault="005F432C" w:rsidP="005F432C">
      <w:pPr>
        <w:spacing w:after="200" w:line="276" w:lineRule="auto"/>
        <w:contextualSpacing/>
        <w:rPr>
          <w:rFonts w:ascii="Arial" w:eastAsia="Calibri" w:hAnsi="Arial" w:cs="Arial"/>
          <w:sz w:val="24"/>
          <w:szCs w:val="24"/>
        </w:rPr>
      </w:pPr>
    </w:p>
    <w:p w14:paraId="22591A24" w14:textId="77777777" w:rsidR="005F432C" w:rsidRDefault="005F432C" w:rsidP="005F432C">
      <w:pPr>
        <w:spacing w:after="200" w:line="276" w:lineRule="auto"/>
        <w:contextualSpacing/>
        <w:rPr>
          <w:rFonts w:ascii="Arial" w:eastAsia="Calibri" w:hAnsi="Arial" w:cs="Arial"/>
          <w:sz w:val="24"/>
          <w:szCs w:val="24"/>
        </w:rPr>
      </w:pPr>
    </w:p>
    <w:p w14:paraId="467D0F56" w14:textId="77777777" w:rsidR="005F432C" w:rsidRDefault="005F432C" w:rsidP="005F432C">
      <w:pPr>
        <w:spacing w:after="200" w:line="276" w:lineRule="auto"/>
        <w:contextualSpacing/>
        <w:rPr>
          <w:rFonts w:ascii="Arial" w:eastAsia="Calibri" w:hAnsi="Arial" w:cs="Arial"/>
          <w:sz w:val="24"/>
          <w:szCs w:val="24"/>
        </w:rPr>
      </w:pPr>
    </w:p>
    <w:p w14:paraId="4AD641D5" w14:textId="77777777" w:rsidR="005F432C" w:rsidRDefault="005F432C" w:rsidP="00BB471B">
      <w:pPr>
        <w:spacing w:after="200" w:line="276" w:lineRule="auto"/>
        <w:contextualSpacing/>
        <w:rPr>
          <w:rFonts w:ascii="Arial" w:eastAsia="Calibri" w:hAnsi="Arial" w:cs="Arial"/>
          <w:sz w:val="24"/>
          <w:szCs w:val="24"/>
        </w:rPr>
      </w:pPr>
    </w:p>
    <w:p w14:paraId="148AAE38" w14:textId="45398DB0" w:rsidR="002D1B1F" w:rsidRPr="000C06A7" w:rsidRDefault="002D1B1F" w:rsidP="000C06A7">
      <w:pPr>
        <w:pStyle w:val="Heading2"/>
      </w:pPr>
      <w:bookmarkStart w:id="29" w:name="_Toc211279622"/>
      <w:r w:rsidRPr="000C06A7">
        <w:lastRenderedPageBreak/>
        <w:t xml:space="preserve">National </w:t>
      </w:r>
      <w:bookmarkStart w:id="30" w:name="_Int_FbgM508O"/>
      <w:r w:rsidRPr="000C06A7">
        <w:t>priorities</w:t>
      </w:r>
      <w:bookmarkEnd w:id="30"/>
      <w:r w:rsidR="008A2CA1" w:rsidRPr="000C06A7">
        <w:t>’</w:t>
      </w:r>
      <w:r w:rsidRPr="000C06A7">
        <w:t xml:space="preserve"> key themes and analysis</w:t>
      </w:r>
      <w:bookmarkEnd w:id="29"/>
    </w:p>
    <w:p w14:paraId="274A5A69" w14:textId="77777777" w:rsidR="002D1B1F" w:rsidRPr="00B568F3" w:rsidRDefault="002D1B1F" w:rsidP="002D1B1F">
      <w:pPr>
        <w:spacing w:after="200" w:line="276" w:lineRule="auto"/>
        <w:contextualSpacing/>
        <w:rPr>
          <w:rFonts w:ascii="Arial" w:eastAsia="Times New Roman" w:hAnsi="Arial" w:cs="Arial"/>
          <w:color w:val="FF0000"/>
          <w:sz w:val="24"/>
          <w:szCs w:val="24"/>
          <w:lang w:eastAsia="en-GB"/>
        </w:rPr>
      </w:pPr>
    </w:p>
    <w:p w14:paraId="1B72B923" w14:textId="08F35AB9" w:rsidR="00E6010F" w:rsidRDefault="002D1B1F"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The following </w:t>
      </w:r>
      <w:r w:rsidR="00252086" w:rsidRPr="00B568F3">
        <w:rPr>
          <w:rFonts w:ascii="Arial" w:eastAsia="Calibri" w:hAnsi="Arial" w:cs="Arial"/>
          <w:sz w:val="24"/>
          <w:szCs w:val="24"/>
        </w:rPr>
        <w:t>shows</w:t>
      </w:r>
      <w:r w:rsidR="00CA332E" w:rsidRPr="00B568F3">
        <w:rPr>
          <w:rFonts w:ascii="Arial" w:eastAsia="Calibri" w:hAnsi="Arial" w:cs="Arial"/>
          <w:sz w:val="24"/>
          <w:szCs w:val="24"/>
        </w:rPr>
        <w:t xml:space="preserve"> a summary</w:t>
      </w:r>
      <w:r w:rsidR="00252086" w:rsidRPr="00B568F3">
        <w:rPr>
          <w:rFonts w:ascii="Arial" w:eastAsia="Calibri" w:hAnsi="Arial" w:cs="Arial"/>
          <w:sz w:val="24"/>
          <w:szCs w:val="24"/>
        </w:rPr>
        <w:t xml:space="preserve"> </w:t>
      </w:r>
      <w:r w:rsidR="00BB0221" w:rsidRPr="00B568F3">
        <w:rPr>
          <w:rFonts w:ascii="Arial" w:eastAsia="Calibri" w:hAnsi="Arial" w:cs="Arial"/>
          <w:sz w:val="24"/>
          <w:szCs w:val="24"/>
        </w:rPr>
        <w:t xml:space="preserve">of </w:t>
      </w:r>
      <w:r w:rsidRPr="00B568F3">
        <w:rPr>
          <w:rFonts w:ascii="Arial" w:eastAsia="Calibri" w:hAnsi="Arial" w:cs="Arial"/>
          <w:sz w:val="24"/>
          <w:szCs w:val="24"/>
        </w:rPr>
        <w:t xml:space="preserve">the key themes and analysis </w:t>
      </w:r>
      <w:r w:rsidR="00730093" w:rsidRPr="00B568F3">
        <w:rPr>
          <w:rFonts w:ascii="Arial" w:eastAsia="Calibri" w:hAnsi="Arial" w:cs="Arial"/>
          <w:sz w:val="24"/>
          <w:szCs w:val="24"/>
        </w:rPr>
        <w:t>from the regional end of year</w:t>
      </w:r>
      <w:r w:rsidRPr="00B568F3">
        <w:rPr>
          <w:rFonts w:ascii="Arial" w:eastAsia="Calibri" w:hAnsi="Arial" w:cs="Arial"/>
          <w:sz w:val="24"/>
          <w:szCs w:val="24"/>
        </w:rPr>
        <w:t xml:space="preserve"> reports in line with the national priorities</w:t>
      </w:r>
    </w:p>
    <w:p w14:paraId="6927727D" w14:textId="77777777" w:rsidR="003D0277" w:rsidRDefault="003D0277" w:rsidP="00C92ECE">
      <w:pPr>
        <w:spacing w:after="200" w:line="276" w:lineRule="auto"/>
        <w:ind w:left="567"/>
        <w:contextualSpacing/>
        <w:rPr>
          <w:rFonts w:ascii="Arial" w:eastAsia="Calibri" w:hAnsi="Arial" w:cs="Arial"/>
          <w:sz w:val="24"/>
          <w:szCs w:val="24"/>
        </w:rPr>
      </w:pPr>
    </w:p>
    <w:p w14:paraId="5834C863" w14:textId="081B2B4D" w:rsidR="00A1668E" w:rsidRPr="00B568F3" w:rsidRDefault="00E27C30"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The information</w:t>
      </w:r>
      <w:r w:rsidRPr="00B568F3" w:rsidDel="003D0A37">
        <w:rPr>
          <w:rFonts w:ascii="Arial" w:eastAsia="Calibri" w:hAnsi="Arial" w:cs="Arial"/>
          <w:sz w:val="24"/>
          <w:szCs w:val="24"/>
        </w:rPr>
        <w:t xml:space="preserve"> </w:t>
      </w:r>
      <w:r w:rsidRPr="00B568F3">
        <w:rPr>
          <w:rFonts w:ascii="Arial" w:eastAsia="Calibri" w:hAnsi="Arial" w:cs="Arial"/>
          <w:sz w:val="24"/>
          <w:szCs w:val="24"/>
        </w:rPr>
        <w:t xml:space="preserve">includes ‘highlights’ </w:t>
      </w:r>
      <w:r w:rsidR="00E6010F" w:rsidRPr="00B568F3">
        <w:rPr>
          <w:rFonts w:ascii="Arial" w:eastAsia="Calibri" w:hAnsi="Arial" w:cs="Arial"/>
          <w:sz w:val="24"/>
          <w:szCs w:val="24"/>
        </w:rPr>
        <w:t>from the regional delivery</w:t>
      </w:r>
      <w:r w:rsidR="008C3B0E" w:rsidRPr="00B568F3">
        <w:rPr>
          <w:rFonts w:ascii="Arial" w:eastAsia="Calibri" w:hAnsi="Arial" w:cs="Arial"/>
          <w:sz w:val="24"/>
          <w:szCs w:val="24"/>
        </w:rPr>
        <w:t xml:space="preserve"> and</w:t>
      </w:r>
      <w:r w:rsidR="00E6010F" w:rsidRPr="00B568F3" w:rsidDel="008C3B0E">
        <w:rPr>
          <w:rFonts w:ascii="Arial" w:eastAsia="Calibri" w:hAnsi="Arial" w:cs="Arial"/>
          <w:sz w:val="24"/>
          <w:szCs w:val="24"/>
        </w:rPr>
        <w:t xml:space="preserve"> </w:t>
      </w:r>
      <w:r w:rsidR="00F24003" w:rsidRPr="00B568F3">
        <w:rPr>
          <w:rFonts w:ascii="Arial" w:eastAsia="Calibri" w:hAnsi="Arial" w:cs="Arial"/>
          <w:sz w:val="24"/>
          <w:szCs w:val="24"/>
        </w:rPr>
        <w:t>more localised solutions</w:t>
      </w:r>
      <w:r w:rsidR="00E6010F" w:rsidRPr="00B568F3">
        <w:rPr>
          <w:rFonts w:ascii="Arial" w:eastAsia="Calibri" w:hAnsi="Arial" w:cs="Arial"/>
          <w:sz w:val="24"/>
          <w:szCs w:val="24"/>
        </w:rPr>
        <w:t xml:space="preserve">. </w:t>
      </w:r>
    </w:p>
    <w:p w14:paraId="7BF86D61" w14:textId="6E11745B" w:rsidR="00A1668E" w:rsidRPr="00B568F3" w:rsidRDefault="00A1668E" w:rsidP="00E1590C">
      <w:pPr>
        <w:spacing w:after="200" w:line="276" w:lineRule="auto"/>
        <w:ind w:left="567"/>
        <w:contextualSpacing/>
        <w:rPr>
          <w:rFonts w:ascii="Arial" w:eastAsia="Calibri" w:hAnsi="Arial" w:cs="Arial"/>
          <w:sz w:val="24"/>
          <w:szCs w:val="24"/>
        </w:rPr>
      </w:pPr>
    </w:p>
    <w:p w14:paraId="4FD736EC" w14:textId="566419AE" w:rsidR="00B947D0" w:rsidRPr="00B568F3" w:rsidRDefault="00CC12A0" w:rsidP="0063246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The information</w:t>
      </w:r>
      <w:r w:rsidR="00D24D96" w:rsidRPr="00B568F3" w:rsidDel="00E22CA6">
        <w:rPr>
          <w:rFonts w:ascii="Arial" w:eastAsia="Calibri" w:hAnsi="Arial" w:cs="Arial"/>
          <w:sz w:val="24"/>
          <w:szCs w:val="24"/>
        </w:rPr>
        <w:t xml:space="preserve"> </w:t>
      </w:r>
      <w:r w:rsidR="00D24D96" w:rsidRPr="00B568F3">
        <w:rPr>
          <w:rFonts w:ascii="Arial" w:eastAsia="Calibri" w:hAnsi="Arial" w:cs="Arial"/>
          <w:sz w:val="24"/>
          <w:szCs w:val="24"/>
        </w:rPr>
        <w:t xml:space="preserve">in the end-of-year reporting by regions is </w:t>
      </w:r>
      <w:r w:rsidR="00E22CA6" w:rsidRPr="00B568F3">
        <w:rPr>
          <w:rFonts w:ascii="Arial" w:eastAsia="Calibri" w:hAnsi="Arial" w:cs="Arial"/>
          <w:sz w:val="24"/>
          <w:szCs w:val="24"/>
        </w:rPr>
        <w:t>mainly</w:t>
      </w:r>
      <w:r w:rsidR="00D24D96" w:rsidRPr="00B568F3">
        <w:rPr>
          <w:rFonts w:ascii="Arial" w:eastAsia="Calibri" w:hAnsi="Arial" w:cs="Arial"/>
          <w:sz w:val="24"/>
          <w:szCs w:val="24"/>
        </w:rPr>
        <w:t xml:space="preserve"> a mixture of </w:t>
      </w:r>
      <w:r w:rsidR="00044430" w:rsidRPr="00B568F3">
        <w:rPr>
          <w:rFonts w:ascii="Arial" w:eastAsia="Calibri" w:hAnsi="Arial" w:cs="Arial"/>
          <w:sz w:val="24"/>
          <w:szCs w:val="24"/>
        </w:rPr>
        <w:t>numbers and stories</w:t>
      </w:r>
      <w:r w:rsidR="006E7805" w:rsidRPr="00B568F3">
        <w:rPr>
          <w:rFonts w:ascii="Arial" w:eastAsia="Calibri" w:hAnsi="Arial" w:cs="Arial"/>
          <w:sz w:val="24"/>
          <w:szCs w:val="24"/>
        </w:rPr>
        <w:t xml:space="preserve"> about the results</w:t>
      </w:r>
      <w:r w:rsidR="008C3B0E" w:rsidRPr="00B568F3">
        <w:rPr>
          <w:rFonts w:ascii="Arial" w:eastAsia="Calibri" w:hAnsi="Arial" w:cs="Arial"/>
          <w:sz w:val="24"/>
          <w:szCs w:val="24"/>
        </w:rPr>
        <w:t xml:space="preserve">, </w:t>
      </w:r>
      <w:r w:rsidR="006E7805" w:rsidRPr="00B568F3">
        <w:rPr>
          <w:rFonts w:ascii="Arial" w:eastAsia="Calibri" w:hAnsi="Arial" w:cs="Arial"/>
          <w:sz w:val="24"/>
          <w:szCs w:val="24"/>
        </w:rPr>
        <w:t>but don’t</w:t>
      </w:r>
      <w:r w:rsidR="008C3B0E" w:rsidRPr="00B568F3">
        <w:rPr>
          <w:rFonts w:ascii="Arial" w:eastAsia="Calibri" w:hAnsi="Arial" w:cs="Arial"/>
          <w:sz w:val="24"/>
          <w:szCs w:val="24"/>
        </w:rPr>
        <w:t xml:space="preserve"> </w:t>
      </w:r>
      <w:r w:rsidR="009C2172" w:rsidRPr="00B568F3">
        <w:rPr>
          <w:rFonts w:ascii="Arial" w:eastAsia="Calibri" w:hAnsi="Arial" w:cs="Arial"/>
          <w:sz w:val="24"/>
          <w:szCs w:val="24"/>
        </w:rPr>
        <w:t xml:space="preserve">show the </w:t>
      </w:r>
      <w:r w:rsidR="007D14B7" w:rsidRPr="00B568F3">
        <w:rPr>
          <w:rFonts w:ascii="Arial" w:eastAsia="Calibri" w:hAnsi="Arial" w:cs="Arial"/>
          <w:sz w:val="24"/>
          <w:szCs w:val="24"/>
        </w:rPr>
        <w:t>full story of the difference the SCWWDP funding</w:t>
      </w:r>
      <w:r w:rsidR="00473309" w:rsidRPr="00B568F3">
        <w:rPr>
          <w:rFonts w:ascii="Arial" w:eastAsia="Calibri" w:hAnsi="Arial" w:cs="Arial"/>
          <w:sz w:val="24"/>
          <w:szCs w:val="24"/>
        </w:rPr>
        <w:t xml:space="preserve"> is making</w:t>
      </w:r>
      <w:r w:rsidR="00D24D96" w:rsidRPr="00B568F3">
        <w:rPr>
          <w:rFonts w:ascii="Arial" w:eastAsia="Calibri" w:hAnsi="Arial" w:cs="Arial"/>
          <w:sz w:val="24"/>
          <w:szCs w:val="24"/>
        </w:rPr>
        <w:t xml:space="preserve">. </w:t>
      </w:r>
    </w:p>
    <w:p w14:paraId="0C910443" w14:textId="625EAA0C" w:rsidR="00B947D0" w:rsidRPr="00B568F3" w:rsidRDefault="00B947D0" w:rsidP="00E1590C">
      <w:pPr>
        <w:spacing w:after="200" w:line="276" w:lineRule="auto"/>
        <w:ind w:left="709"/>
        <w:contextualSpacing/>
        <w:rPr>
          <w:rFonts w:ascii="Arial" w:eastAsia="Calibri" w:hAnsi="Arial" w:cs="Arial"/>
          <w:sz w:val="24"/>
          <w:szCs w:val="24"/>
        </w:rPr>
      </w:pPr>
    </w:p>
    <w:p w14:paraId="2850E82E" w14:textId="54D8E37E" w:rsidR="00273316" w:rsidRPr="00B568F3" w:rsidRDefault="00E01100" w:rsidP="00E11A60">
      <w:pPr>
        <w:numPr>
          <w:ilvl w:val="0"/>
          <w:numId w:val="6"/>
        </w:numPr>
        <w:spacing w:after="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During 2025 to 2026 we’ll consider future developments in our </w:t>
      </w:r>
      <w:r w:rsidR="0012078E" w:rsidRPr="00B568F3">
        <w:rPr>
          <w:rFonts w:ascii="Arial" w:eastAsia="Calibri" w:hAnsi="Arial" w:cs="Arial"/>
          <w:sz w:val="24"/>
          <w:szCs w:val="24"/>
        </w:rPr>
        <w:t>work</w:t>
      </w:r>
      <w:r w:rsidR="00473309" w:rsidRPr="00B568F3">
        <w:rPr>
          <w:rFonts w:ascii="Arial" w:eastAsia="Calibri" w:hAnsi="Arial" w:cs="Arial"/>
          <w:sz w:val="24"/>
          <w:szCs w:val="24"/>
        </w:rPr>
        <w:t xml:space="preserve"> </w:t>
      </w:r>
      <w:r w:rsidR="00473309" w:rsidRPr="00B568F3" w:rsidDel="004B5BCE">
        <w:rPr>
          <w:rFonts w:ascii="Arial" w:eastAsia="Calibri" w:hAnsi="Arial" w:cs="Arial"/>
          <w:sz w:val="24"/>
          <w:szCs w:val="24"/>
        </w:rPr>
        <w:t>with</w:t>
      </w:r>
      <w:r w:rsidR="00F455BD" w:rsidRPr="00B568F3" w:rsidDel="004B5BCE">
        <w:rPr>
          <w:rFonts w:ascii="Arial" w:eastAsia="Calibri" w:hAnsi="Arial" w:cs="Arial"/>
          <w:sz w:val="24"/>
          <w:szCs w:val="24"/>
        </w:rPr>
        <w:t xml:space="preserve"> </w:t>
      </w:r>
      <w:r w:rsidR="00F455BD" w:rsidRPr="00B568F3">
        <w:rPr>
          <w:rFonts w:ascii="Arial" w:eastAsia="Calibri" w:hAnsi="Arial" w:cs="Arial"/>
          <w:sz w:val="24"/>
          <w:szCs w:val="24"/>
        </w:rPr>
        <w:t>local authorities and regions</w:t>
      </w:r>
      <w:r w:rsidR="00473309" w:rsidRPr="00B568F3">
        <w:rPr>
          <w:rFonts w:ascii="Arial" w:eastAsia="Calibri" w:hAnsi="Arial" w:cs="Arial"/>
          <w:sz w:val="24"/>
          <w:szCs w:val="24"/>
        </w:rPr>
        <w:t>,</w:t>
      </w:r>
      <w:r w:rsidR="00C2117E" w:rsidRPr="00B568F3">
        <w:rPr>
          <w:rFonts w:ascii="Arial" w:eastAsia="Calibri" w:hAnsi="Arial" w:cs="Arial"/>
          <w:sz w:val="24"/>
          <w:szCs w:val="24"/>
        </w:rPr>
        <w:t xml:space="preserve"> and</w:t>
      </w:r>
      <w:r w:rsidR="004B5BCE" w:rsidRPr="00B568F3">
        <w:rPr>
          <w:rFonts w:ascii="Arial" w:eastAsia="Calibri" w:hAnsi="Arial" w:cs="Arial"/>
          <w:sz w:val="24"/>
          <w:szCs w:val="24"/>
        </w:rPr>
        <w:t xml:space="preserve"> </w:t>
      </w:r>
      <w:r w:rsidRPr="00B568F3">
        <w:rPr>
          <w:rFonts w:ascii="Arial" w:eastAsia="Calibri" w:hAnsi="Arial" w:cs="Arial"/>
          <w:sz w:val="24"/>
          <w:szCs w:val="24"/>
        </w:rPr>
        <w:t xml:space="preserve">we’ll look at </w:t>
      </w:r>
      <w:r w:rsidR="00473309" w:rsidRPr="00B568F3">
        <w:rPr>
          <w:rFonts w:ascii="Arial" w:eastAsia="Calibri" w:hAnsi="Arial" w:cs="Arial"/>
          <w:sz w:val="24"/>
          <w:szCs w:val="24"/>
        </w:rPr>
        <w:t xml:space="preserve">how </w:t>
      </w:r>
      <w:r w:rsidRPr="00B568F3">
        <w:rPr>
          <w:rFonts w:ascii="Arial" w:eastAsia="Calibri" w:hAnsi="Arial" w:cs="Arial"/>
          <w:sz w:val="24"/>
          <w:szCs w:val="24"/>
        </w:rPr>
        <w:t xml:space="preserve">we can </w:t>
      </w:r>
      <w:r w:rsidR="00823990" w:rsidRPr="00B568F3">
        <w:rPr>
          <w:rFonts w:ascii="Arial" w:eastAsia="Calibri" w:hAnsi="Arial" w:cs="Arial"/>
          <w:sz w:val="24"/>
          <w:szCs w:val="24"/>
        </w:rPr>
        <w:t>present</w:t>
      </w:r>
      <w:r w:rsidR="00FC3D9A" w:rsidRPr="00B568F3">
        <w:rPr>
          <w:rFonts w:ascii="Arial" w:eastAsia="Calibri" w:hAnsi="Arial" w:cs="Arial"/>
          <w:sz w:val="24"/>
          <w:szCs w:val="24"/>
        </w:rPr>
        <w:t xml:space="preserve"> a </w:t>
      </w:r>
      <w:r w:rsidR="0000574C" w:rsidRPr="00B568F3">
        <w:rPr>
          <w:rFonts w:ascii="Arial" w:eastAsia="Calibri" w:hAnsi="Arial" w:cs="Arial"/>
          <w:sz w:val="24"/>
          <w:szCs w:val="24"/>
        </w:rPr>
        <w:t xml:space="preserve">strong and </w:t>
      </w:r>
      <w:r w:rsidR="001A5BB0" w:rsidRPr="00B568F3">
        <w:rPr>
          <w:rFonts w:ascii="Arial" w:eastAsia="Calibri" w:hAnsi="Arial" w:cs="Arial"/>
          <w:sz w:val="24"/>
          <w:szCs w:val="24"/>
        </w:rPr>
        <w:t xml:space="preserve">meaningful story </w:t>
      </w:r>
      <w:r w:rsidR="00C83F9F" w:rsidRPr="00B568F3">
        <w:rPr>
          <w:rFonts w:ascii="Arial" w:eastAsia="Calibri" w:hAnsi="Arial" w:cs="Arial"/>
          <w:sz w:val="24"/>
          <w:szCs w:val="24"/>
        </w:rPr>
        <w:t xml:space="preserve">showing </w:t>
      </w:r>
      <w:r w:rsidR="00823990" w:rsidRPr="00B568F3">
        <w:rPr>
          <w:rFonts w:ascii="Arial" w:eastAsia="Calibri" w:hAnsi="Arial" w:cs="Arial"/>
          <w:sz w:val="24"/>
          <w:szCs w:val="24"/>
        </w:rPr>
        <w:t xml:space="preserve">SCWWDP’s </w:t>
      </w:r>
      <w:r w:rsidR="001A5BB0" w:rsidRPr="00B568F3" w:rsidDel="00823990">
        <w:rPr>
          <w:rFonts w:ascii="Arial" w:eastAsia="Calibri" w:hAnsi="Arial" w:cs="Arial"/>
          <w:sz w:val="24"/>
          <w:szCs w:val="24"/>
        </w:rPr>
        <w:t>impact</w:t>
      </w:r>
      <w:r w:rsidR="001A5BB0" w:rsidRPr="00B568F3" w:rsidDel="004B5BCE">
        <w:rPr>
          <w:rFonts w:ascii="Arial" w:eastAsia="Calibri" w:hAnsi="Arial" w:cs="Arial"/>
          <w:sz w:val="24"/>
          <w:szCs w:val="24"/>
        </w:rPr>
        <w:t>.</w:t>
      </w:r>
      <w:r w:rsidR="001A5BB0" w:rsidRPr="00B568F3">
        <w:rPr>
          <w:rFonts w:ascii="Arial" w:eastAsia="Calibri" w:hAnsi="Arial" w:cs="Arial"/>
          <w:sz w:val="24"/>
          <w:szCs w:val="24"/>
        </w:rPr>
        <w:t xml:space="preserve"> </w:t>
      </w:r>
    </w:p>
    <w:p w14:paraId="42E7E907" w14:textId="77777777" w:rsidR="00273316" w:rsidRPr="00B568F3" w:rsidRDefault="00273316" w:rsidP="00273316">
      <w:pPr>
        <w:pStyle w:val="ListParagraph"/>
        <w:spacing w:after="0"/>
        <w:rPr>
          <w:rFonts w:ascii="Arial" w:eastAsia="Times New Roman" w:hAnsi="Arial" w:cs="Arial"/>
          <w:sz w:val="24"/>
          <w:szCs w:val="24"/>
          <w:lang w:eastAsia="en-GB"/>
        </w:rPr>
      </w:pPr>
    </w:p>
    <w:p w14:paraId="4D9772C4" w14:textId="0DCA5D04" w:rsidR="002D1B1F" w:rsidRPr="000C06A7" w:rsidRDefault="002D1B1F" w:rsidP="00BC7EBC">
      <w:pPr>
        <w:pStyle w:val="Heading2"/>
      </w:pPr>
      <w:bookmarkStart w:id="31" w:name="_Toc211279623"/>
      <w:r w:rsidRPr="000C06A7">
        <w:t>Priority 1:</w:t>
      </w:r>
      <w:r w:rsidR="000A2CD4" w:rsidRPr="00B568F3">
        <w:t xml:space="preserve"> </w:t>
      </w:r>
      <w:r w:rsidRPr="000C06A7">
        <w:t>Building a digitally ready workforce</w:t>
      </w:r>
      <w:bookmarkEnd w:id="31"/>
    </w:p>
    <w:p w14:paraId="461AAB22" w14:textId="77777777" w:rsidR="002D1B1F" w:rsidRPr="00B568F3" w:rsidRDefault="002D1B1F" w:rsidP="002D1B1F">
      <w:pPr>
        <w:spacing w:after="0" w:line="240" w:lineRule="auto"/>
        <w:rPr>
          <w:rFonts w:ascii="Arial" w:eastAsia="Calibri" w:hAnsi="Arial" w:cs="Arial"/>
          <w:b/>
          <w:bCs/>
          <w:color w:val="FF0000"/>
          <w:sz w:val="24"/>
          <w:szCs w:val="24"/>
        </w:rPr>
      </w:pPr>
    </w:p>
    <w:p w14:paraId="082420B4" w14:textId="1CD400B6" w:rsidR="002D1B1F" w:rsidRDefault="005524F4" w:rsidP="0019368B">
      <w:pPr>
        <w:spacing w:after="200" w:line="276" w:lineRule="auto"/>
        <w:rPr>
          <w:rFonts w:ascii="Arial" w:eastAsia="Calibri" w:hAnsi="Arial" w:cs="Arial"/>
          <w:sz w:val="24"/>
          <w:szCs w:val="24"/>
        </w:rPr>
      </w:pPr>
      <w:r w:rsidRPr="00B568F3">
        <w:rPr>
          <w:rFonts w:ascii="Arial" w:eastAsia="Calibri" w:hAnsi="Arial" w:cs="Arial"/>
          <w:sz w:val="24"/>
          <w:szCs w:val="24"/>
        </w:rPr>
        <w:t>By</w:t>
      </w:r>
      <w:r w:rsidR="002D1B1F" w:rsidRPr="00B568F3">
        <w:rPr>
          <w:rFonts w:ascii="Arial" w:eastAsia="Calibri" w:hAnsi="Arial" w:cs="Arial"/>
          <w:sz w:val="24"/>
          <w:szCs w:val="24"/>
        </w:rPr>
        <w:t xml:space="preserve"> 2030</w:t>
      </w:r>
      <w:r w:rsidR="00ED6F7C" w:rsidRPr="00B568F3">
        <w:rPr>
          <w:rFonts w:ascii="Arial" w:eastAsia="Calibri" w:hAnsi="Arial" w:cs="Arial"/>
          <w:sz w:val="24"/>
          <w:szCs w:val="24"/>
        </w:rPr>
        <w:t>, we aim to have a workforce with</w:t>
      </w:r>
      <w:r w:rsidR="002D1B1F" w:rsidRPr="00B568F3" w:rsidDel="00ED6F7C">
        <w:rPr>
          <w:rFonts w:ascii="Arial" w:eastAsia="Calibri" w:hAnsi="Arial" w:cs="Arial"/>
          <w:sz w:val="24"/>
          <w:szCs w:val="24"/>
        </w:rPr>
        <w:t xml:space="preserve"> </w:t>
      </w:r>
      <w:r w:rsidR="003D3620" w:rsidRPr="00B568F3">
        <w:rPr>
          <w:rFonts w:ascii="Arial" w:eastAsia="Calibri" w:hAnsi="Arial" w:cs="Arial"/>
          <w:sz w:val="24"/>
          <w:szCs w:val="24"/>
        </w:rPr>
        <w:t>good</w:t>
      </w:r>
      <w:r w:rsidR="002D1B1F" w:rsidRPr="00B568F3">
        <w:rPr>
          <w:rFonts w:ascii="Arial" w:eastAsia="Calibri" w:hAnsi="Arial" w:cs="Arial"/>
          <w:sz w:val="24"/>
          <w:szCs w:val="24"/>
        </w:rPr>
        <w:t xml:space="preserve"> digital and technological </w:t>
      </w:r>
      <w:r w:rsidR="003D3620" w:rsidRPr="00B568F3">
        <w:rPr>
          <w:rFonts w:ascii="Arial" w:eastAsia="Calibri" w:hAnsi="Arial" w:cs="Arial"/>
          <w:sz w:val="24"/>
          <w:szCs w:val="24"/>
        </w:rPr>
        <w:t>skills</w:t>
      </w:r>
      <w:r w:rsidR="00962F81" w:rsidRPr="00B568F3">
        <w:rPr>
          <w:rFonts w:ascii="Arial" w:eastAsia="Calibri" w:hAnsi="Arial" w:cs="Arial"/>
          <w:sz w:val="24"/>
          <w:szCs w:val="24"/>
        </w:rPr>
        <w:t xml:space="preserve"> </w:t>
      </w:r>
      <w:r w:rsidR="009A2DC1" w:rsidRPr="00B568F3">
        <w:rPr>
          <w:rFonts w:ascii="Arial" w:eastAsia="Calibri" w:hAnsi="Arial" w:cs="Arial"/>
          <w:sz w:val="24"/>
          <w:szCs w:val="24"/>
        </w:rPr>
        <w:t>that are widely used to</w:t>
      </w:r>
      <w:r w:rsidR="009A2DC1" w:rsidRPr="00B568F3" w:rsidDel="00962F81">
        <w:rPr>
          <w:rFonts w:ascii="Arial" w:eastAsia="Calibri" w:hAnsi="Arial" w:cs="Arial"/>
          <w:sz w:val="24"/>
          <w:szCs w:val="24"/>
        </w:rPr>
        <w:t xml:space="preserve"> </w:t>
      </w:r>
      <w:r w:rsidR="001900D2" w:rsidRPr="00B568F3">
        <w:rPr>
          <w:rFonts w:ascii="Arial" w:eastAsia="Calibri" w:hAnsi="Arial" w:cs="Arial"/>
          <w:sz w:val="24"/>
          <w:szCs w:val="24"/>
        </w:rPr>
        <w:t>improve</w:t>
      </w:r>
      <w:r w:rsidR="00962F81" w:rsidRPr="00B568F3">
        <w:rPr>
          <w:rFonts w:ascii="Arial" w:eastAsia="Calibri" w:hAnsi="Arial" w:cs="Arial"/>
          <w:sz w:val="24"/>
          <w:szCs w:val="24"/>
        </w:rPr>
        <w:t xml:space="preserve"> </w:t>
      </w:r>
      <w:r w:rsidR="002D1B1F" w:rsidRPr="00B568F3">
        <w:rPr>
          <w:rFonts w:ascii="Arial" w:eastAsia="Calibri" w:hAnsi="Arial" w:cs="Arial"/>
          <w:sz w:val="24"/>
          <w:szCs w:val="24"/>
        </w:rPr>
        <w:t>the way we work, to help us deliver the best possible care for people</w:t>
      </w:r>
      <w:r w:rsidR="77587720" w:rsidRPr="00B568F3">
        <w:rPr>
          <w:rFonts w:ascii="Arial" w:eastAsia="Calibri" w:hAnsi="Arial" w:cs="Arial"/>
          <w:sz w:val="24"/>
          <w:szCs w:val="24"/>
        </w:rPr>
        <w:t xml:space="preserve">. </w:t>
      </w:r>
    </w:p>
    <w:p w14:paraId="6E42E50F" w14:textId="31DDBF79" w:rsidR="00762BC4" w:rsidRDefault="00762BC4" w:rsidP="00E24AEB">
      <w:pPr>
        <w:spacing w:after="0" w:line="240" w:lineRule="auto"/>
        <w:rPr>
          <w:rFonts w:ascii="Arial" w:eastAsia="Calibri" w:hAnsi="Arial" w:cs="Arial"/>
          <w:sz w:val="24"/>
          <w:szCs w:val="24"/>
        </w:rPr>
      </w:pPr>
      <w:r>
        <w:rPr>
          <w:rFonts w:ascii="Arial" w:eastAsia="Calibri" w:hAnsi="Arial" w:cs="Arial"/>
          <w:sz w:val="24"/>
          <w:szCs w:val="24"/>
        </w:rPr>
        <w:t xml:space="preserve">Common themes across the regions for this national priority </w:t>
      </w:r>
      <w:r w:rsidR="006461EC">
        <w:rPr>
          <w:rFonts w:ascii="Arial" w:eastAsia="Calibri" w:hAnsi="Arial" w:cs="Arial"/>
          <w:sz w:val="24"/>
          <w:szCs w:val="24"/>
        </w:rPr>
        <w:t xml:space="preserve">in 2024 to 2025 </w:t>
      </w:r>
      <w:r>
        <w:rPr>
          <w:rFonts w:ascii="Arial" w:eastAsia="Calibri" w:hAnsi="Arial" w:cs="Arial"/>
          <w:sz w:val="24"/>
          <w:szCs w:val="24"/>
        </w:rPr>
        <w:t>were:</w:t>
      </w:r>
    </w:p>
    <w:p w14:paraId="2980D58F" w14:textId="77777777" w:rsidR="00762BC4" w:rsidRDefault="00762BC4" w:rsidP="00E24AEB">
      <w:pPr>
        <w:spacing w:after="0" w:line="240" w:lineRule="auto"/>
        <w:rPr>
          <w:rFonts w:ascii="Arial" w:eastAsia="Calibri" w:hAnsi="Arial" w:cs="Arial"/>
          <w:sz w:val="24"/>
          <w:szCs w:val="24"/>
        </w:rPr>
      </w:pPr>
    </w:p>
    <w:p w14:paraId="4E0DD490" w14:textId="495C6DF9"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Digital </w:t>
      </w:r>
      <w:r w:rsidR="00D05350" w:rsidRPr="00BB471B">
        <w:rPr>
          <w:rFonts w:ascii="Arial" w:eastAsia="Calibri" w:hAnsi="Arial" w:cs="Arial"/>
          <w:b/>
          <w:bCs/>
          <w:sz w:val="24"/>
          <w:szCs w:val="24"/>
        </w:rPr>
        <w:t>s</w:t>
      </w:r>
      <w:r w:rsidRPr="00BB471B">
        <w:rPr>
          <w:rFonts w:ascii="Arial" w:eastAsia="Calibri" w:hAnsi="Arial" w:cs="Arial"/>
          <w:b/>
          <w:bCs/>
          <w:sz w:val="24"/>
          <w:szCs w:val="24"/>
        </w:rPr>
        <w:t xml:space="preserve">kills </w:t>
      </w:r>
      <w:r w:rsidR="00D05350" w:rsidRPr="00BB471B">
        <w:rPr>
          <w:rFonts w:ascii="Arial" w:eastAsia="Calibri" w:hAnsi="Arial" w:cs="Arial"/>
          <w:b/>
          <w:bCs/>
          <w:sz w:val="24"/>
          <w:szCs w:val="24"/>
        </w:rPr>
        <w:t>d</w:t>
      </w:r>
      <w:r w:rsidRPr="00BB471B">
        <w:rPr>
          <w:rFonts w:ascii="Arial" w:eastAsia="Calibri" w:hAnsi="Arial" w:cs="Arial"/>
          <w:b/>
          <w:bCs/>
          <w:sz w:val="24"/>
          <w:szCs w:val="24"/>
        </w:rPr>
        <w:t>evelopment</w:t>
      </w:r>
    </w:p>
    <w:p w14:paraId="151A5BFC" w14:textId="77777777" w:rsidR="00C63EB4" w:rsidRPr="00C92ECE" w:rsidRDefault="00C63EB4" w:rsidP="00C63EB4">
      <w:pPr>
        <w:spacing w:after="0" w:line="240" w:lineRule="auto"/>
        <w:rPr>
          <w:rFonts w:ascii="Arial" w:eastAsia="Calibri" w:hAnsi="Arial" w:cs="Arial"/>
          <w:sz w:val="24"/>
          <w:szCs w:val="24"/>
        </w:rPr>
      </w:pPr>
    </w:p>
    <w:p w14:paraId="03A07826" w14:textId="681066BD" w:rsidR="00C63EB4" w:rsidRDefault="00C63EB4" w:rsidP="00C63EB4">
      <w:pPr>
        <w:numPr>
          <w:ilvl w:val="0"/>
          <w:numId w:val="6"/>
        </w:numPr>
        <w:spacing w:after="0" w:line="276" w:lineRule="auto"/>
        <w:ind w:left="567" w:hanging="425"/>
        <w:contextualSpacing/>
        <w:rPr>
          <w:rFonts w:ascii="Arial" w:eastAsia="Calibri" w:hAnsi="Arial" w:cs="Arial"/>
          <w:sz w:val="24"/>
          <w:szCs w:val="24"/>
        </w:rPr>
      </w:pPr>
      <w:r w:rsidRPr="00C63EB4">
        <w:rPr>
          <w:rFonts w:ascii="Arial" w:eastAsia="Calibri" w:hAnsi="Arial" w:cs="Arial"/>
          <w:sz w:val="24"/>
          <w:szCs w:val="24"/>
        </w:rPr>
        <w:t xml:space="preserve">Widespread delivery of </w:t>
      </w:r>
      <w:r w:rsidRPr="00C92ECE">
        <w:rPr>
          <w:rFonts w:ascii="Arial" w:eastAsia="Calibri" w:hAnsi="Arial" w:cs="Arial"/>
          <w:sz w:val="24"/>
          <w:szCs w:val="24"/>
        </w:rPr>
        <w:t>basic IT training</w:t>
      </w:r>
      <w:r w:rsidRPr="00C63EB4">
        <w:rPr>
          <w:rFonts w:ascii="Arial" w:eastAsia="Calibri" w:hAnsi="Arial" w:cs="Arial"/>
          <w:sz w:val="24"/>
          <w:szCs w:val="24"/>
        </w:rPr>
        <w:t xml:space="preserve">, </w:t>
      </w:r>
      <w:r w:rsidRPr="00C92ECE">
        <w:rPr>
          <w:rFonts w:ascii="Arial" w:eastAsia="Calibri" w:hAnsi="Arial" w:cs="Arial"/>
          <w:sz w:val="24"/>
          <w:szCs w:val="24"/>
        </w:rPr>
        <w:t>Microsoft 365</w:t>
      </w:r>
      <w:r w:rsidR="00CE150E">
        <w:rPr>
          <w:rFonts w:ascii="Arial" w:eastAsia="Calibri" w:hAnsi="Arial" w:cs="Arial"/>
          <w:sz w:val="24"/>
          <w:szCs w:val="24"/>
        </w:rPr>
        <w:t xml:space="preserve"> training</w:t>
      </w:r>
      <w:r w:rsidRPr="00C63EB4">
        <w:rPr>
          <w:rFonts w:ascii="Arial" w:eastAsia="Calibri" w:hAnsi="Arial" w:cs="Arial"/>
          <w:sz w:val="24"/>
          <w:szCs w:val="24"/>
        </w:rPr>
        <w:t xml:space="preserve"> and </w:t>
      </w:r>
      <w:r w:rsidRPr="00C92ECE">
        <w:rPr>
          <w:rFonts w:ascii="Arial" w:eastAsia="Calibri" w:hAnsi="Arial" w:cs="Arial"/>
          <w:sz w:val="24"/>
          <w:szCs w:val="24"/>
        </w:rPr>
        <w:t>platform-specific skills</w:t>
      </w:r>
      <w:r w:rsidRPr="00C63EB4">
        <w:rPr>
          <w:rFonts w:ascii="Arial" w:eastAsia="Calibri" w:hAnsi="Arial" w:cs="Arial"/>
          <w:sz w:val="24"/>
          <w:szCs w:val="24"/>
        </w:rPr>
        <w:t xml:space="preserve"> </w:t>
      </w:r>
      <w:r w:rsidR="00D05350">
        <w:rPr>
          <w:rFonts w:ascii="Arial" w:eastAsia="Calibri" w:hAnsi="Arial" w:cs="Arial"/>
          <w:sz w:val="24"/>
          <w:szCs w:val="24"/>
        </w:rPr>
        <w:t>(for example</w:t>
      </w:r>
      <w:r w:rsidR="002D4018">
        <w:rPr>
          <w:rFonts w:ascii="Arial" w:eastAsia="Calibri" w:hAnsi="Arial" w:cs="Arial"/>
          <w:sz w:val="24"/>
          <w:szCs w:val="24"/>
        </w:rPr>
        <w:t>,</w:t>
      </w:r>
      <w:r w:rsidR="00F95A45">
        <w:rPr>
          <w:rFonts w:ascii="Arial" w:eastAsia="Calibri" w:hAnsi="Arial" w:cs="Arial"/>
          <w:sz w:val="24"/>
          <w:szCs w:val="24"/>
        </w:rPr>
        <w:t xml:space="preserve"> </w:t>
      </w:r>
      <w:r w:rsidR="00F95A45" w:rsidRPr="00F95A45">
        <w:rPr>
          <w:rFonts w:ascii="Arial" w:eastAsia="Calibri" w:hAnsi="Arial" w:cs="Arial"/>
          <w:sz w:val="24"/>
          <w:szCs w:val="24"/>
        </w:rPr>
        <w:t xml:space="preserve">Mosaic </w:t>
      </w:r>
      <w:r w:rsidR="002D4018">
        <w:rPr>
          <w:rFonts w:ascii="Arial" w:eastAsia="Calibri" w:hAnsi="Arial" w:cs="Arial"/>
          <w:sz w:val="24"/>
          <w:szCs w:val="24"/>
        </w:rPr>
        <w:t>c</w:t>
      </w:r>
      <w:r w:rsidR="00F95A45" w:rsidRPr="00F95A45">
        <w:rPr>
          <w:rFonts w:ascii="Arial" w:eastAsia="Calibri" w:hAnsi="Arial" w:cs="Arial"/>
          <w:sz w:val="24"/>
          <w:szCs w:val="24"/>
        </w:rPr>
        <w:t xml:space="preserve">ontent </w:t>
      </w:r>
      <w:r w:rsidR="002D4018">
        <w:rPr>
          <w:rFonts w:ascii="Arial" w:eastAsia="Calibri" w:hAnsi="Arial" w:cs="Arial"/>
          <w:sz w:val="24"/>
          <w:szCs w:val="24"/>
        </w:rPr>
        <w:t>m</w:t>
      </w:r>
      <w:r w:rsidR="00F95A45" w:rsidRPr="00F95A45">
        <w:rPr>
          <w:rFonts w:ascii="Arial" w:eastAsia="Calibri" w:hAnsi="Arial" w:cs="Arial"/>
          <w:sz w:val="24"/>
          <w:szCs w:val="24"/>
        </w:rPr>
        <w:t xml:space="preserve">anagement </w:t>
      </w:r>
      <w:r w:rsidR="002D4018">
        <w:rPr>
          <w:rFonts w:ascii="Arial" w:eastAsia="Calibri" w:hAnsi="Arial" w:cs="Arial"/>
          <w:sz w:val="24"/>
          <w:szCs w:val="24"/>
        </w:rPr>
        <w:t>s</w:t>
      </w:r>
      <w:r w:rsidR="00F95A45" w:rsidRPr="00F95A45">
        <w:rPr>
          <w:rFonts w:ascii="Arial" w:eastAsia="Calibri" w:hAnsi="Arial" w:cs="Arial"/>
          <w:sz w:val="24"/>
          <w:szCs w:val="24"/>
        </w:rPr>
        <w:t>ystem</w:t>
      </w:r>
      <w:r w:rsidR="00202F81">
        <w:rPr>
          <w:rFonts w:ascii="Arial" w:eastAsia="Calibri" w:hAnsi="Arial" w:cs="Arial"/>
          <w:sz w:val="24"/>
          <w:szCs w:val="24"/>
        </w:rPr>
        <w:t>)</w:t>
      </w:r>
      <w:r w:rsidRPr="00C63EB4">
        <w:rPr>
          <w:rFonts w:ascii="Arial" w:eastAsia="Calibri" w:hAnsi="Arial" w:cs="Arial"/>
          <w:sz w:val="24"/>
          <w:szCs w:val="24"/>
        </w:rPr>
        <w:t>.</w:t>
      </w:r>
    </w:p>
    <w:p w14:paraId="033F6500" w14:textId="77777777" w:rsidR="00604659" w:rsidRDefault="00604659" w:rsidP="00604659">
      <w:pPr>
        <w:spacing w:after="0" w:line="276" w:lineRule="auto"/>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604659" w:rsidRPr="00C92ECE" w14:paraId="36E1129B" w14:textId="77777777" w:rsidTr="00C92ECE">
        <w:trPr>
          <w:jc w:val="center"/>
        </w:trPr>
        <w:tc>
          <w:tcPr>
            <w:tcW w:w="9016" w:type="dxa"/>
          </w:tcPr>
          <w:p w14:paraId="1A72883B" w14:textId="76960AD0" w:rsidR="00604659" w:rsidRPr="00013292" w:rsidRDefault="005A1ECA" w:rsidP="00C92ECE">
            <w:pPr>
              <w:rPr>
                <w:rFonts w:ascii="Arial" w:eastAsia="Calibri" w:hAnsi="Arial" w:cs="Arial"/>
                <w:sz w:val="24"/>
                <w:szCs w:val="24"/>
              </w:rPr>
            </w:pPr>
            <w:r w:rsidRPr="00C92ECE">
              <w:rPr>
                <w:rFonts w:ascii="Arial" w:eastAsia="Calibri" w:hAnsi="Arial" w:cs="Arial"/>
                <w:sz w:val="24"/>
                <w:szCs w:val="24"/>
              </w:rPr>
              <w:t>Following the successful pilot of Microsoft 365 training with the Children's Services admin</w:t>
            </w:r>
            <w:r w:rsidR="002D4018">
              <w:rPr>
                <w:rFonts w:ascii="Arial" w:eastAsia="Calibri" w:hAnsi="Arial" w:cs="Arial"/>
                <w:sz w:val="24"/>
                <w:szCs w:val="24"/>
              </w:rPr>
              <w:t>istration</w:t>
            </w:r>
            <w:r w:rsidRPr="00C92ECE">
              <w:rPr>
                <w:rFonts w:ascii="Arial" w:eastAsia="Calibri" w:hAnsi="Arial" w:cs="Arial"/>
                <w:sz w:val="24"/>
                <w:szCs w:val="24"/>
              </w:rPr>
              <w:t xml:space="preserve"> team, we</w:t>
            </w:r>
            <w:r w:rsidR="002D4018">
              <w:rPr>
                <w:rFonts w:ascii="Arial" w:eastAsia="Calibri" w:hAnsi="Arial" w:cs="Arial"/>
                <w:sz w:val="24"/>
                <w:szCs w:val="24"/>
              </w:rPr>
              <w:t>’ve</w:t>
            </w:r>
            <w:r w:rsidRPr="00C92ECE">
              <w:rPr>
                <w:rFonts w:ascii="Arial" w:eastAsia="Calibri" w:hAnsi="Arial" w:cs="Arial"/>
                <w:sz w:val="24"/>
                <w:szCs w:val="24"/>
              </w:rPr>
              <w:t xml:space="preserve"> now rolled </w:t>
            </w:r>
            <w:r w:rsidR="002D4018">
              <w:rPr>
                <w:rFonts w:ascii="Arial" w:eastAsia="Calibri" w:hAnsi="Arial" w:cs="Arial"/>
                <w:sz w:val="24"/>
                <w:szCs w:val="24"/>
              </w:rPr>
              <w:t>it out</w:t>
            </w:r>
            <w:r w:rsidRPr="00C92ECE">
              <w:rPr>
                <w:rFonts w:ascii="Arial" w:eastAsia="Calibri" w:hAnsi="Arial" w:cs="Arial"/>
                <w:sz w:val="24"/>
                <w:szCs w:val="24"/>
              </w:rPr>
              <w:t xml:space="preserve"> to the Adults' admin</w:t>
            </w:r>
            <w:r w:rsidR="002D4018">
              <w:rPr>
                <w:rFonts w:ascii="Arial" w:eastAsia="Calibri" w:hAnsi="Arial" w:cs="Arial"/>
                <w:sz w:val="24"/>
                <w:szCs w:val="24"/>
              </w:rPr>
              <w:t>istration</w:t>
            </w:r>
            <w:r w:rsidRPr="00C92ECE">
              <w:rPr>
                <w:rFonts w:ascii="Arial" w:eastAsia="Calibri" w:hAnsi="Arial" w:cs="Arial"/>
                <w:sz w:val="24"/>
                <w:szCs w:val="24"/>
              </w:rPr>
              <w:t xml:space="preserve"> team and are </w:t>
            </w:r>
            <w:r w:rsidR="002D4018">
              <w:rPr>
                <w:rFonts w:ascii="Arial" w:eastAsia="Calibri" w:hAnsi="Arial" w:cs="Arial"/>
                <w:sz w:val="24"/>
                <w:szCs w:val="24"/>
              </w:rPr>
              <w:t xml:space="preserve">we’re looking at </w:t>
            </w:r>
            <w:r w:rsidRPr="00C92ECE">
              <w:rPr>
                <w:rFonts w:ascii="Arial" w:eastAsia="Calibri" w:hAnsi="Arial" w:cs="Arial"/>
                <w:sz w:val="24"/>
                <w:szCs w:val="24"/>
              </w:rPr>
              <w:t xml:space="preserve">the development of a </w:t>
            </w:r>
            <w:r w:rsidR="00C6487C">
              <w:rPr>
                <w:rFonts w:ascii="Arial" w:eastAsia="Calibri" w:hAnsi="Arial" w:cs="Arial"/>
                <w:sz w:val="24"/>
                <w:szCs w:val="24"/>
              </w:rPr>
              <w:t>fuller</w:t>
            </w:r>
            <w:r w:rsidR="00C6487C" w:rsidRPr="00C92ECE">
              <w:rPr>
                <w:rFonts w:ascii="Arial" w:eastAsia="Calibri" w:hAnsi="Arial" w:cs="Arial"/>
                <w:sz w:val="24"/>
                <w:szCs w:val="24"/>
              </w:rPr>
              <w:t xml:space="preserve"> </w:t>
            </w:r>
            <w:r w:rsidRPr="00C92ECE">
              <w:rPr>
                <w:rFonts w:ascii="Arial" w:eastAsia="Calibri" w:hAnsi="Arial" w:cs="Arial"/>
                <w:sz w:val="24"/>
                <w:szCs w:val="24"/>
              </w:rPr>
              <w:t xml:space="preserve">programme for wider social work teams across both Adults' and Children's services. The aim is to </w:t>
            </w:r>
            <w:r w:rsidRPr="00C92ECE">
              <w:rPr>
                <w:rFonts w:ascii="Arial" w:eastAsia="Times New Roman" w:hAnsi="Arial" w:cs="Arial"/>
                <w:sz w:val="24"/>
                <w:szCs w:val="24"/>
              </w:rPr>
              <w:t>create a digitally inclusive Powys and b</w:t>
            </w:r>
            <w:r w:rsidRPr="00C92ECE">
              <w:rPr>
                <w:rFonts w:ascii="Arial" w:eastAsia="Calibri" w:hAnsi="Arial" w:cs="Arial"/>
                <w:bCs/>
                <w:sz w:val="24"/>
                <w:szCs w:val="24"/>
              </w:rPr>
              <w:t xml:space="preserve">ridging the gap of digital inclusion and confidence in social care. </w:t>
            </w:r>
            <w:r w:rsidR="00734D33">
              <w:rPr>
                <w:rFonts w:ascii="Arial" w:eastAsia="Calibri" w:hAnsi="Arial" w:cs="Arial"/>
                <w:bCs/>
                <w:sz w:val="24"/>
                <w:szCs w:val="24"/>
              </w:rPr>
              <w:t xml:space="preserve">- </w:t>
            </w:r>
            <w:r w:rsidRPr="00C92ECE">
              <w:rPr>
                <w:rFonts w:ascii="Arial" w:eastAsia="Calibri" w:hAnsi="Arial" w:cs="Arial"/>
                <w:bCs/>
                <w:sz w:val="24"/>
                <w:szCs w:val="24"/>
              </w:rPr>
              <w:t xml:space="preserve">Powys </w:t>
            </w:r>
            <w:r w:rsidR="00734D33">
              <w:rPr>
                <w:rFonts w:ascii="Arial" w:eastAsia="Calibri" w:hAnsi="Arial" w:cs="Arial"/>
                <w:bCs/>
                <w:sz w:val="24"/>
                <w:szCs w:val="24"/>
              </w:rPr>
              <w:t>r</w:t>
            </w:r>
            <w:r w:rsidRPr="00C92ECE">
              <w:rPr>
                <w:rFonts w:ascii="Arial" w:eastAsia="Calibri" w:hAnsi="Arial" w:cs="Arial"/>
                <w:bCs/>
                <w:sz w:val="24"/>
                <w:szCs w:val="24"/>
              </w:rPr>
              <w:t>egion</w:t>
            </w:r>
            <w:r w:rsidR="00734D33">
              <w:rPr>
                <w:rFonts w:ascii="Arial" w:eastAsia="Calibri" w:hAnsi="Arial" w:cs="Arial"/>
                <w:bCs/>
                <w:sz w:val="24"/>
                <w:szCs w:val="24"/>
              </w:rPr>
              <w:t>.</w:t>
            </w:r>
          </w:p>
        </w:tc>
      </w:tr>
    </w:tbl>
    <w:p w14:paraId="1EE8186C" w14:textId="77777777" w:rsidR="00604659" w:rsidRDefault="00604659" w:rsidP="00C92ECE">
      <w:pPr>
        <w:spacing w:after="0" w:line="276" w:lineRule="auto"/>
        <w:contextualSpacing/>
        <w:rPr>
          <w:rFonts w:ascii="Arial" w:eastAsia="Calibri" w:hAnsi="Arial" w:cs="Arial"/>
          <w:sz w:val="24"/>
          <w:szCs w:val="24"/>
        </w:rPr>
      </w:pPr>
    </w:p>
    <w:p w14:paraId="3E2E097F" w14:textId="191072E6" w:rsidR="00C63EB4" w:rsidRDefault="00C63EB4" w:rsidP="00C63EB4">
      <w:pPr>
        <w:numPr>
          <w:ilvl w:val="0"/>
          <w:numId w:val="6"/>
        </w:numPr>
        <w:spacing w:after="0" w:line="276" w:lineRule="auto"/>
        <w:ind w:left="567" w:hanging="425"/>
        <w:contextualSpacing/>
        <w:rPr>
          <w:rFonts w:ascii="Arial" w:eastAsia="Calibri" w:hAnsi="Arial" w:cs="Arial"/>
          <w:sz w:val="24"/>
          <w:szCs w:val="24"/>
        </w:rPr>
      </w:pPr>
      <w:r w:rsidRPr="00C63EB4">
        <w:rPr>
          <w:rFonts w:ascii="Arial" w:eastAsia="Calibri" w:hAnsi="Arial" w:cs="Arial"/>
          <w:sz w:val="24"/>
          <w:szCs w:val="24"/>
        </w:rPr>
        <w:t xml:space="preserve">Use of </w:t>
      </w:r>
      <w:r w:rsidRPr="00C92ECE">
        <w:rPr>
          <w:rFonts w:ascii="Arial" w:eastAsia="Calibri" w:hAnsi="Arial" w:cs="Arial"/>
          <w:sz w:val="24"/>
          <w:szCs w:val="24"/>
        </w:rPr>
        <w:t>self-evaluation tools</w:t>
      </w:r>
      <w:r w:rsidRPr="00C63EB4">
        <w:rPr>
          <w:rFonts w:ascii="Arial" w:eastAsia="Calibri" w:hAnsi="Arial" w:cs="Arial"/>
          <w:sz w:val="24"/>
          <w:szCs w:val="24"/>
        </w:rPr>
        <w:t xml:space="preserve"> and </w:t>
      </w:r>
      <w:r w:rsidRPr="00C92ECE">
        <w:rPr>
          <w:rFonts w:ascii="Arial" w:eastAsia="Calibri" w:hAnsi="Arial" w:cs="Arial"/>
          <w:sz w:val="24"/>
          <w:szCs w:val="24"/>
        </w:rPr>
        <w:t xml:space="preserve">digital skills </w:t>
      </w:r>
      <w:r w:rsidR="009B1A76">
        <w:rPr>
          <w:rFonts w:ascii="Arial" w:eastAsia="Calibri" w:hAnsi="Arial" w:cs="Arial"/>
          <w:sz w:val="24"/>
          <w:szCs w:val="24"/>
        </w:rPr>
        <w:t>guides</w:t>
      </w:r>
      <w:r w:rsidRPr="00C63EB4">
        <w:rPr>
          <w:rFonts w:ascii="Arial" w:eastAsia="Calibri" w:hAnsi="Arial" w:cs="Arial"/>
          <w:sz w:val="24"/>
          <w:szCs w:val="24"/>
        </w:rPr>
        <w:t xml:space="preserve"> to assess and improve workforce </w:t>
      </w:r>
      <w:r w:rsidR="00CF37BD">
        <w:rPr>
          <w:rFonts w:ascii="Arial" w:eastAsia="Calibri" w:hAnsi="Arial" w:cs="Arial"/>
          <w:sz w:val="24"/>
          <w:szCs w:val="24"/>
        </w:rPr>
        <w:t xml:space="preserve">skills </w:t>
      </w:r>
      <w:r w:rsidR="003F09A1">
        <w:rPr>
          <w:rFonts w:ascii="Arial" w:eastAsia="Calibri" w:hAnsi="Arial" w:cs="Arial"/>
          <w:sz w:val="24"/>
          <w:szCs w:val="24"/>
        </w:rPr>
        <w:t>along with promoti</w:t>
      </w:r>
      <w:r w:rsidR="00CF37BD">
        <w:rPr>
          <w:rFonts w:ascii="Arial" w:eastAsia="Calibri" w:hAnsi="Arial" w:cs="Arial"/>
          <w:sz w:val="24"/>
          <w:szCs w:val="24"/>
        </w:rPr>
        <w:t>ng</w:t>
      </w:r>
      <w:r w:rsidR="003F09A1">
        <w:rPr>
          <w:rFonts w:ascii="Arial" w:eastAsia="Calibri" w:hAnsi="Arial" w:cs="Arial"/>
          <w:sz w:val="24"/>
          <w:szCs w:val="24"/>
        </w:rPr>
        <w:t xml:space="preserve"> the digital potential </w:t>
      </w:r>
      <w:r w:rsidR="00A4032C">
        <w:rPr>
          <w:rFonts w:ascii="Arial" w:eastAsia="Calibri" w:hAnsi="Arial" w:cs="Arial"/>
          <w:sz w:val="24"/>
          <w:szCs w:val="24"/>
        </w:rPr>
        <w:t xml:space="preserve">tool. </w:t>
      </w:r>
    </w:p>
    <w:p w14:paraId="2B8402B9" w14:textId="77777777" w:rsidR="00630C06" w:rsidRDefault="00630C06">
      <w:pPr>
        <w:pStyle w:val="ListParagraph"/>
        <w:rPr>
          <w:rFonts w:ascii="Arial" w:eastAsia="Calibri" w:hAnsi="Arial" w:cs="Arial"/>
          <w:sz w:val="24"/>
          <w:szCs w:val="24"/>
        </w:rPr>
      </w:pPr>
    </w:p>
    <w:p w14:paraId="3A90B8F9" w14:textId="26C5A10E" w:rsidR="00A51DBD" w:rsidRDefault="002B0C68">
      <w:pPr>
        <w:rPr>
          <w:rFonts w:ascii="Arial" w:eastAsia="Calibri" w:hAnsi="Arial" w:cs="Arial"/>
          <w:sz w:val="24"/>
          <w:szCs w:val="24"/>
        </w:rPr>
      </w:pPr>
      <w:r>
        <w:rPr>
          <w:rFonts w:ascii="Arial" w:eastAsia="Calibri" w:hAnsi="Arial" w:cs="Arial"/>
          <w:sz w:val="24"/>
          <w:szCs w:val="24"/>
        </w:rPr>
        <w:br w:type="page"/>
      </w:r>
    </w:p>
    <w:p w14:paraId="072F0FC0" w14:textId="1670699F"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lastRenderedPageBreak/>
        <w:t xml:space="preserve">Virtual Reality (VR) </w:t>
      </w:r>
    </w:p>
    <w:p w14:paraId="1B1A6EB7" w14:textId="77777777" w:rsidR="00630C06" w:rsidRPr="00C92ECE" w:rsidRDefault="00630C06" w:rsidP="00C63EB4">
      <w:pPr>
        <w:spacing w:after="0" w:line="240" w:lineRule="auto"/>
        <w:rPr>
          <w:rFonts w:ascii="Arial" w:eastAsia="Calibri" w:hAnsi="Arial" w:cs="Arial"/>
          <w:sz w:val="24"/>
          <w:szCs w:val="24"/>
        </w:rPr>
      </w:pPr>
    </w:p>
    <w:p w14:paraId="3DFC41AA" w14:textId="7BC55912" w:rsidR="0088672E" w:rsidRPr="00C92ECE" w:rsidRDefault="00EC7B77" w:rsidP="00C92ECE">
      <w:pPr>
        <w:pStyle w:val="ListParagraph"/>
        <w:numPr>
          <w:ilvl w:val="0"/>
          <w:numId w:val="70"/>
        </w:numPr>
        <w:rPr>
          <w:rFonts w:ascii="Arial" w:eastAsia="Calibri" w:hAnsi="Arial" w:cs="Arial"/>
          <w:sz w:val="24"/>
          <w:szCs w:val="24"/>
        </w:rPr>
      </w:pPr>
      <w:r>
        <w:rPr>
          <w:rFonts w:ascii="Arial" w:eastAsia="Calibri" w:hAnsi="Arial" w:cs="Arial"/>
          <w:sz w:val="24"/>
          <w:szCs w:val="24"/>
        </w:rPr>
        <w:t xml:space="preserve">Investing in VR technology and </w:t>
      </w:r>
      <w:r w:rsidR="00A3728A">
        <w:rPr>
          <w:rFonts w:ascii="Arial" w:eastAsia="Calibri" w:hAnsi="Arial" w:cs="Arial"/>
          <w:sz w:val="24"/>
          <w:szCs w:val="24"/>
        </w:rPr>
        <w:t xml:space="preserve">using </w:t>
      </w:r>
      <w:r w:rsidR="00993096">
        <w:rPr>
          <w:rFonts w:ascii="Arial" w:eastAsia="Calibri" w:hAnsi="Arial" w:cs="Arial"/>
          <w:sz w:val="24"/>
          <w:szCs w:val="24"/>
        </w:rPr>
        <w:t xml:space="preserve">VR </w:t>
      </w:r>
      <w:r w:rsidR="00993096" w:rsidRPr="00C92ECE">
        <w:rPr>
          <w:rFonts w:ascii="Arial" w:eastAsia="Calibri" w:hAnsi="Arial" w:cs="Arial"/>
          <w:sz w:val="24"/>
          <w:szCs w:val="24"/>
        </w:rPr>
        <w:t>to</w:t>
      </w:r>
      <w:r w:rsidR="0088672E" w:rsidRPr="00C92ECE">
        <w:rPr>
          <w:rFonts w:ascii="Arial" w:eastAsia="Calibri" w:hAnsi="Arial" w:cs="Arial"/>
          <w:sz w:val="24"/>
          <w:szCs w:val="24"/>
        </w:rPr>
        <w:t xml:space="preserve"> </w:t>
      </w:r>
      <w:r w:rsidR="0037169B">
        <w:rPr>
          <w:rFonts w:ascii="Arial" w:eastAsia="Calibri" w:hAnsi="Arial" w:cs="Arial"/>
          <w:sz w:val="24"/>
          <w:szCs w:val="24"/>
        </w:rPr>
        <w:t xml:space="preserve">give staff hands-on </w:t>
      </w:r>
      <w:r w:rsidR="001C6814">
        <w:rPr>
          <w:rFonts w:ascii="Arial" w:eastAsia="Calibri" w:hAnsi="Arial" w:cs="Arial"/>
          <w:sz w:val="24"/>
          <w:szCs w:val="24"/>
        </w:rPr>
        <w:t>training on</w:t>
      </w:r>
      <w:r w:rsidR="00330FF3" w:rsidRPr="00C63EB4">
        <w:rPr>
          <w:rFonts w:ascii="Arial" w:eastAsia="Calibri" w:hAnsi="Arial" w:cs="Arial"/>
          <w:sz w:val="24"/>
          <w:szCs w:val="24"/>
        </w:rPr>
        <w:t xml:space="preserve"> topics like </w:t>
      </w:r>
      <w:r w:rsidR="00330FF3" w:rsidRPr="007E6E07">
        <w:rPr>
          <w:rFonts w:ascii="Arial" w:eastAsia="Calibri" w:hAnsi="Arial" w:cs="Arial"/>
          <w:sz w:val="24"/>
          <w:szCs w:val="24"/>
        </w:rPr>
        <w:t>trauma</w:t>
      </w:r>
      <w:r w:rsidR="00330FF3" w:rsidRPr="00C63EB4">
        <w:rPr>
          <w:rFonts w:ascii="Arial" w:eastAsia="Calibri" w:hAnsi="Arial" w:cs="Arial"/>
          <w:sz w:val="24"/>
          <w:szCs w:val="24"/>
        </w:rPr>
        <w:t xml:space="preserve">, </w:t>
      </w:r>
      <w:r w:rsidR="00330FF3" w:rsidRPr="007E6E07">
        <w:rPr>
          <w:rFonts w:ascii="Arial" w:eastAsia="Calibri" w:hAnsi="Arial" w:cs="Arial"/>
          <w:sz w:val="24"/>
          <w:szCs w:val="24"/>
        </w:rPr>
        <w:t>dementia</w:t>
      </w:r>
      <w:r w:rsidR="00330FF3" w:rsidRPr="00C63EB4">
        <w:rPr>
          <w:rFonts w:ascii="Arial" w:eastAsia="Calibri" w:hAnsi="Arial" w:cs="Arial"/>
          <w:sz w:val="24"/>
          <w:szCs w:val="24"/>
        </w:rPr>
        <w:t xml:space="preserve">, </w:t>
      </w:r>
      <w:r w:rsidR="00330FF3" w:rsidRPr="007E6E07">
        <w:rPr>
          <w:rFonts w:ascii="Arial" w:eastAsia="Calibri" w:hAnsi="Arial" w:cs="Arial"/>
          <w:sz w:val="24"/>
          <w:szCs w:val="24"/>
        </w:rPr>
        <w:t>mental health</w:t>
      </w:r>
      <w:r w:rsidR="00330FF3" w:rsidRPr="00C63EB4">
        <w:rPr>
          <w:rFonts w:ascii="Arial" w:eastAsia="Calibri" w:hAnsi="Arial" w:cs="Arial"/>
          <w:sz w:val="24"/>
          <w:szCs w:val="24"/>
        </w:rPr>
        <w:t xml:space="preserve">, and </w:t>
      </w:r>
      <w:r w:rsidR="00330FF3" w:rsidRPr="007E6E07">
        <w:rPr>
          <w:rFonts w:ascii="Arial" w:eastAsia="Calibri" w:hAnsi="Arial" w:cs="Arial"/>
          <w:sz w:val="24"/>
          <w:szCs w:val="24"/>
        </w:rPr>
        <w:t>end-of-life care</w:t>
      </w:r>
      <w:r w:rsidR="0088672E" w:rsidRPr="00C92ECE">
        <w:rPr>
          <w:rFonts w:ascii="Arial" w:eastAsia="Calibri" w:hAnsi="Arial" w:cs="Arial"/>
          <w:sz w:val="24"/>
          <w:szCs w:val="24"/>
        </w:rPr>
        <w:t xml:space="preserve">, </w:t>
      </w:r>
      <w:r w:rsidR="0037169B">
        <w:rPr>
          <w:rFonts w:ascii="Arial" w:eastAsia="Calibri" w:hAnsi="Arial" w:cs="Arial"/>
          <w:sz w:val="24"/>
          <w:szCs w:val="24"/>
        </w:rPr>
        <w:t xml:space="preserve">so they can </w:t>
      </w:r>
      <w:r w:rsidR="005E6EB9">
        <w:rPr>
          <w:rFonts w:ascii="Arial" w:eastAsia="Calibri" w:hAnsi="Arial" w:cs="Arial"/>
          <w:sz w:val="24"/>
          <w:szCs w:val="24"/>
        </w:rPr>
        <w:t xml:space="preserve">safely experience </w:t>
      </w:r>
      <w:r w:rsidR="0088672E" w:rsidRPr="00C92ECE">
        <w:rPr>
          <w:rFonts w:ascii="Arial" w:eastAsia="Calibri" w:hAnsi="Arial" w:cs="Arial"/>
          <w:sz w:val="24"/>
          <w:szCs w:val="24"/>
        </w:rPr>
        <w:t xml:space="preserve">real-life scenarios and interactions in a controlled, digital </w:t>
      </w:r>
      <w:r w:rsidR="005E6EB9">
        <w:rPr>
          <w:rFonts w:ascii="Arial" w:eastAsia="Calibri" w:hAnsi="Arial" w:cs="Arial"/>
          <w:sz w:val="24"/>
          <w:szCs w:val="24"/>
        </w:rPr>
        <w:t>setting</w:t>
      </w:r>
      <w:r w:rsidR="0088672E" w:rsidRPr="00C92ECE">
        <w:rPr>
          <w:rFonts w:ascii="Arial" w:eastAsia="Calibri" w:hAnsi="Arial" w:cs="Arial"/>
          <w:sz w:val="24"/>
          <w:szCs w:val="24"/>
        </w:rPr>
        <w:t>.</w:t>
      </w:r>
      <w:r w:rsidR="00330FF3">
        <w:rPr>
          <w:rFonts w:ascii="Arial" w:eastAsia="Calibri" w:hAnsi="Arial" w:cs="Arial"/>
          <w:sz w:val="24"/>
          <w:szCs w:val="24"/>
        </w:rPr>
        <w:t xml:space="preserve"> </w:t>
      </w:r>
    </w:p>
    <w:p w14:paraId="19A5D612" w14:textId="77777777" w:rsidR="00843CC5" w:rsidRPr="00330FF3" w:rsidRDefault="00843CC5" w:rsidP="00C92ECE">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843CC5" w:rsidRPr="00C92ECE" w14:paraId="291BC5A3" w14:textId="77777777" w:rsidTr="00C92ECE">
        <w:trPr>
          <w:jc w:val="center"/>
        </w:trPr>
        <w:tc>
          <w:tcPr>
            <w:tcW w:w="9016" w:type="dxa"/>
          </w:tcPr>
          <w:p w14:paraId="1AB77F3A" w14:textId="0A7C2912" w:rsidR="00843CC5" w:rsidRPr="00C92ECE" w:rsidRDefault="00843CC5" w:rsidP="00FD7EE4">
            <w:pPr>
              <w:spacing w:line="276" w:lineRule="auto"/>
              <w:rPr>
                <w:rFonts w:ascii="Arial" w:eastAsia="Calibri" w:hAnsi="Arial" w:cs="Arial"/>
                <w:iCs/>
                <w:sz w:val="24"/>
                <w:szCs w:val="24"/>
              </w:rPr>
            </w:pPr>
            <w:r w:rsidRPr="00C92ECE">
              <w:rPr>
                <w:rFonts w:ascii="Arial" w:eastAsia="Calibri" w:hAnsi="Arial" w:cs="Arial"/>
                <w:iCs/>
                <w:sz w:val="24"/>
                <w:szCs w:val="24"/>
              </w:rPr>
              <w:t xml:space="preserve">Delivery of 20 VR training sessions in Ceredigion has </w:t>
            </w:r>
            <w:r w:rsidR="002B08FC">
              <w:rPr>
                <w:rFonts w:ascii="Arial" w:eastAsia="Calibri" w:hAnsi="Arial" w:cs="Arial"/>
                <w:iCs/>
                <w:sz w:val="24"/>
                <w:szCs w:val="24"/>
              </w:rPr>
              <w:t>allowed</w:t>
            </w:r>
            <w:r w:rsidRPr="00C92ECE">
              <w:rPr>
                <w:rFonts w:ascii="Arial" w:eastAsia="Calibri" w:hAnsi="Arial" w:cs="Arial"/>
                <w:iCs/>
                <w:sz w:val="24"/>
                <w:szCs w:val="24"/>
              </w:rPr>
              <w:t xml:space="preserve"> 192 staff to develop a more informed and empathetic understanding of</w:t>
            </w:r>
            <w:r w:rsidR="00FD7EE4" w:rsidRPr="00C92ECE">
              <w:rPr>
                <w:rFonts w:ascii="Arial" w:eastAsia="Calibri" w:hAnsi="Arial" w:cs="Arial"/>
                <w:iCs/>
                <w:sz w:val="24"/>
                <w:szCs w:val="24"/>
              </w:rPr>
              <w:t xml:space="preserve"> </w:t>
            </w:r>
            <w:r w:rsidR="001C6814" w:rsidRPr="001C6814">
              <w:rPr>
                <w:rFonts w:ascii="Arial" w:eastAsia="Calibri" w:hAnsi="Arial" w:cs="Arial"/>
                <w:iCs/>
                <w:sz w:val="24"/>
                <w:szCs w:val="24"/>
              </w:rPr>
              <w:t xml:space="preserve">Adverse Childhood Experiences </w:t>
            </w:r>
            <w:r w:rsidR="001C6814">
              <w:rPr>
                <w:rFonts w:ascii="Arial" w:eastAsia="Calibri" w:hAnsi="Arial" w:cs="Arial"/>
                <w:iCs/>
                <w:sz w:val="24"/>
                <w:szCs w:val="24"/>
              </w:rPr>
              <w:t>(</w:t>
            </w:r>
            <w:r w:rsidRPr="00C92ECE">
              <w:rPr>
                <w:rFonts w:ascii="Arial" w:eastAsia="Calibri" w:hAnsi="Arial" w:cs="Arial"/>
                <w:iCs/>
                <w:sz w:val="24"/>
                <w:szCs w:val="24"/>
              </w:rPr>
              <w:t>ACE</w:t>
            </w:r>
            <w:r w:rsidR="001C6814">
              <w:rPr>
                <w:rFonts w:ascii="Arial" w:eastAsia="Calibri" w:hAnsi="Arial" w:cs="Arial"/>
                <w:iCs/>
                <w:sz w:val="24"/>
                <w:szCs w:val="24"/>
              </w:rPr>
              <w:t>)</w:t>
            </w:r>
            <w:r w:rsidRPr="00C92ECE">
              <w:rPr>
                <w:rFonts w:ascii="Arial" w:eastAsia="Calibri" w:hAnsi="Arial" w:cs="Arial"/>
                <w:iCs/>
                <w:sz w:val="24"/>
                <w:szCs w:val="24"/>
              </w:rPr>
              <w:t xml:space="preserve">, </w:t>
            </w:r>
            <w:r w:rsidR="00BC179D">
              <w:rPr>
                <w:rFonts w:ascii="Arial" w:eastAsia="Calibri" w:hAnsi="Arial" w:cs="Arial"/>
                <w:iCs/>
                <w:sz w:val="24"/>
                <w:szCs w:val="24"/>
              </w:rPr>
              <w:t>t</w:t>
            </w:r>
            <w:r w:rsidRPr="00C92ECE">
              <w:rPr>
                <w:rFonts w:ascii="Arial" w:eastAsia="Calibri" w:hAnsi="Arial" w:cs="Arial"/>
                <w:iCs/>
                <w:sz w:val="24"/>
                <w:szCs w:val="24"/>
              </w:rPr>
              <w:t xml:space="preserve">rauma </w:t>
            </w:r>
            <w:r w:rsidR="00592371">
              <w:rPr>
                <w:rFonts w:ascii="Arial" w:eastAsia="Calibri" w:hAnsi="Arial" w:cs="Arial"/>
                <w:iCs/>
                <w:sz w:val="24"/>
                <w:szCs w:val="24"/>
              </w:rPr>
              <w:t>i</w:t>
            </w:r>
            <w:r w:rsidRPr="00C92ECE">
              <w:rPr>
                <w:rFonts w:ascii="Arial" w:eastAsia="Calibri" w:hAnsi="Arial" w:cs="Arial"/>
                <w:iCs/>
                <w:sz w:val="24"/>
                <w:szCs w:val="24"/>
              </w:rPr>
              <w:t xml:space="preserve">nformed </w:t>
            </w:r>
            <w:r w:rsidR="00592371">
              <w:rPr>
                <w:rFonts w:ascii="Arial" w:eastAsia="Calibri" w:hAnsi="Arial" w:cs="Arial"/>
                <w:iCs/>
                <w:sz w:val="24"/>
                <w:szCs w:val="24"/>
              </w:rPr>
              <w:t>p</w:t>
            </w:r>
            <w:r w:rsidRPr="00C92ECE">
              <w:rPr>
                <w:rFonts w:ascii="Arial" w:eastAsia="Calibri" w:hAnsi="Arial" w:cs="Arial"/>
                <w:iCs/>
                <w:sz w:val="24"/>
                <w:szCs w:val="24"/>
              </w:rPr>
              <w:t xml:space="preserve">ractice, </w:t>
            </w:r>
            <w:r w:rsidR="00592371">
              <w:rPr>
                <w:rFonts w:ascii="Arial" w:eastAsia="Calibri" w:hAnsi="Arial" w:cs="Arial"/>
                <w:iCs/>
                <w:sz w:val="24"/>
                <w:szCs w:val="24"/>
              </w:rPr>
              <w:t>w</w:t>
            </w:r>
            <w:r w:rsidRPr="00C92ECE">
              <w:rPr>
                <w:rFonts w:ascii="Arial" w:eastAsia="Calibri" w:hAnsi="Arial" w:cs="Arial"/>
                <w:iCs/>
                <w:sz w:val="24"/>
                <w:szCs w:val="24"/>
              </w:rPr>
              <w:t xml:space="preserve">orking with </w:t>
            </w:r>
            <w:r w:rsidR="00592371">
              <w:rPr>
                <w:rFonts w:ascii="Arial" w:eastAsia="Calibri" w:hAnsi="Arial" w:cs="Arial"/>
                <w:iCs/>
                <w:sz w:val="24"/>
                <w:szCs w:val="24"/>
              </w:rPr>
              <w:t>a</w:t>
            </w:r>
            <w:r w:rsidRPr="00C92ECE">
              <w:rPr>
                <w:rFonts w:ascii="Arial" w:eastAsia="Calibri" w:hAnsi="Arial" w:cs="Arial"/>
                <w:iCs/>
                <w:sz w:val="24"/>
                <w:szCs w:val="24"/>
              </w:rPr>
              <w:t xml:space="preserve">dults with unresolved trauma. New VR content has raised awareness of </w:t>
            </w:r>
            <w:r w:rsidR="002D1D21">
              <w:rPr>
                <w:rFonts w:ascii="Arial" w:eastAsia="Calibri" w:hAnsi="Arial" w:cs="Arial"/>
                <w:iCs/>
                <w:sz w:val="24"/>
                <w:szCs w:val="24"/>
              </w:rPr>
              <w:t>y</w:t>
            </w:r>
            <w:r w:rsidRPr="00C92ECE">
              <w:rPr>
                <w:rFonts w:ascii="Arial" w:eastAsia="Calibri" w:hAnsi="Arial" w:cs="Arial"/>
                <w:iCs/>
                <w:sz w:val="24"/>
                <w:szCs w:val="24"/>
              </w:rPr>
              <w:t xml:space="preserve">oung </w:t>
            </w:r>
            <w:r w:rsidR="002D1D21">
              <w:rPr>
                <w:rFonts w:ascii="Arial" w:eastAsia="Calibri" w:hAnsi="Arial" w:cs="Arial"/>
                <w:iCs/>
                <w:sz w:val="24"/>
                <w:szCs w:val="24"/>
              </w:rPr>
              <w:t>p</w:t>
            </w:r>
            <w:r w:rsidRPr="00C92ECE">
              <w:rPr>
                <w:rFonts w:ascii="Arial" w:eastAsia="Calibri" w:hAnsi="Arial" w:cs="Arial"/>
                <w:iCs/>
                <w:sz w:val="24"/>
                <w:szCs w:val="24"/>
              </w:rPr>
              <w:t xml:space="preserve">eople </w:t>
            </w:r>
            <w:r w:rsidR="002D1D21">
              <w:rPr>
                <w:rFonts w:ascii="Arial" w:eastAsia="Calibri" w:hAnsi="Arial" w:cs="Arial"/>
                <w:iCs/>
                <w:sz w:val="24"/>
                <w:szCs w:val="24"/>
              </w:rPr>
              <w:t>and</w:t>
            </w:r>
            <w:r w:rsidRPr="00C92ECE">
              <w:rPr>
                <w:rFonts w:ascii="Arial" w:eastAsia="Calibri" w:hAnsi="Arial" w:cs="Arial"/>
                <w:iCs/>
                <w:sz w:val="24"/>
                <w:szCs w:val="24"/>
              </w:rPr>
              <w:t xml:space="preserve"> </w:t>
            </w:r>
            <w:r w:rsidR="002D1D21">
              <w:rPr>
                <w:rFonts w:ascii="Arial" w:eastAsia="Calibri" w:hAnsi="Arial" w:cs="Arial"/>
                <w:iCs/>
                <w:sz w:val="24"/>
                <w:szCs w:val="24"/>
              </w:rPr>
              <w:t>k</w:t>
            </w:r>
            <w:r w:rsidRPr="00C92ECE">
              <w:rPr>
                <w:rFonts w:ascii="Arial" w:eastAsia="Calibri" w:hAnsi="Arial" w:cs="Arial"/>
                <w:iCs/>
                <w:sz w:val="24"/>
                <w:szCs w:val="24"/>
              </w:rPr>
              <w:t xml:space="preserve">nife </w:t>
            </w:r>
            <w:r w:rsidR="002D1D21">
              <w:rPr>
                <w:rFonts w:ascii="Arial" w:eastAsia="Calibri" w:hAnsi="Arial" w:cs="Arial"/>
                <w:iCs/>
                <w:sz w:val="24"/>
                <w:szCs w:val="24"/>
              </w:rPr>
              <w:t>c</w:t>
            </w:r>
            <w:r w:rsidRPr="00C92ECE">
              <w:rPr>
                <w:rFonts w:ascii="Arial" w:eastAsia="Calibri" w:hAnsi="Arial" w:cs="Arial"/>
                <w:iCs/>
                <w:sz w:val="24"/>
                <w:szCs w:val="24"/>
              </w:rPr>
              <w:t>rime and provided strategies for interventions.</w:t>
            </w:r>
          </w:p>
          <w:p w14:paraId="4785A484" w14:textId="77777777" w:rsidR="00F35B6D" w:rsidRPr="00C92ECE" w:rsidRDefault="00F35B6D" w:rsidP="00843CC5">
            <w:pPr>
              <w:spacing w:line="276" w:lineRule="auto"/>
              <w:rPr>
                <w:rFonts w:ascii="Arial" w:eastAsia="Calibri" w:hAnsi="Arial" w:cs="Arial"/>
                <w:iCs/>
                <w:sz w:val="24"/>
                <w:szCs w:val="24"/>
              </w:rPr>
            </w:pPr>
          </w:p>
          <w:p w14:paraId="0E31D742" w14:textId="34DCB8E4" w:rsidR="00843CC5" w:rsidRPr="00C92ECE" w:rsidRDefault="00843CC5" w:rsidP="00C92ECE">
            <w:pPr>
              <w:rPr>
                <w:rFonts w:ascii="Arial" w:hAnsi="Arial" w:cs="Arial"/>
                <w:i/>
                <w:sz w:val="24"/>
                <w:szCs w:val="24"/>
              </w:rPr>
            </w:pPr>
            <w:r w:rsidRPr="00C92ECE">
              <w:rPr>
                <w:rFonts w:ascii="Arial" w:eastAsia="Calibri" w:hAnsi="Arial" w:cs="Arial"/>
                <w:iCs/>
                <w:sz w:val="24"/>
                <w:szCs w:val="24"/>
              </w:rPr>
              <w:t>Feedback</w:t>
            </w:r>
            <w:r w:rsidRPr="004268D6">
              <w:rPr>
                <w:rFonts w:ascii="Arial" w:eastAsia="Calibri" w:hAnsi="Arial" w:cs="Arial"/>
                <w:iCs/>
                <w:sz w:val="24"/>
                <w:szCs w:val="24"/>
              </w:rPr>
              <w:t>: ‘</w:t>
            </w:r>
            <w:r w:rsidRPr="00BB471B">
              <w:rPr>
                <w:rFonts w:ascii="Arial" w:eastAsia="Calibri" w:hAnsi="Arial" w:cs="Arial"/>
                <w:iCs/>
                <w:sz w:val="24"/>
                <w:szCs w:val="24"/>
              </w:rPr>
              <w:t xml:space="preserve">Excellent training, immersed into emotions </w:t>
            </w:r>
            <w:r w:rsidR="00B43ABF" w:rsidRPr="00BB471B">
              <w:rPr>
                <w:rFonts w:ascii="Arial" w:eastAsia="Calibri" w:hAnsi="Arial" w:cs="Arial"/>
                <w:iCs/>
                <w:sz w:val="24"/>
                <w:szCs w:val="24"/>
              </w:rPr>
              <w:t>and</w:t>
            </w:r>
            <w:r w:rsidRPr="00BB471B">
              <w:rPr>
                <w:rFonts w:ascii="Arial" w:eastAsia="Calibri" w:hAnsi="Arial" w:cs="Arial"/>
                <w:iCs/>
                <w:sz w:val="24"/>
                <w:szCs w:val="24"/>
              </w:rPr>
              <w:t xml:space="preserve"> different perspective</w:t>
            </w:r>
            <w:r w:rsidR="00C924BE">
              <w:rPr>
                <w:rFonts w:ascii="Arial" w:eastAsia="Calibri" w:hAnsi="Arial" w:cs="Arial"/>
                <w:iCs/>
                <w:sz w:val="24"/>
                <w:szCs w:val="24"/>
              </w:rPr>
              <w:t>s</w:t>
            </w:r>
            <w:r w:rsidRPr="00BB471B">
              <w:rPr>
                <w:rFonts w:ascii="Arial" w:eastAsia="Calibri" w:hAnsi="Arial" w:cs="Arial"/>
                <w:iCs/>
                <w:sz w:val="24"/>
                <w:szCs w:val="24"/>
              </w:rPr>
              <w:t xml:space="preserve">, more relatable, </w:t>
            </w:r>
            <w:r w:rsidR="00C924BE">
              <w:rPr>
                <w:rFonts w:ascii="Arial" w:eastAsia="Calibri" w:hAnsi="Arial" w:cs="Arial"/>
                <w:iCs/>
                <w:sz w:val="24"/>
                <w:szCs w:val="24"/>
              </w:rPr>
              <w:t xml:space="preserve">and </w:t>
            </w:r>
            <w:r w:rsidRPr="00BB471B">
              <w:rPr>
                <w:rFonts w:ascii="Arial" w:eastAsia="Calibri" w:hAnsi="Arial" w:cs="Arial"/>
                <w:iCs/>
                <w:sz w:val="24"/>
                <w:szCs w:val="24"/>
              </w:rPr>
              <w:t xml:space="preserve">will inform my work with children </w:t>
            </w:r>
            <w:r w:rsidR="00A70CFD" w:rsidRPr="00BB471B">
              <w:rPr>
                <w:rFonts w:ascii="Arial" w:eastAsia="Calibri" w:hAnsi="Arial" w:cs="Arial"/>
                <w:iCs/>
                <w:sz w:val="24"/>
                <w:szCs w:val="24"/>
              </w:rPr>
              <w:t>and</w:t>
            </w:r>
            <w:r w:rsidRPr="00BB471B">
              <w:rPr>
                <w:rFonts w:ascii="Arial" w:eastAsia="Calibri" w:hAnsi="Arial" w:cs="Arial"/>
                <w:iCs/>
                <w:sz w:val="24"/>
                <w:szCs w:val="24"/>
              </w:rPr>
              <w:t xml:space="preserve"> young people</w:t>
            </w:r>
            <w:r w:rsidR="004268D6" w:rsidRPr="004268D6">
              <w:rPr>
                <w:rFonts w:ascii="Arial" w:eastAsia="Calibri" w:hAnsi="Arial" w:cs="Arial"/>
                <w:iCs/>
                <w:sz w:val="24"/>
                <w:szCs w:val="24"/>
              </w:rPr>
              <w:t>.</w:t>
            </w:r>
            <w:r w:rsidRPr="004268D6">
              <w:rPr>
                <w:iCs/>
                <w:sz w:val="24"/>
                <w:szCs w:val="24"/>
              </w:rPr>
              <w:t xml:space="preserve"> </w:t>
            </w:r>
            <w:r w:rsidRPr="00BB471B">
              <w:rPr>
                <w:rFonts w:ascii="Arial" w:hAnsi="Arial" w:cs="Arial"/>
                <w:iCs/>
                <w:sz w:val="24"/>
                <w:szCs w:val="24"/>
              </w:rPr>
              <w:t>Excellent training</w:t>
            </w:r>
            <w:r w:rsidR="00C924BE">
              <w:rPr>
                <w:rFonts w:ascii="Arial" w:hAnsi="Arial" w:cs="Arial"/>
                <w:iCs/>
                <w:sz w:val="24"/>
                <w:szCs w:val="24"/>
              </w:rPr>
              <w:t xml:space="preserve"> and</w:t>
            </w:r>
            <w:r w:rsidRPr="00BB471B">
              <w:rPr>
                <w:rFonts w:ascii="Arial" w:hAnsi="Arial" w:cs="Arial"/>
                <w:iCs/>
                <w:sz w:val="24"/>
                <w:szCs w:val="24"/>
              </w:rPr>
              <w:t xml:space="preserve"> desperately needs to be delivered to the youth and parents and everyone that works with them.’</w:t>
            </w:r>
            <w:r w:rsidR="00F35B6D" w:rsidRPr="00BB471B">
              <w:rPr>
                <w:rFonts w:ascii="Arial" w:hAnsi="Arial" w:cs="Arial"/>
                <w:iCs/>
                <w:sz w:val="24"/>
                <w:szCs w:val="24"/>
              </w:rPr>
              <w:t xml:space="preserve"> (</w:t>
            </w:r>
            <w:r w:rsidR="000C68B5" w:rsidRPr="00BB471B">
              <w:rPr>
                <w:rFonts w:ascii="Arial" w:hAnsi="Arial" w:cs="Arial"/>
                <w:iCs/>
                <w:sz w:val="24"/>
                <w:szCs w:val="24"/>
              </w:rPr>
              <w:t xml:space="preserve">Ceredigion - </w:t>
            </w:r>
            <w:r w:rsidR="00FF1A9D">
              <w:rPr>
                <w:rFonts w:ascii="Arial" w:hAnsi="Arial" w:cs="Arial"/>
                <w:iCs/>
                <w:sz w:val="24"/>
                <w:szCs w:val="24"/>
              </w:rPr>
              <w:t>w</w:t>
            </w:r>
            <w:r w:rsidR="00F35B6D" w:rsidRPr="00BB471B">
              <w:rPr>
                <w:rFonts w:ascii="Arial" w:hAnsi="Arial" w:cs="Arial"/>
                <w:iCs/>
                <w:sz w:val="24"/>
                <w:szCs w:val="24"/>
              </w:rPr>
              <w:t xml:space="preserve">est Wales </w:t>
            </w:r>
            <w:r w:rsidR="00A70CFD" w:rsidRPr="00BB471B">
              <w:rPr>
                <w:rFonts w:ascii="Arial" w:hAnsi="Arial" w:cs="Arial"/>
                <w:iCs/>
                <w:sz w:val="24"/>
                <w:szCs w:val="24"/>
              </w:rPr>
              <w:t>r</w:t>
            </w:r>
            <w:r w:rsidR="00F35B6D" w:rsidRPr="00BB471B">
              <w:rPr>
                <w:rFonts w:ascii="Arial" w:hAnsi="Arial" w:cs="Arial"/>
                <w:iCs/>
                <w:sz w:val="24"/>
                <w:szCs w:val="24"/>
              </w:rPr>
              <w:t>egion)</w:t>
            </w:r>
          </w:p>
        </w:tc>
      </w:tr>
    </w:tbl>
    <w:p w14:paraId="5E01E702" w14:textId="77777777" w:rsidR="00843CC5" w:rsidRDefault="00843CC5" w:rsidP="00C92ECE">
      <w:pPr>
        <w:spacing w:after="0" w:line="276" w:lineRule="auto"/>
        <w:contextualSpacing/>
        <w:rPr>
          <w:rFonts w:ascii="Arial" w:eastAsia="Calibri" w:hAnsi="Arial" w:cs="Arial"/>
          <w:sz w:val="24"/>
          <w:szCs w:val="24"/>
        </w:rPr>
      </w:pPr>
    </w:p>
    <w:p w14:paraId="2A312FA1" w14:textId="6D3F9444"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Digital </w:t>
      </w:r>
      <w:r w:rsidR="00777564" w:rsidRPr="00BB471B">
        <w:rPr>
          <w:rFonts w:ascii="Arial" w:eastAsia="Calibri" w:hAnsi="Arial" w:cs="Arial"/>
          <w:b/>
          <w:bCs/>
          <w:sz w:val="24"/>
          <w:szCs w:val="24"/>
        </w:rPr>
        <w:t>c</w:t>
      </w:r>
      <w:r w:rsidRPr="00BB471B">
        <w:rPr>
          <w:rFonts w:ascii="Arial" w:eastAsia="Calibri" w:hAnsi="Arial" w:cs="Arial"/>
          <w:b/>
          <w:bCs/>
          <w:sz w:val="24"/>
          <w:szCs w:val="24"/>
        </w:rPr>
        <w:t xml:space="preserve">hampions </w:t>
      </w:r>
      <w:r w:rsidR="002B08FC" w:rsidRPr="00BB471B">
        <w:rPr>
          <w:rFonts w:ascii="Arial" w:eastAsia="Calibri" w:hAnsi="Arial" w:cs="Arial"/>
          <w:b/>
          <w:bCs/>
          <w:sz w:val="24"/>
          <w:szCs w:val="24"/>
        </w:rPr>
        <w:t>and</w:t>
      </w:r>
      <w:r w:rsidRPr="00BB471B">
        <w:rPr>
          <w:rFonts w:ascii="Arial" w:eastAsia="Calibri" w:hAnsi="Arial" w:cs="Arial"/>
          <w:b/>
          <w:bCs/>
          <w:sz w:val="24"/>
          <w:szCs w:val="24"/>
        </w:rPr>
        <w:t xml:space="preserve"> </w:t>
      </w:r>
      <w:r w:rsidR="00777564" w:rsidRPr="00BB471B">
        <w:rPr>
          <w:rFonts w:ascii="Arial" w:eastAsia="Calibri" w:hAnsi="Arial" w:cs="Arial"/>
          <w:b/>
          <w:bCs/>
          <w:sz w:val="24"/>
          <w:szCs w:val="24"/>
        </w:rPr>
        <w:t>p</w:t>
      </w:r>
      <w:r w:rsidRPr="00BB471B">
        <w:rPr>
          <w:rFonts w:ascii="Arial" w:eastAsia="Calibri" w:hAnsi="Arial" w:cs="Arial"/>
          <w:b/>
          <w:bCs/>
          <w:sz w:val="24"/>
          <w:szCs w:val="24"/>
        </w:rPr>
        <w:t xml:space="preserve">eer </w:t>
      </w:r>
      <w:r w:rsidR="00777564" w:rsidRPr="00BB471B">
        <w:rPr>
          <w:rFonts w:ascii="Arial" w:eastAsia="Calibri" w:hAnsi="Arial" w:cs="Arial"/>
          <w:b/>
          <w:bCs/>
          <w:sz w:val="24"/>
          <w:szCs w:val="24"/>
        </w:rPr>
        <w:t>s</w:t>
      </w:r>
      <w:r w:rsidRPr="00BB471B">
        <w:rPr>
          <w:rFonts w:ascii="Arial" w:eastAsia="Calibri" w:hAnsi="Arial" w:cs="Arial"/>
          <w:b/>
          <w:bCs/>
          <w:sz w:val="24"/>
          <w:szCs w:val="24"/>
        </w:rPr>
        <w:t>upport</w:t>
      </w:r>
    </w:p>
    <w:p w14:paraId="57B96820" w14:textId="77777777" w:rsidR="00630C06" w:rsidRPr="00C92ECE" w:rsidRDefault="00630C06" w:rsidP="00C63EB4">
      <w:pPr>
        <w:spacing w:after="0" w:line="240" w:lineRule="auto"/>
        <w:rPr>
          <w:rFonts w:ascii="Arial" w:eastAsia="Calibri" w:hAnsi="Arial" w:cs="Arial"/>
          <w:sz w:val="24"/>
          <w:szCs w:val="24"/>
        </w:rPr>
      </w:pPr>
    </w:p>
    <w:p w14:paraId="39A3BEAF" w14:textId="3B27D822" w:rsidR="004F71A5" w:rsidRDefault="00A24485" w:rsidP="00036633">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Use of p</w:t>
      </w:r>
      <w:r w:rsidR="00C63EB4" w:rsidRPr="00C63EB4">
        <w:rPr>
          <w:rFonts w:ascii="Arial" w:eastAsia="Calibri" w:hAnsi="Arial" w:cs="Arial"/>
          <w:sz w:val="24"/>
          <w:szCs w:val="24"/>
        </w:rPr>
        <w:t xml:space="preserve">eer-led support models </w:t>
      </w:r>
      <w:r>
        <w:rPr>
          <w:rFonts w:ascii="Arial" w:eastAsia="Calibri" w:hAnsi="Arial" w:cs="Arial"/>
          <w:sz w:val="24"/>
          <w:szCs w:val="24"/>
        </w:rPr>
        <w:t>(</w:t>
      </w:r>
      <w:r w:rsidR="004F71A5" w:rsidRPr="00B568F3">
        <w:rPr>
          <w:rFonts w:ascii="Arial" w:eastAsia="Calibri" w:hAnsi="Arial" w:cs="Arial"/>
          <w:sz w:val="24"/>
          <w:szCs w:val="24"/>
        </w:rPr>
        <w:t>digital champion,</w:t>
      </w:r>
      <w:r w:rsidR="004F71A5" w:rsidRPr="00B568F3" w:rsidDel="00BC33F4">
        <w:rPr>
          <w:rFonts w:ascii="Arial" w:eastAsia="Calibri" w:hAnsi="Arial" w:cs="Arial"/>
          <w:sz w:val="24"/>
          <w:szCs w:val="24"/>
        </w:rPr>
        <w:t xml:space="preserve"> </w:t>
      </w:r>
      <w:r w:rsidR="004F71A5" w:rsidRPr="00B568F3">
        <w:rPr>
          <w:rFonts w:ascii="Arial" w:eastAsia="Calibri" w:hAnsi="Arial" w:cs="Arial"/>
          <w:sz w:val="24"/>
          <w:szCs w:val="24"/>
        </w:rPr>
        <w:t>mentor, or partner approach</w:t>
      </w:r>
      <w:r>
        <w:rPr>
          <w:rFonts w:ascii="Arial" w:eastAsia="Calibri" w:hAnsi="Arial" w:cs="Arial"/>
          <w:sz w:val="24"/>
          <w:szCs w:val="24"/>
        </w:rPr>
        <w:t xml:space="preserve">) </w:t>
      </w:r>
      <w:r w:rsidR="00E97479">
        <w:rPr>
          <w:rFonts w:ascii="Arial" w:eastAsia="Calibri" w:hAnsi="Arial" w:cs="Arial"/>
          <w:sz w:val="24"/>
          <w:szCs w:val="24"/>
        </w:rPr>
        <w:t>to</w:t>
      </w:r>
      <w:r w:rsidR="00E45064">
        <w:rPr>
          <w:rFonts w:ascii="Arial" w:eastAsia="Calibri" w:hAnsi="Arial" w:cs="Arial"/>
          <w:sz w:val="24"/>
          <w:szCs w:val="24"/>
        </w:rPr>
        <w:t xml:space="preserve"> help </w:t>
      </w:r>
      <w:r w:rsidR="00E97479">
        <w:rPr>
          <w:rFonts w:ascii="Arial" w:eastAsia="Calibri" w:hAnsi="Arial" w:cs="Arial"/>
          <w:sz w:val="24"/>
          <w:szCs w:val="24"/>
        </w:rPr>
        <w:t xml:space="preserve">upskill the workforce and support </w:t>
      </w:r>
      <w:r w:rsidR="00036633">
        <w:rPr>
          <w:rFonts w:ascii="Arial" w:eastAsia="Calibri" w:hAnsi="Arial" w:cs="Arial"/>
          <w:sz w:val="24"/>
          <w:szCs w:val="24"/>
        </w:rPr>
        <w:t xml:space="preserve">digital </w:t>
      </w:r>
      <w:r w:rsidRPr="00C63EB4">
        <w:rPr>
          <w:rFonts w:ascii="Arial" w:eastAsia="Calibri" w:hAnsi="Arial" w:cs="Arial"/>
          <w:sz w:val="24"/>
          <w:szCs w:val="24"/>
        </w:rPr>
        <w:t>confidence and inclusion</w:t>
      </w:r>
      <w:r w:rsidR="00036633">
        <w:rPr>
          <w:rFonts w:ascii="Arial" w:eastAsia="Calibri" w:hAnsi="Arial" w:cs="Arial"/>
          <w:sz w:val="24"/>
          <w:szCs w:val="24"/>
        </w:rPr>
        <w:t xml:space="preserve">. </w:t>
      </w:r>
    </w:p>
    <w:p w14:paraId="58F23515" w14:textId="77777777" w:rsidR="00F24973" w:rsidRDefault="00F24973" w:rsidP="00F24973">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F24973" w:rsidRPr="00C92ECE" w14:paraId="1D7C40A6" w14:textId="77777777" w:rsidTr="00F24973">
        <w:tc>
          <w:tcPr>
            <w:tcW w:w="9016" w:type="dxa"/>
          </w:tcPr>
          <w:p w14:paraId="1E2F73DA" w14:textId="6285F19D" w:rsidR="00F24973" w:rsidRPr="00013292" w:rsidRDefault="00B95DFB" w:rsidP="00F24973">
            <w:pPr>
              <w:spacing w:line="276" w:lineRule="auto"/>
              <w:contextualSpacing/>
              <w:rPr>
                <w:rFonts w:ascii="Arial" w:eastAsia="Calibri" w:hAnsi="Arial" w:cs="Arial"/>
                <w:sz w:val="24"/>
                <w:szCs w:val="24"/>
              </w:rPr>
            </w:pPr>
            <w:r w:rsidRPr="00C92ECE">
              <w:rPr>
                <w:rFonts w:ascii="Arial" w:eastAsia="Calibri" w:hAnsi="Arial" w:cs="Arial"/>
                <w:sz w:val="24"/>
                <w:szCs w:val="24"/>
              </w:rPr>
              <w:t xml:space="preserve">To </w:t>
            </w:r>
            <w:r w:rsidR="00CB724B">
              <w:rPr>
                <w:rFonts w:ascii="Arial" w:eastAsia="Calibri" w:hAnsi="Arial" w:cs="Arial"/>
                <w:sz w:val="24"/>
                <w:szCs w:val="24"/>
              </w:rPr>
              <w:t>help with</w:t>
            </w:r>
            <w:r w:rsidR="00CB724B" w:rsidRPr="00C92ECE">
              <w:rPr>
                <w:rFonts w:ascii="Arial" w:eastAsia="Calibri" w:hAnsi="Arial" w:cs="Arial"/>
                <w:sz w:val="24"/>
                <w:szCs w:val="24"/>
              </w:rPr>
              <w:t xml:space="preserve"> </w:t>
            </w:r>
            <w:r w:rsidRPr="00C92ECE">
              <w:rPr>
                <w:rFonts w:ascii="Arial" w:eastAsia="Calibri" w:hAnsi="Arial" w:cs="Arial"/>
                <w:sz w:val="24"/>
                <w:szCs w:val="24"/>
              </w:rPr>
              <w:t xml:space="preserve">communication and training opportunities, a </w:t>
            </w:r>
            <w:r w:rsidR="00CB724B">
              <w:rPr>
                <w:rFonts w:ascii="Arial" w:eastAsia="Calibri" w:hAnsi="Arial" w:cs="Arial"/>
                <w:sz w:val="24"/>
                <w:szCs w:val="24"/>
              </w:rPr>
              <w:t>n</w:t>
            </w:r>
            <w:r w:rsidRPr="00C92ECE">
              <w:rPr>
                <w:rFonts w:ascii="Arial" w:eastAsia="Calibri" w:hAnsi="Arial" w:cs="Arial"/>
                <w:sz w:val="24"/>
                <w:szCs w:val="24"/>
              </w:rPr>
              <w:t xml:space="preserve">etwork has been established on </w:t>
            </w:r>
            <w:proofErr w:type="spellStart"/>
            <w:r w:rsidRPr="00C92ECE">
              <w:rPr>
                <w:rFonts w:ascii="Arial" w:eastAsia="Calibri" w:hAnsi="Arial" w:cs="Arial"/>
                <w:sz w:val="24"/>
                <w:szCs w:val="24"/>
              </w:rPr>
              <w:t>Thinqi</w:t>
            </w:r>
            <w:proofErr w:type="spellEnd"/>
            <w:r w:rsidRPr="00C92ECE">
              <w:rPr>
                <w:rFonts w:ascii="Arial" w:eastAsia="Calibri" w:hAnsi="Arial" w:cs="Arial"/>
                <w:sz w:val="24"/>
                <w:szCs w:val="24"/>
              </w:rPr>
              <w:t xml:space="preserve"> as part of the initiative to develop a digitally proficient workforce. This is available to internal staff as well as private and voluntary sector providers. (N</w:t>
            </w:r>
            <w:r w:rsidR="00777564">
              <w:rPr>
                <w:rFonts w:ascii="Arial" w:eastAsia="Calibri" w:hAnsi="Arial" w:cs="Arial"/>
                <w:sz w:val="24"/>
                <w:szCs w:val="24"/>
              </w:rPr>
              <w:t xml:space="preserve">eath </w:t>
            </w:r>
            <w:r w:rsidRPr="00C92ECE">
              <w:rPr>
                <w:rFonts w:ascii="Arial" w:eastAsia="Calibri" w:hAnsi="Arial" w:cs="Arial"/>
                <w:sz w:val="24"/>
                <w:szCs w:val="24"/>
              </w:rPr>
              <w:t>P</w:t>
            </w:r>
            <w:r w:rsidR="00777564">
              <w:rPr>
                <w:rFonts w:ascii="Arial" w:eastAsia="Calibri" w:hAnsi="Arial" w:cs="Arial"/>
                <w:sz w:val="24"/>
                <w:szCs w:val="24"/>
              </w:rPr>
              <w:t xml:space="preserve">ort </w:t>
            </w:r>
            <w:r w:rsidRPr="00C92ECE">
              <w:rPr>
                <w:rFonts w:ascii="Arial" w:eastAsia="Calibri" w:hAnsi="Arial" w:cs="Arial"/>
                <w:sz w:val="24"/>
                <w:szCs w:val="24"/>
              </w:rPr>
              <w:t>T</w:t>
            </w:r>
            <w:r w:rsidR="00777564">
              <w:rPr>
                <w:rFonts w:ascii="Arial" w:eastAsia="Calibri" w:hAnsi="Arial" w:cs="Arial"/>
                <w:sz w:val="24"/>
                <w:szCs w:val="24"/>
              </w:rPr>
              <w:t>albot</w:t>
            </w:r>
            <w:r w:rsidRPr="00C92ECE">
              <w:rPr>
                <w:rFonts w:ascii="Arial" w:eastAsia="Calibri" w:hAnsi="Arial" w:cs="Arial"/>
                <w:sz w:val="24"/>
                <w:szCs w:val="24"/>
              </w:rPr>
              <w:t xml:space="preserve"> – </w:t>
            </w:r>
            <w:r w:rsidR="00FF1A9D">
              <w:rPr>
                <w:rFonts w:ascii="Arial" w:eastAsia="Calibri" w:hAnsi="Arial" w:cs="Arial"/>
                <w:sz w:val="24"/>
                <w:szCs w:val="24"/>
              </w:rPr>
              <w:t>w</w:t>
            </w:r>
            <w:r w:rsidRPr="00C92ECE">
              <w:rPr>
                <w:rFonts w:ascii="Arial" w:eastAsia="Calibri" w:hAnsi="Arial" w:cs="Arial"/>
                <w:sz w:val="24"/>
                <w:szCs w:val="24"/>
              </w:rPr>
              <w:t xml:space="preserve">est Glamorgan </w:t>
            </w:r>
            <w:r w:rsidR="00777564">
              <w:rPr>
                <w:rFonts w:ascii="Arial" w:eastAsia="Calibri" w:hAnsi="Arial" w:cs="Arial"/>
                <w:sz w:val="24"/>
                <w:szCs w:val="24"/>
              </w:rPr>
              <w:t>r</w:t>
            </w:r>
            <w:r w:rsidRPr="00C92ECE">
              <w:rPr>
                <w:rFonts w:ascii="Arial" w:eastAsia="Calibri" w:hAnsi="Arial" w:cs="Arial"/>
                <w:sz w:val="24"/>
                <w:szCs w:val="24"/>
              </w:rPr>
              <w:t>egion)</w:t>
            </w:r>
          </w:p>
        </w:tc>
      </w:tr>
    </w:tbl>
    <w:p w14:paraId="4F6B4E74" w14:textId="77777777" w:rsidR="00F24973" w:rsidRPr="00B568F3" w:rsidRDefault="00F24973" w:rsidP="00C92ECE">
      <w:pPr>
        <w:spacing w:after="0" w:line="276" w:lineRule="auto"/>
        <w:contextualSpacing/>
        <w:rPr>
          <w:rFonts w:ascii="Arial" w:eastAsia="Calibri" w:hAnsi="Arial" w:cs="Arial"/>
          <w:sz w:val="24"/>
          <w:szCs w:val="24"/>
        </w:rPr>
      </w:pPr>
    </w:p>
    <w:p w14:paraId="1BDA46C8" w14:textId="6B26D242"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Learning </w:t>
      </w:r>
      <w:r w:rsidR="00777564" w:rsidRPr="00BB471B">
        <w:rPr>
          <w:rFonts w:ascii="Arial" w:eastAsia="Calibri" w:hAnsi="Arial" w:cs="Arial"/>
          <w:b/>
          <w:bCs/>
          <w:sz w:val="24"/>
          <w:szCs w:val="24"/>
        </w:rPr>
        <w:t>p</w:t>
      </w:r>
      <w:r w:rsidRPr="00BB471B">
        <w:rPr>
          <w:rFonts w:ascii="Arial" w:eastAsia="Calibri" w:hAnsi="Arial" w:cs="Arial"/>
          <w:b/>
          <w:bCs/>
          <w:sz w:val="24"/>
          <w:szCs w:val="24"/>
        </w:rPr>
        <w:t xml:space="preserve">latforms </w:t>
      </w:r>
      <w:r w:rsidR="00777564" w:rsidRPr="00BB471B">
        <w:rPr>
          <w:rFonts w:ascii="Arial" w:eastAsia="Calibri" w:hAnsi="Arial" w:cs="Arial"/>
          <w:b/>
          <w:bCs/>
          <w:sz w:val="24"/>
          <w:szCs w:val="24"/>
        </w:rPr>
        <w:t>and</w:t>
      </w:r>
      <w:r w:rsidRPr="00BB471B">
        <w:rPr>
          <w:rFonts w:ascii="Arial" w:eastAsia="Calibri" w:hAnsi="Arial" w:cs="Arial"/>
          <w:b/>
          <w:bCs/>
          <w:sz w:val="24"/>
          <w:szCs w:val="24"/>
        </w:rPr>
        <w:t xml:space="preserve"> </w:t>
      </w:r>
      <w:r w:rsidR="00777564" w:rsidRPr="00BB471B">
        <w:rPr>
          <w:rFonts w:ascii="Arial" w:eastAsia="Calibri" w:hAnsi="Arial" w:cs="Arial"/>
          <w:b/>
          <w:bCs/>
          <w:sz w:val="24"/>
          <w:szCs w:val="24"/>
        </w:rPr>
        <w:t>r</w:t>
      </w:r>
      <w:r w:rsidRPr="00BB471B">
        <w:rPr>
          <w:rFonts w:ascii="Arial" w:eastAsia="Calibri" w:hAnsi="Arial" w:cs="Arial"/>
          <w:b/>
          <w:bCs/>
          <w:sz w:val="24"/>
          <w:szCs w:val="24"/>
        </w:rPr>
        <w:t>esources</w:t>
      </w:r>
    </w:p>
    <w:p w14:paraId="6AE72896" w14:textId="77777777" w:rsidR="00630C06" w:rsidRPr="00C92ECE" w:rsidRDefault="00630C06" w:rsidP="00C63EB4">
      <w:pPr>
        <w:spacing w:after="0" w:line="240" w:lineRule="auto"/>
        <w:rPr>
          <w:rFonts w:ascii="Arial" w:eastAsia="Calibri" w:hAnsi="Arial" w:cs="Arial"/>
          <w:sz w:val="24"/>
          <w:szCs w:val="24"/>
        </w:rPr>
      </w:pPr>
    </w:p>
    <w:p w14:paraId="64C659A4" w14:textId="14481669" w:rsidR="001C5B7C" w:rsidRPr="00C92ECE" w:rsidRDefault="001C5B7C" w:rsidP="001C5B7C">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 xml:space="preserve">A wide range of health and social care learning topics </w:t>
      </w:r>
      <w:r w:rsidR="00486E34">
        <w:rPr>
          <w:rFonts w:ascii="Arial" w:eastAsia="Calibri" w:hAnsi="Arial" w:cs="Arial"/>
          <w:sz w:val="24"/>
          <w:szCs w:val="24"/>
        </w:rPr>
        <w:t xml:space="preserve">have been turned into digital learning </w:t>
      </w:r>
      <w:r w:rsidR="001C6814">
        <w:rPr>
          <w:rFonts w:ascii="Arial" w:eastAsia="Calibri" w:hAnsi="Arial" w:cs="Arial"/>
          <w:sz w:val="24"/>
          <w:szCs w:val="24"/>
        </w:rPr>
        <w:t>resources.</w:t>
      </w:r>
      <w:r w:rsidRPr="00C92ECE">
        <w:rPr>
          <w:rFonts w:ascii="Arial" w:eastAsia="Calibri" w:hAnsi="Arial" w:cs="Arial"/>
          <w:sz w:val="24"/>
          <w:szCs w:val="24"/>
        </w:rPr>
        <w:t xml:space="preserve"> </w:t>
      </w:r>
      <w:r w:rsidR="001C6814" w:rsidRPr="00C92ECE">
        <w:rPr>
          <w:rFonts w:ascii="Arial" w:eastAsia="Calibri" w:hAnsi="Arial" w:cs="Arial"/>
          <w:sz w:val="24"/>
          <w:szCs w:val="24"/>
        </w:rPr>
        <w:t xml:space="preserve">These </w:t>
      </w:r>
      <w:r w:rsidR="001C6814">
        <w:rPr>
          <w:rFonts w:ascii="Arial" w:eastAsia="Calibri" w:hAnsi="Arial" w:cs="Arial"/>
          <w:sz w:val="24"/>
          <w:szCs w:val="24"/>
        </w:rPr>
        <w:t>are</w:t>
      </w:r>
      <w:r w:rsidRPr="00C92ECE">
        <w:rPr>
          <w:rFonts w:ascii="Arial" w:eastAsia="Calibri" w:hAnsi="Arial" w:cs="Arial"/>
          <w:sz w:val="24"/>
          <w:szCs w:val="24"/>
        </w:rPr>
        <w:t xml:space="preserve"> available as e-learning modules on each local authority’s Learning Management System (LMS), </w:t>
      </w:r>
      <w:r w:rsidR="00486E34">
        <w:rPr>
          <w:rFonts w:ascii="Arial" w:eastAsia="Calibri" w:hAnsi="Arial" w:cs="Arial"/>
          <w:sz w:val="24"/>
          <w:szCs w:val="24"/>
        </w:rPr>
        <w:t>alongside</w:t>
      </w:r>
      <w:r w:rsidRPr="00C92ECE">
        <w:rPr>
          <w:rFonts w:ascii="Arial" w:eastAsia="Calibri" w:hAnsi="Arial" w:cs="Arial"/>
          <w:sz w:val="24"/>
          <w:szCs w:val="24"/>
        </w:rPr>
        <w:t xml:space="preserve"> face-to-face training </w:t>
      </w:r>
      <w:r w:rsidR="00486E34">
        <w:rPr>
          <w:rFonts w:ascii="Arial" w:eastAsia="Calibri" w:hAnsi="Arial" w:cs="Arial"/>
          <w:sz w:val="24"/>
          <w:szCs w:val="24"/>
        </w:rPr>
        <w:t>to support</w:t>
      </w:r>
      <w:r w:rsidRPr="00C92ECE">
        <w:rPr>
          <w:rFonts w:ascii="Arial" w:eastAsia="Calibri" w:hAnsi="Arial" w:cs="Arial"/>
          <w:sz w:val="24"/>
          <w:szCs w:val="24"/>
        </w:rPr>
        <w:t xml:space="preserve"> flexible, blended learning.</w:t>
      </w:r>
    </w:p>
    <w:p w14:paraId="210DC7D0" w14:textId="77777777" w:rsidR="0001507A" w:rsidRPr="00C92ECE" w:rsidRDefault="0001507A" w:rsidP="00C92ECE">
      <w:pPr>
        <w:spacing w:after="0" w:line="276" w:lineRule="auto"/>
        <w:ind w:left="567"/>
        <w:contextualSpacing/>
        <w:rPr>
          <w:rFonts w:ascii="Arial" w:eastAsia="Calibri" w:hAnsi="Arial" w:cs="Arial"/>
          <w:sz w:val="24"/>
          <w:szCs w:val="24"/>
        </w:rPr>
      </w:pPr>
    </w:p>
    <w:p w14:paraId="2869D779" w14:textId="2C9074D1" w:rsidR="001C5B7C" w:rsidRDefault="001C5B7C" w:rsidP="001C5B7C">
      <w:pPr>
        <w:numPr>
          <w:ilvl w:val="0"/>
          <w:numId w:val="6"/>
        </w:numPr>
        <w:spacing w:after="0" w:line="276" w:lineRule="auto"/>
        <w:ind w:left="567" w:hanging="425"/>
        <w:contextualSpacing/>
        <w:rPr>
          <w:rFonts w:ascii="Arial" w:eastAsia="Calibri" w:hAnsi="Arial" w:cs="Arial"/>
          <w:sz w:val="24"/>
          <w:szCs w:val="24"/>
        </w:rPr>
      </w:pPr>
      <w:r w:rsidRPr="0001507A">
        <w:rPr>
          <w:rFonts w:ascii="Arial" w:eastAsia="Calibri" w:hAnsi="Arial" w:cs="Arial"/>
          <w:sz w:val="24"/>
          <w:szCs w:val="24"/>
        </w:rPr>
        <w:t xml:space="preserve">The main LMS platforms currently used across Wales include </w:t>
      </w:r>
      <w:proofErr w:type="spellStart"/>
      <w:r w:rsidRPr="00C92ECE">
        <w:rPr>
          <w:rFonts w:ascii="Arial" w:eastAsia="Calibri" w:hAnsi="Arial" w:cs="Arial"/>
          <w:sz w:val="24"/>
          <w:szCs w:val="24"/>
        </w:rPr>
        <w:t>Thinqi</w:t>
      </w:r>
      <w:proofErr w:type="spellEnd"/>
      <w:r w:rsidRPr="0001507A">
        <w:rPr>
          <w:rFonts w:ascii="Arial" w:eastAsia="Calibri" w:hAnsi="Arial" w:cs="Arial"/>
          <w:sz w:val="24"/>
          <w:szCs w:val="24"/>
        </w:rPr>
        <w:t xml:space="preserve">, </w:t>
      </w:r>
      <w:r w:rsidRPr="00C92ECE">
        <w:rPr>
          <w:rFonts w:ascii="Arial" w:eastAsia="Calibri" w:hAnsi="Arial" w:cs="Arial"/>
          <w:sz w:val="24"/>
          <w:szCs w:val="24"/>
        </w:rPr>
        <w:t>Learning Pool</w:t>
      </w:r>
      <w:r w:rsidRPr="0001507A">
        <w:rPr>
          <w:rFonts w:ascii="Arial" w:eastAsia="Calibri" w:hAnsi="Arial" w:cs="Arial"/>
          <w:sz w:val="24"/>
          <w:szCs w:val="24"/>
        </w:rPr>
        <w:t xml:space="preserve">, and </w:t>
      </w:r>
      <w:r w:rsidRPr="00C92ECE">
        <w:rPr>
          <w:rFonts w:ascii="Arial" w:eastAsia="Calibri" w:hAnsi="Arial" w:cs="Arial"/>
          <w:sz w:val="24"/>
          <w:szCs w:val="24"/>
        </w:rPr>
        <w:t>Oracle Fusion</w:t>
      </w:r>
      <w:r w:rsidR="009608E9">
        <w:rPr>
          <w:rFonts w:ascii="Arial" w:eastAsia="Calibri" w:hAnsi="Arial" w:cs="Arial"/>
          <w:sz w:val="24"/>
          <w:szCs w:val="24"/>
        </w:rPr>
        <w:t xml:space="preserve">. These platforms </w:t>
      </w:r>
      <w:r w:rsidR="001C6814">
        <w:rPr>
          <w:rFonts w:ascii="Arial" w:eastAsia="Calibri" w:hAnsi="Arial" w:cs="Arial"/>
          <w:sz w:val="24"/>
          <w:szCs w:val="24"/>
        </w:rPr>
        <w:t>help</w:t>
      </w:r>
      <w:r w:rsidRPr="0001507A">
        <w:rPr>
          <w:rFonts w:ascii="Arial" w:eastAsia="Calibri" w:hAnsi="Arial" w:cs="Arial"/>
          <w:sz w:val="24"/>
          <w:szCs w:val="24"/>
        </w:rPr>
        <w:t xml:space="preserve"> ensur</w:t>
      </w:r>
      <w:r w:rsidR="009608E9">
        <w:rPr>
          <w:rFonts w:ascii="Arial" w:eastAsia="Calibri" w:hAnsi="Arial" w:cs="Arial"/>
          <w:sz w:val="24"/>
          <w:szCs w:val="24"/>
        </w:rPr>
        <w:t>e</w:t>
      </w:r>
      <w:r w:rsidR="00203A36">
        <w:rPr>
          <w:rFonts w:ascii="Arial" w:eastAsia="Calibri" w:hAnsi="Arial" w:cs="Arial"/>
          <w:sz w:val="24"/>
          <w:szCs w:val="24"/>
        </w:rPr>
        <w:t xml:space="preserve"> </w:t>
      </w:r>
      <w:r w:rsidRPr="0001507A">
        <w:rPr>
          <w:rFonts w:ascii="Arial" w:eastAsia="Calibri" w:hAnsi="Arial" w:cs="Arial"/>
          <w:sz w:val="24"/>
          <w:szCs w:val="24"/>
        </w:rPr>
        <w:t>accessibility across the workforce.</w:t>
      </w:r>
    </w:p>
    <w:p w14:paraId="395EAFA5" w14:textId="77777777" w:rsidR="00013292" w:rsidRDefault="00013292" w:rsidP="00C92ECE">
      <w:pPr>
        <w:pStyle w:val="ListParagraph"/>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013292" w:rsidRPr="00091AC8" w14:paraId="354B334A" w14:textId="77777777" w:rsidTr="00507D5B">
        <w:trPr>
          <w:jc w:val="center"/>
        </w:trPr>
        <w:tc>
          <w:tcPr>
            <w:tcW w:w="9016" w:type="dxa"/>
          </w:tcPr>
          <w:p w14:paraId="6E790F41" w14:textId="74E714E0" w:rsidR="00013292" w:rsidRPr="00091AC8" w:rsidRDefault="00013292" w:rsidP="00507D5B">
            <w:pPr>
              <w:spacing w:line="276" w:lineRule="auto"/>
              <w:rPr>
                <w:rFonts w:ascii="Arial" w:eastAsia="Calibri" w:hAnsi="Arial" w:cs="Arial"/>
                <w:sz w:val="24"/>
                <w:szCs w:val="24"/>
              </w:rPr>
            </w:pPr>
            <w:r w:rsidRPr="005F0496">
              <w:rPr>
                <w:rFonts w:ascii="Arial" w:eastAsia="Arial" w:hAnsi="Arial" w:cs="Arial"/>
                <w:sz w:val="24"/>
                <w:szCs w:val="24"/>
                <w:lang w:eastAsia="en-GB"/>
              </w:rPr>
              <w:t xml:space="preserve">We continue to provide ICT awareness sessions encouraging foster carers and kinship carers to use </w:t>
            </w:r>
            <w:r w:rsidRPr="005830C2">
              <w:rPr>
                <w:rFonts w:ascii="Arial" w:eastAsia="Arial" w:hAnsi="Arial" w:cs="Arial"/>
                <w:sz w:val="24"/>
                <w:szCs w:val="24"/>
                <w:lang w:eastAsia="en-GB"/>
              </w:rPr>
              <w:t>online</w:t>
            </w:r>
            <w:r w:rsidRPr="005F0496">
              <w:rPr>
                <w:rFonts w:ascii="Arial" w:eastAsia="Arial" w:hAnsi="Arial" w:cs="Arial"/>
                <w:sz w:val="24"/>
                <w:szCs w:val="24"/>
                <w:lang w:eastAsia="en-GB"/>
              </w:rPr>
              <w:t xml:space="preserve"> learning. Self-enrolment continues to be successful. Staff can access training updates </w:t>
            </w:r>
            <w:r w:rsidR="00203A36">
              <w:rPr>
                <w:rFonts w:ascii="Arial" w:eastAsia="Arial" w:hAnsi="Arial" w:cs="Arial"/>
                <w:sz w:val="24"/>
                <w:szCs w:val="24"/>
                <w:lang w:eastAsia="en-GB"/>
              </w:rPr>
              <w:t>and</w:t>
            </w:r>
            <w:r w:rsidRPr="005F0496">
              <w:rPr>
                <w:rFonts w:ascii="Arial" w:eastAsia="Arial" w:hAnsi="Arial" w:cs="Arial"/>
                <w:sz w:val="24"/>
                <w:szCs w:val="24"/>
                <w:lang w:eastAsia="en-GB"/>
              </w:rPr>
              <w:t xml:space="preserve"> maintain compliance (Cwm Taf Morgannwg </w:t>
            </w:r>
            <w:r w:rsidR="00203A36">
              <w:rPr>
                <w:rFonts w:ascii="Arial" w:eastAsia="Arial" w:hAnsi="Arial" w:cs="Arial"/>
                <w:sz w:val="24"/>
                <w:szCs w:val="24"/>
                <w:lang w:eastAsia="en-GB"/>
              </w:rPr>
              <w:t>r</w:t>
            </w:r>
            <w:r w:rsidRPr="005F0496">
              <w:rPr>
                <w:rFonts w:ascii="Arial" w:eastAsia="Arial" w:hAnsi="Arial" w:cs="Arial"/>
                <w:sz w:val="24"/>
                <w:szCs w:val="24"/>
                <w:lang w:eastAsia="en-GB"/>
              </w:rPr>
              <w:t>egion)</w:t>
            </w:r>
          </w:p>
        </w:tc>
      </w:tr>
      <w:tr w:rsidR="00736792" w:rsidRPr="00091AC8" w14:paraId="3E162A40" w14:textId="77777777" w:rsidTr="00736792">
        <w:tblPrEx>
          <w:jc w:val="left"/>
        </w:tblPrEx>
        <w:tc>
          <w:tcPr>
            <w:tcW w:w="9016" w:type="dxa"/>
          </w:tcPr>
          <w:p w14:paraId="76B94EEF" w14:textId="5B1A2F1F" w:rsidR="00736792" w:rsidRPr="00091AC8" w:rsidRDefault="00736792" w:rsidP="00736792">
            <w:pPr>
              <w:spacing w:line="276" w:lineRule="auto"/>
              <w:contextualSpacing/>
              <w:rPr>
                <w:rFonts w:ascii="Arial" w:eastAsia="Calibri" w:hAnsi="Arial" w:cs="Arial"/>
                <w:sz w:val="24"/>
                <w:szCs w:val="24"/>
              </w:rPr>
            </w:pPr>
            <w:r w:rsidRPr="00C92ECE">
              <w:rPr>
                <w:rFonts w:ascii="Arial" w:hAnsi="Arial" w:cs="Arial"/>
                <w:sz w:val="24"/>
                <w:szCs w:val="24"/>
                <w:bdr w:val="none" w:sz="0" w:space="0" w:color="auto" w:frame="1"/>
                <w:lang w:eastAsia="en-GB"/>
              </w:rPr>
              <w:lastRenderedPageBreak/>
              <w:t>In 2024</w:t>
            </w:r>
            <w:r w:rsidR="00232F6E">
              <w:rPr>
                <w:rFonts w:ascii="Arial" w:hAnsi="Arial" w:cs="Arial"/>
                <w:sz w:val="24"/>
                <w:szCs w:val="24"/>
                <w:bdr w:val="none" w:sz="0" w:space="0" w:color="auto" w:frame="1"/>
                <w:lang w:eastAsia="en-GB"/>
              </w:rPr>
              <w:t xml:space="preserve"> to 20</w:t>
            </w:r>
            <w:r w:rsidRPr="00C92ECE">
              <w:rPr>
                <w:rFonts w:ascii="Arial" w:hAnsi="Arial" w:cs="Arial"/>
                <w:sz w:val="24"/>
                <w:szCs w:val="24"/>
                <w:bdr w:val="none" w:sz="0" w:space="0" w:color="auto" w:frame="1"/>
                <w:lang w:eastAsia="en-GB"/>
              </w:rPr>
              <w:t>25, Cardiff saw a</w:t>
            </w:r>
            <w:r w:rsidR="004D3BB4">
              <w:rPr>
                <w:rFonts w:ascii="Arial" w:hAnsi="Arial" w:cs="Arial"/>
                <w:sz w:val="24"/>
                <w:szCs w:val="24"/>
                <w:bdr w:val="none" w:sz="0" w:space="0" w:color="auto" w:frame="1"/>
                <w:lang w:eastAsia="en-GB"/>
              </w:rPr>
              <w:t>n</w:t>
            </w:r>
            <w:r w:rsidRPr="00C92ECE">
              <w:rPr>
                <w:rFonts w:ascii="Arial" w:hAnsi="Arial" w:cs="Arial"/>
                <w:sz w:val="24"/>
                <w:szCs w:val="24"/>
                <w:bdr w:val="none" w:sz="0" w:space="0" w:color="auto" w:frame="1"/>
                <w:lang w:eastAsia="en-GB"/>
              </w:rPr>
              <w:t xml:space="preserve"> increase in engagement with its </w:t>
            </w:r>
            <w:r w:rsidR="00E47700">
              <w:rPr>
                <w:rFonts w:ascii="Arial" w:hAnsi="Arial" w:cs="Arial"/>
                <w:sz w:val="24"/>
                <w:szCs w:val="24"/>
                <w:bdr w:val="none" w:sz="0" w:space="0" w:color="auto" w:frame="1"/>
                <w:lang w:eastAsia="en-GB"/>
              </w:rPr>
              <w:t>l</w:t>
            </w:r>
            <w:r w:rsidRPr="00C92ECE">
              <w:rPr>
                <w:rFonts w:ascii="Arial" w:hAnsi="Arial" w:cs="Arial"/>
                <w:sz w:val="24"/>
                <w:szCs w:val="24"/>
                <w:bdr w:val="none" w:sz="0" w:space="0" w:color="auto" w:frame="1"/>
                <w:lang w:eastAsia="en-GB"/>
              </w:rPr>
              <w:t xml:space="preserve">earning and </w:t>
            </w:r>
            <w:r w:rsidR="00E47700">
              <w:rPr>
                <w:rFonts w:ascii="Arial" w:hAnsi="Arial" w:cs="Arial"/>
                <w:sz w:val="24"/>
                <w:szCs w:val="24"/>
                <w:bdr w:val="none" w:sz="0" w:space="0" w:color="auto" w:frame="1"/>
                <w:lang w:eastAsia="en-GB"/>
              </w:rPr>
              <w:t>d</w:t>
            </w:r>
            <w:r w:rsidRPr="00C92ECE">
              <w:rPr>
                <w:rFonts w:ascii="Arial" w:hAnsi="Arial" w:cs="Arial"/>
                <w:sz w:val="24"/>
                <w:szCs w:val="24"/>
                <w:bdr w:val="none" w:sz="0" w:space="0" w:color="auto" w:frame="1"/>
                <w:lang w:eastAsia="en-GB"/>
              </w:rPr>
              <w:t>evelopment platform, Learning Pool. Over the course of the year, approximately 1,600 partner accounts were created, enabling more providers than ever to access and benefit from Cardiff's offer. This growth reflects the promotional work we</w:t>
            </w:r>
            <w:r w:rsidR="000C2ADF">
              <w:rPr>
                <w:rFonts w:ascii="Arial" w:hAnsi="Arial" w:cs="Arial"/>
                <w:sz w:val="24"/>
                <w:szCs w:val="24"/>
                <w:bdr w:val="none" w:sz="0" w:space="0" w:color="auto" w:frame="1"/>
                <w:lang w:eastAsia="en-GB"/>
              </w:rPr>
              <w:t>’ve</w:t>
            </w:r>
            <w:r w:rsidRPr="00C92ECE">
              <w:rPr>
                <w:rFonts w:ascii="Arial" w:hAnsi="Arial" w:cs="Arial"/>
                <w:sz w:val="24"/>
                <w:szCs w:val="24"/>
                <w:bdr w:val="none" w:sz="0" w:space="0" w:color="auto" w:frame="1"/>
                <w:lang w:eastAsia="en-GB"/>
              </w:rPr>
              <w:t xml:space="preserve"> undertaken over the past year to strengthen provider engagement. However, despite creating 1600 accounts, only </w:t>
            </w:r>
            <w:r w:rsidRPr="00C92ECE">
              <w:rPr>
                <w:rFonts w:ascii="Arial" w:eastAsia="Calibri" w:hAnsi="Arial" w:cs="Arial"/>
                <w:sz w:val="24"/>
                <w:szCs w:val="24"/>
              </w:rPr>
              <w:t>457</w:t>
            </w:r>
            <w:r w:rsidRPr="00C92ECE">
              <w:rPr>
                <w:rFonts w:ascii="Arial" w:hAnsi="Arial" w:cs="Arial"/>
                <w:sz w:val="24"/>
                <w:szCs w:val="24"/>
                <w:bdr w:val="none" w:sz="0" w:space="0" w:color="auto" w:frame="1"/>
                <w:lang w:eastAsia="en-GB"/>
              </w:rPr>
              <w:t xml:space="preserve"> engaged with their account in 2024</w:t>
            </w:r>
            <w:r w:rsidR="00DC5C2C">
              <w:rPr>
                <w:rFonts w:ascii="Arial" w:hAnsi="Arial" w:cs="Arial"/>
                <w:sz w:val="24"/>
                <w:szCs w:val="24"/>
                <w:bdr w:val="none" w:sz="0" w:space="0" w:color="auto" w:frame="1"/>
                <w:lang w:eastAsia="en-GB"/>
              </w:rPr>
              <w:t xml:space="preserve"> to 20</w:t>
            </w:r>
            <w:r w:rsidRPr="00C92ECE">
              <w:rPr>
                <w:rFonts w:ascii="Arial" w:hAnsi="Arial" w:cs="Arial"/>
                <w:sz w:val="24"/>
                <w:szCs w:val="24"/>
                <w:bdr w:val="none" w:sz="0" w:space="0" w:color="auto" w:frame="1"/>
                <w:lang w:eastAsia="en-GB"/>
              </w:rPr>
              <w:t>25. It</w:t>
            </w:r>
            <w:r w:rsidR="00DC5C2C">
              <w:rPr>
                <w:rFonts w:ascii="Arial" w:hAnsi="Arial" w:cs="Arial"/>
                <w:sz w:val="24"/>
                <w:szCs w:val="24"/>
                <w:bdr w:val="none" w:sz="0" w:space="0" w:color="auto" w:frame="1"/>
                <w:lang w:eastAsia="en-GB"/>
              </w:rPr>
              <w:t>’s</w:t>
            </w:r>
            <w:r w:rsidRPr="00C92ECE">
              <w:rPr>
                <w:rFonts w:ascii="Arial" w:hAnsi="Arial" w:cs="Arial"/>
                <w:sz w:val="24"/>
                <w:szCs w:val="24"/>
                <w:bdr w:val="none" w:sz="0" w:space="0" w:color="auto" w:frame="1"/>
                <w:lang w:eastAsia="en-GB"/>
              </w:rPr>
              <w:t xml:space="preserve"> important to point out that managers often book their staff on training however, we would have liked to see these users accessing eLearning opportunities. (Cardiff – Cardiff and the Vale </w:t>
            </w:r>
            <w:r w:rsidR="00D75816">
              <w:rPr>
                <w:rFonts w:ascii="Arial" w:hAnsi="Arial" w:cs="Arial"/>
                <w:sz w:val="24"/>
                <w:szCs w:val="24"/>
                <w:bdr w:val="none" w:sz="0" w:space="0" w:color="auto" w:frame="1"/>
                <w:lang w:eastAsia="en-GB"/>
              </w:rPr>
              <w:t>r</w:t>
            </w:r>
            <w:r w:rsidRPr="00C92ECE">
              <w:rPr>
                <w:rFonts w:ascii="Arial" w:hAnsi="Arial" w:cs="Arial"/>
                <w:sz w:val="24"/>
                <w:szCs w:val="24"/>
                <w:bdr w:val="none" w:sz="0" w:space="0" w:color="auto" w:frame="1"/>
                <w:lang w:eastAsia="en-GB"/>
              </w:rPr>
              <w:t>egion)</w:t>
            </w:r>
          </w:p>
        </w:tc>
      </w:tr>
    </w:tbl>
    <w:p w14:paraId="67D9D4E2" w14:textId="77777777" w:rsidR="00736792" w:rsidRPr="00091AC8" w:rsidRDefault="00736792" w:rsidP="00C92ECE">
      <w:pPr>
        <w:spacing w:after="0" w:line="276" w:lineRule="auto"/>
        <w:contextualSpacing/>
        <w:rPr>
          <w:rFonts w:ascii="Arial" w:eastAsia="Calibri" w:hAnsi="Arial" w:cs="Arial"/>
          <w:sz w:val="24"/>
          <w:szCs w:val="24"/>
        </w:rPr>
      </w:pPr>
    </w:p>
    <w:p w14:paraId="37603DD9" w14:textId="154EAB2D" w:rsidR="003B7895" w:rsidRPr="00334188" w:rsidRDefault="00AF14C8" w:rsidP="00630C06">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 xml:space="preserve">Working together to </w:t>
      </w:r>
      <w:r w:rsidR="00334188" w:rsidRPr="00334188">
        <w:rPr>
          <w:rFonts w:ascii="Arial" w:eastAsia="Calibri" w:hAnsi="Arial" w:cs="Arial"/>
          <w:sz w:val="24"/>
          <w:szCs w:val="24"/>
        </w:rPr>
        <w:t xml:space="preserve">develop </w:t>
      </w:r>
      <w:r>
        <w:rPr>
          <w:rFonts w:ascii="Arial" w:eastAsia="Calibri" w:hAnsi="Arial" w:cs="Arial"/>
          <w:sz w:val="24"/>
          <w:szCs w:val="24"/>
        </w:rPr>
        <w:t>shared</w:t>
      </w:r>
      <w:r w:rsidR="00334188" w:rsidRPr="00334188">
        <w:rPr>
          <w:rFonts w:ascii="Arial" w:eastAsia="Calibri" w:hAnsi="Arial" w:cs="Arial"/>
          <w:sz w:val="24"/>
          <w:szCs w:val="24"/>
        </w:rPr>
        <w:t xml:space="preserve"> learning and management systems is </w:t>
      </w:r>
      <w:r w:rsidR="00C51A92" w:rsidRPr="00334188">
        <w:rPr>
          <w:rFonts w:ascii="Arial" w:eastAsia="Calibri" w:hAnsi="Arial" w:cs="Arial"/>
          <w:sz w:val="24"/>
          <w:szCs w:val="24"/>
        </w:rPr>
        <w:t>i</w:t>
      </w:r>
      <w:r w:rsidR="00C51A92">
        <w:rPr>
          <w:rFonts w:ascii="Arial" w:eastAsia="Calibri" w:hAnsi="Arial" w:cs="Arial"/>
          <w:sz w:val="24"/>
          <w:szCs w:val="24"/>
        </w:rPr>
        <w:t>mproving</w:t>
      </w:r>
      <w:r>
        <w:rPr>
          <w:rFonts w:ascii="Arial" w:eastAsia="Calibri" w:hAnsi="Arial" w:cs="Arial"/>
          <w:sz w:val="24"/>
          <w:szCs w:val="24"/>
        </w:rPr>
        <w:t xml:space="preserve"> </w:t>
      </w:r>
      <w:r w:rsidR="00334188" w:rsidRPr="00334188">
        <w:rPr>
          <w:rFonts w:ascii="Arial" w:eastAsia="Calibri" w:hAnsi="Arial" w:cs="Arial"/>
          <w:sz w:val="24"/>
          <w:szCs w:val="24"/>
        </w:rPr>
        <w:t>workforce access to online learning</w:t>
      </w:r>
      <w:r w:rsidR="006B4715">
        <w:rPr>
          <w:rFonts w:ascii="Arial" w:eastAsia="Calibri" w:hAnsi="Arial" w:cs="Arial"/>
          <w:sz w:val="24"/>
          <w:szCs w:val="24"/>
        </w:rPr>
        <w:t>. It helps</w:t>
      </w:r>
      <w:r w:rsidR="003F4E98">
        <w:rPr>
          <w:rFonts w:ascii="Arial" w:eastAsia="Calibri" w:hAnsi="Arial" w:cs="Arial"/>
          <w:sz w:val="24"/>
          <w:szCs w:val="24"/>
        </w:rPr>
        <w:t xml:space="preserve"> </w:t>
      </w:r>
      <w:r w:rsidR="006B4715">
        <w:rPr>
          <w:rFonts w:ascii="Arial" w:eastAsia="Calibri" w:hAnsi="Arial" w:cs="Arial"/>
          <w:sz w:val="24"/>
          <w:szCs w:val="24"/>
        </w:rPr>
        <w:t>them as</w:t>
      </w:r>
      <w:r w:rsidR="00C10072">
        <w:rPr>
          <w:rFonts w:ascii="Arial" w:eastAsia="Calibri" w:hAnsi="Arial" w:cs="Arial"/>
          <w:sz w:val="24"/>
          <w:szCs w:val="24"/>
        </w:rPr>
        <w:t xml:space="preserve"> </w:t>
      </w:r>
      <w:r w:rsidR="00334188" w:rsidRPr="00334188">
        <w:rPr>
          <w:rFonts w:ascii="Arial" w:eastAsia="Calibri" w:hAnsi="Arial" w:cs="Arial"/>
          <w:sz w:val="24"/>
          <w:szCs w:val="24"/>
        </w:rPr>
        <w:t xml:space="preserve">employees but also </w:t>
      </w:r>
      <w:r w:rsidR="00C10072">
        <w:rPr>
          <w:rFonts w:ascii="Arial" w:eastAsia="Calibri" w:hAnsi="Arial" w:cs="Arial"/>
          <w:sz w:val="24"/>
          <w:szCs w:val="24"/>
        </w:rPr>
        <w:t xml:space="preserve">as </w:t>
      </w:r>
      <w:r w:rsidR="00334188" w:rsidRPr="00334188">
        <w:rPr>
          <w:rFonts w:ascii="Arial" w:eastAsia="Calibri" w:hAnsi="Arial" w:cs="Arial"/>
          <w:sz w:val="24"/>
          <w:szCs w:val="24"/>
        </w:rPr>
        <w:t xml:space="preserve">citizens and unpaid carers. At the same time, local authorities are </w:t>
      </w:r>
      <w:r w:rsidR="006B4715">
        <w:rPr>
          <w:rFonts w:ascii="Arial" w:eastAsia="Calibri" w:hAnsi="Arial" w:cs="Arial"/>
          <w:sz w:val="24"/>
          <w:szCs w:val="24"/>
        </w:rPr>
        <w:t xml:space="preserve">saving money by </w:t>
      </w:r>
      <w:r w:rsidR="008D11B0">
        <w:rPr>
          <w:rFonts w:ascii="Arial" w:eastAsia="Calibri" w:hAnsi="Arial" w:cs="Arial"/>
          <w:sz w:val="24"/>
          <w:szCs w:val="24"/>
        </w:rPr>
        <w:t xml:space="preserve">jointly </w:t>
      </w:r>
      <w:r w:rsidR="00334188" w:rsidRPr="00334188">
        <w:rPr>
          <w:rFonts w:ascii="Arial" w:eastAsia="Calibri" w:hAnsi="Arial" w:cs="Arial"/>
          <w:sz w:val="24"/>
          <w:szCs w:val="24"/>
        </w:rPr>
        <w:t>creati</w:t>
      </w:r>
      <w:r w:rsidR="008D11B0">
        <w:rPr>
          <w:rFonts w:ascii="Arial" w:eastAsia="Calibri" w:hAnsi="Arial" w:cs="Arial"/>
          <w:sz w:val="24"/>
          <w:szCs w:val="24"/>
        </w:rPr>
        <w:t>ng</w:t>
      </w:r>
      <w:r w:rsidR="00334188" w:rsidRPr="00334188">
        <w:rPr>
          <w:rFonts w:ascii="Arial" w:eastAsia="Calibri" w:hAnsi="Arial" w:cs="Arial"/>
          <w:sz w:val="24"/>
          <w:szCs w:val="24"/>
        </w:rPr>
        <w:t xml:space="preserve"> bilingual, non-branded </w:t>
      </w:r>
      <w:r w:rsidR="001C6814" w:rsidRPr="00334188">
        <w:rPr>
          <w:rFonts w:ascii="Arial" w:eastAsia="Calibri" w:hAnsi="Arial" w:cs="Arial"/>
          <w:sz w:val="24"/>
          <w:szCs w:val="24"/>
        </w:rPr>
        <w:t>content</w:t>
      </w:r>
      <w:r w:rsidR="001C6814">
        <w:rPr>
          <w:rFonts w:ascii="Arial" w:eastAsia="Calibri" w:hAnsi="Arial" w:cs="Arial"/>
          <w:sz w:val="24"/>
          <w:szCs w:val="24"/>
        </w:rPr>
        <w:t>.</w:t>
      </w:r>
    </w:p>
    <w:p w14:paraId="51D0834E" w14:textId="77777777" w:rsidR="00207072" w:rsidRPr="00C92ECE" w:rsidRDefault="00207072" w:rsidP="00C92ECE">
      <w:pPr>
        <w:spacing w:after="0" w:line="276" w:lineRule="auto"/>
        <w:ind w:left="567"/>
        <w:contextualSpacing/>
        <w:rPr>
          <w:rFonts w:ascii="Arial" w:eastAsia="Calibri" w:hAnsi="Arial" w:cs="Arial"/>
          <w:sz w:val="24"/>
          <w:szCs w:val="24"/>
          <w:highlight w:val="yellow"/>
        </w:rPr>
      </w:pPr>
    </w:p>
    <w:tbl>
      <w:tblPr>
        <w:tblStyle w:val="TableGrid"/>
        <w:tblW w:w="0" w:type="auto"/>
        <w:jc w:val="center"/>
        <w:tblLook w:val="04A0" w:firstRow="1" w:lastRow="0" w:firstColumn="1" w:lastColumn="0" w:noHBand="0" w:noVBand="1"/>
      </w:tblPr>
      <w:tblGrid>
        <w:gridCol w:w="9016"/>
      </w:tblGrid>
      <w:tr w:rsidR="00877672" w:rsidRPr="00091AC8" w14:paraId="529E75FF" w14:textId="77777777" w:rsidTr="00C92ECE">
        <w:trPr>
          <w:jc w:val="center"/>
        </w:trPr>
        <w:tc>
          <w:tcPr>
            <w:tcW w:w="9016" w:type="dxa"/>
          </w:tcPr>
          <w:p w14:paraId="3FC6E43A" w14:textId="1C383224" w:rsidR="00877672" w:rsidRPr="00C92ECE" w:rsidRDefault="00877672" w:rsidP="00877672">
            <w:pPr>
              <w:jc w:val="both"/>
              <w:rPr>
                <w:rFonts w:ascii="Arial" w:eastAsia="Arial" w:hAnsi="Arial" w:cs="Arial"/>
                <w:sz w:val="24"/>
                <w:szCs w:val="24"/>
              </w:rPr>
            </w:pPr>
            <w:r w:rsidRPr="00C92ECE">
              <w:rPr>
                <w:rFonts w:ascii="Arial" w:eastAsia="Arial" w:hAnsi="Arial" w:cs="Arial"/>
                <w:sz w:val="24"/>
                <w:szCs w:val="24"/>
              </w:rPr>
              <w:t xml:space="preserve">Gwent continued to be a major influencer of expanding the benefits of a shared digital learning system. Implemented as an organisational level system to ensure high level support from key services like HR and </w:t>
            </w:r>
            <w:r w:rsidR="0071521B">
              <w:rPr>
                <w:rFonts w:ascii="Arial" w:eastAsia="Arial" w:hAnsi="Arial" w:cs="Arial"/>
                <w:sz w:val="24"/>
                <w:szCs w:val="24"/>
              </w:rPr>
              <w:t>d</w:t>
            </w:r>
            <w:r w:rsidR="003B7895" w:rsidRPr="00C92ECE">
              <w:rPr>
                <w:rFonts w:ascii="Arial" w:eastAsia="Arial" w:hAnsi="Arial" w:cs="Arial"/>
                <w:sz w:val="24"/>
                <w:szCs w:val="24"/>
              </w:rPr>
              <w:t>igital, partner</w:t>
            </w:r>
            <w:r w:rsidRPr="00C92ECE">
              <w:rPr>
                <w:rFonts w:ascii="Arial" w:eastAsia="Arial" w:hAnsi="Arial" w:cs="Arial"/>
                <w:sz w:val="24"/>
                <w:szCs w:val="24"/>
              </w:rPr>
              <w:t xml:space="preserve"> </w:t>
            </w:r>
            <w:r w:rsidR="0071521B">
              <w:rPr>
                <w:rFonts w:ascii="Arial" w:eastAsia="Arial" w:hAnsi="Arial" w:cs="Arial"/>
                <w:sz w:val="24"/>
                <w:szCs w:val="24"/>
              </w:rPr>
              <w:t>local authorities</w:t>
            </w:r>
            <w:r w:rsidRPr="00C92ECE">
              <w:rPr>
                <w:rFonts w:ascii="Arial" w:eastAsia="Arial" w:hAnsi="Arial" w:cs="Arial"/>
                <w:sz w:val="24"/>
                <w:szCs w:val="24"/>
              </w:rPr>
              <w:t xml:space="preserve"> have seen an immediate return on investment including essential learning such as safeguarding and </w:t>
            </w:r>
            <w:r w:rsidR="00D553CC" w:rsidRPr="00D553CC">
              <w:rPr>
                <w:rFonts w:ascii="Arial" w:eastAsia="Arial" w:hAnsi="Arial" w:cs="Arial"/>
                <w:sz w:val="24"/>
                <w:szCs w:val="24"/>
              </w:rPr>
              <w:t xml:space="preserve">Violence Against Women, Domestic Abuse and Sexual Violence </w:t>
            </w:r>
            <w:r w:rsidR="00D553CC">
              <w:rPr>
                <w:rFonts w:ascii="Arial" w:eastAsia="Arial" w:hAnsi="Arial" w:cs="Arial"/>
                <w:sz w:val="24"/>
                <w:szCs w:val="24"/>
              </w:rPr>
              <w:t>(</w:t>
            </w:r>
            <w:r w:rsidRPr="00C92ECE">
              <w:rPr>
                <w:rFonts w:ascii="Arial" w:eastAsia="Arial" w:hAnsi="Arial" w:cs="Arial"/>
                <w:sz w:val="24"/>
                <w:szCs w:val="24"/>
              </w:rPr>
              <w:t>VAWDASV</w:t>
            </w:r>
            <w:r w:rsidR="00D553CC">
              <w:rPr>
                <w:rFonts w:ascii="Arial" w:eastAsia="Arial" w:hAnsi="Arial" w:cs="Arial"/>
                <w:sz w:val="24"/>
                <w:szCs w:val="24"/>
              </w:rPr>
              <w:t>)</w:t>
            </w:r>
            <w:r w:rsidRPr="00C92ECE">
              <w:rPr>
                <w:rFonts w:ascii="Arial" w:eastAsia="Arial" w:hAnsi="Arial" w:cs="Arial"/>
                <w:sz w:val="24"/>
                <w:szCs w:val="24"/>
              </w:rPr>
              <w:t xml:space="preserve">. In addition to the benefits for the social care sector the approach has had a far wider impact and is making a difference. Employees </w:t>
            </w:r>
            <w:r w:rsidR="00152910">
              <w:rPr>
                <w:rFonts w:ascii="Arial" w:eastAsia="Arial" w:hAnsi="Arial" w:cs="Arial"/>
                <w:sz w:val="24"/>
                <w:szCs w:val="24"/>
              </w:rPr>
              <w:t xml:space="preserve">are </w:t>
            </w:r>
            <w:r w:rsidRPr="00C92ECE">
              <w:rPr>
                <w:rFonts w:ascii="Arial" w:eastAsia="Arial" w:hAnsi="Arial" w:cs="Arial"/>
                <w:sz w:val="24"/>
                <w:szCs w:val="24"/>
              </w:rPr>
              <w:t xml:space="preserve">also citizens within their </w:t>
            </w:r>
            <w:proofErr w:type="gramStart"/>
            <w:r w:rsidRPr="00C92ECE">
              <w:rPr>
                <w:rFonts w:ascii="Arial" w:eastAsia="Arial" w:hAnsi="Arial" w:cs="Arial"/>
                <w:sz w:val="24"/>
                <w:szCs w:val="24"/>
              </w:rPr>
              <w:t>community</w:t>
            </w:r>
            <w:proofErr w:type="gramEnd"/>
            <w:r w:rsidRPr="00C92ECE">
              <w:rPr>
                <w:rFonts w:ascii="Arial" w:eastAsia="Arial" w:hAnsi="Arial" w:cs="Arial"/>
                <w:sz w:val="24"/>
                <w:szCs w:val="24"/>
              </w:rPr>
              <w:t xml:space="preserve"> and some are unpaid carers, their ease of access to improve awareness of safeguarding, and their individual responsibilities, supports the social care sector in its protection of the vulnerable. </w:t>
            </w:r>
            <w:r w:rsidR="00C10072" w:rsidRPr="00C92ECE">
              <w:rPr>
                <w:rFonts w:ascii="Arial" w:eastAsia="Arial" w:hAnsi="Arial" w:cs="Arial"/>
                <w:sz w:val="24"/>
                <w:szCs w:val="24"/>
              </w:rPr>
              <w:t>(Gwent region)</w:t>
            </w:r>
          </w:p>
          <w:p w14:paraId="63CD3606" w14:textId="77777777" w:rsidR="00877672" w:rsidRPr="00091AC8" w:rsidRDefault="00877672" w:rsidP="00C92ECE">
            <w:pPr>
              <w:spacing w:line="276" w:lineRule="auto"/>
              <w:contextualSpacing/>
              <w:rPr>
                <w:rFonts w:ascii="Arial" w:eastAsia="Calibri" w:hAnsi="Arial" w:cs="Arial"/>
                <w:sz w:val="24"/>
                <w:szCs w:val="24"/>
              </w:rPr>
            </w:pPr>
          </w:p>
        </w:tc>
      </w:tr>
    </w:tbl>
    <w:p w14:paraId="7D090395" w14:textId="77777777" w:rsidR="00CC3A53" w:rsidRPr="00091AC8" w:rsidRDefault="00CC3A53" w:rsidP="00C92ECE">
      <w:pPr>
        <w:spacing w:after="0" w:line="276" w:lineRule="auto"/>
        <w:ind w:left="567"/>
        <w:contextualSpacing/>
        <w:rPr>
          <w:rFonts w:ascii="Arial" w:eastAsia="Calibri" w:hAnsi="Arial" w:cs="Arial"/>
          <w:sz w:val="24"/>
          <w:szCs w:val="24"/>
        </w:rPr>
      </w:pPr>
    </w:p>
    <w:p w14:paraId="0E03D233" w14:textId="32E854EA" w:rsidR="00C63EB4" w:rsidRDefault="00C63EB4" w:rsidP="00630C06">
      <w:pPr>
        <w:numPr>
          <w:ilvl w:val="0"/>
          <w:numId w:val="6"/>
        </w:numPr>
        <w:spacing w:after="0" w:line="276" w:lineRule="auto"/>
        <w:ind w:left="567" w:hanging="425"/>
        <w:contextualSpacing/>
        <w:rPr>
          <w:rFonts w:ascii="Arial" w:eastAsia="Calibri" w:hAnsi="Arial" w:cs="Arial"/>
          <w:sz w:val="24"/>
          <w:szCs w:val="24"/>
        </w:rPr>
      </w:pPr>
      <w:r w:rsidRPr="00091AC8">
        <w:rPr>
          <w:rFonts w:ascii="Arial" w:eastAsia="Calibri" w:hAnsi="Arial" w:cs="Arial"/>
          <w:sz w:val="24"/>
          <w:szCs w:val="24"/>
        </w:rPr>
        <w:t xml:space="preserve">Creation of </w:t>
      </w:r>
      <w:proofErr w:type="spellStart"/>
      <w:r w:rsidRPr="00C92ECE">
        <w:rPr>
          <w:rFonts w:ascii="Arial" w:eastAsia="Calibri" w:hAnsi="Arial" w:cs="Arial"/>
          <w:sz w:val="24"/>
          <w:szCs w:val="24"/>
        </w:rPr>
        <w:t>e</w:t>
      </w:r>
      <w:r w:rsidR="007344F9">
        <w:rPr>
          <w:rFonts w:ascii="Arial" w:eastAsia="Calibri" w:hAnsi="Arial" w:cs="Arial"/>
          <w:sz w:val="24"/>
          <w:szCs w:val="24"/>
        </w:rPr>
        <w:t>b</w:t>
      </w:r>
      <w:r w:rsidRPr="00C92ECE">
        <w:rPr>
          <w:rFonts w:ascii="Arial" w:eastAsia="Calibri" w:hAnsi="Arial" w:cs="Arial"/>
          <w:sz w:val="24"/>
          <w:szCs w:val="24"/>
        </w:rPr>
        <w:t>ooks</w:t>
      </w:r>
      <w:proofErr w:type="spellEnd"/>
      <w:r w:rsidRPr="00091AC8">
        <w:rPr>
          <w:rFonts w:ascii="Arial" w:eastAsia="Calibri" w:hAnsi="Arial" w:cs="Arial"/>
          <w:sz w:val="24"/>
          <w:szCs w:val="24"/>
        </w:rPr>
        <w:t xml:space="preserve">, </w:t>
      </w:r>
      <w:proofErr w:type="spellStart"/>
      <w:r w:rsidR="00C53FE7" w:rsidRPr="00091AC8">
        <w:rPr>
          <w:rFonts w:ascii="Arial" w:eastAsia="Calibri" w:hAnsi="Arial" w:cs="Arial"/>
          <w:sz w:val="24"/>
          <w:szCs w:val="24"/>
        </w:rPr>
        <w:t>padlets</w:t>
      </w:r>
      <w:proofErr w:type="spellEnd"/>
      <w:r w:rsidR="00C53FE7" w:rsidRPr="00091AC8">
        <w:rPr>
          <w:rFonts w:ascii="Arial" w:eastAsia="Calibri" w:hAnsi="Arial" w:cs="Arial"/>
          <w:sz w:val="24"/>
          <w:szCs w:val="24"/>
        </w:rPr>
        <w:t xml:space="preserve">, </w:t>
      </w:r>
      <w:r w:rsidRPr="00C92ECE">
        <w:rPr>
          <w:rFonts w:ascii="Arial" w:eastAsia="Calibri" w:hAnsi="Arial" w:cs="Arial"/>
          <w:sz w:val="24"/>
          <w:szCs w:val="24"/>
        </w:rPr>
        <w:t>interactive modules</w:t>
      </w:r>
      <w:r w:rsidRPr="00091AC8">
        <w:rPr>
          <w:rFonts w:ascii="Arial" w:eastAsia="Calibri" w:hAnsi="Arial" w:cs="Arial"/>
          <w:sz w:val="24"/>
          <w:szCs w:val="24"/>
        </w:rPr>
        <w:t xml:space="preserve">, and </w:t>
      </w:r>
      <w:r w:rsidRPr="00C92ECE">
        <w:rPr>
          <w:rFonts w:ascii="Arial" w:eastAsia="Calibri" w:hAnsi="Arial" w:cs="Arial"/>
          <w:sz w:val="24"/>
          <w:szCs w:val="24"/>
        </w:rPr>
        <w:t>digital dashboards</w:t>
      </w:r>
      <w:r w:rsidRPr="00091AC8">
        <w:rPr>
          <w:rFonts w:ascii="Arial" w:eastAsia="Calibri" w:hAnsi="Arial" w:cs="Arial"/>
          <w:sz w:val="24"/>
          <w:szCs w:val="24"/>
        </w:rPr>
        <w:t xml:space="preserve"> to support flexible learning.</w:t>
      </w:r>
    </w:p>
    <w:p w14:paraId="745B0C4D" w14:textId="77777777" w:rsidR="00091AC8" w:rsidRPr="00091AC8" w:rsidRDefault="00091AC8" w:rsidP="00C92ECE">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E41271" w:rsidRPr="00091AC8" w14:paraId="67EDDB8C" w14:textId="77777777" w:rsidTr="00C92ECE">
        <w:trPr>
          <w:jc w:val="center"/>
        </w:trPr>
        <w:tc>
          <w:tcPr>
            <w:tcW w:w="9016" w:type="dxa"/>
          </w:tcPr>
          <w:p w14:paraId="03261B31" w14:textId="58B4C43A" w:rsidR="00E41271" w:rsidRPr="00091AC8" w:rsidRDefault="00E5394E" w:rsidP="00C92ECE">
            <w:pPr>
              <w:spacing w:line="276" w:lineRule="auto"/>
              <w:contextualSpacing/>
              <w:rPr>
                <w:rFonts w:ascii="Arial" w:eastAsia="Calibri" w:hAnsi="Arial" w:cs="Arial"/>
                <w:sz w:val="24"/>
                <w:szCs w:val="24"/>
              </w:rPr>
            </w:pPr>
            <w:r w:rsidRPr="00091AC8">
              <w:rPr>
                <w:rFonts w:ascii="Arial" w:eastAsia="Calibri" w:hAnsi="Arial" w:cs="Arial"/>
                <w:sz w:val="24"/>
                <w:szCs w:val="24"/>
              </w:rPr>
              <w:t>Training development officers have developed</w:t>
            </w:r>
            <w:r w:rsidR="004E4247">
              <w:rPr>
                <w:rFonts w:ascii="Arial" w:eastAsia="Calibri" w:hAnsi="Arial" w:cs="Arial"/>
                <w:sz w:val="24"/>
                <w:szCs w:val="24"/>
              </w:rPr>
              <w:t xml:space="preserve"> </w:t>
            </w:r>
            <w:proofErr w:type="spellStart"/>
            <w:r w:rsidR="004E4247">
              <w:rPr>
                <w:rFonts w:ascii="Arial" w:eastAsia="Calibri" w:hAnsi="Arial" w:cs="Arial"/>
                <w:sz w:val="24"/>
                <w:szCs w:val="24"/>
              </w:rPr>
              <w:t>padlet</w:t>
            </w:r>
            <w:proofErr w:type="spellEnd"/>
            <w:r w:rsidRPr="00091AC8">
              <w:rPr>
                <w:rFonts w:ascii="Arial" w:eastAsia="Calibri" w:hAnsi="Arial" w:cs="Arial"/>
                <w:sz w:val="24"/>
                <w:szCs w:val="24"/>
              </w:rPr>
              <w:t xml:space="preserve"> electronic resources for </w:t>
            </w:r>
            <w:r w:rsidR="004E4247">
              <w:rPr>
                <w:rFonts w:ascii="Arial" w:eastAsia="Calibri" w:hAnsi="Arial" w:cs="Arial"/>
                <w:sz w:val="24"/>
                <w:szCs w:val="24"/>
              </w:rPr>
              <w:t>d</w:t>
            </w:r>
            <w:r w:rsidRPr="00091AC8">
              <w:rPr>
                <w:rFonts w:ascii="Arial" w:eastAsia="Calibri" w:hAnsi="Arial" w:cs="Arial"/>
                <w:sz w:val="24"/>
                <w:szCs w:val="24"/>
              </w:rPr>
              <w:t xml:space="preserve">ementia and </w:t>
            </w:r>
            <w:r w:rsidR="004E4247">
              <w:rPr>
                <w:rFonts w:ascii="Arial" w:eastAsia="Calibri" w:hAnsi="Arial" w:cs="Arial"/>
                <w:sz w:val="24"/>
                <w:szCs w:val="24"/>
              </w:rPr>
              <w:t>c</w:t>
            </w:r>
            <w:r w:rsidRPr="00091AC8">
              <w:rPr>
                <w:rFonts w:ascii="Arial" w:eastAsia="Calibri" w:hAnsi="Arial" w:cs="Arial"/>
                <w:sz w:val="24"/>
                <w:szCs w:val="24"/>
              </w:rPr>
              <w:t xml:space="preserve">lient </w:t>
            </w:r>
            <w:r w:rsidR="004E4247">
              <w:rPr>
                <w:rFonts w:ascii="Arial" w:eastAsia="Calibri" w:hAnsi="Arial" w:cs="Arial"/>
                <w:sz w:val="24"/>
                <w:szCs w:val="24"/>
              </w:rPr>
              <w:t>m</w:t>
            </w:r>
            <w:r w:rsidRPr="00091AC8">
              <w:rPr>
                <w:rFonts w:ascii="Arial" w:eastAsia="Calibri" w:hAnsi="Arial" w:cs="Arial"/>
                <w:sz w:val="24"/>
                <w:szCs w:val="24"/>
              </w:rPr>
              <w:t xml:space="preserve">anual </w:t>
            </w:r>
            <w:r w:rsidR="004E4247">
              <w:rPr>
                <w:rFonts w:ascii="Arial" w:eastAsia="Calibri" w:hAnsi="Arial" w:cs="Arial"/>
                <w:sz w:val="24"/>
                <w:szCs w:val="24"/>
              </w:rPr>
              <w:t>h</w:t>
            </w:r>
            <w:r w:rsidRPr="00091AC8">
              <w:rPr>
                <w:rFonts w:ascii="Arial" w:eastAsia="Calibri" w:hAnsi="Arial" w:cs="Arial"/>
                <w:sz w:val="24"/>
                <w:szCs w:val="24"/>
              </w:rPr>
              <w:t>andling</w:t>
            </w:r>
            <w:r w:rsidR="0020632B" w:rsidRPr="00091AC8">
              <w:rPr>
                <w:rFonts w:ascii="Arial" w:eastAsia="Calibri" w:hAnsi="Arial" w:cs="Arial"/>
                <w:sz w:val="24"/>
                <w:szCs w:val="24"/>
              </w:rPr>
              <w:t xml:space="preserve">. This is a central point where staff can access these materials at any time to support their own </w:t>
            </w:r>
            <w:r w:rsidR="00C306B6">
              <w:rPr>
                <w:rFonts w:ascii="Arial" w:eastAsia="Calibri" w:hAnsi="Arial" w:cs="Arial"/>
                <w:sz w:val="24"/>
                <w:szCs w:val="24"/>
              </w:rPr>
              <w:t>continuing professional development (CPD)</w:t>
            </w:r>
            <w:r w:rsidR="00C306B6" w:rsidRPr="00091AC8">
              <w:rPr>
                <w:rFonts w:ascii="Arial" w:eastAsia="Calibri" w:hAnsi="Arial" w:cs="Arial"/>
                <w:sz w:val="24"/>
                <w:szCs w:val="24"/>
              </w:rPr>
              <w:t xml:space="preserve"> </w:t>
            </w:r>
            <w:r w:rsidR="0020632B" w:rsidRPr="00091AC8">
              <w:rPr>
                <w:rFonts w:ascii="Arial" w:eastAsia="Calibri" w:hAnsi="Arial" w:cs="Arial"/>
                <w:sz w:val="24"/>
                <w:szCs w:val="24"/>
              </w:rPr>
              <w:t>and support their staff training. This resource is ‘live’ and will continue to add and update with relevant information</w:t>
            </w:r>
            <w:r w:rsidR="00AF5166">
              <w:rPr>
                <w:rFonts w:ascii="Arial" w:eastAsia="Calibri" w:hAnsi="Arial" w:cs="Arial"/>
                <w:sz w:val="24"/>
                <w:szCs w:val="24"/>
              </w:rPr>
              <w:t xml:space="preserve">, </w:t>
            </w:r>
            <w:r w:rsidR="0020632B" w:rsidRPr="00091AC8">
              <w:rPr>
                <w:rFonts w:ascii="Arial" w:eastAsia="Calibri" w:hAnsi="Arial" w:cs="Arial"/>
                <w:sz w:val="24"/>
                <w:szCs w:val="24"/>
              </w:rPr>
              <w:t>learning resources</w:t>
            </w:r>
            <w:r w:rsidR="00AF5166">
              <w:rPr>
                <w:rFonts w:ascii="Arial" w:eastAsia="Calibri" w:hAnsi="Arial" w:cs="Arial"/>
                <w:sz w:val="24"/>
                <w:szCs w:val="24"/>
              </w:rPr>
              <w:t xml:space="preserve">, </w:t>
            </w:r>
            <w:r w:rsidR="0020632B" w:rsidRPr="00091AC8">
              <w:rPr>
                <w:rFonts w:ascii="Arial" w:eastAsia="Calibri" w:hAnsi="Arial" w:cs="Arial"/>
                <w:sz w:val="24"/>
                <w:szCs w:val="24"/>
              </w:rPr>
              <w:t>videos and guidance as required.</w:t>
            </w:r>
            <w:r w:rsidR="00C036AD" w:rsidRPr="00091AC8">
              <w:rPr>
                <w:rFonts w:ascii="Arial" w:eastAsia="Calibri" w:hAnsi="Arial" w:cs="Arial"/>
                <w:sz w:val="24"/>
                <w:szCs w:val="24"/>
              </w:rPr>
              <w:t xml:space="preserve"> </w:t>
            </w:r>
            <w:r w:rsidRPr="00091AC8">
              <w:rPr>
                <w:rFonts w:ascii="Arial" w:eastAsia="Calibri" w:hAnsi="Arial" w:cs="Arial"/>
                <w:sz w:val="24"/>
                <w:szCs w:val="24"/>
              </w:rPr>
              <w:t xml:space="preserve">These resources have been well received by the statutory and private sectors, who following the </w:t>
            </w:r>
            <w:r w:rsidR="00A41773" w:rsidRPr="00091AC8">
              <w:rPr>
                <w:rFonts w:ascii="Arial" w:eastAsia="Calibri" w:hAnsi="Arial" w:cs="Arial"/>
                <w:sz w:val="24"/>
                <w:szCs w:val="24"/>
              </w:rPr>
              <w:t xml:space="preserve">launch </w:t>
            </w:r>
            <w:r w:rsidRPr="00091AC8">
              <w:rPr>
                <w:rFonts w:ascii="Arial" w:eastAsia="Calibri" w:hAnsi="Arial" w:cs="Arial"/>
                <w:sz w:val="24"/>
                <w:szCs w:val="24"/>
              </w:rPr>
              <w:t xml:space="preserve">event have taken time to devise their own </w:t>
            </w:r>
            <w:proofErr w:type="spellStart"/>
            <w:r w:rsidR="002224E0">
              <w:rPr>
                <w:rFonts w:ascii="Arial" w:eastAsia="Calibri" w:hAnsi="Arial" w:cs="Arial"/>
                <w:sz w:val="24"/>
                <w:szCs w:val="24"/>
              </w:rPr>
              <w:t>padlets</w:t>
            </w:r>
            <w:proofErr w:type="spellEnd"/>
            <w:r w:rsidRPr="00091AC8">
              <w:rPr>
                <w:rFonts w:ascii="Arial" w:eastAsia="Calibri" w:hAnsi="Arial" w:cs="Arial"/>
                <w:sz w:val="24"/>
                <w:szCs w:val="24"/>
              </w:rPr>
              <w:t xml:space="preserve"> relating to their services and other areas of training they deliver.</w:t>
            </w:r>
            <w:r w:rsidR="00C036AD" w:rsidRPr="00091AC8">
              <w:rPr>
                <w:rFonts w:ascii="Arial" w:eastAsia="Calibri" w:hAnsi="Arial" w:cs="Arial"/>
                <w:sz w:val="24"/>
                <w:szCs w:val="24"/>
              </w:rPr>
              <w:t xml:space="preserve"> (</w:t>
            </w:r>
            <w:r w:rsidR="004543CB" w:rsidRPr="00091AC8">
              <w:rPr>
                <w:rFonts w:ascii="Arial" w:eastAsia="Calibri" w:hAnsi="Arial" w:cs="Arial"/>
                <w:sz w:val="24"/>
                <w:szCs w:val="24"/>
              </w:rPr>
              <w:t>N</w:t>
            </w:r>
            <w:r w:rsidR="002224E0">
              <w:rPr>
                <w:rFonts w:ascii="Arial" w:eastAsia="Calibri" w:hAnsi="Arial" w:cs="Arial"/>
                <w:sz w:val="24"/>
                <w:szCs w:val="24"/>
              </w:rPr>
              <w:t xml:space="preserve">eath </w:t>
            </w:r>
            <w:r w:rsidR="004543CB" w:rsidRPr="00091AC8">
              <w:rPr>
                <w:rFonts w:ascii="Arial" w:eastAsia="Calibri" w:hAnsi="Arial" w:cs="Arial"/>
                <w:sz w:val="24"/>
                <w:szCs w:val="24"/>
              </w:rPr>
              <w:t>P</w:t>
            </w:r>
            <w:r w:rsidR="002224E0">
              <w:rPr>
                <w:rFonts w:ascii="Arial" w:eastAsia="Calibri" w:hAnsi="Arial" w:cs="Arial"/>
                <w:sz w:val="24"/>
                <w:szCs w:val="24"/>
              </w:rPr>
              <w:t xml:space="preserve">ort </w:t>
            </w:r>
            <w:r w:rsidR="004543CB" w:rsidRPr="00091AC8">
              <w:rPr>
                <w:rFonts w:ascii="Arial" w:eastAsia="Calibri" w:hAnsi="Arial" w:cs="Arial"/>
                <w:sz w:val="24"/>
                <w:szCs w:val="24"/>
              </w:rPr>
              <w:t>T</w:t>
            </w:r>
            <w:r w:rsidR="002224E0">
              <w:rPr>
                <w:rFonts w:ascii="Arial" w:eastAsia="Calibri" w:hAnsi="Arial" w:cs="Arial"/>
                <w:sz w:val="24"/>
                <w:szCs w:val="24"/>
              </w:rPr>
              <w:t>albot</w:t>
            </w:r>
            <w:r w:rsidR="004543CB" w:rsidRPr="00091AC8">
              <w:rPr>
                <w:rFonts w:ascii="Arial" w:eastAsia="Calibri" w:hAnsi="Arial" w:cs="Arial"/>
                <w:sz w:val="24"/>
                <w:szCs w:val="24"/>
              </w:rPr>
              <w:t xml:space="preserve"> - </w:t>
            </w:r>
            <w:r w:rsidR="00FF1A9D">
              <w:rPr>
                <w:rFonts w:ascii="Arial" w:eastAsia="Calibri" w:hAnsi="Arial" w:cs="Arial"/>
                <w:sz w:val="24"/>
                <w:szCs w:val="24"/>
              </w:rPr>
              <w:t>w</w:t>
            </w:r>
            <w:r w:rsidR="004543CB" w:rsidRPr="00091AC8">
              <w:rPr>
                <w:rFonts w:ascii="Arial" w:eastAsia="Calibri" w:hAnsi="Arial" w:cs="Arial"/>
                <w:sz w:val="24"/>
                <w:szCs w:val="24"/>
              </w:rPr>
              <w:t xml:space="preserve">est Glamorgan </w:t>
            </w:r>
            <w:r w:rsidR="002224E0">
              <w:rPr>
                <w:rFonts w:ascii="Arial" w:eastAsia="Calibri" w:hAnsi="Arial" w:cs="Arial"/>
                <w:sz w:val="24"/>
                <w:szCs w:val="24"/>
              </w:rPr>
              <w:t>r</w:t>
            </w:r>
            <w:r w:rsidR="004543CB" w:rsidRPr="00091AC8">
              <w:rPr>
                <w:rFonts w:ascii="Arial" w:eastAsia="Calibri" w:hAnsi="Arial" w:cs="Arial"/>
                <w:sz w:val="24"/>
                <w:szCs w:val="24"/>
              </w:rPr>
              <w:t>egion)</w:t>
            </w:r>
          </w:p>
        </w:tc>
      </w:tr>
    </w:tbl>
    <w:p w14:paraId="48EB01D2" w14:textId="77777777" w:rsidR="00E41271" w:rsidRPr="00091AC8" w:rsidRDefault="00E41271" w:rsidP="00F377A5">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F377A5" w:rsidRPr="00091AC8" w14:paraId="3DDC08C3" w14:textId="77777777" w:rsidTr="00F377A5">
        <w:tc>
          <w:tcPr>
            <w:tcW w:w="9016" w:type="dxa"/>
          </w:tcPr>
          <w:p w14:paraId="0C0884D1" w14:textId="25602BA6" w:rsidR="00F377A5" w:rsidRPr="00091AC8" w:rsidRDefault="000528CB" w:rsidP="000528CB">
            <w:pPr>
              <w:spacing w:line="276" w:lineRule="auto"/>
              <w:contextualSpacing/>
              <w:rPr>
                <w:rFonts w:ascii="Arial" w:eastAsia="Calibri" w:hAnsi="Arial" w:cs="Arial"/>
                <w:sz w:val="24"/>
                <w:szCs w:val="24"/>
              </w:rPr>
            </w:pPr>
            <w:r w:rsidRPr="00091AC8">
              <w:rPr>
                <w:rFonts w:ascii="Arial" w:eastAsia="Calibri" w:hAnsi="Arial" w:cs="Arial"/>
                <w:sz w:val="24"/>
                <w:szCs w:val="24"/>
              </w:rPr>
              <w:t xml:space="preserve">Social </w:t>
            </w:r>
            <w:r w:rsidR="004A4052">
              <w:rPr>
                <w:rFonts w:ascii="Arial" w:eastAsia="Calibri" w:hAnsi="Arial" w:cs="Arial"/>
                <w:sz w:val="24"/>
                <w:szCs w:val="24"/>
              </w:rPr>
              <w:t>w</w:t>
            </w:r>
            <w:r w:rsidRPr="00091AC8">
              <w:rPr>
                <w:rFonts w:ascii="Arial" w:eastAsia="Calibri" w:hAnsi="Arial" w:cs="Arial"/>
                <w:sz w:val="24"/>
                <w:szCs w:val="24"/>
              </w:rPr>
              <w:t xml:space="preserve">orker </w:t>
            </w:r>
            <w:r w:rsidR="004A4052">
              <w:rPr>
                <w:rFonts w:ascii="Arial" w:eastAsia="Calibri" w:hAnsi="Arial" w:cs="Arial"/>
                <w:sz w:val="24"/>
                <w:szCs w:val="24"/>
              </w:rPr>
              <w:t>d</w:t>
            </w:r>
            <w:r w:rsidRPr="00091AC8">
              <w:rPr>
                <w:rFonts w:ascii="Arial" w:eastAsia="Calibri" w:hAnsi="Arial" w:cs="Arial"/>
                <w:sz w:val="24"/>
                <w:szCs w:val="24"/>
              </w:rPr>
              <w:t xml:space="preserve">ashboard </w:t>
            </w:r>
            <w:r w:rsidR="004A4052">
              <w:rPr>
                <w:rFonts w:ascii="Arial" w:eastAsia="Calibri" w:hAnsi="Arial" w:cs="Arial"/>
                <w:sz w:val="24"/>
                <w:szCs w:val="24"/>
              </w:rPr>
              <w:t xml:space="preserve">is </w:t>
            </w:r>
            <w:r w:rsidRPr="00091AC8">
              <w:rPr>
                <w:rFonts w:ascii="Arial" w:eastAsia="Calibri" w:hAnsi="Arial" w:cs="Arial"/>
                <w:sz w:val="24"/>
                <w:szCs w:val="24"/>
              </w:rPr>
              <w:t xml:space="preserve">now available for staff to promote e-learning, learning and development opportunities and resources. (Ynys Môn – </w:t>
            </w:r>
            <w:r w:rsidR="00FF1A9D">
              <w:rPr>
                <w:rFonts w:ascii="Arial" w:eastAsia="Calibri" w:hAnsi="Arial" w:cs="Arial"/>
                <w:sz w:val="24"/>
                <w:szCs w:val="24"/>
              </w:rPr>
              <w:t>n</w:t>
            </w:r>
            <w:r w:rsidRPr="00091AC8">
              <w:rPr>
                <w:rFonts w:ascii="Arial" w:eastAsia="Calibri" w:hAnsi="Arial" w:cs="Arial"/>
                <w:sz w:val="24"/>
                <w:szCs w:val="24"/>
              </w:rPr>
              <w:t xml:space="preserve">orth Wales </w:t>
            </w:r>
            <w:r w:rsidR="00CC212E">
              <w:rPr>
                <w:rFonts w:ascii="Arial" w:eastAsia="Calibri" w:hAnsi="Arial" w:cs="Arial"/>
                <w:sz w:val="24"/>
                <w:szCs w:val="24"/>
              </w:rPr>
              <w:t>r</w:t>
            </w:r>
            <w:r w:rsidRPr="00091AC8">
              <w:rPr>
                <w:rFonts w:ascii="Arial" w:eastAsia="Calibri" w:hAnsi="Arial" w:cs="Arial"/>
                <w:sz w:val="24"/>
                <w:szCs w:val="24"/>
              </w:rPr>
              <w:t>egion)</w:t>
            </w:r>
          </w:p>
        </w:tc>
      </w:tr>
    </w:tbl>
    <w:p w14:paraId="57833B2D" w14:textId="77777777" w:rsidR="00630C06" w:rsidRDefault="00630C06" w:rsidP="00C92ECE">
      <w:pPr>
        <w:rPr>
          <w:rFonts w:ascii="Arial" w:eastAsia="Calibri" w:hAnsi="Arial" w:cs="Arial"/>
          <w:sz w:val="24"/>
          <w:szCs w:val="24"/>
        </w:rPr>
      </w:pPr>
    </w:p>
    <w:p w14:paraId="430799AC" w14:textId="77777777" w:rsidR="00DE1DF5" w:rsidRPr="00C92ECE" w:rsidRDefault="00DE1DF5" w:rsidP="00C92ECE">
      <w:pPr>
        <w:rPr>
          <w:rFonts w:ascii="Arial" w:eastAsia="Calibri" w:hAnsi="Arial" w:cs="Arial"/>
          <w:sz w:val="24"/>
          <w:szCs w:val="24"/>
        </w:rPr>
      </w:pPr>
    </w:p>
    <w:p w14:paraId="43A39B42" w14:textId="257CC39C"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lastRenderedPageBreak/>
        <w:t xml:space="preserve">Inclusive </w:t>
      </w:r>
      <w:r w:rsidR="004A4052" w:rsidRPr="00BB471B">
        <w:rPr>
          <w:rFonts w:ascii="Arial" w:eastAsia="Calibri" w:hAnsi="Arial" w:cs="Arial"/>
          <w:b/>
          <w:bCs/>
          <w:sz w:val="24"/>
          <w:szCs w:val="24"/>
        </w:rPr>
        <w:t>a</w:t>
      </w:r>
      <w:r w:rsidRPr="00BB471B">
        <w:rPr>
          <w:rFonts w:ascii="Arial" w:eastAsia="Calibri" w:hAnsi="Arial" w:cs="Arial"/>
          <w:b/>
          <w:bCs/>
          <w:sz w:val="24"/>
          <w:szCs w:val="24"/>
        </w:rPr>
        <w:t xml:space="preserve">ccess </w:t>
      </w:r>
      <w:r w:rsidR="004A4052" w:rsidRPr="00BB471B">
        <w:rPr>
          <w:rFonts w:ascii="Arial" w:eastAsia="Calibri" w:hAnsi="Arial" w:cs="Arial"/>
          <w:b/>
          <w:bCs/>
          <w:sz w:val="24"/>
          <w:szCs w:val="24"/>
        </w:rPr>
        <w:t>and</w:t>
      </w:r>
      <w:r w:rsidRPr="00BB471B">
        <w:rPr>
          <w:rFonts w:ascii="Arial" w:eastAsia="Calibri" w:hAnsi="Arial" w:cs="Arial"/>
          <w:b/>
          <w:bCs/>
          <w:sz w:val="24"/>
          <w:szCs w:val="24"/>
        </w:rPr>
        <w:t xml:space="preserve"> </w:t>
      </w:r>
      <w:r w:rsidR="004A4052" w:rsidRPr="00BB471B">
        <w:rPr>
          <w:rFonts w:ascii="Arial" w:eastAsia="Calibri" w:hAnsi="Arial" w:cs="Arial"/>
          <w:b/>
          <w:bCs/>
          <w:sz w:val="24"/>
          <w:szCs w:val="24"/>
        </w:rPr>
        <w:t>e</w:t>
      </w:r>
      <w:r w:rsidRPr="00BB471B">
        <w:rPr>
          <w:rFonts w:ascii="Arial" w:eastAsia="Calibri" w:hAnsi="Arial" w:cs="Arial"/>
          <w:b/>
          <w:bCs/>
          <w:sz w:val="24"/>
          <w:szCs w:val="24"/>
        </w:rPr>
        <w:t xml:space="preserve">quipment </w:t>
      </w:r>
      <w:r w:rsidR="004A4052" w:rsidRPr="00BB471B">
        <w:rPr>
          <w:rFonts w:ascii="Arial" w:eastAsia="Calibri" w:hAnsi="Arial" w:cs="Arial"/>
          <w:b/>
          <w:bCs/>
          <w:sz w:val="24"/>
          <w:szCs w:val="24"/>
        </w:rPr>
        <w:t>p</w:t>
      </w:r>
      <w:r w:rsidRPr="00BB471B">
        <w:rPr>
          <w:rFonts w:ascii="Arial" w:eastAsia="Calibri" w:hAnsi="Arial" w:cs="Arial"/>
          <w:b/>
          <w:bCs/>
          <w:sz w:val="24"/>
          <w:szCs w:val="24"/>
        </w:rPr>
        <w:t>rovision</w:t>
      </w:r>
    </w:p>
    <w:p w14:paraId="090FE269" w14:textId="77777777" w:rsidR="00630C06" w:rsidRPr="00C92ECE" w:rsidRDefault="00630C06" w:rsidP="00C63EB4">
      <w:pPr>
        <w:spacing w:after="0" w:line="240" w:lineRule="auto"/>
        <w:rPr>
          <w:rFonts w:ascii="Arial" w:eastAsia="Calibri" w:hAnsi="Arial" w:cs="Arial"/>
          <w:sz w:val="24"/>
          <w:szCs w:val="24"/>
        </w:rPr>
      </w:pPr>
    </w:p>
    <w:p w14:paraId="04CE39E9" w14:textId="77777777" w:rsidR="0035343B" w:rsidRDefault="00E43EBC" w:rsidP="00630C06">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A continued f</w:t>
      </w:r>
      <w:r w:rsidR="009022C3" w:rsidRPr="00C63EB4">
        <w:rPr>
          <w:rFonts w:ascii="Arial" w:eastAsia="Calibri" w:hAnsi="Arial" w:cs="Arial"/>
          <w:sz w:val="24"/>
          <w:szCs w:val="24"/>
        </w:rPr>
        <w:t xml:space="preserve">ocus on </w:t>
      </w:r>
      <w:r w:rsidR="009022C3" w:rsidRPr="0039725D">
        <w:rPr>
          <w:rFonts w:ascii="Arial" w:eastAsia="Calibri" w:hAnsi="Arial" w:cs="Arial"/>
          <w:sz w:val="24"/>
          <w:szCs w:val="24"/>
        </w:rPr>
        <w:t>equity of access</w:t>
      </w:r>
      <w:r w:rsidR="009022C3" w:rsidRPr="00C63EB4">
        <w:rPr>
          <w:rFonts w:ascii="Arial" w:eastAsia="Calibri" w:hAnsi="Arial" w:cs="Arial"/>
          <w:sz w:val="24"/>
          <w:szCs w:val="24"/>
        </w:rPr>
        <w:t xml:space="preserve"> and support for digitally excluded groups</w:t>
      </w:r>
      <w:r w:rsidR="009022C3">
        <w:rPr>
          <w:rFonts w:ascii="Arial" w:eastAsia="Calibri" w:hAnsi="Arial" w:cs="Arial"/>
          <w:sz w:val="24"/>
          <w:szCs w:val="24"/>
        </w:rPr>
        <w:t xml:space="preserve"> through</w:t>
      </w:r>
      <w:r w:rsidR="0035343B">
        <w:rPr>
          <w:rFonts w:ascii="Arial" w:eastAsia="Calibri" w:hAnsi="Arial" w:cs="Arial"/>
          <w:sz w:val="24"/>
          <w:szCs w:val="24"/>
        </w:rPr>
        <w:t>:</w:t>
      </w:r>
    </w:p>
    <w:p w14:paraId="5F2C107A" w14:textId="7041739D" w:rsidR="004571CB" w:rsidRPr="00B568F3" w:rsidRDefault="00EA0C73" w:rsidP="00EA0C73">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rPr>
        <w:t>m</w:t>
      </w:r>
      <w:r w:rsidR="004571CB" w:rsidRPr="00B568F3">
        <w:rPr>
          <w:rFonts w:ascii="Arial" w:eastAsia="Calibri" w:hAnsi="Arial" w:cs="Arial"/>
          <w:sz w:val="24"/>
          <w:szCs w:val="24"/>
          <w:lang w:eastAsia="en-GB"/>
        </w:rPr>
        <w:t>aintaining ICT licenses and continuing to build up stock of hardware for training use</w:t>
      </w:r>
    </w:p>
    <w:p w14:paraId="388104E4" w14:textId="5668F28D" w:rsidR="004571CB" w:rsidRPr="00B568F3" w:rsidRDefault="00EA0C73" w:rsidP="004571CB">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lang w:eastAsia="en-GB"/>
        </w:rPr>
        <w:t>b</w:t>
      </w:r>
      <w:r w:rsidR="004571CB" w:rsidRPr="00B568F3">
        <w:rPr>
          <w:rFonts w:ascii="Arial" w:eastAsia="Calibri" w:hAnsi="Arial" w:cs="Arial"/>
          <w:sz w:val="24"/>
          <w:szCs w:val="24"/>
          <w:lang w:eastAsia="en-GB"/>
        </w:rPr>
        <w:t>uying equipment to support learning and development</w:t>
      </w:r>
    </w:p>
    <w:p w14:paraId="48A5803C" w14:textId="1735C0B2" w:rsidR="004571CB" w:rsidRPr="00B568F3" w:rsidRDefault="00EA0C73" w:rsidP="00EA0C73">
      <w:pPr>
        <w:numPr>
          <w:ilvl w:val="0"/>
          <w:numId w:val="12"/>
        </w:numPr>
        <w:spacing w:after="0" w:line="276" w:lineRule="auto"/>
        <w:contextualSpacing/>
        <w:rPr>
          <w:rFonts w:ascii="Arial" w:eastAsia="Calibri" w:hAnsi="Arial" w:cs="Arial"/>
          <w:sz w:val="24"/>
          <w:szCs w:val="24"/>
        </w:rPr>
      </w:pPr>
      <w:r>
        <w:rPr>
          <w:rFonts w:ascii="Arial" w:eastAsia="Calibri" w:hAnsi="Arial" w:cs="Arial"/>
          <w:sz w:val="24"/>
          <w:szCs w:val="24"/>
        </w:rPr>
        <w:t>l</w:t>
      </w:r>
      <w:r w:rsidR="004571CB" w:rsidRPr="00B568F3">
        <w:rPr>
          <w:rFonts w:ascii="Arial" w:eastAsia="Calibri" w:hAnsi="Arial" w:cs="Arial"/>
          <w:sz w:val="24"/>
          <w:szCs w:val="24"/>
        </w:rPr>
        <w:t xml:space="preserve">oaning equipment to settings which allows groups to take part in digital learning </w:t>
      </w:r>
    </w:p>
    <w:p w14:paraId="10355CBC" w14:textId="0CA1BA27" w:rsidR="004571CB" w:rsidRPr="00B568F3" w:rsidRDefault="00EA0C73" w:rsidP="004571CB">
      <w:pPr>
        <w:numPr>
          <w:ilvl w:val="0"/>
          <w:numId w:val="12"/>
        </w:numPr>
        <w:spacing w:after="0" w:line="276" w:lineRule="auto"/>
        <w:contextualSpacing/>
        <w:rPr>
          <w:rFonts w:ascii="Arial" w:eastAsia="Calibri" w:hAnsi="Arial" w:cs="Arial"/>
          <w:sz w:val="24"/>
          <w:szCs w:val="24"/>
          <w:lang w:eastAsia="en-GB"/>
        </w:rPr>
      </w:pPr>
      <w:r>
        <w:rPr>
          <w:rFonts w:ascii="Arial" w:eastAsia="Calibri" w:hAnsi="Arial" w:cs="Arial"/>
          <w:sz w:val="24"/>
          <w:szCs w:val="24"/>
          <w:lang w:eastAsia="en-GB"/>
        </w:rPr>
        <w:t>workforce development t</w:t>
      </w:r>
      <w:r w:rsidR="004571CB" w:rsidRPr="00B568F3">
        <w:rPr>
          <w:rFonts w:ascii="Arial" w:eastAsia="Calibri" w:hAnsi="Arial" w:cs="Arial"/>
          <w:sz w:val="24"/>
          <w:szCs w:val="24"/>
          <w:lang w:eastAsia="en-GB"/>
        </w:rPr>
        <w:t>eams going into places</w:t>
      </w:r>
      <w:r w:rsidR="004571CB" w:rsidRPr="00B568F3" w:rsidDel="004B45FF">
        <w:rPr>
          <w:rFonts w:ascii="Arial" w:eastAsia="Calibri" w:hAnsi="Arial" w:cs="Arial"/>
          <w:sz w:val="24"/>
          <w:szCs w:val="24"/>
          <w:lang w:eastAsia="en-GB"/>
        </w:rPr>
        <w:t xml:space="preserve"> </w:t>
      </w:r>
      <w:r w:rsidR="004571CB" w:rsidRPr="00B568F3">
        <w:rPr>
          <w:rFonts w:ascii="Arial" w:eastAsia="Calibri" w:hAnsi="Arial" w:cs="Arial"/>
          <w:sz w:val="24"/>
          <w:szCs w:val="24"/>
          <w:lang w:eastAsia="en-GB"/>
        </w:rPr>
        <w:t>to offer support and fix issues together.</w:t>
      </w:r>
    </w:p>
    <w:p w14:paraId="1A7B3ABD" w14:textId="77777777" w:rsidR="004C6331" w:rsidRDefault="004C6331" w:rsidP="004C6331">
      <w:pPr>
        <w:spacing w:after="0" w:line="276" w:lineRule="auto"/>
        <w:ind w:left="142"/>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4C6331" w:rsidRPr="00C92ECE" w14:paraId="2C7B1F6B" w14:textId="77777777" w:rsidTr="00C92ECE">
        <w:trPr>
          <w:jc w:val="center"/>
        </w:trPr>
        <w:tc>
          <w:tcPr>
            <w:tcW w:w="9016" w:type="dxa"/>
          </w:tcPr>
          <w:p w14:paraId="210DE0F0" w14:textId="6DDC2388" w:rsidR="004C6331" w:rsidRPr="00C92ECE" w:rsidRDefault="007A3713" w:rsidP="00C92ECE">
            <w:pPr>
              <w:rPr>
                <w:rFonts w:ascii="Arial" w:eastAsia="Calibri" w:hAnsi="Arial" w:cs="Arial"/>
                <w:iCs/>
                <w:sz w:val="24"/>
                <w:szCs w:val="24"/>
              </w:rPr>
            </w:pPr>
            <w:proofErr w:type="spellStart"/>
            <w:r w:rsidRPr="001D3350">
              <w:rPr>
                <w:rFonts w:ascii="Arial" w:eastAsia="Calibri" w:hAnsi="Arial" w:cs="Arial"/>
                <w:iCs/>
                <w:sz w:val="24"/>
                <w:szCs w:val="24"/>
              </w:rPr>
              <w:t>I</w:t>
            </w:r>
            <w:r w:rsidR="00D446AB">
              <w:rPr>
                <w:rFonts w:ascii="Arial" w:eastAsia="Calibri" w:hAnsi="Arial" w:cs="Arial"/>
                <w:iCs/>
                <w:sz w:val="24"/>
                <w:szCs w:val="24"/>
              </w:rPr>
              <w:t>pad’s</w:t>
            </w:r>
            <w:proofErr w:type="spellEnd"/>
            <w:r w:rsidRPr="001D3350">
              <w:rPr>
                <w:rFonts w:ascii="Arial" w:eastAsia="Calibri" w:hAnsi="Arial" w:cs="Arial"/>
                <w:iCs/>
                <w:sz w:val="24"/>
                <w:szCs w:val="24"/>
              </w:rPr>
              <w:t xml:space="preserve"> purchased allow</w:t>
            </w:r>
            <w:r w:rsidR="00A46D2D">
              <w:rPr>
                <w:rFonts w:ascii="Arial" w:eastAsia="Calibri" w:hAnsi="Arial" w:cs="Arial"/>
                <w:iCs/>
                <w:sz w:val="24"/>
                <w:szCs w:val="24"/>
              </w:rPr>
              <w:t>ed</w:t>
            </w:r>
            <w:r w:rsidRPr="001D3350">
              <w:rPr>
                <w:rFonts w:ascii="Arial" w:eastAsia="Calibri" w:hAnsi="Arial" w:cs="Arial"/>
                <w:iCs/>
                <w:sz w:val="24"/>
                <w:szCs w:val="24"/>
              </w:rPr>
              <w:t xml:space="preserve"> officers within the service to deliver sessions to the sector either on a </w:t>
            </w:r>
            <w:r w:rsidR="00ED632F">
              <w:rPr>
                <w:rFonts w:ascii="Arial" w:eastAsia="Calibri" w:hAnsi="Arial" w:cs="Arial"/>
                <w:iCs/>
                <w:sz w:val="24"/>
                <w:szCs w:val="24"/>
              </w:rPr>
              <w:t>one-to-one</w:t>
            </w:r>
            <w:r w:rsidRPr="001D3350">
              <w:rPr>
                <w:rFonts w:ascii="Arial" w:eastAsia="Calibri" w:hAnsi="Arial" w:cs="Arial"/>
                <w:iCs/>
                <w:sz w:val="24"/>
                <w:szCs w:val="24"/>
              </w:rPr>
              <w:t xml:space="preserve"> or group basis to support with accessing </w:t>
            </w:r>
            <w:r w:rsidR="003D6567">
              <w:rPr>
                <w:rFonts w:ascii="Arial" w:eastAsia="Calibri" w:hAnsi="Arial" w:cs="Arial"/>
                <w:iCs/>
                <w:sz w:val="24"/>
                <w:szCs w:val="24"/>
              </w:rPr>
              <w:t>e</w:t>
            </w:r>
            <w:r w:rsidRPr="001D3350">
              <w:rPr>
                <w:rFonts w:ascii="Arial" w:eastAsia="Calibri" w:hAnsi="Arial" w:cs="Arial"/>
                <w:iCs/>
                <w:sz w:val="24"/>
                <w:szCs w:val="24"/>
              </w:rPr>
              <w:t>-learning</w:t>
            </w:r>
            <w:r w:rsidRPr="000C3B0B">
              <w:rPr>
                <w:rFonts w:ascii="Arial" w:eastAsia="Calibri" w:hAnsi="Arial" w:cs="Arial"/>
                <w:iCs/>
                <w:sz w:val="24"/>
                <w:szCs w:val="24"/>
              </w:rPr>
              <w:t xml:space="preserve">. (Conwy – </w:t>
            </w:r>
            <w:r w:rsidR="00FF1A9D">
              <w:rPr>
                <w:rFonts w:ascii="Arial" w:eastAsia="Calibri" w:hAnsi="Arial" w:cs="Arial"/>
                <w:iCs/>
                <w:sz w:val="24"/>
                <w:szCs w:val="24"/>
              </w:rPr>
              <w:t>n</w:t>
            </w:r>
            <w:r w:rsidRPr="000C3B0B">
              <w:rPr>
                <w:rFonts w:ascii="Arial" w:eastAsia="Calibri" w:hAnsi="Arial" w:cs="Arial"/>
                <w:iCs/>
                <w:sz w:val="24"/>
                <w:szCs w:val="24"/>
              </w:rPr>
              <w:t xml:space="preserve">orth Wales </w:t>
            </w:r>
            <w:r w:rsidR="00A46D2D">
              <w:rPr>
                <w:rFonts w:ascii="Arial" w:eastAsia="Calibri" w:hAnsi="Arial" w:cs="Arial"/>
                <w:iCs/>
                <w:sz w:val="24"/>
                <w:szCs w:val="24"/>
              </w:rPr>
              <w:t>r</w:t>
            </w:r>
            <w:r w:rsidRPr="000C3B0B">
              <w:rPr>
                <w:rFonts w:ascii="Arial" w:eastAsia="Calibri" w:hAnsi="Arial" w:cs="Arial"/>
                <w:iCs/>
                <w:sz w:val="24"/>
                <w:szCs w:val="24"/>
              </w:rPr>
              <w:t>egion)</w:t>
            </w:r>
          </w:p>
        </w:tc>
      </w:tr>
    </w:tbl>
    <w:p w14:paraId="7FC34218" w14:textId="77777777" w:rsidR="00630C06" w:rsidRDefault="00630C06" w:rsidP="006731E9">
      <w:pPr>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DC3A5A" w:rsidRPr="00C92ECE" w14:paraId="41F63688" w14:textId="77777777" w:rsidTr="00DC3A5A">
        <w:tc>
          <w:tcPr>
            <w:tcW w:w="9016" w:type="dxa"/>
          </w:tcPr>
          <w:p w14:paraId="19934622" w14:textId="2FB0F8F7" w:rsidR="00DC3A5A" w:rsidRPr="00051B92" w:rsidRDefault="00DC3A5A" w:rsidP="006731E9">
            <w:pPr>
              <w:rPr>
                <w:rFonts w:ascii="Arial" w:eastAsia="Calibri" w:hAnsi="Arial" w:cs="Arial"/>
                <w:sz w:val="24"/>
                <w:szCs w:val="24"/>
              </w:rPr>
            </w:pPr>
            <w:r w:rsidRPr="00BB471B">
              <w:rPr>
                <w:rFonts w:ascii="Arial" w:eastAsia="Arial" w:hAnsi="Arial" w:cs="Arial"/>
                <w:sz w:val="24"/>
                <w:szCs w:val="24"/>
              </w:rPr>
              <w:t>We</w:t>
            </w:r>
            <w:r w:rsidR="00051B92">
              <w:rPr>
                <w:rFonts w:ascii="Arial" w:eastAsia="Arial" w:hAnsi="Arial" w:cs="Arial"/>
                <w:sz w:val="24"/>
                <w:szCs w:val="24"/>
              </w:rPr>
              <w:t>’ve</w:t>
            </w:r>
            <w:r w:rsidRPr="00BB471B">
              <w:rPr>
                <w:rFonts w:ascii="Arial" w:eastAsia="Arial" w:hAnsi="Arial" w:cs="Arial"/>
                <w:sz w:val="24"/>
                <w:szCs w:val="24"/>
              </w:rPr>
              <w:t xml:space="preserve"> purchased 12 laptops, USB sticks, headphones and wireless mice, to meet the needs of staff and services</w:t>
            </w:r>
            <w:r w:rsidR="00E412F9">
              <w:rPr>
                <w:rFonts w:ascii="Arial" w:eastAsia="Arial" w:hAnsi="Arial" w:cs="Arial"/>
                <w:sz w:val="24"/>
                <w:szCs w:val="24"/>
              </w:rPr>
              <w:t>, e</w:t>
            </w:r>
            <w:r w:rsidRPr="00BB471B">
              <w:rPr>
                <w:rFonts w:ascii="Arial" w:eastAsia="Arial" w:hAnsi="Arial" w:cs="Arial"/>
                <w:sz w:val="24"/>
                <w:szCs w:val="24"/>
              </w:rPr>
              <w:t>xpanding a digital library to support learning and development. We</w:t>
            </w:r>
            <w:r w:rsidR="00E91454">
              <w:rPr>
                <w:rFonts w:ascii="Arial" w:eastAsia="Arial" w:hAnsi="Arial" w:cs="Arial"/>
                <w:sz w:val="24"/>
                <w:szCs w:val="24"/>
              </w:rPr>
              <w:t>’ve</w:t>
            </w:r>
            <w:r w:rsidRPr="00BB471B">
              <w:rPr>
                <w:rFonts w:ascii="Arial" w:eastAsia="Arial" w:hAnsi="Arial" w:cs="Arial"/>
                <w:sz w:val="24"/>
                <w:szCs w:val="24"/>
              </w:rPr>
              <w:t xml:space="preserve"> increased</w:t>
            </w:r>
            <w:r w:rsidRPr="00051B92">
              <w:rPr>
                <w:rFonts w:ascii="Arial" w:eastAsia="Calibri" w:hAnsi="Arial" w:cs="Arial"/>
                <w:bCs/>
                <w:sz w:val="24"/>
                <w:szCs w:val="24"/>
              </w:rPr>
              <w:t xml:space="preserve"> our licences for Microsoft office, and we continue to </w:t>
            </w:r>
            <w:r w:rsidR="00E412F9">
              <w:rPr>
                <w:rFonts w:ascii="Arial" w:eastAsia="Calibri" w:hAnsi="Arial" w:cs="Arial"/>
                <w:bCs/>
                <w:sz w:val="24"/>
                <w:szCs w:val="24"/>
              </w:rPr>
              <w:t>work with</w:t>
            </w:r>
            <w:r w:rsidRPr="00051B92">
              <w:rPr>
                <w:rFonts w:ascii="Arial" w:eastAsia="Calibri" w:hAnsi="Arial" w:cs="Arial"/>
                <w:bCs/>
                <w:sz w:val="24"/>
                <w:szCs w:val="24"/>
              </w:rPr>
              <w:t xml:space="preserve"> our ICT department to update computers and tablets with required software, to ensure ongoing delivery and engagement in online learning. (Cwm Taf Morgannwg </w:t>
            </w:r>
            <w:r w:rsidR="00E91454">
              <w:rPr>
                <w:rFonts w:ascii="Arial" w:eastAsia="Calibri" w:hAnsi="Arial" w:cs="Arial"/>
                <w:bCs/>
                <w:sz w:val="24"/>
                <w:szCs w:val="24"/>
              </w:rPr>
              <w:t>r</w:t>
            </w:r>
            <w:r w:rsidRPr="00051B92">
              <w:rPr>
                <w:rFonts w:ascii="Arial" w:eastAsia="Calibri" w:hAnsi="Arial" w:cs="Arial"/>
                <w:bCs/>
                <w:sz w:val="24"/>
                <w:szCs w:val="24"/>
              </w:rPr>
              <w:t>egion)</w:t>
            </w:r>
          </w:p>
        </w:tc>
      </w:tr>
    </w:tbl>
    <w:p w14:paraId="7DA9F789" w14:textId="77777777" w:rsidR="00DC3A5A" w:rsidRPr="00C92ECE" w:rsidRDefault="00DC3A5A" w:rsidP="00C92ECE">
      <w:pPr>
        <w:rPr>
          <w:rFonts w:ascii="Arial" w:eastAsia="Calibri" w:hAnsi="Arial" w:cs="Arial"/>
          <w:sz w:val="24"/>
          <w:szCs w:val="24"/>
        </w:rPr>
      </w:pPr>
    </w:p>
    <w:p w14:paraId="68EEFB72" w14:textId="09997EF3"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Assistive </w:t>
      </w:r>
      <w:r w:rsidR="00B13925" w:rsidRPr="00BB471B">
        <w:rPr>
          <w:rFonts w:ascii="Arial" w:eastAsia="Calibri" w:hAnsi="Arial" w:cs="Arial"/>
          <w:b/>
          <w:bCs/>
          <w:sz w:val="24"/>
          <w:szCs w:val="24"/>
        </w:rPr>
        <w:t>and</w:t>
      </w:r>
      <w:r w:rsidRPr="00BB471B">
        <w:rPr>
          <w:rFonts w:ascii="Arial" w:eastAsia="Calibri" w:hAnsi="Arial" w:cs="Arial"/>
          <w:b/>
          <w:bCs/>
          <w:sz w:val="24"/>
          <w:szCs w:val="24"/>
        </w:rPr>
        <w:t xml:space="preserve"> </w:t>
      </w:r>
      <w:r w:rsidR="00B13925" w:rsidRPr="00BB471B">
        <w:rPr>
          <w:rFonts w:ascii="Arial" w:eastAsia="Calibri" w:hAnsi="Arial" w:cs="Arial"/>
          <w:b/>
          <w:bCs/>
          <w:sz w:val="24"/>
          <w:szCs w:val="24"/>
        </w:rPr>
        <w:t>i</w:t>
      </w:r>
      <w:r w:rsidRPr="00BB471B">
        <w:rPr>
          <w:rFonts w:ascii="Arial" w:eastAsia="Calibri" w:hAnsi="Arial" w:cs="Arial"/>
          <w:b/>
          <w:bCs/>
          <w:sz w:val="24"/>
          <w:szCs w:val="24"/>
        </w:rPr>
        <w:t xml:space="preserve">nnovative </w:t>
      </w:r>
      <w:r w:rsidR="00B13925" w:rsidRPr="00BB471B">
        <w:rPr>
          <w:rFonts w:ascii="Arial" w:eastAsia="Calibri" w:hAnsi="Arial" w:cs="Arial"/>
          <w:b/>
          <w:bCs/>
          <w:sz w:val="24"/>
          <w:szCs w:val="24"/>
        </w:rPr>
        <w:t>t</w:t>
      </w:r>
      <w:r w:rsidRPr="00BB471B">
        <w:rPr>
          <w:rFonts w:ascii="Arial" w:eastAsia="Calibri" w:hAnsi="Arial" w:cs="Arial"/>
          <w:b/>
          <w:bCs/>
          <w:sz w:val="24"/>
          <w:szCs w:val="24"/>
        </w:rPr>
        <w:t>echnology</w:t>
      </w:r>
    </w:p>
    <w:p w14:paraId="1B47D394" w14:textId="77777777" w:rsidR="00630C06" w:rsidRPr="00C92ECE" w:rsidRDefault="00630C06" w:rsidP="00C63EB4">
      <w:pPr>
        <w:spacing w:after="0" w:line="240" w:lineRule="auto"/>
        <w:rPr>
          <w:rFonts w:ascii="Arial" w:eastAsia="Calibri" w:hAnsi="Arial" w:cs="Arial"/>
          <w:sz w:val="24"/>
          <w:szCs w:val="24"/>
        </w:rPr>
      </w:pPr>
    </w:p>
    <w:p w14:paraId="2360179F" w14:textId="0EE6A49D" w:rsidR="007F4896" w:rsidRDefault="00C63EB4" w:rsidP="00BB471B">
      <w:pPr>
        <w:spacing w:after="0" w:line="276" w:lineRule="auto"/>
        <w:ind w:left="567"/>
        <w:contextualSpacing/>
        <w:rPr>
          <w:rFonts w:ascii="Arial" w:eastAsia="Calibri" w:hAnsi="Arial" w:cs="Arial"/>
          <w:sz w:val="24"/>
          <w:szCs w:val="24"/>
        </w:rPr>
      </w:pPr>
      <w:r w:rsidRPr="00477210">
        <w:rPr>
          <w:rFonts w:ascii="Arial" w:eastAsia="Calibri" w:hAnsi="Arial" w:cs="Arial"/>
          <w:sz w:val="24"/>
          <w:szCs w:val="24"/>
        </w:rPr>
        <w:t xml:space="preserve">Use of </w:t>
      </w:r>
      <w:r w:rsidRPr="00C92ECE">
        <w:rPr>
          <w:rFonts w:ascii="Arial" w:eastAsia="Calibri" w:hAnsi="Arial" w:cs="Arial"/>
          <w:sz w:val="24"/>
          <w:szCs w:val="24"/>
        </w:rPr>
        <w:t>adaptive tech</w:t>
      </w:r>
      <w:r w:rsidR="00B74D8B">
        <w:rPr>
          <w:rFonts w:ascii="Arial" w:eastAsia="Calibri" w:hAnsi="Arial" w:cs="Arial"/>
          <w:sz w:val="24"/>
          <w:szCs w:val="24"/>
        </w:rPr>
        <w:t>nolog</w:t>
      </w:r>
      <w:r w:rsidR="0047370B">
        <w:rPr>
          <w:rFonts w:ascii="Arial" w:eastAsia="Calibri" w:hAnsi="Arial" w:cs="Arial"/>
          <w:sz w:val="24"/>
          <w:szCs w:val="24"/>
        </w:rPr>
        <w:t>y such as</w:t>
      </w:r>
      <w:r w:rsidRPr="00477210">
        <w:rPr>
          <w:rFonts w:ascii="Arial" w:eastAsia="Calibri" w:hAnsi="Arial" w:cs="Arial"/>
          <w:sz w:val="24"/>
          <w:szCs w:val="24"/>
        </w:rPr>
        <w:t xml:space="preserve"> </w:t>
      </w:r>
      <w:r w:rsidR="0047370B">
        <w:rPr>
          <w:rFonts w:ascii="Arial" w:eastAsia="Calibri" w:hAnsi="Arial" w:cs="Arial"/>
          <w:sz w:val="24"/>
          <w:szCs w:val="24"/>
        </w:rPr>
        <w:t>m</w:t>
      </w:r>
      <w:r w:rsidRPr="00C92ECE">
        <w:rPr>
          <w:rFonts w:ascii="Arial" w:eastAsia="Calibri" w:hAnsi="Arial" w:cs="Arial"/>
          <w:sz w:val="24"/>
          <w:szCs w:val="24"/>
        </w:rPr>
        <w:t xml:space="preserve">agic </w:t>
      </w:r>
      <w:r w:rsidR="0047370B">
        <w:rPr>
          <w:rFonts w:ascii="Arial" w:eastAsia="Calibri" w:hAnsi="Arial" w:cs="Arial"/>
          <w:sz w:val="24"/>
          <w:szCs w:val="24"/>
        </w:rPr>
        <w:t>t</w:t>
      </w:r>
      <w:r w:rsidRPr="00C92ECE">
        <w:rPr>
          <w:rFonts w:ascii="Arial" w:eastAsia="Calibri" w:hAnsi="Arial" w:cs="Arial"/>
          <w:sz w:val="24"/>
          <w:szCs w:val="24"/>
        </w:rPr>
        <w:t>ables</w:t>
      </w:r>
      <w:r w:rsidRPr="00477210">
        <w:rPr>
          <w:rFonts w:ascii="Arial" w:eastAsia="Calibri" w:hAnsi="Arial" w:cs="Arial"/>
          <w:sz w:val="24"/>
          <w:szCs w:val="24"/>
        </w:rPr>
        <w:t xml:space="preserve">, </w:t>
      </w:r>
      <w:r w:rsidR="0047370B">
        <w:rPr>
          <w:rFonts w:ascii="Arial" w:eastAsia="Calibri" w:hAnsi="Arial" w:cs="Arial"/>
          <w:sz w:val="24"/>
          <w:szCs w:val="24"/>
        </w:rPr>
        <w:t>r</w:t>
      </w:r>
      <w:r w:rsidRPr="00C92ECE">
        <w:rPr>
          <w:rFonts w:ascii="Arial" w:eastAsia="Calibri" w:hAnsi="Arial" w:cs="Arial"/>
          <w:sz w:val="24"/>
          <w:szCs w:val="24"/>
        </w:rPr>
        <w:t xml:space="preserve">eminiscence </w:t>
      </w:r>
      <w:r w:rsidR="0047370B">
        <w:rPr>
          <w:rFonts w:ascii="Arial" w:eastAsia="Calibri" w:hAnsi="Arial" w:cs="Arial"/>
          <w:sz w:val="24"/>
          <w:szCs w:val="24"/>
        </w:rPr>
        <w:t>b</w:t>
      </w:r>
      <w:r w:rsidRPr="00C92ECE">
        <w:rPr>
          <w:rFonts w:ascii="Arial" w:eastAsia="Calibri" w:hAnsi="Arial" w:cs="Arial"/>
          <w:sz w:val="24"/>
          <w:szCs w:val="24"/>
        </w:rPr>
        <w:t>ikes</w:t>
      </w:r>
      <w:r w:rsidRPr="00477210">
        <w:rPr>
          <w:rFonts w:ascii="Arial" w:eastAsia="Calibri" w:hAnsi="Arial" w:cs="Arial"/>
          <w:sz w:val="24"/>
          <w:szCs w:val="24"/>
        </w:rPr>
        <w:t xml:space="preserve">, and </w:t>
      </w:r>
      <w:r w:rsidR="0047370B">
        <w:rPr>
          <w:rFonts w:ascii="Arial" w:eastAsia="Calibri" w:hAnsi="Arial" w:cs="Arial"/>
          <w:sz w:val="24"/>
          <w:szCs w:val="24"/>
        </w:rPr>
        <w:t>d</w:t>
      </w:r>
      <w:r w:rsidRPr="00C92ECE">
        <w:rPr>
          <w:rFonts w:ascii="Arial" w:eastAsia="Calibri" w:hAnsi="Arial" w:cs="Arial"/>
          <w:sz w:val="24"/>
          <w:szCs w:val="24"/>
        </w:rPr>
        <w:t xml:space="preserve">riving </w:t>
      </w:r>
      <w:r w:rsidR="0047370B">
        <w:rPr>
          <w:rFonts w:ascii="Arial" w:eastAsia="Calibri" w:hAnsi="Arial" w:cs="Arial"/>
          <w:sz w:val="24"/>
          <w:szCs w:val="24"/>
        </w:rPr>
        <w:t>s</w:t>
      </w:r>
      <w:r w:rsidRPr="00C92ECE">
        <w:rPr>
          <w:rFonts w:ascii="Arial" w:eastAsia="Calibri" w:hAnsi="Arial" w:cs="Arial"/>
          <w:sz w:val="24"/>
          <w:szCs w:val="24"/>
        </w:rPr>
        <w:t>imulators</w:t>
      </w:r>
      <w:r w:rsidR="00477210" w:rsidRPr="00477210">
        <w:rPr>
          <w:rFonts w:ascii="Arial" w:eastAsia="Calibri" w:hAnsi="Arial" w:cs="Arial"/>
          <w:sz w:val="24"/>
          <w:szCs w:val="24"/>
        </w:rPr>
        <w:t xml:space="preserve"> and s</w:t>
      </w:r>
      <w:r w:rsidR="0027714F" w:rsidRPr="00477210">
        <w:rPr>
          <w:rFonts w:ascii="Arial" w:eastAsia="Calibri" w:hAnsi="Arial" w:cs="Arial"/>
          <w:sz w:val="24"/>
          <w:szCs w:val="24"/>
        </w:rPr>
        <w:t>upport</w:t>
      </w:r>
      <w:r w:rsidR="00785828" w:rsidRPr="00477210">
        <w:rPr>
          <w:rFonts w:ascii="Arial" w:eastAsia="Calibri" w:hAnsi="Arial" w:cs="Arial"/>
          <w:sz w:val="24"/>
          <w:szCs w:val="24"/>
        </w:rPr>
        <w:t>ing the</w:t>
      </w:r>
      <w:r w:rsidR="0027714F" w:rsidRPr="00477210">
        <w:rPr>
          <w:rFonts w:ascii="Arial" w:eastAsia="Calibri" w:hAnsi="Arial" w:cs="Arial"/>
          <w:sz w:val="24"/>
          <w:szCs w:val="24"/>
        </w:rPr>
        <w:t xml:space="preserve"> use of </w:t>
      </w:r>
      <w:r w:rsidR="00785828" w:rsidRPr="00477210">
        <w:rPr>
          <w:rFonts w:ascii="Arial" w:eastAsia="Calibri" w:hAnsi="Arial" w:cs="Arial"/>
          <w:sz w:val="24"/>
          <w:szCs w:val="24"/>
        </w:rPr>
        <w:t>a</w:t>
      </w:r>
      <w:r w:rsidR="0027714F" w:rsidRPr="00477210">
        <w:rPr>
          <w:rFonts w:ascii="Arial" w:eastAsia="Calibri" w:hAnsi="Arial" w:cs="Arial"/>
          <w:sz w:val="24"/>
          <w:szCs w:val="24"/>
        </w:rPr>
        <w:t xml:space="preserve">ssistive </w:t>
      </w:r>
      <w:r w:rsidR="00785828" w:rsidRPr="00477210">
        <w:rPr>
          <w:rFonts w:ascii="Arial" w:eastAsia="Calibri" w:hAnsi="Arial" w:cs="Arial"/>
          <w:sz w:val="24"/>
          <w:szCs w:val="24"/>
        </w:rPr>
        <w:t>t</w:t>
      </w:r>
      <w:r w:rsidR="0027714F" w:rsidRPr="00477210">
        <w:rPr>
          <w:rFonts w:ascii="Arial" w:eastAsia="Calibri" w:hAnsi="Arial" w:cs="Arial"/>
          <w:sz w:val="24"/>
          <w:szCs w:val="24"/>
        </w:rPr>
        <w:t>echnology in</w:t>
      </w:r>
      <w:r w:rsidR="00785828" w:rsidRPr="00477210">
        <w:rPr>
          <w:rFonts w:ascii="Arial" w:eastAsia="Calibri" w:hAnsi="Arial" w:cs="Arial"/>
          <w:sz w:val="24"/>
          <w:szCs w:val="24"/>
        </w:rPr>
        <w:t xml:space="preserve"> </w:t>
      </w:r>
      <w:r w:rsidR="0027714F" w:rsidRPr="00477210">
        <w:rPr>
          <w:rFonts w:ascii="Arial" w:eastAsia="Calibri" w:hAnsi="Arial" w:cs="Arial"/>
          <w:sz w:val="24"/>
          <w:szCs w:val="24"/>
        </w:rPr>
        <w:t>deliver</w:t>
      </w:r>
      <w:r w:rsidR="00C76E40">
        <w:rPr>
          <w:rFonts w:ascii="Arial" w:eastAsia="Calibri" w:hAnsi="Arial" w:cs="Arial"/>
          <w:sz w:val="24"/>
          <w:szCs w:val="24"/>
        </w:rPr>
        <w:t>ing</w:t>
      </w:r>
      <w:r w:rsidR="0027714F" w:rsidRPr="00477210">
        <w:rPr>
          <w:rFonts w:ascii="Arial" w:eastAsia="Calibri" w:hAnsi="Arial" w:cs="Arial"/>
          <w:sz w:val="24"/>
          <w:szCs w:val="24"/>
        </w:rPr>
        <w:t xml:space="preserve"> social care services</w:t>
      </w:r>
      <w:r w:rsidR="00C76E40">
        <w:rPr>
          <w:rFonts w:ascii="Arial" w:eastAsia="Calibri" w:hAnsi="Arial" w:cs="Arial"/>
          <w:sz w:val="24"/>
          <w:szCs w:val="24"/>
        </w:rPr>
        <w:t>.</w:t>
      </w:r>
    </w:p>
    <w:p w14:paraId="51FF5514" w14:textId="77777777" w:rsidR="001C6814" w:rsidRPr="00BB471B" w:rsidRDefault="001C6814" w:rsidP="00BB471B">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7F4896" w14:paraId="16904B1E" w14:textId="77777777" w:rsidTr="00C92ECE">
        <w:trPr>
          <w:jc w:val="center"/>
        </w:trPr>
        <w:tc>
          <w:tcPr>
            <w:tcW w:w="9016" w:type="dxa"/>
          </w:tcPr>
          <w:p w14:paraId="39C35B3F" w14:textId="53FA23F7" w:rsidR="007F4896" w:rsidRDefault="001D0809" w:rsidP="007F4896">
            <w:pPr>
              <w:spacing w:line="276" w:lineRule="auto"/>
              <w:contextualSpacing/>
              <w:rPr>
                <w:rFonts w:ascii="Arial" w:eastAsia="Calibri" w:hAnsi="Arial" w:cs="Arial"/>
                <w:sz w:val="24"/>
                <w:szCs w:val="24"/>
              </w:rPr>
            </w:pPr>
            <w:r w:rsidRPr="001D0809">
              <w:rPr>
                <w:rFonts w:ascii="Arial" w:eastAsia="Calibri" w:hAnsi="Arial" w:cs="Arial"/>
                <w:sz w:val="24"/>
                <w:szCs w:val="24"/>
              </w:rPr>
              <w:t>Demonstration</w:t>
            </w:r>
            <w:r w:rsidR="006B5540">
              <w:rPr>
                <w:rFonts w:ascii="Arial" w:eastAsia="Calibri" w:hAnsi="Arial" w:cs="Arial"/>
                <w:sz w:val="24"/>
                <w:szCs w:val="24"/>
              </w:rPr>
              <w:t>s</w:t>
            </w:r>
            <w:r w:rsidRPr="001D0809">
              <w:rPr>
                <w:rFonts w:ascii="Arial" w:eastAsia="Calibri" w:hAnsi="Arial" w:cs="Arial"/>
                <w:sz w:val="24"/>
                <w:szCs w:val="24"/>
              </w:rPr>
              <w:t xml:space="preserve"> </w:t>
            </w:r>
            <w:r w:rsidR="00C76E40">
              <w:rPr>
                <w:rFonts w:ascii="Arial" w:eastAsia="Calibri" w:hAnsi="Arial" w:cs="Arial"/>
                <w:sz w:val="24"/>
                <w:szCs w:val="24"/>
              </w:rPr>
              <w:t>and</w:t>
            </w:r>
            <w:r w:rsidRPr="001D0809">
              <w:rPr>
                <w:rFonts w:ascii="Arial" w:eastAsia="Calibri" w:hAnsi="Arial" w:cs="Arial"/>
                <w:sz w:val="24"/>
                <w:szCs w:val="24"/>
              </w:rPr>
              <w:t xml:space="preserve"> information sessions on ‘Ask Sara’ (</w:t>
            </w:r>
            <w:r w:rsidR="00C76E40">
              <w:rPr>
                <w:rFonts w:ascii="Arial" w:eastAsia="Calibri" w:hAnsi="Arial" w:cs="Arial"/>
                <w:sz w:val="24"/>
                <w:szCs w:val="24"/>
              </w:rPr>
              <w:t xml:space="preserve">a </w:t>
            </w:r>
            <w:r w:rsidRPr="001D0809">
              <w:rPr>
                <w:rFonts w:ascii="Arial" w:eastAsia="Calibri" w:hAnsi="Arial" w:cs="Arial"/>
                <w:sz w:val="24"/>
                <w:szCs w:val="24"/>
              </w:rPr>
              <w:t xml:space="preserve">rapid access online self -assessment tool) have enabled social care staff to promote to citizens with the aim of reducing the number of </w:t>
            </w:r>
            <w:r w:rsidR="00177E55">
              <w:rPr>
                <w:rFonts w:ascii="Arial" w:eastAsia="Calibri" w:hAnsi="Arial" w:cs="Arial"/>
                <w:sz w:val="24"/>
                <w:szCs w:val="24"/>
              </w:rPr>
              <w:t>occupational therapy</w:t>
            </w:r>
            <w:r w:rsidRPr="001D0809">
              <w:rPr>
                <w:rFonts w:ascii="Arial" w:eastAsia="Calibri" w:hAnsi="Arial" w:cs="Arial"/>
                <w:sz w:val="24"/>
                <w:szCs w:val="24"/>
              </w:rPr>
              <w:t xml:space="preserve"> referrals</w:t>
            </w:r>
            <w:r w:rsidR="00177E55">
              <w:rPr>
                <w:rFonts w:ascii="Arial" w:eastAsia="Calibri" w:hAnsi="Arial" w:cs="Arial"/>
                <w:sz w:val="24"/>
                <w:szCs w:val="24"/>
              </w:rPr>
              <w:t>.</w:t>
            </w:r>
            <w:r w:rsidRPr="001D0809">
              <w:rPr>
                <w:rFonts w:ascii="Arial" w:eastAsia="Calibri" w:hAnsi="Arial" w:cs="Arial"/>
                <w:sz w:val="24"/>
                <w:szCs w:val="24"/>
              </w:rPr>
              <w:t xml:space="preserve"> </w:t>
            </w:r>
            <w:r w:rsidR="00F92454">
              <w:rPr>
                <w:rFonts w:ascii="Arial" w:eastAsia="Calibri" w:hAnsi="Arial" w:cs="Arial"/>
                <w:sz w:val="24"/>
                <w:szCs w:val="24"/>
              </w:rPr>
              <w:t xml:space="preserve">It </w:t>
            </w:r>
            <w:r w:rsidRPr="001D0809">
              <w:rPr>
                <w:rFonts w:ascii="Arial" w:eastAsia="Calibri" w:hAnsi="Arial" w:cs="Arial"/>
                <w:sz w:val="24"/>
                <w:szCs w:val="24"/>
              </w:rPr>
              <w:t>empower</w:t>
            </w:r>
            <w:r w:rsidR="00F92454">
              <w:rPr>
                <w:rFonts w:ascii="Arial" w:eastAsia="Calibri" w:hAnsi="Arial" w:cs="Arial"/>
                <w:sz w:val="24"/>
                <w:szCs w:val="24"/>
              </w:rPr>
              <w:t>s</w:t>
            </w:r>
            <w:r w:rsidRPr="001D0809">
              <w:rPr>
                <w:rFonts w:ascii="Arial" w:eastAsia="Calibri" w:hAnsi="Arial" w:cs="Arial"/>
                <w:sz w:val="24"/>
                <w:szCs w:val="24"/>
              </w:rPr>
              <w:t xml:space="preserve"> individuals to manage and access their own support.</w:t>
            </w:r>
            <w:r w:rsidR="00715C3F">
              <w:rPr>
                <w:rFonts w:ascii="Arial" w:eastAsia="Calibri" w:hAnsi="Arial" w:cs="Arial"/>
                <w:sz w:val="24"/>
                <w:szCs w:val="24"/>
              </w:rPr>
              <w:t xml:space="preserve"> (</w:t>
            </w:r>
            <w:r w:rsidR="00FF1A9D">
              <w:rPr>
                <w:rFonts w:ascii="Arial" w:eastAsia="Calibri" w:hAnsi="Arial" w:cs="Arial"/>
                <w:sz w:val="24"/>
                <w:szCs w:val="24"/>
              </w:rPr>
              <w:t>w</w:t>
            </w:r>
            <w:r w:rsidR="00715C3F">
              <w:rPr>
                <w:rFonts w:ascii="Arial" w:eastAsia="Calibri" w:hAnsi="Arial" w:cs="Arial"/>
                <w:sz w:val="24"/>
                <w:szCs w:val="24"/>
              </w:rPr>
              <w:t xml:space="preserve">est Wales </w:t>
            </w:r>
            <w:r w:rsidR="00F92454">
              <w:rPr>
                <w:rFonts w:ascii="Arial" w:eastAsia="Calibri" w:hAnsi="Arial" w:cs="Arial"/>
                <w:sz w:val="24"/>
                <w:szCs w:val="24"/>
              </w:rPr>
              <w:t>r</w:t>
            </w:r>
            <w:r w:rsidR="00715C3F">
              <w:rPr>
                <w:rFonts w:ascii="Arial" w:eastAsia="Calibri" w:hAnsi="Arial" w:cs="Arial"/>
                <w:sz w:val="24"/>
                <w:szCs w:val="24"/>
              </w:rPr>
              <w:t>egion)</w:t>
            </w:r>
          </w:p>
        </w:tc>
      </w:tr>
    </w:tbl>
    <w:p w14:paraId="707714A6" w14:textId="77777777" w:rsidR="007F4896" w:rsidRDefault="007F4896" w:rsidP="00C92ECE">
      <w:pPr>
        <w:spacing w:after="0" w:line="276" w:lineRule="auto"/>
        <w:ind w:left="567"/>
        <w:contextualSpacing/>
        <w:rPr>
          <w:rFonts w:ascii="Arial" w:eastAsia="Calibri" w:hAnsi="Arial" w:cs="Arial"/>
          <w:sz w:val="24"/>
          <w:szCs w:val="24"/>
        </w:rPr>
      </w:pPr>
    </w:p>
    <w:p w14:paraId="6EF46CA4" w14:textId="3E42AFB2" w:rsidR="00C63EB4" w:rsidRPr="00BB471B" w:rsidRDefault="00C63EB4" w:rsidP="00C63EB4">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Strategic </w:t>
      </w:r>
      <w:r w:rsidR="009C0EC2" w:rsidRPr="00BB471B">
        <w:rPr>
          <w:rFonts w:ascii="Arial" w:eastAsia="Calibri" w:hAnsi="Arial" w:cs="Arial"/>
          <w:b/>
          <w:bCs/>
          <w:sz w:val="24"/>
          <w:szCs w:val="24"/>
        </w:rPr>
        <w:t>c</w:t>
      </w:r>
      <w:r w:rsidRPr="00BB471B">
        <w:rPr>
          <w:rFonts w:ascii="Arial" w:eastAsia="Calibri" w:hAnsi="Arial" w:cs="Arial"/>
          <w:b/>
          <w:bCs/>
          <w:sz w:val="24"/>
          <w:szCs w:val="24"/>
        </w:rPr>
        <w:t>ollaboration</w:t>
      </w:r>
    </w:p>
    <w:p w14:paraId="17F620A5" w14:textId="77777777" w:rsidR="00CD2710" w:rsidRPr="00C92ECE" w:rsidRDefault="00CD2710" w:rsidP="00C63EB4">
      <w:pPr>
        <w:spacing w:after="0" w:line="240" w:lineRule="auto"/>
        <w:rPr>
          <w:rFonts w:ascii="Arial" w:eastAsia="Calibri" w:hAnsi="Arial" w:cs="Arial"/>
          <w:sz w:val="24"/>
          <w:szCs w:val="24"/>
        </w:rPr>
      </w:pPr>
    </w:p>
    <w:p w14:paraId="5661DCC2" w14:textId="2E61FB9A" w:rsidR="000068BD" w:rsidRPr="000068BD" w:rsidRDefault="00B50654" w:rsidP="00477210">
      <w:pPr>
        <w:numPr>
          <w:ilvl w:val="0"/>
          <w:numId w:val="6"/>
        </w:numPr>
        <w:spacing w:after="0" w:line="276" w:lineRule="auto"/>
        <w:ind w:left="567" w:hanging="425"/>
        <w:contextualSpacing/>
        <w:rPr>
          <w:rFonts w:ascii="Arial" w:eastAsia="Calibri" w:hAnsi="Arial" w:cs="Arial"/>
          <w:sz w:val="24"/>
          <w:szCs w:val="24"/>
        </w:rPr>
      </w:pPr>
      <w:r w:rsidRPr="00AE07C5">
        <w:rPr>
          <w:rFonts w:ascii="Arial" w:eastAsia="Calibri" w:hAnsi="Arial" w:cs="Arial"/>
          <w:sz w:val="24"/>
          <w:szCs w:val="24"/>
        </w:rPr>
        <w:t xml:space="preserve">Working with </w:t>
      </w:r>
      <w:r w:rsidR="00385245" w:rsidRPr="00AE07C5">
        <w:rPr>
          <w:rFonts w:ascii="Arial" w:eastAsia="Calibri" w:hAnsi="Arial" w:cs="Arial"/>
          <w:sz w:val="24"/>
          <w:szCs w:val="24"/>
        </w:rPr>
        <w:t>partners</w:t>
      </w:r>
      <w:r w:rsidR="00983BE5" w:rsidRPr="00AE07C5">
        <w:rPr>
          <w:rFonts w:ascii="Arial" w:eastAsia="Calibri" w:hAnsi="Arial" w:cs="Arial"/>
          <w:sz w:val="24"/>
          <w:szCs w:val="24"/>
        </w:rPr>
        <w:t xml:space="preserve">, such as Digital Communities Wales, Cwmpas and local colleges, </w:t>
      </w:r>
      <w:r w:rsidR="008E20A6" w:rsidRPr="00AE07C5">
        <w:rPr>
          <w:rFonts w:ascii="Arial" w:eastAsia="Calibri" w:hAnsi="Arial" w:cs="Arial"/>
          <w:sz w:val="24"/>
          <w:szCs w:val="24"/>
        </w:rPr>
        <w:t xml:space="preserve">to deliver </w:t>
      </w:r>
      <w:r w:rsidR="000068BD" w:rsidRPr="000068BD">
        <w:rPr>
          <w:rFonts w:ascii="Arial" w:eastAsia="Calibri" w:hAnsi="Arial" w:cs="Arial"/>
          <w:sz w:val="24"/>
          <w:szCs w:val="24"/>
        </w:rPr>
        <w:t>digital skills programmes</w:t>
      </w:r>
      <w:r w:rsidR="000068BD" w:rsidRPr="000068BD" w:rsidDel="00155967">
        <w:rPr>
          <w:rFonts w:ascii="Arial" w:eastAsia="Calibri" w:hAnsi="Arial" w:cs="Arial"/>
          <w:sz w:val="24"/>
          <w:szCs w:val="24"/>
        </w:rPr>
        <w:t xml:space="preserve"> </w:t>
      </w:r>
      <w:r w:rsidR="000068BD">
        <w:rPr>
          <w:rFonts w:ascii="Arial" w:eastAsia="Calibri" w:hAnsi="Arial" w:cs="Arial"/>
          <w:sz w:val="24"/>
          <w:szCs w:val="24"/>
        </w:rPr>
        <w:t>and training</w:t>
      </w:r>
      <w:r w:rsidR="003943BA">
        <w:rPr>
          <w:rFonts w:ascii="Arial" w:eastAsia="Calibri" w:hAnsi="Arial" w:cs="Arial"/>
          <w:sz w:val="24"/>
          <w:szCs w:val="24"/>
        </w:rPr>
        <w:t xml:space="preserve">. This helps </w:t>
      </w:r>
      <w:r w:rsidR="000068BD" w:rsidRPr="000068BD">
        <w:rPr>
          <w:rFonts w:ascii="Arial" w:eastAsia="Calibri" w:hAnsi="Arial" w:cs="Arial"/>
          <w:sz w:val="24"/>
          <w:szCs w:val="24"/>
        </w:rPr>
        <w:t>improve digital literacy</w:t>
      </w:r>
      <w:r w:rsidR="007E2248">
        <w:rPr>
          <w:rFonts w:ascii="Arial" w:eastAsia="Calibri" w:hAnsi="Arial" w:cs="Arial"/>
          <w:sz w:val="24"/>
          <w:szCs w:val="24"/>
        </w:rPr>
        <w:t xml:space="preserve"> and </w:t>
      </w:r>
      <w:r w:rsidR="000068BD" w:rsidRPr="000068BD">
        <w:rPr>
          <w:rFonts w:ascii="Arial" w:eastAsia="Calibri" w:hAnsi="Arial" w:cs="Arial"/>
          <w:sz w:val="24"/>
          <w:szCs w:val="24"/>
        </w:rPr>
        <w:t xml:space="preserve">meet the </w:t>
      </w:r>
      <w:r w:rsidR="001C6814" w:rsidRPr="000068BD">
        <w:rPr>
          <w:rFonts w:ascii="Arial" w:eastAsia="Calibri" w:hAnsi="Arial" w:cs="Arial"/>
          <w:sz w:val="24"/>
          <w:szCs w:val="24"/>
        </w:rPr>
        <w:t>different</w:t>
      </w:r>
      <w:r w:rsidR="001C6814" w:rsidRPr="000068BD" w:rsidDel="00155967">
        <w:rPr>
          <w:rFonts w:ascii="Arial" w:eastAsia="Calibri" w:hAnsi="Arial" w:cs="Arial"/>
          <w:sz w:val="24"/>
          <w:szCs w:val="24"/>
        </w:rPr>
        <w:t xml:space="preserve"> </w:t>
      </w:r>
      <w:r w:rsidR="001C6814" w:rsidRPr="000068BD">
        <w:rPr>
          <w:rFonts w:ascii="Arial" w:eastAsia="Calibri" w:hAnsi="Arial" w:cs="Arial"/>
          <w:sz w:val="24"/>
          <w:szCs w:val="24"/>
        </w:rPr>
        <w:t>needs</w:t>
      </w:r>
      <w:r w:rsidR="000068BD" w:rsidRPr="000068BD">
        <w:rPr>
          <w:rFonts w:ascii="Arial" w:eastAsia="Calibri" w:hAnsi="Arial" w:cs="Arial"/>
          <w:sz w:val="24"/>
          <w:szCs w:val="24"/>
        </w:rPr>
        <w:t xml:space="preserve"> of the workforce across the</w:t>
      </w:r>
      <w:r w:rsidR="006D0D0E">
        <w:rPr>
          <w:rFonts w:ascii="Arial" w:eastAsia="Calibri" w:hAnsi="Arial" w:cs="Arial"/>
          <w:sz w:val="24"/>
          <w:szCs w:val="24"/>
        </w:rPr>
        <w:t xml:space="preserve"> </w:t>
      </w:r>
      <w:r w:rsidR="000068BD" w:rsidRPr="000068BD">
        <w:rPr>
          <w:rFonts w:ascii="Arial" w:eastAsia="Calibri" w:hAnsi="Arial" w:cs="Arial"/>
          <w:sz w:val="24"/>
          <w:szCs w:val="24"/>
        </w:rPr>
        <w:t>sector.</w:t>
      </w:r>
    </w:p>
    <w:p w14:paraId="5729C976" w14:textId="77777777" w:rsidR="00983BE5" w:rsidRPr="00AE07C5" w:rsidRDefault="00983BE5" w:rsidP="00C92ECE">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114047" w:rsidRPr="00AE07C5" w14:paraId="1B6945C0" w14:textId="77777777" w:rsidTr="00C92ECE">
        <w:trPr>
          <w:jc w:val="center"/>
        </w:trPr>
        <w:tc>
          <w:tcPr>
            <w:tcW w:w="9016" w:type="dxa"/>
          </w:tcPr>
          <w:p w14:paraId="76905DBE" w14:textId="6FADFEBD" w:rsidR="00114047" w:rsidRPr="00AE07C5" w:rsidRDefault="007D605D" w:rsidP="00114047">
            <w:pPr>
              <w:spacing w:line="276" w:lineRule="auto"/>
              <w:contextualSpacing/>
              <w:rPr>
                <w:rFonts w:ascii="Arial" w:eastAsia="Calibri" w:hAnsi="Arial" w:cs="Arial"/>
                <w:sz w:val="24"/>
                <w:szCs w:val="24"/>
              </w:rPr>
            </w:pPr>
            <w:r w:rsidRPr="00C92ECE">
              <w:rPr>
                <w:rFonts w:ascii="Arial" w:eastAsia="Calibri" w:hAnsi="Arial" w:cs="Arial"/>
                <w:iCs/>
                <w:sz w:val="24"/>
                <w:szCs w:val="24"/>
              </w:rPr>
              <w:t>We retain strong working relationships with Digital Communities Wales and Cwmpas reviewing and offering their rolling programme and offer training. (</w:t>
            </w:r>
            <w:r w:rsidR="00931AC4" w:rsidRPr="00C92ECE">
              <w:rPr>
                <w:rFonts w:ascii="Arial" w:eastAsia="Calibri" w:hAnsi="Arial" w:cs="Arial"/>
                <w:iCs/>
                <w:sz w:val="24"/>
                <w:szCs w:val="24"/>
              </w:rPr>
              <w:t xml:space="preserve">Flintshire - </w:t>
            </w:r>
            <w:r w:rsidR="00FF1A9D">
              <w:rPr>
                <w:rFonts w:ascii="Arial" w:eastAsia="Calibri" w:hAnsi="Arial" w:cs="Arial"/>
                <w:iCs/>
                <w:sz w:val="24"/>
                <w:szCs w:val="24"/>
              </w:rPr>
              <w:t>n</w:t>
            </w:r>
            <w:r w:rsidRPr="00C92ECE">
              <w:rPr>
                <w:rFonts w:ascii="Arial" w:eastAsia="Calibri" w:hAnsi="Arial" w:cs="Arial"/>
                <w:iCs/>
                <w:sz w:val="24"/>
                <w:szCs w:val="24"/>
              </w:rPr>
              <w:t xml:space="preserve">orth Wales </w:t>
            </w:r>
            <w:r w:rsidR="00B94ECC">
              <w:rPr>
                <w:rFonts w:ascii="Arial" w:eastAsia="Calibri" w:hAnsi="Arial" w:cs="Arial"/>
                <w:iCs/>
                <w:sz w:val="24"/>
                <w:szCs w:val="24"/>
              </w:rPr>
              <w:t>r</w:t>
            </w:r>
            <w:r w:rsidRPr="00C92ECE">
              <w:rPr>
                <w:rFonts w:ascii="Arial" w:eastAsia="Calibri" w:hAnsi="Arial" w:cs="Arial"/>
                <w:iCs/>
                <w:sz w:val="24"/>
                <w:szCs w:val="24"/>
              </w:rPr>
              <w:t>egion</w:t>
            </w:r>
          </w:p>
        </w:tc>
      </w:tr>
    </w:tbl>
    <w:p w14:paraId="5A62D4EA" w14:textId="77777777" w:rsidR="00DE1DF5" w:rsidRDefault="00DE1DF5" w:rsidP="00847CC3">
      <w:pPr>
        <w:spacing w:after="0" w:line="276" w:lineRule="auto"/>
        <w:ind w:left="567"/>
        <w:contextualSpacing/>
        <w:rPr>
          <w:rFonts w:ascii="Arial" w:eastAsia="Calibri" w:hAnsi="Arial" w:cs="Arial"/>
          <w:sz w:val="24"/>
          <w:szCs w:val="24"/>
        </w:rPr>
      </w:pPr>
    </w:p>
    <w:p w14:paraId="31BAF83B" w14:textId="61550CF5" w:rsidR="00C63EB4" w:rsidRDefault="00264BFE" w:rsidP="00CD2710">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lastRenderedPageBreak/>
        <w:t>R</w:t>
      </w:r>
      <w:r w:rsidR="00E94490" w:rsidRPr="00E94490">
        <w:rPr>
          <w:rFonts w:ascii="Arial" w:eastAsia="Calibri" w:hAnsi="Arial" w:cs="Arial"/>
          <w:sz w:val="24"/>
          <w:szCs w:val="24"/>
        </w:rPr>
        <w:t>egional working groups, networks, and partnerships with agencies that support digital development</w:t>
      </w:r>
      <w:r>
        <w:rPr>
          <w:rFonts w:ascii="Arial" w:eastAsia="Calibri" w:hAnsi="Arial" w:cs="Arial"/>
          <w:sz w:val="24"/>
          <w:szCs w:val="24"/>
        </w:rPr>
        <w:t xml:space="preserve"> are driving strong collaboration</w:t>
      </w:r>
      <w:r w:rsidR="00E94490" w:rsidRPr="00E94490">
        <w:rPr>
          <w:rFonts w:ascii="Arial" w:eastAsia="Calibri" w:hAnsi="Arial" w:cs="Arial"/>
          <w:sz w:val="24"/>
          <w:szCs w:val="24"/>
        </w:rPr>
        <w:t xml:space="preserve">. This approach </w:t>
      </w:r>
      <w:r w:rsidR="00FF1A9D">
        <w:rPr>
          <w:rFonts w:ascii="Arial" w:eastAsia="Calibri" w:hAnsi="Arial" w:cs="Arial"/>
          <w:sz w:val="24"/>
          <w:szCs w:val="24"/>
        </w:rPr>
        <w:t>helps</w:t>
      </w:r>
      <w:r w:rsidR="00E94490" w:rsidRPr="00E94490">
        <w:rPr>
          <w:rFonts w:ascii="Arial" w:eastAsia="Calibri" w:hAnsi="Arial" w:cs="Arial"/>
          <w:sz w:val="24"/>
          <w:szCs w:val="24"/>
        </w:rPr>
        <w:t xml:space="preserve"> shar</w:t>
      </w:r>
      <w:r w:rsidR="00FF1A9D">
        <w:rPr>
          <w:rFonts w:ascii="Arial" w:eastAsia="Calibri" w:hAnsi="Arial" w:cs="Arial"/>
          <w:sz w:val="24"/>
          <w:szCs w:val="24"/>
        </w:rPr>
        <w:t>e</w:t>
      </w:r>
      <w:r w:rsidR="00E94490" w:rsidRPr="00E94490">
        <w:rPr>
          <w:rFonts w:ascii="Arial" w:eastAsia="Calibri" w:hAnsi="Arial" w:cs="Arial"/>
          <w:sz w:val="24"/>
          <w:szCs w:val="24"/>
        </w:rPr>
        <w:t xml:space="preserve"> content, platforms, and best practices, </w:t>
      </w:r>
      <w:r w:rsidR="00FF1A9D">
        <w:rPr>
          <w:rFonts w:ascii="Arial" w:eastAsia="Calibri" w:hAnsi="Arial" w:cs="Arial"/>
          <w:sz w:val="24"/>
          <w:szCs w:val="24"/>
        </w:rPr>
        <w:t>speeding up</w:t>
      </w:r>
      <w:r w:rsidR="00FF1A9D" w:rsidRPr="00E94490">
        <w:rPr>
          <w:rFonts w:ascii="Arial" w:eastAsia="Calibri" w:hAnsi="Arial" w:cs="Arial"/>
          <w:sz w:val="24"/>
          <w:szCs w:val="24"/>
        </w:rPr>
        <w:t xml:space="preserve"> </w:t>
      </w:r>
      <w:r w:rsidR="00E94490" w:rsidRPr="00E94490">
        <w:rPr>
          <w:rFonts w:ascii="Arial" w:eastAsia="Calibri" w:hAnsi="Arial" w:cs="Arial"/>
          <w:sz w:val="24"/>
          <w:szCs w:val="24"/>
        </w:rPr>
        <w:t>progress and ensuring consistency across the sector.</w:t>
      </w:r>
    </w:p>
    <w:p w14:paraId="6DB8971B" w14:textId="77777777" w:rsidR="00CD2710" w:rsidRPr="00AE07C5" w:rsidRDefault="00CD2710" w:rsidP="00C92ECE">
      <w:pPr>
        <w:spacing w:after="0" w:line="276" w:lineRule="auto"/>
        <w:contextualSpacing/>
        <w:rPr>
          <w:rFonts w:ascii="Arial" w:eastAsia="Calibri" w:hAnsi="Arial" w:cs="Arial"/>
          <w:sz w:val="24"/>
          <w:szCs w:val="24"/>
        </w:rPr>
      </w:pPr>
    </w:p>
    <w:tbl>
      <w:tblPr>
        <w:tblStyle w:val="TableGrid"/>
        <w:tblpPr w:leftFromText="180" w:rightFromText="180" w:vertAnchor="text" w:horzAnchor="margin" w:tblpY="2"/>
        <w:tblW w:w="0" w:type="auto"/>
        <w:tblLook w:val="04A0" w:firstRow="1" w:lastRow="0" w:firstColumn="1" w:lastColumn="0" w:noHBand="0" w:noVBand="1"/>
      </w:tblPr>
      <w:tblGrid>
        <w:gridCol w:w="9016"/>
      </w:tblGrid>
      <w:tr w:rsidR="00B50654" w:rsidRPr="00AE07C5" w14:paraId="1F9C4B82" w14:textId="77777777" w:rsidTr="00B50654">
        <w:tc>
          <w:tcPr>
            <w:tcW w:w="9016" w:type="dxa"/>
          </w:tcPr>
          <w:p w14:paraId="6BF7E1BF" w14:textId="3E47008B" w:rsidR="00B50654" w:rsidRPr="00AE07C5" w:rsidRDefault="00FE3C01" w:rsidP="00B50654">
            <w:pPr>
              <w:rPr>
                <w:rFonts w:ascii="Arial" w:eastAsia="Calibri" w:hAnsi="Arial" w:cs="Arial"/>
                <w:sz w:val="24"/>
                <w:szCs w:val="24"/>
              </w:rPr>
            </w:pPr>
            <w:r>
              <w:rPr>
                <w:rFonts w:ascii="Arial" w:eastAsia="Calibri" w:hAnsi="Arial" w:cs="Arial"/>
                <w:sz w:val="24"/>
                <w:szCs w:val="24"/>
              </w:rPr>
              <w:t>We’re s</w:t>
            </w:r>
            <w:r w:rsidR="00B50654" w:rsidRPr="001D3350">
              <w:rPr>
                <w:rFonts w:ascii="Arial" w:eastAsia="Calibri" w:hAnsi="Arial" w:cs="Arial"/>
                <w:sz w:val="24"/>
                <w:szCs w:val="24"/>
              </w:rPr>
              <w:t xml:space="preserve">upporting a digitally ready workforce through </w:t>
            </w:r>
            <w:r w:rsidR="0043723A">
              <w:rPr>
                <w:rFonts w:ascii="Arial" w:eastAsia="Calibri" w:hAnsi="Arial" w:cs="Arial"/>
                <w:sz w:val="24"/>
                <w:szCs w:val="24"/>
              </w:rPr>
              <w:t>joint</w:t>
            </w:r>
            <w:r w:rsidR="0043723A" w:rsidRPr="001D3350">
              <w:rPr>
                <w:rFonts w:ascii="Arial" w:eastAsia="Calibri" w:hAnsi="Arial" w:cs="Arial"/>
                <w:sz w:val="24"/>
                <w:szCs w:val="24"/>
              </w:rPr>
              <w:t xml:space="preserve"> </w:t>
            </w:r>
            <w:r w:rsidR="00B50654" w:rsidRPr="001D3350">
              <w:rPr>
                <w:rFonts w:ascii="Arial" w:eastAsia="Calibri" w:hAnsi="Arial" w:cs="Arial"/>
                <w:sz w:val="24"/>
                <w:szCs w:val="24"/>
              </w:rPr>
              <w:t xml:space="preserve">working as part of the Regional Digital Learning Working Group. </w:t>
            </w:r>
            <w:r w:rsidR="00CB4C31">
              <w:rPr>
                <w:rFonts w:ascii="Arial" w:eastAsia="Calibri" w:hAnsi="Arial" w:cs="Arial"/>
                <w:sz w:val="24"/>
                <w:szCs w:val="24"/>
              </w:rPr>
              <w:t>We’re a</w:t>
            </w:r>
            <w:r w:rsidR="00B50654" w:rsidRPr="001D3350">
              <w:rPr>
                <w:rFonts w:ascii="Arial" w:eastAsia="Calibri" w:hAnsi="Arial" w:cs="Arial"/>
                <w:sz w:val="24"/>
                <w:szCs w:val="24"/>
              </w:rPr>
              <w:t>lso u</w:t>
            </w:r>
            <w:r w:rsidR="00CB4C31">
              <w:rPr>
                <w:rFonts w:ascii="Arial" w:eastAsia="Calibri" w:hAnsi="Arial" w:cs="Arial"/>
                <w:sz w:val="24"/>
                <w:szCs w:val="24"/>
              </w:rPr>
              <w:t>sing</w:t>
            </w:r>
            <w:r w:rsidR="00B50654" w:rsidRPr="001D3350">
              <w:rPr>
                <w:rFonts w:ascii="Arial" w:eastAsia="Calibri" w:hAnsi="Arial" w:cs="Arial"/>
                <w:sz w:val="24"/>
                <w:szCs w:val="24"/>
              </w:rPr>
              <w:t xml:space="preserve"> other organisations and local college offering digital training, learning</w:t>
            </w:r>
            <w:r w:rsidR="00FF1A9D">
              <w:rPr>
                <w:rFonts w:ascii="Arial" w:eastAsia="Calibri" w:hAnsi="Arial" w:cs="Arial"/>
                <w:sz w:val="24"/>
                <w:szCs w:val="24"/>
              </w:rPr>
              <w:t xml:space="preserve"> and</w:t>
            </w:r>
            <w:r w:rsidR="00B50654" w:rsidRPr="001D3350">
              <w:rPr>
                <w:rFonts w:ascii="Arial" w:eastAsia="Calibri" w:hAnsi="Arial" w:cs="Arial"/>
                <w:sz w:val="24"/>
                <w:szCs w:val="24"/>
              </w:rPr>
              <w:t xml:space="preserve"> development to support individuals with their digital learning experience and </w:t>
            </w:r>
            <w:r w:rsidR="00BC64F9">
              <w:rPr>
                <w:rFonts w:ascii="Arial" w:eastAsia="Calibri" w:hAnsi="Arial" w:cs="Arial"/>
                <w:sz w:val="24"/>
                <w:szCs w:val="24"/>
              </w:rPr>
              <w:t>to</w:t>
            </w:r>
            <w:r w:rsidR="00B50654" w:rsidRPr="001D3350">
              <w:rPr>
                <w:rFonts w:ascii="Arial" w:eastAsia="Calibri" w:hAnsi="Arial" w:cs="Arial"/>
                <w:sz w:val="24"/>
                <w:szCs w:val="24"/>
              </w:rPr>
              <w:t xml:space="preserve"> enhanc</w:t>
            </w:r>
            <w:r w:rsidR="00BC64F9">
              <w:rPr>
                <w:rFonts w:ascii="Arial" w:eastAsia="Calibri" w:hAnsi="Arial" w:cs="Arial"/>
                <w:sz w:val="24"/>
                <w:szCs w:val="24"/>
              </w:rPr>
              <w:t>e</w:t>
            </w:r>
            <w:r w:rsidR="00B50654" w:rsidRPr="001D3350">
              <w:rPr>
                <w:rFonts w:ascii="Arial" w:eastAsia="Calibri" w:hAnsi="Arial" w:cs="Arial"/>
                <w:sz w:val="24"/>
                <w:szCs w:val="24"/>
              </w:rPr>
              <w:t xml:space="preserve"> current skills. (Wrexham – </w:t>
            </w:r>
            <w:r w:rsidR="00FF1A9D">
              <w:rPr>
                <w:rFonts w:ascii="Arial" w:eastAsia="Calibri" w:hAnsi="Arial" w:cs="Arial"/>
                <w:sz w:val="24"/>
                <w:szCs w:val="24"/>
              </w:rPr>
              <w:t>n</w:t>
            </w:r>
            <w:r w:rsidR="00B50654" w:rsidRPr="001D3350">
              <w:rPr>
                <w:rFonts w:ascii="Arial" w:eastAsia="Calibri" w:hAnsi="Arial" w:cs="Arial"/>
                <w:sz w:val="24"/>
                <w:szCs w:val="24"/>
              </w:rPr>
              <w:t xml:space="preserve">orth Wales </w:t>
            </w:r>
            <w:r w:rsidR="00FF1A9D">
              <w:rPr>
                <w:rFonts w:ascii="Arial" w:eastAsia="Calibri" w:hAnsi="Arial" w:cs="Arial"/>
                <w:sz w:val="24"/>
                <w:szCs w:val="24"/>
              </w:rPr>
              <w:t>r</w:t>
            </w:r>
            <w:r w:rsidR="00B50654" w:rsidRPr="001D3350">
              <w:rPr>
                <w:rFonts w:ascii="Arial" w:eastAsia="Calibri" w:hAnsi="Arial" w:cs="Arial"/>
                <w:sz w:val="24"/>
                <w:szCs w:val="24"/>
              </w:rPr>
              <w:t>egion)</w:t>
            </w:r>
          </w:p>
        </w:tc>
      </w:tr>
    </w:tbl>
    <w:p w14:paraId="1BE5FE78" w14:textId="77777777" w:rsidR="00762BC4" w:rsidRPr="00B94ECC" w:rsidRDefault="00762BC4" w:rsidP="00E24AEB">
      <w:pPr>
        <w:spacing w:after="0" w:line="240" w:lineRule="auto"/>
        <w:rPr>
          <w:rFonts w:ascii="Arial" w:eastAsia="Calibri" w:hAnsi="Arial" w:cs="Arial"/>
          <w:sz w:val="24"/>
          <w:szCs w:val="24"/>
        </w:rPr>
      </w:pPr>
    </w:p>
    <w:p w14:paraId="386FC667" w14:textId="6FF6FD43" w:rsidR="00762BC4" w:rsidRPr="00BB471B" w:rsidRDefault="009024EA" w:rsidP="00C92ECE">
      <w:pPr>
        <w:spacing w:after="0" w:line="240" w:lineRule="auto"/>
        <w:rPr>
          <w:rFonts w:ascii="Arial" w:eastAsia="Calibri" w:hAnsi="Arial" w:cs="Arial"/>
          <w:b/>
          <w:bCs/>
          <w:sz w:val="24"/>
          <w:szCs w:val="24"/>
        </w:rPr>
      </w:pPr>
      <w:r w:rsidRPr="00BB471B">
        <w:rPr>
          <w:rFonts w:ascii="Arial" w:eastAsia="Calibri" w:hAnsi="Arial" w:cs="Arial"/>
          <w:b/>
          <w:bCs/>
          <w:sz w:val="24"/>
          <w:szCs w:val="24"/>
        </w:rPr>
        <w:t>Adaptive approach to digital learning</w:t>
      </w:r>
    </w:p>
    <w:p w14:paraId="7B48FB5D" w14:textId="77777777" w:rsidR="00762BC4" w:rsidRDefault="00762BC4" w:rsidP="00F4229D">
      <w:pPr>
        <w:spacing w:after="0" w:line="240" w:lineRule="auto"/>
        <w:ind w:left="720"/>
        <w:rPr>
          <w:rFonts w:ascii="Arial" w:eastAsia="Calibri" w:hAnsi="Arial" w:cs="Arial"/>
          <w:sz w:val="24"/>
          <w:szCs w:val="24"/>
        </w:rPr>
      </w:pPr>
    </w:p>
    <w:p w14:paraId="65CF848E" w14:textId="4909A4F8" w:rsidR="00762BC4" w:rsidRDefault="00FF475D" w:rsidP="00FF475D">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A</w:t>
      </w:r>
      <w:r w:rsidRPr="00FF475D">
        <w:rPr>
          <w:rFonts w:ascii="Arial" w:eastAsia="Calibri" w:hAnsi="Arial" w:cs="Arial"/>
          <w:sz w:val="24"/>
          <w:szCs w:val="24"/>
        </w:rPr>
        <w:t xml:space="preserve"> responsive and adaptive approach to digital learning, </w:t>
      </w:r>
      <w:r w:rsidR="009024EA">
        <w:rPr>
          <w:rFonts w:ascii="Arial" w:eastAsia="Calibri" w:hAnsi="Arial" w:cs="Arial"/>
          <w:sz w:val="24"/>
          <w:szCs w:val="24"/>
        </w:rPr>
        <w:t xml:space="preserve">acting on feedback and </w:t>
      </w:r>
      <w:r w:rsidRPr="00FF475D">
        <w:rPr>
          <w:rFonts w:ascii="Arial" w:eastAsia="Calibri" w:hAnsi="Arial" w:cs="Arial"/>
          <w:sz w:val="24"/>
          <w:szCs w:val="24"/>
        </w:rPr>
        <w:t>ensuring that content is relevant, accessible, and impactful for the sector.</w:t>
      </w:r>
    </w:p>
    <w:p w14:paraId="38D54EAC" w14:textId="77777777" w:rsidR="00107810" w:rsidRDefault="00107810" w:rsidP="00107810">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107810" w:rsidRPr="004571CB" w14:paraId="1EDE9F05" w14:textId="77777777" w:rsidTr="00107810">
        <w:tc>
          <w:tcPr>
            <w:tcW w:w="9016" w:type="dxa"/>
          </w:tcPr>
          <w:p w14:paraId="7EFF2FED" w14:textId="500D0BF1" w:rsidR="00107810" w:rsidRPr="00C92ECE" w:rsidRDefault="00B14A14" w:rsidP="00C92ECE">
            <w:pPr>
              <w:widowControl w:val="0"/>
              <w:suppressAutoHyphens/>
              <w:jc w:val="both"/>
              <w:rPr>
                <w:rFonts w:asciiTheme="minorBidi" w:eastAsia="Arial" w:hAnsiTheme="minorBidi"/>
                <w:sz w:val="24"/>
                <w:szCs w:val="24"/>
              </w:rPr>
            </w:pPr>
            <w:r>
              <w:rPr>
                <w:rFonts w:asciiTheme="minorBidi" w:eastAsia="Arial" w:hAnsiTheme="minorBidi"/>
                <w:sz w:val="24"/>
                <w:szCs w:val="24"/>
              </w:rPr>
              <w:t>We’re u</w:t>
            </w:r>
            <w:r w:rsidR="00107810" w:rsidRPr="00C92ECE">
              <w:rPr>
                <w:rFonts w:asciiTheme="minorBidi" w:eastAsia="Arial" w:hAnsiTheme="minorBidi"/>
                <w:sz w:val="24"/>
                <w:szCs w:val="24"/>
              </w:rPr>
              <w:t xml:space="preserve">sing regular feedback surveys and sessions to adjust digital learning content based on user needs and preferences, </w:t>
            </w:r>
            <w:r w:rsidR="00AA0DE9">
              <w:rPr>
                <w:rFonts w:asciiTheme="minorBidi" w:eastAsia="Arial" w:hAnsiTheme="minorBidi"/>
                <w:sz w:val="24"/>
                <w:szCs w:val="24"/>
              </w:rPr>
              <w:t>make sure</w:t>
            </w:r>
            <w:r w:rsidR="00AA0DE9" w:rsidRPr="00C92ECE">
              <w:rPr>
                <w:rFonts w:asciiTheme="minorBidi" w:eastAsia="Arial" w:hAnsiTheme="minorBidi"/>
                <w:sz w:val="24"/>
                <w:szCs w:val="24"/>
              </w:rPr>
              <w:t xml:space="preserve"> </w:t>
            </w:r>
            <w:r w:rsidR="00107810" w:rsidRPr="00C92ECE">
              <w:rPr>
                <w:rFonts w:asciiTheme="minorBidi" w:eastAsia="Arial" w:hAnsiTheme="minorBidi"/>
                <w:sz w:val="24"/>
                <w:szCs w:val="24"/>
              </w:rPr>
              <w:t xml:space="preserve">the training </w:t>
            </w:r>
            <w:r w:rsidR="00AA0DE9">
              <w:rPr>
                <w:rFonts w:asciiTheme="minorBidi" w:eastAsia="Arial" w:hAnsiTheme="minorBidi"/>
                <w:sz w:val="24"/>
                <w:szCs w:val="24"/>
              </w:rPr>
              <w:t xml:space="preserve">stays </w:t>
            </w:r>
            <w:r w:rsidR="00107810" w:rsidRPr="00C92ECE">
              <w:rPr>
                <w:rFonts w:asciiTheme="minorBidi" w:eastAsia="Arial" w:hAnsiTheme="minorBidi"/>
                <w:sz w:val="24"/>
                <w:szCs w:val="24"/>
              </w:rPr>
              <w:t xml:space="preserve">relevant and engaging. (Greater Gwent </w:t>
            </w:r>
            <w:r w:rsidR="00AA0DE9">
              <w:rPr>
                <w:rFonts w:asciiTheme="minorBidi" w:eastAsia="Arial" w:hAnsiTheme="minorBidi"/>
                <w:sz w:val="24"/>
                <w:szCs w:val="24"/>
              </w:rPr>
              <w:t>r</w:t>
            </w:r>
            <w:r w:rsidR="00107810" w:rsidRPr="00C92ECE">
              <w:rPr>
                <w:rFonts w:asciiTheme="minorBidi" w:eastAsia="Arial" w:hAnsiTheme="minorBidi"/>
                <w:sz w:val="24"/>
                <w:szCs w:val="24"/>
              </w:rPr>
              <w:t>egion)</w:t>
            </w:r>
          </w:p>
        </w:tc>
      </w:tr>
    </w:tbl>
    <w:p w14:paraId="2A6F49E1" w14:textId="77777777" w:rsidR="00762BC4" w:rsidRPr="00C92ECE" w:rsidRDefault="00762BC4" w:rsidP="00F4229D">
      <w:pPr>
        <w:spacing w:after="0" w:line="240" w:lineRule="auto"/>
        <w:ind w:left="720"/>
        <w:rPr>
          <w:rFonts w:asciiTheme="minorBidi" w:eastAsia="Calibri" w:hAnsiTheme="minorBidi"/>
          <w:sz w:val="24"/>
          <w:szCs w:val="24"/>
        </w:rPr>
      </w:pPr>
    </w:p>
    <w:tbl>
      <w:tblPr>
        <w:tblStyle w:val="TableGrid"/>
        <w:tblW w:w="0" w:type="auto"/>
        <w:tblLook w:val="04A0" w:firstRow="1" w:lastRow="0" w:firstColumn="1" w:lastColumn="0" w:noHBand="0" w:noVBand="1"/>
      </w:tblPr>
      <w:tblGrid>
        <w:gridCol w:w="9016"/>
      </w:tblGrid>
      <w:tr w:rsidR="00474AE5" w:rsidRPr="004571CB" w14:paraId="693F58B9" w14:textId="77777777" w:rsidTr="00474AE5">
        <w:tc>
          <w:tcPr>
            <w:tcW w:w="9016" w:type="dxa"/>
          </w:tcPr>
          <w:p w14:paraId="5D7ABE04" w14:textId="783BF106" w:rsidR="00F37CAE" w:rsidRPr="00C92ECE" w:rsidRDefault="00F37CAE" w:rsidP="00F37CAE">
            <w:pPr>
              <w:shd w:val="clear" w:color="auto" w:fill="FFFFFF" w:themeFill="background1"/>
              <w:jc w:val="both"/>
              <w:rPr>
                <w:rFonts w:asciiTheme="minorBidi" w:hAnsiTheme="minorBidi"/>
                <w:sz w:val="24"/>
                <w:szCs w:val="24"/>
                <w:bdr w:val="none" w:sz="0" w:space="0" w:color="auto" w:frame="1"/>
                <w:lang w:eastAsia="en-GB"/>
              </w:rPr>
            </w:pPr>
            <w:r w:rsidRPr="00C92ECE">
              <w:rPr>
                <w:rFonts w:asciiTheme="minorBidi" w:hAnsiTheme="minorBidi"/>
                <w:sz w:val="24"/>
                <w:szCs w:val="24"/>
                <w:bdr w:val="none" w:sz="0" w:space="0" w:color="auto" w:frame="1"/>
                <w:lang w:eastAsia="en-GB"/>
              </w:rPr>
              <w:t xml:space="preserve">The New Skills Academy was well received in theory, especially for unpaid carers and micro enterprises. However, despite promotion through Cardiff, local hubs, and phone calls, uptake was low, </w:t>
            </w:r>
            <w:r w:rsidR="00C6042D">
              <w:rPr>
                <w:rFonts w:asciiTheme="minorBidi" w:hAnsiTheme="minorBidi"/>
                <w:sz w:val="24"/>
                <w:szCs w:val="24"/>
                <w:bdr w:val="none" w:sz="0" w:space="0" w:color="auto" w:frame="1"/>
                <w:lang w:eastAsia="en-GB"/>
              </w:rPr>
              <w:t>not many</w:t>
            </w:r>
            <w:r w:rsidRPr="00C92ECE">
              <w:rPr>
                <w:rFonts w:asciiTheme="minorBidi" w:hAnsiTheme="minorBidi"/>
                <w:sz w:val="24"/>
                <w:szCs w:val="24"/>
                <w:bdr w:val="none" w:sz="0" w:space="0" w:color="auto" w:frame="1"/>
                <w:lang w:eastAsia="en-GB"/>
              </w:rPr>
              <w:t xml:space="preserve"> users completed any training. A review found the modules too broad to meet staff needs. In response, Cardiff has invested in </w:t>
            </w:r>
            <w:r w:rsidR="001C6814" w:rsidRPr="00C92ECE">
              <w:rPr>
                <w:rFonts w:asciiTheme="minorBidi" w:hAnsiTheme="minorBidi"/>
                <w:sz w:val="24"/>
                <w:szCs w:val="24"/>
                <w:bdr w:val="none" w:sz="0" w:space="0" w:color="auto" w:frame="1"/>
                <w:lang w:eastAsia="en-GB"/>
              </w:rPr>
              <w:t>e</w:t>
            </w:r>
            <w:r w:rsidR="001C6814">
              <w:rPr>
                <w:rFonts w:asciiTheme="minorBidi" w:hAnsiTheme="minorBidi"/>
                <w:sz w:val="24"/>
                <w:szCs w:val="24"/>
                <w:bdr w:val="none" w:sz="0" w:space="0" w:color="auto" w:frame="1"/>
                <w:lang w:eastAsia="en-GB"/>
              </w:rPr>
              <w:t>L</w:t>
            </w:r>
            <w:r w:rsidR="001C6814" w:rsidRPr="00C92ECE">
              <w:rPr>
                <w:rFonts w:asciiTheme="minorBidi" w:hAnsiTheme="minorBidi"/>
                <w:sz w:val="24"/>
                <w:szCs w:val="24"/>
                <w:bdr w:val="none" w:sz="0" w:space="0" w:color="auto" w:frame="1"/>
                <w:lang w:eastAsia="en-GB"/>
              </w:rPr>
              <w:t>earning</w:t>
            </w:r>
            <w:r w:rsidRPr="00C92ECE">
              <w:rPr>
                <w:rFonts w:asciiTheme="minorBidi" w:hAnsiTheme="minorBidi"/>
                <w:sz w:val="24"/>
                <w:szCs w:val="24"/>
                <w:bdr w:val="none" w:sz="0" w:space="0" w:color="auto" w:frame="1"/>
                <w:lang w:eastAsia="en-GB"/>
              </w:rPr>
              <w:t xml:space="preserve"> tokens from a local provider and will now offer two targeted modules each month, based on workforce priorities and development needs </w:t>
            </w:r>
            <w:r w:rsidR="007123F5" w:rsidRPr="00C92ECE">
              <w:rPr>
                <w:rFonts w:asciiTheme="minorBidi" w:hAnsiTheme="minorBidi"/>
                <w:sz w:val="24"/>
                <w:szCs w:val="24"/>
                <w:bdr w:val="none" w:sz="0" w:space="0" w:color="auto" w:frame="1"/>
                <w:lang w:eastAsia="en-GB"/>
              </w:rPr>
              <w:t>(</w:t>
            </w:r>
            <w:r w:rsidR="00D425C5" w:rsidRPr="00F35666">
              <w:rPr>
                <w:rFonts w:asciiTheme="minorBidi" w:hAnsiTheme="minorBidi"/>
                <w:sz w:val="24"/>
                <w:szCs w:val="24"/>
                <w:bdr w:val="none" w:sz="0" w:space="0" w:color="auto" w:frame="1"/>
                <w:lang w:eastAsia="en-GB"/>
              </w:rPr>
              <w:t>Cardiff</w:t>
            </w:r>
            <w:r w:rsidR="007123F5" w:rsidRPr="00C92ECE">
              <w:rPr>
                <w:rFonts w:asciiTheme="minorBidi" w:hAnsiTheme="minorBidi"/>
                <w:sz w:val="24"/>
                <w:szCs w:val="24"/>
                <w:bdr w:val="none" w:sz="0" w:space="0" w:color="auto" w:frame="1"/>
                <w:lang w:eastAsia="en-GB"/>
              </w:rPr>
              <w:t xml:space="preserve"> – Cardiff and the Vale</w:t>
            </w:r>
            <w:r w:rsidR="00D425C5" w:rsidRPr="00F35666">
              <w:rPr>
                <w:rFonts w:asciiTheme="minorBidi" w:hAnsiTheme="minorBidi"/>
                <w:sz w:val="24"/>
                <w:szCs w:val="24"/>
                <w:bdr w:val="none" w:sz="0" w:space="0" w:color="auto" w:frame="1"/>
                <w:lang w:eastAsia="en-GB"/>
              </w:rPr>
              <w:t xml:space="preserve"> </w:t>
            </w:r>
            <w:r w:rsidR="002B3D23">
              <w:rPr>
                <w:rFonts w:asciiTheme="minorBidi" w:hAnsiTheme="minorBidi"/>
                <w:sz w:val="24"/>
                <w:szCs w:val="24"/>
                <w:bdr w:val="none" w:sz="0" w:space="0" w:color="auto" w:frame="1"/>
                <w:lang w:eastAsia="en-GB"/>
              </w:rPr>
              <w:t>r</w:t>
            </w:r>
            <w:r w:rsidR="00D425C5" w:rsidRPr="00F35666">
              <w:rPr>
                <w:rFonts w:asciiTheme="minorBidi" w:hAnsiTheme="minorBidi"/>
                <w:sz w:val="24"/>
                <w:szCs w:val="24"/>
                <w:bdr w:val="none" w:sz="0" w:space="0" w:color="auto" w:frame="1"/>
                <w:lang w:eastAsia="en-GB"/>
              </w:rPr>
              <w:t>egion</w:t>
            </w:r>
            <w:r w:rsidR="007123F5" w:rsidRPr="00C92ECE">
              <w:rPr>
                <w:rFonts w:asciiTheme="minorBidi" w:hAnsiTheme="minorBidi"/>
                <w:sz w:val="24"/>
                <w:szCs w:val="24"/>
                <w:bdr w:val="none" w:sz="0" w:space="0" w:color="auto" w:frame="1"/>
                <w:lang w:eastAsia="en-GB"/>
              </w:rPr>
              <w:t>)</w:t>
            </w:r>
          </w:p>
          <w:p w14:paraId="219EEEE4" w14:textId="77777777" w:rsidR="00474AE5" w:rsidRPr="00C92ECE" w:rsidRDefault="00474AE5" w:rsidP="002D1B1F">
            <w:pPr>
              <w:rPr>
                <w:rFonts w:asciiTheme="minorBidi" w:eastAsia="Calibri" w:hAnsiTheme="minorBidi"/>
                <w:color w:val="FF0000"/>
                <w:sz w:val="24"/>
                <w:szCs w:val="24"/>
              </w:rPr>
            </w:pPr>
          </w:p>
        </w:tc>
      </w:tr>
    </w:tbl>
    <w:p w14:paraId="08E981F5" w14:textId="77777777" w:rsidR="002D1B1F" w:rsidRPr="00B568F3" w:rsidRDefault="002D1B1F" w:rsidP="002D1B1F">
      <w:pPr>
        <w:spacing w:after="0" w:line="240" w:lineRule="auto"/>
        <w:rPr>
          <w:rFonts w:ascii="Arial" w:eastAsia="Calibri" w:hAnsi="Arial" w:cs="Arial"/>
          <w:color w:val="FF0000"/>
          <w:sz w:val="24"/>
          <w:szCs w:val="24"/>
        </w:rPr>
      </w:pPr>
    </w:p>
    <w:p w14:paraId="18FFB0CA" w14:textId="364227BD" w:rsidR="002D1B1F" w:rsidRPr="000C06A7" w:rsidRDefault="002D1B1F" w:rsidP="00B568F3">
      <w:pPr>
        <w:pStyle w:val="Heading2"/>
      </w:pPr>
      <w:bookmarkStart w:id="32" w:name="_Toc211279624"/>
      <w:r w:rsidRPr="000C06A7">
        <w:t>Priority 2:</w:t>
      </w:r>
      <w:r w:rsidR="001417E2" w:rsidRPr="00B568F3">
        <w:t xml:space="preserve"> </w:t>
      </w:r>
      <w:r w:rsidRPr="000C06A7">
        <w:t>Excellent education and learning</w:t>
      </w:r>
      <w:bookmarkEnd w:id="32"/>
      <w:r w:rsidRPr="000C06A7">
        <w:t xml:space="preserve"> </w:t>
      </w:r>
    </w:p>
    <w:p w14:paraId="242DF30D" w14:textId="77777777" w:rsidR="002D1B1F" w:rsidRPr="00B568F3" w:rsidRDefault="002D1B1F" w:rsidP="002D1B1F">
      <w:pPr>
        <w:spacing w:after="0" w:line="240" w:lineRule="auto"/>
        <w:contextualSpacing/>
        <w:rPr>
          <w:rFonts w:ascii="Arial" w:eastAsia="Calibri" w:hAnsi="Arial" w:cs="Arial"/>
          <w:b/>
          <w:color w:val="FF0000"/>
          <w:sz w:val="24"/>
          <w:szCs w:val="24"/>
        </w:rPr>
      </w:pPr>
    </w:p>
    <w:p w14:paraId="11D20002" w14:textId="3B98A155" w:rsidR="002D1B1F" w:rsidRDefault="005C1F75" w:rsidP="002D1B1F">
      <w:pPr>
        <w:suppressAutoHyphens/>
        <w:autoSpaceDN w:val="0"/>
        <w:spacing w:after="0" w:line="247" w:lineRule="auto"/>
        <w:textAlignment w:val="baseline"/>
        <w:rPr>
          <w:rFonts w:ascii="Arial" w:eastAsia="Calibri" w:hAnsi="Arial" w:cs="Arial"/>
          <w:sz w:val="24"/>
          <w:szCs w:val="24"/>
        </w:rPr>
      </w:pPr>
      <w:r w:rsidRPr="00B568F3">
        <w:rPr>
          <w:rFonts w:ascii="Arial" w:eastAsia="Calibri" w:hAnsi="Arial" w:cs="Arial"/>
          <w:bCs/>
          <w:sz w:val="24"/>
          <w:szCs w:val="24"/>
        </w:rPr>
        <w:t>By</w:t>
      </w:r>
      <w:r w:rsidR="002D1B1F" w:rsidRPr="00B568F3">
        <w:rPr>
          <w:rFonts w:ascii="Arial" w:eastAsia="Calibri" w:hAnsi="Arial" w:cs="Arial"/>
          <w:bCs/>
          <w:sz w:val="24"/>
          <w:szCs w:val="24"/>
        </w:rPr>
        <w:t xml:space="preserve"> 2030</w:t>
      </w:r>
      <w:r w:rsidRPr="00B568F3">
        <w:rPr>
          <w:rFonts w:ascii="Arial" w:eastAsia="Calibri" w:hAnsi="Arial" w:cs="Arial"/>
          <w:bCs/>
          <w:sz w:val="24"/>
          <w:szCs w:val="24"/>
        </w:rPr>
        <w:t>, we hope</w:t>
      </w:r>
      <w:r w:rsidR="009B3D64" w:rsidRPr="00B568F3">
        <w:rPr>
          <w:rFonts w:ascii="Arial" w:eastAsia="Calibri" w:hAnsi="Arial" w:cs="Arial"/>
          <w:bCs/>
          <w:sz w:val="24"/>
          <w:szCs w:val="24"/>
        </w:rPr>
        <w:t xml:space="preserve"> that</w:t>
      </w:r>
      <w:r w:rsidR="002D1B1F" w:rsidRPr="00B568F3" w:rsidDel="009B3D64">
        <w:rPr>
          <w:rFonts w:ascii="Arial" w:eastAsia="Calibri" w:hAnsi="Arial" w:cs="Arial"/>
          <w:bCs/>
          <w:sz w:val="24"/>
          <w:szCs w:val="24"/>
        </w:rPr>
        <w:t xml:space="preserve"> </w:t>
      </w:r>
      <w:r w:rsidR="002D1B1F" w:rsidRPr="00B568F3">
        <w:rPr>
          <w:rFonts w:ascii="Arial" w:eastAsia="Calibri" w:hAnsi="Arial" w:cs="Arial"/>
          <w:sz w:val="24"/>
          <w:szCs w:val="24"/>
        </w:rPr>
        <w:t xml:space="preserve">investment in education and learning for health and social care professionals will deliver the skills and capabilities needed to meet the future needs of people in Wales. </w:t>
      </w:r>
    </w:p>
    <w:p w14:paraId="27A2D97E" w14:textId="77777777" w:rsidR="00ED5F06" w:rsidRDefault="00ED5F06" w:rsidP="002D1B1F">
      <w:pPr>
        <w:suppressAutoHyphens/>
        <w:autoSpaceDN w:val="0"/>
        <w:spacing w:after="0" w:line="247" w:lineRule="auto"/>
        <w:textAlignment w:val="baseline"/>
        <w:rPr>
          <w:rFonts w:ascii="Arial" w:eastAsia="Calibri" w:hAnsi="Arial" w:cs="Arial"/>
          <w:sz w:val="24"/>
          <w:szCs w:val="24"/>
        </w:rPr>
      </w:pPr>
    </w:p>
    <w:p w14:paraId="799F895D" w14:textId="097FB39B" w:rsidR="00ED5F06" w:rsidRPr="00C92ECE" w:rsidRDefault="00ED5F06" w:rsidP="00C92ECE">
      <w:pPr>
        <w:spacing w:after="200" w:line="276" w:lineRule="auto"/>
        <w:contextualSpacing/>
        <w:rPr>
          <w:rFonts w:ascii="Arial" w:eastAsia="Calibri" w:hAnsi="Arial" w:cs="Arial"/>
          <w:sz w:val="24"/>
          <w:szCs w:val="24"/>
        </w:rPr>
      </w:pPr>
      <w:r w:rsidRPr="00C92ECE">
        <w:rPr>
          <w:rFonts w:ascii="Arial" w:eastAsia="Calibri" w:hAnsi="Arial" w:cs="Arial"/>
          <w:sz w:val="24"/>
          <w:szCs w:val="24"/>
        </w:rPr>
        <w:t xml:space="preserve">SCWWDP spend on this priority </w:t>
      </w:r>
      <w:r w:rsidRPr="00C92ECE" w:rsidDel="00F457FA">
        <w:rPr>
          <w:rFonts w:ascii="Arial" w:eastAsia="Calibri" w:hAnsi="Arial" w:cs="Arial"/>
          <w:sz w:val="24"/>
          <w:szCs w:val="24"/>
        </w:rPr>
        <w:t xml:space="preserve">remains </w:t>
      </w:r>
      <w:r w:rsidRPr="00C92ECE">
        <w:rPr>
          <w:rFonts w:ascii="Arial" w:eastAsia="Calibri" w:hAnsi="Arial" w:cs="Arial"/>
          <w:sz w:val="24"/>
          <w:szCs w:val="24"/>
        </w:rPr>
        <w:t xml:space="preserve">high, with </w:t>
      </w:r>
      <w:r w:rsidR="00905E41" w:rsidRPr="00C92ECE">
        <w:rPr>
          <w:rFonts w:ascii="Arial" w:eastAsia="Calibri" w:hAnsi="Arial" w:cs="Arial"/>
          <w:sz w:val="24"/>
          <w:szCs w:val="24"/>
        </w:rPr>
        <w:t>42</w:t>
      </w:r>
      <w:r w:rsidRPr="00C92ECE">
        <w:rPr>
          <w:rFonts w:ascii="Arial" w:eastAsia="Calibri" w:hAnsi="Arial" w:cs="Arial"/>
          <w:sz w:val="24"/>
          <w:szCs w:val="24"/>
        </w:rPr>
        <w:t xml:space="preserve"> per cent of national priority spending in </w:t>
      </w:r>
      <w:r w:rsidR="00905E41" w:rsidRPr="00C92ECE">
        <w:rPr>
          <w:rFonts w:ascii="Arial" w:eastAsia="Calibri" w:hAnsi="Arial" w:cs="Arial"/>
          <w:sz w:val="24"/>
          <w:szCs w:val="24"/>
        </w:rPr>
        <w:t xml:space="preserve">2024 </w:t>
      </w:r>
      <w:r w:rsidRPr="00C92ECE">
        <w:rPr>
          <w:rFonts w:ascii="Arial" w:eastAsia="Calibri" w:hAnsi="Arial" w:cs="Arial"/>
          <w:sz w:val="24"/>
          <w:szCs w:val="24"/>
        </w:rPr>
        <w:t>to 202</w:t>
      </w:r>
      <w:r w:rsidR="00905E41" w:rsidRPr="00C92ECE">
        <w:rPr>
          <w:rFonts w:ascii="Arial" w:eastAsia="Calibri" w:hAnsi="Arial" w:cs="Arial"/>
          <w:sz w:val="24"/>
          <w:szCs w:val="24"/>
        </w:rPr>
        <w:t>5</w:t>
      </w:r>
      <w:r w:rsidRPr="00C92ECE">
        <w:rPr>
          <w:rFonts w:ascii="Arial" w:eastAsia="Calibri" w:hAnsi="Arial" w:cs="Arial"/>
          <w:sz w:val="24"/>
          <w:szCs w:val="24"/>
        </w:rPr>
        <w:t xml:space="preserve"> </w:t>
      </w:r>
      <w:r w:rsidR="00526DE1">
        <w:rPr>
          <w:rFonts w:ascii="Arial" w:eastAsia="Calibri" w:hAnsi="Arial" w:cs="Arial"/>
          <w:sz w:val="24"/>
          <w:szCs w:val="24"/>
        </w:rPr>
        <w:t xml:space="preserve">used </w:t>
      </w:r>
      <w:r w:rsidRPr="00C92ECE">
        <w:rPr>
          <w:rFonts w:ascii="Arial" w:eastAsia="Calibri" w:hAnsi="Arial" w:cs="Arial"/>
          <w:sz w:val="24"/>
          <w:szCs w:val="24"/>
        </w:rPr>
        <w:t>to support the whole sector workforce including</w:t>
      </w:r>
      <w:r w:rsidR="00D64602">
        <w:rPr>
          <w:rFonts w:ascii="Arial" w:eastAsia="Calibri" w:hAnsi="Arial" w:cs="Arial"/>
          <w:sz w:val="24"/>
          <w:szCs w:val="24"/>
        </w:rPr>
        <w:t>,</w:t>
      </w:r>
      <w:r w:rsidRPr="00C92ECE">
        <w:rPr>
          <w:rFonts w:ascii="Arial" w:eastAsia="Calibri" w:hAnsi="Arial" w:cs="Arial"/>
          <w:sz w:val="24"/>
          <w:szCs w:val="24"/>
        </w:rPr>
        <w:t xml:space="preserve"> personal assistants, unpaid carers, volunteers and foster parents. </w:t>
      </w:r>
    </w:p>
    <w:p w14:paraId="7865AED7" w14:textId="77777777" w:rsidR="00ED5F06" w:rsidRPr="00051E91" w:rsidRDefault="00ED5F06" w:rsidP="00ED5F06">
      <w:pPr>
        <w:spacing w:after="200" w:line="276" w:lineRule="auto"/>
        <w:ind w:left="567"/>
        <w:contextualSpacing/>
        <w:rPr>
          <w:rFonts w:ascii="Arial" w:eastAsia="Calibri" w:hAnsi="Arial" w:cs="Arial"/>
          <w:sz w:val="24"/>
          <w:szCs w:val="24"/>
          <w:highlight w:val="yellow"/>
        </w:rPr>
      </w:pPr>
    </w:p>
    <w:p w14:paraId="6FF16A42" w14:textId="49F3E394" w:rsidR="00ED5F06" w:rsidRPr="00C92ECE" w:rsidRDefault="00ED5F06" w:rsidP="00C92ECE">
      <w:pPr>
        <w:spacing w:after="200" w:line="276" w:lineRule="auto"/>
        <w:contextualSpacing/>
        <w:rPr>
          <w:rFonts w:ascii="Arial" w:eastAsia="Calibri" w:hAnsi="Arial" w:cs="Arial"/>
          <w:sz w:val="24"/>
          <w:szCs w:val="24"/>
        </w:rPr>
      </w:pPr>
      <w:r w:rsidRPr="00C92ECE">
        <w:rPr>
          <w:rFonts w:ascii="Arial" w:eastAsia="Calibri" w:hAnsi="Arial" w:cs="Arial"/>
          <w:sz w:val="24"/>
          <w:szCs w:val="24"/>
        </w:rPr>
        <w:t>This priority also makes up for the highest proportion (</w:t>
      </w:r>
      <w:r w:rsidR="0083252F" w:rsidRPr="00C92ECE">
        <w:rPr>
          <w:rFonts w:ascii="Arial" w:eastAsia="Calibri" w:hAnsi="Arial" w:cs="Arial"/>
          <w:sz w:val="24"/>
          <w:szCs w:val="24"/>
        </w:rPr>
        <w:t>29.1</w:t>
      </w:r>
      <w:r w:rsidRPr="00C92ECE">
        <w:rPr>
          <w:rFonts w:ascii="Arial" w:eastAsia="Calibri" w:hAnsi="Arial" w:cs="Arial"/>
          <w:sz w:val="24"/>
          <w:szCs w:val="24"/>
        </w:rPr>
        <w:t xml:space="preserve"> per cent) of national priority spend in terms of the </w:t>
      </w:r>
      <w:r w:rsidR="0022454C">
        <w:rPr>
          <w:rFonts w:ascii="Arial" w:eastAsia="Calibri" w:hAnsi="Arial" w:cs="Arial"/>
          <w:sz w:val="24"/>
          <w:szCs w:val="24"/>
        </w:rPr>
        <w:t xml:space="preserve">reported </w:t>
      </w:r>
      <w:r w:rsidRPr="00C92ECE">
        <w:rPr>
          <w:rFonts w:ascii="Arial" w:eastAsia="Calibri" w:hAnsi="Arial" w:cs="Arial"/>
          <w:sz w:val="24"/>
          <w:szCs w:val="24"/>
        </w:rPr>
        <w:t xml:space="preserve">additional local authority funding in </w:t>
      </w:r>
      <w:r w:rsidR="0083252F" w:rsidRPr="00C92ECE">
        <w:rPr>
          <w:rFonts w:ascii="Arial" w:eastAsia="Calibri" w:hAnsi="Arial" w:cs="Arial"/>
          <w:sz w:val="24"/>
          <w:szCs w:val="24"/>
        </w:rPr>
        <w:t xml:space="preserve">2024 </w:t>
      </w:r>
      <w:r w:rsidRPr="00C92ECE">
        <w:rPr>
          <w:rFonts w:ascii="Arial" w:eastAsia="Calibri" w:hAnsi="Arial" w:cs="Arial"/>
          <w:sz w:val="24"/>
          <w:szCs w:val="24"/>
        </w:rPr>
        <w:t>to 202</w:t>
      </w:r>
      <w:r w:rsidR="0083252F" w:rsidRPr="00C92ECE">
        <w:rPr>
          <w:rFonts w:ascii="Arial" w:eastAsia="Calibri" w:hAnsi="Arial" w:cs="Arial"/>
          <w:sz w:val="24"/>
          <w:szCs w:val="24"/>
        </w:rPr>
        <w:t>5</w:t>
      </w:r>
      <w:r w:rsidRPr="00C92ECE">
        <w:rPr>
          <w:rFonts w:ascii="Arial" w:eastAsia="Calibri" w:hAnsi="Arial" w:cs="Arial"/>
          <w:sz w:val="24"/>
          <w:szCs w:val="24"/>
        </w:rPr>
        <w:t xml:space="preserve"> (these figures don’t</w:t>
      </w:r>
      <w:r w:rsidRPr="00C92ECE" w:rsidDel="006C4F85">
        <w:rPr>
          <w:rFonts w:ascii="Arial" w:eastAsia="Calibri" w:hAnsi="Arial" w:cs="Arial"/>
          <w:sz w:val="24"/>
          <w:szCs w:val="24"/>
        </w:rPr>
        <w:t xml:space="preserve"> </w:t>
      </w:r>
      <w:r w:rsidRPr="00C92ECE">
        <w:rPr>
          <w:rFonts w:ascii="Arial" w:eastAsia="Calibri" w:hAnsi="Arial" w:cs="Arial"/>
          <w:sz w:val="24"/>
          <w:szCs w:val="24"/>
        </w:rPr>
        <w:t xml:space="preserve">include qualifying and post qualifying programmes). </w:t>
      </w:r>
    </w:p>
    <w:p w14:paraId="311F77FD" w14:textId="77777777" w:rsidR="00ED5F06" w:rsidRDefault="00ED5F06" w:rsidP="002D1B1F">
      <w:pPr>
        <w:suppressAutoHyphens/>
        <w:autoSpaceDN w:val="0"/>
        <w:spacing w:after="0" w:line="247" w:lineRule="auto"/>
        <w:textAlignment w:val="baseline"/>
        <w:rPr>
          <w:rFonts w:ascii="Arial" w:eastAsia="Calibri" w:hAnsi="Arial" w:cs="Arial"/>
          <w:sz w:val="24"/>
          <w:szCs w:val="24"/>
        </w:rPr>
      </w:pPr>
    </w:p>
    <w:p w14:paraId="2ABD9AF0" w14:textId="77777777" w:rsidR="006C0095" w:rsidRDefault="006C0095" w:rsidP="006C0095">
      <w:pPr>
        <w:spacing w:after="0" w:line="240" w:lineRule="auto"/>
        <w:rPr>
          <w:rFonts w:ascii="Arial" w:eastAsia="Calibri" w:hAnsi="Arial" w:cs="Arial"/>
          <w:sz w:val="24"/>
          <w:szCs w:val="24"/>
        </w:rPr>
      </w:pPr>
      <w:r>
        <w:rPr>
          <w:rFonts w:ascii="Arial" w:eastAsia="Calibri" w:hAnsi="Arial" w:cs="Arial"/>
          <w:sz w:val="24"/>
          <w:szCs w:val="24"/>
        </w:rPr>
        <w:t>Common themes across the regions for this national priority in 2024 to 2025 were:</w:t>
      </w:r>
    </w:p>
    <w:p w14:paraId="59804FF3" w14:textId="77777777" w:rsidR="006C0095" w:rsidRDefault="006C0095" w:rsidP="002D1B1F">
      <w:pPr>
        <w:suppressAutoHyphens/>
        <w:autoSpaceDN w:val="0"/>
        <w:spacing w:after="0" w:line="247" w:lineRule="auto"/>
        <w:textAlignment w:val="baseline"/>
        <w:rPr>
          <w:rFonts w:ascii="Arial" w:eastAsia="Calibri" w:hAnsi="Arial" w:cs="Arial"/>
          <w:sz w:val="24"/>
          <w:szCs w:val="24"/>
        </w:rPr>
      </w:pPr>
    </w:p>
    <w:p w14:paraId="5424DB06" w14:textId="77777777" w:rsidR="001D3350" w:rsidRDefault="001D3350" w:rsidP="00AF6A28">
      <w:pPr>
        <w:suppressAutoHyphens/>
        <w:autoSpaceDN w:val="0"/>
        <w:spacing w:after="0" w:line="247" w:lineRule="auto"/>
        <w:textAlignment w:val="baseline"/>
        <w:rPr>
          <w:rFonts w:ascii="Arial" w:eastAsia="Calibri" w:hAnsi="Arial" w:cs="Arial"/>
          <w:b/>
          <w:bCs/>
          <w:sz w:val="24"/>
          <w:szCs w:val="24"/>
        </w:rPr>
      </w:pPr>
    </w:p>
    <w:p w14:paraId="3C35C849" w14:textId="16A54B20" w:rsidR="00AF6A28" w:rsidRPr="00BB471B" w:rsidRDefault="00AF6A28" w:rsidP="00AF6A28">
      <w:pPr>
        <w:suppressAutoHyphens/>
        <w:autoSpaceDN w:val="0"/>
        <w:spacing w:after="0" w:line="247" w:lineRule="auto"/>
        <w:textAlignment w:val="baseline"/>
        <w:rPr>
          <w:rFonts w:ascii="Arial" w:eastAsia="Calibri" w:hAnsi="Arial" w:cs="Arial"/>
          <w:b/>
          <w:bCs/>
          <w:sz w:val="24"/>
          <w:szCs w:val="24"/>
        </w:rPr>
      </w:pPr>
      <w:r w:rsidRPr="00BB471B">
        <w:rPr>
          <w:rFonts w:ascii="Arial" w:eastAsia="Calibri" w:hAnsi="Arial" w:cs="Arial"/>
          <w:b/>
          <w:bCs/>
          <w:sz w:val="24"/>
          <w:szCs w:val="24"/>
        </w:rPr>
        <w:lastRenderedPageBreak/>
        <w:t xml:space="preserve">Qualifications </w:t>
      </w:r>
      <w:r w:rsidR="00410E4D" w:rsidRPr="00BB471B">
        <w:rPr>
          <w:rFonts w:ascii="Arial" w:eastAsia="Calibri" w:hAnsi="Arial" w:cs="Arial"/>
          <w:b/>
          <w:bCs/>
          <w:sz w:val="24"/>
          <w:szCs w:val="24"/>
        </w:rPr>
        <w:t>and i</w:t>
      </w:r>
      <w:r w:rsidR="000640F7" w:rsidRPr="00BB471B">
        <w:rPr>
          <w:rFonts w:ascii="Arial" w:eastAsia="Calibri" w:hAnsi="Arial" w:cs="Arial"/>
          <w:b/>
          <w:bCs/>
          <w:sz w:val="24"/>
          <w:szCs w:val="24"/>
        </w:rPr>
        <w:t>nduction</w:t>
      </w:r>
    </w:p>
    <w:p w14:paraId="6BE19D81" w14:textId="77777777" w:rsidR="00DF63D9" w:rsidRPr="008551F7" w:rsidRDefault="00DF63D9" w:rsidP="00AF6A28">
      <w:pPr>
        <w:suppressAutoHyphens/>
        <w:autoSpaceDN w:val="0"/>
        <w:spacing w:after="0" w:line="247" w:lineRule="auto"/>
        <w:textAlignment w:val="baseline"/>
        <w:rPr>
          <w:rFonts w:ascii="Arial" w:eastAsia="Calibri" w:hAnsi="Arial" w:cs="Arial"/>
          <w:b/>
          <w:bCs/>
          <w:sz w:val="24"/>
          <w:szCs w:val="24"/>
        </w:rPr>
      </w:pPr>
    </w:p>
    <w:p w14:paraId="6285B78E" w14:textId="758E70D4" w:rsidR="00B52B4E" w:rsidRDefault="00227172" w:rsidP="008551F7">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Providing ongoing</w:t>
      </w:r>
      <w:r w:rsidR="005823A6">
        <w:rPr>
          <w:rFonts w:ascii="Arial" w:eastAsia="Calibri" w:hAnsi="Arial" w:cs="Arial"/>
          <w:sz w:val="24"/>
          <w:szCs w:val="24"/>
        </w:rPr>
        <w:t xml:space="preserve"> </w:t>
      </w:r>
      <w:r w:rsidR="00AF6A28" w:rsidRPr="00AF6A28">
        <w:rPr>
          <w:rFonts w:ascii="Arial" w:eastAsia="Calibri" w:hAnsi="Arial" w:cs="Arial"/>
          <w:sz w:val="24"/>
          <w:szCs w:val="24"/>
        </w:rPr>
        <w:t>support</w:t>
      </w:r>
      <w:r w:rsidR="00E42C80">
        <w:rPr>
          <w:rFonts w:ascii="Arial" w:eastAsia="Calibri" w:hAnsi="Arial" w:cs="Arial"/>
          <w:sz w:val="24"/>
          <w:szCs w:val="24"/>
        </w:rPr>
        <w:t xml:space="preserve"> for staff across the sector with </w:t>
      </w:r>
      <w:r>
        <w:rPr>
          <w:rFonts w:ascii="Arial" w:eastAsia="Calibri" w:hAnsi="Arial" w:cs="Arial"/>
          <w:sz w:val="24"/>
          <w:szCs w:val="24"/>
        </w:rPr>
        <w:t>L</w:t>
      </w:r>
      <w:r w:rsidR="00AF6A28" w:rsidRPr="00C92ECE">
        <w:rPr>
          <w:rFonts w:ascii="Arial" w:eastAsia="Calibri" w:hAnsi="Arial" w:cs="Arial"/>
          <w:sz w:val="24"/>
          <w:szCs w:val="24"/>
        </w:rPr>
        <w:t>evel 2</w:t>
      </w:r>
      <w:r>
        <w:rPr>
          <w:rFonts w:ascii="Arial" w:eastAsia="Calibri" w:hAnsi="Arial" w:cs="Arial"/>
          <w:sz w:val="24"/>
          <w:szCs w:val="24"/>
        </w:rPr>
        <w:t xml:space="preserve"> to </w:t>
      </w:r>
      <w:r w:rsidR="00AF6A28" w:rsidRPr="00C92ECE">
        <w:rPr>
          <w:rFonts w:ascii="Arial" w:eastAsia="Calibri" w:hAnsi="Arial" w:cs="Arial"/>
          <w:sz w:val="24"/>
          <w:szCs w:val="24"/>
        </w:rPr>
        <w:t xml:space="preserve">5 Health </w:t>
      </w:r>
      <w:r w:rsidR="009F3878">
        <w:rPr>
          <w:rFonts w:ascii="Arial" w:eastAsia="Calibri" w:hAnsi="Arial" w:cs="Arial"/>
          <w:sz w:val="24"/>
          <w:szCs w:val="24"/>
        </w:rPr>
        <w:t>and</w:t>
      </w:r>
      <w:r w:rsidR="00AF6A28" w:rsidRPr="00C92ECE">
        <w:rPr>
          <w:rFonts w:ascii="Arial" w:eastAsia="Calibri" w:hAnsi="Arial" w:cs="Arial"/>
          <w:sz w:val="24"/>
          <w:szCs w:val="24"/>
        </w:rPr>
        <w:t xml:space="preserve"> Social Care qualifications</w:t>
      </w:r>
      <w:r w:rsidR="00B52B4E">
        <w:rPr>
          <w:rFonts w:ascii="Arial" w:eastAsia="Calibri" w:hAnsi="Arial" w:cs="Arial"/>
          <w:sz w:val="24"/>
          <w:szCs w:val="24"/>
        </w:rPr>
        <w:t xml:space="preserve"> </w:t>
      </w:r>
      <w:r>
        <w:rPr>
          <w:rFonts w:ascii="Arial" w:eastAsia="Calibri" w:hAnsi="Arial" w:cs="Arial"/>
          <w:sz w:val="24"/>
          <w:szCs w:val="24"/>
        </w:rPr>
        <w:t xml:space="preserve">to </w:t>
      </w:r>
      <w:r w:rsidR="001C6814">
        <w:rPr>
          <w:rFonts w:ascii="Arial" w:eastAsia="Calibri" w:hAnsi="Arial" w:cs="Arial"/>
          <w:sz w:val="24"/>
          <w:szCs w:val="24"/>
        </w:rPr>
        <w:t xml:space="preserve">match </w:t>
      </w:r>
      <w:r w:rsidR="001C6814" w:rsidRPr="000001C4">
        <w:rPr>
          <w:rFonts w:ascii="Arial" w:eastAsia="Calibri" w:hAnsi="Arial" w:cs="Arial"/>
          <w:sz w:val="24"/>
          <w:szCs w:val="24"/>
        </w:rPr>
        <w:t>the</w:t>
      </w:r>
      <w:r w:rsidR="000001C4" w:rsidRPr="000001C4">
        <w:rPr>
          <w:rFonts w:ascii="Arial" w:eastAsia="Calibri" w:hAnsi="Arial" w:cs="Arial"/>
          <w:sz w:val="24"/>
          <w:szCs w:val="24"/>
        </w:rPr>
        <w:t xml:space="preserve"> skills, responsibilities, and regulatory requirements of different roles.</w:t>
      </w:r>
    </w:p>
    <w:p w14:paraId="1CDE82BC" w14:textId="77777777" w:rsidR="00336CE8" w:rsidRDefault="00336CE8" w:rsidP="00C92ECE">
      <w:pPr>
        <w:spacing w:after="0" w:line="276" w:lineRule="auto"/>
        <w:ind w:left="567"/>
        <w:contextualSpacing/>
        <w:rPr>
          <w:rFonts w:ascii="Arial" w:eastAsia="Calibri" w:hAnsi="Arial" w:cs="Arial"/>
          <w:sz w:val="24"/>
          <w:szCs w:val="24"/>
        </w:rPr>
      </w:pPr>
    </w:p>
    <w:p w14:paraId="7651714E" w14:textId="675BFFFE" w:rsidR="00AF6A28" w:rsidRPr="00610886" w:rsidRDefault="00336CE8" w:rsidP="008551F7">
      <w:pPr>
        <w:numPr>
          <w:ilvl w:val="0"/>
          <w:numId w:val="6"/>
        </w:numPr>
        <w:spacing w:after="0" w:line="276" w:lineRule="auto"/>
        <w:ind w:left="567" w:hanging="425"/>
        <w:contextualSpacing/>
        <w:rPr>
          <w:rFonts w:ascii="Arial" w:eastAsia="Calibri" w:hAnsi="Arial" w:cs="Arial"/>
          <w:sz w:val="24"/>
          <w:szCs w:val="24"/>
        </w:rPr>
      </w:pPr>
      <w:r w:rsidRPr="00610886">
        <w:rPr>
          <w:rFonts w:ascii="Arial" w:eastAsia="Calibri" w:hAnsi="Arial" w:cs="Arial"/>
          <w:sz w:val="24"/>
          <w:szCs w:val="24"/>
        </w:rPr>
        <w:t xml:space="preserve">This support </w:t>
      </w:r>
      <w:r w:rsidR="00DF63D9" w:rsidRPr="00610886">
        <w:rPr>
          <w:rFonts w:ascii="Arial" w:eastAsia="Calibri" w:hAnsi="Arial" w:cs="Arial"/>
          <w:sz w:val="24"/>
          <w:szCs w:val="24"/>
        </w:rPr>
        <w:t>includes:</w:t>
      </w:r>
    </w:p>
    <w:p w14:paraId="76F7C42F" w14:textId="1244A441" w:rsidR="00DF63D9" w:rsidRPr="00610886" w:rsidRDefault="00DF63D9" w:rsidP="00DF63D9">
      <w:pPr>
        <w:numPr>
          <w:ilvl w:val="1"/>
          <w:numId w:val="6"/>
        </w:numPr>
        <w:spacing w:after="200" w:line="276" w:lineRule="auto"/>
        <w:ind w:left="1560" w:hanging="459"/>
        <w:contextualSpacing/>
        <w:rPr>
          <w:rFonts w:ascii="Arial" w:eastAsia="Calibri" w:hAnsi="Arial" w:cs="Arial"/>
          <w:sz w:val="24"/>
          <w:szCs w:val="24"/>
        </w:rPr>
      </w:pPr>
      <w:r w:rsidRPr="00610886">
        <w:rPr>
          <w:rFonts w:ascii="Arial" w:eastAsia="Calibri" w:hAnsi="Arial" w:cs="Arial"/>
          <w:sz w:val="24"/>
          <w:szCs w:val="24"/>
        </w:rPr>
        <w:t xml:space="preserve">‘drop-in’ sessions </w:t>
      </w:r>
      <w:r w:rsidR="00C21A52" w:rsidRPr="00610886">
        <w:rPr>
          <w:rFonts w:ascii="Arial" w:eastAsia="Calibri" w:hAnsi="Arial" w:cs="Arial"/>
          <w:sz w:val="24"/>
          <w:szCs w:val="24"/>
        </w:rPr>
        <w:t>focused on qualifications and registration</w:t>
      </w:r>
    </w:p>
    <w:p w14:paraId="1A2E4712" w14:textId="77777777" w:rsidR="00DF63D9" w:rsidRPr="00610886" w:rsidRDefault="00DF63D9" w:rsidP="00DF63D9">
      <w:pPr>
        <w:numPr>
          <w:ilvl w:val="1"/>
          <w:numId w:val="6"/>
        </w:numPr>
        <w:spacing w:after="200" w:line="276" w:lineRule="auto"/>
        <w:ind w:left="1560" w:hanging="459"/>
        <w:contextualSpacing/>
        <w:rPr>
          <w:rFonts w:ascii="Arial" w:eastAsia="Calibri" w:hAnsi="Arial" w:cs="Arial"/>
          <w:sz w:val="24"/>
          <w:szCs w:val="24"/>
        </w:rPr>
      </w:pPr>
      <w:r w:rsidRPr="00610886">
        <w:rPr>
          <w:rFonts w:ascii="Arial" w:eastAsia="Calibri" w:hAnsi="Arial" w:cs="Arial"/>
          <w:sz w:val="24"/>
          <w:szCs w:val="24"/>
        </w:rPr>
        <w:t>signposting to our website for resources and information around the pathways and accepted qualifications for registration</w:t>
      </w:r>
    </w:p>
    <w:p w14:paraId="431604A3" w14:textId="77777777" w:rsidR="00422E82" w:rsidRPr="00610886" w:rsidRDefault="00DF63D9" w:rsidP="00422E82">
      <w:pPr>
        <w:numPr>
          <w:ilvl w:val="1"/>
          <w:numId w:val="6"/>
        </w:numPr>
        <w:spacing w:after="200" w:line="276" w:lineRule="auto"/>
        <w:ind w:left="1560" w:hanging="459"/>
        <w:contextualSpacing/>
        <w:rPr>
          <w:rFonts w:ascii="Arial" w:eastAsia="Calibri" w:hAnsi="Arial" w:cs="Arial"/>
          <w:bCs/>
          <w:sz w:val="24"/>
          <w:szCs w:val="24"/>
        </w:rPr>
      </w:pPr>
      <w:r w:rsidRPr="00610886">
        <w:rPr>
          <w:rFonts w:ascii="Arial" w:eastAsia="Calibri" w:hAnsi="Arial" w:cs="Arial"/>
          <w:bCs/>
          <w:sz w:val="24"/>
          <w:szCs w:val="24"/>
        </w:rPr>
        <w:t>information about workshops</w:t>
      </w:r>
    </w:p>
    <w:p w14:paraId="73FF78A3" w14:textId="6A3A3C09" w:rsidR="00AF6A28" w:rsidRPr="00C92ECE" w:rsidRDefault="00422E82" w:rsidP="00C92ECE">
      <w:pPr>
        <w:numPr>
          <w:ilvl w:val="1"/>
          <w:numId w:val="6"/>
        </w:numPr>
        <w:spacing w:after="200" w:line="276" w:lineRule="auto"/>
        <w:ind w:left="1560" w:hanging="459"/>
        <w:contextualSpacing/>
        <w:rPr>
          <w:rFonts w:ascii="Arial" w:eastAsia="Calibri" w:hAnsi="Arial" w:cs="Arial"/>
          <w:bCs/>
          <w:sz w:val="24"/>
          <w:szCs w:val="24"/>
        </w:rPr>
      </w:pPr>
      <w:r w:rsidRPr="00610886">
        <w:rPr>
          <w:rFonts w:ascii="Arial" w:eastAsia="Calibri" w:hAnsi="Arial" w:cs="Arial"/>
          <w:sz w:val="24"/>
          <w:szCs w:val="24"/>
        </w:rPr>
        <w:t>s</w:t>
      </w:r>
      <w:r w:rsidR="00AF6A28" w:rsidRPr="00610886">
        <w:rPr>
          <w:rFonts w:ascii="Arial" w:eastAsia="Calibri" w:hAnsi="Arial" w:cs="Arial"/>
          <w:sz w:val="24"/>
          <w:szCs w:val="24"/>
        </w:rPr>
        <w:t xml:space="preserve">upport for </w:t>
      </w:r>
      <w:r w:rsidR="00AF6A28" w:rsidRPr="00C92ECE">
        <w:rPr>
          <w:rFonts w:ascii="Arial" w:eastAsia="Calibri" w:hAnsi="Arial" w:cs="Arial"/>
          <w:sz w:val="24"/>
          <w:szCs w:val="24"/>
        </w:rPr>
        <w:t>registration and re-registration</w:t>
      </w:r>
      <w:r w:rsidR="00AF6A28" w:rsidRPr="00610886">
        <w:rPr>
          <w:rFonts w:ascii="Arial" w:eastAsia="Calibri" w:hAnsi="Arial" w:cs="Arial"/>
          <w:sz w:val="24"/>
          <w:szCs w:val="24"/>
        </w:rPr>
        <w:t xml:space="preserve"> with Social Care Wales.</w:t>
      </w:r>
    </w:p>
    <w:p w14:paraId="26AC9DD9" w14:textId="77777777" w:rsidR="00422E82" w:rsidRDefault="00422E82">
      <w:pPr>
        <w:spacing w:after="0" w:line="276" w:lineRule="auto"/>
        <w:ind w:left="567"/>
        <w:contextualSpacing/>
        <w:rPr>
          <w:rFonts w:ascii="Arial" w:eastAsia="Calibri" w:hAnsi="Arial" w:cs="Arial"/>
          <w:sz w:val="24"/>
          <w:szCs w:val="24"/>
        </w:rPr>
      </w:pPr>
    </w:p>
    <w:p w14:paraId="74406D24" w14:textId="30F9396F" w:rsidR="00080D77" w:rsidRPr="00F0443F" w:rsidRDefault="0049026D" w:rsidP="00BE72BF">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T</w:t>
      </w:r>
      <w:r w:rsidR="00080D77" w:rsidRPr="00F0443F">
        <w:rPr>
          <w:rFonts w:ascii="Arial" w:eastAsia="Calibri" w:hAnsi="Arial" w:cs="Arial"/>
          <w:bCs/>
          <w:sz w:val="24"/>
          <w:szCs w:val="24"/>
        </w:rPr>
        <w:t xml:space="preserve">he </w:t>
      </w:r>
      <w:proofErr w:type="gramStart"/>
      <w:r w:rsidR="00080D77" w:rsidRPr="00F0443F">
        <w:rPr>
          <w:rFonts w:ascii="Arial" w:eastAsia="Calibri" w:hAnsi="Arial" w:cs="Arial"/>
          <w:bCs/>
          <w:sz w:val="24"/>
          <w:szCs w:val="24"/>
        </w:rPr>
        <w:t>All Wales</w:t>
      </w:r>
      <w:proofErr w:type="gramEnd"/>
      <w:r w:rsidR="00080D77" w:rsidRPr="00F0443F">
        <w:rPr>
          <w:rFonts w:ascii="Arial" w:eastAsia="Calibri" w:hAnsi="Arial" w:cs="Arial"/>
          <w:bCs/>
          <w:sz w:val="24"/>
          <w:szCs w:val="24"/>
        </w:rPr>
        <w:t xml:space="preserve"> </w:t>
      </w:r>
      <w:r w:rsidR="00560427">
        <w:rPr>
          <w:rFonts w:ascii="Arial" w:eastAsia="Calibri" w:hAnsi="Arial" w:cs="Arial"/>
          <w:bCs/>
          <w:sz w:val="24"/>
          <w:szCs w:val="24"/>
        </w:rPr>
        <w:t>i</w:t>
      </w:r>
      <w:r w:rsidR="00080D77" w:rsidRPr="00F0443F">
        <w:rPr>
          <w:rFonts w:ascii="Arial" w:eastAsia="Calibri" w:hAnsi="Arial" w:cs="Arial"/>
          <w:bCs/>
          <w:sz w:val="24"/>
          <w:szCs w:val="24"/>
        </w:rPr>
        <w:t xml:space="preserve">nduction </w:t>
      </w:r>
      <w:r w:rsidR="00560427">
        <w:rPr>
          <w:rFonts w:ascii="Arial" w:eastAsia="Calibri" w:hAnsi="Arial" w:cs="Arial"/>
          <w:bCs/>
          <w:sz w:val="24"/>
          <w:szCs w:val="24"/>
        </w:rPr>
        <w:t>f</w:t>
      </w:r>
      <w:r w:rsidR="00080D77" w:rsidRPr="00F0443F">
        <w:rPr>
          <w:rFonts w:ascii="Arial" w:eastAsia="Calibri" w:hAnsi="Arial" w:cs="Arial"/>
          <w:bCs/>
          <w:sz w:val="24"/>
          <w:szCs w:val="24"/>
        </w:rPr>
        <w:t xml:space="preserve">ramework (AWIF) continues to be widely implemented and </w:t>
      </w:r>
      <w:r w:rsidR="001C6814" w:rsidRPr="00F0443F">
        <w:rPr>
          <w:rFonts w:ascii="Arial" w:eastAsia="Calibri" w:hAnsi="Arial" w:cs="Arial"/>
          <w:bCs/>
          <w:sz w:val="24"/>
          <w:szCs w:val="24"/>
        </w:rPr>
        <w:t>supported</w:t>
      </w:r>
      <w:r w:rsidR="001C6814">
        <w:rPr>
          <w:rFonts w:ascii="Arial" w:eastAsia="Calibri" w:hAnsi="Arial" w:cs="Arial"/>
          <w:bCs/>
          <w:sz w:val="24"/>
          <w:szCs w:val="24"/>
        </w:rPr>
        <w:t>, alongside</w:t>
      </w:r>
      <w:r w:rsidR="00080D77" w:rsidRPr="00F0443F">
        <w:rPr>
          <w:rFonts w:ascii="Arial" w:eastAsia="Calibri" w:hAnsi="Arial" w:cs="Arial"/>
          <w:bCs/>
          <w:sz w:val="24"/>
          <w:szCs w:val="24"/>
        </w:rPr>
        <w:t xml:space="preserve"> local induction programmes</w:t>
      </w:r>
      <w:r w:rsidR="00992EBE">
        <w:rPr>
          <w:rFonts w:ascii="Arial" w:eastAsia="Calibri" w:hAnsi="Arial" w:cs="Arial"/>
          <w:bCs/>
          <w:sz w:val="24"/>
          <w:szCs w:val="24"/>
        </w:rPr>
        <w:t xml:space="preserve">. However, </w:t>
      </w:r>
      <w:r w:rsidR="00080D77" w:rsidRPr="00F0443F">
        <w:rPr>
          <w:rFonts w:ascii="Arial" w:eastAsia="Calibri" w:hAnsi="Arial" w:cs="Arial"/>
          <w:bCs/>
          <w:sz w:val="24"/>
          <w:szCs w:val="24"/>
        </w:rPr>
        <w:t>there has been a 32 per cent decrease in its use to support the initial journey</w:t>
      </w:r>
      <w:r w:rsidR="00992EBE">
        <w:rPr>
          <w:rFonts w:ascii="Arial" w:eastAsia="Calibri" w:hAnsi="Arial" w:cs="Arial"/>
          <w:bCs/>
          <w:sz w:val="24"/>
          <w:szCs w:val="24"/>
        </w:rPr>
        <w:t xml:space="preserve"> for staff</w:t>
      </w:r>
      <w:r w:rsidR="00080D77" w:rsidRPr="00F0443F">
        <w:rPr>
          <w:rFonts w:ascii="Arial" w:eastAsia="Calibri" w:hAnsi="Arial" w:cs="Arial"/>
          <w:bCs/>
          <w:sz w:val="24"/>
          <w:szCs w:val="24"/>
        </w:rPr>
        <w:t xml:space="preserve"> toward full qualifications. This </w:t>
      </w:r>
      <w:r w:rsidR="00992EBE">
        <w:rPr>
          <w:rFonts w:ascii="Arial" w:eastAsia="Calibri" w:hAnsi="Arial" w:cs="Arial"/>
          <w:bCs/>
          <w:sz w:val="24"/>
          <w:szCs w:val="24"/>
        </w:rPr>
        <w:t xml:space="preserve">ongoing </w:t>
      </w:r>
      <w:r w:rsidR="00080D77" w:rsidRPr="00F0443F">
        <w:rPr>
          <w:rFonts w:ascii="Arial" w:eastAsia="Calibri" w:hAnsi="Arial" w:cs="Arial"/>
          <w:bCs/>
          <w:sz w:val="24"/>
          <w:szCs w:val="24"/>
        </w:rPr>
        <w:t xml:space="preserve">decline </w:t>
      </w:r>
      <w:r w:rsidR="001C6814">
        <w:rPr>
          <w:rFonts w:ascii="Arial" w:eastAsia="Calibri" w:hAnsi="Arial" w:cs="Arial"/>
          <w:bCs/>
          <w:sz w:val="24"/>
          <w:szCs w:val="24"/>
        </w:rPr>
        <w:t>needs</w:t>
      </w:r>
      <w:r w:rsidR="00992EBE">
        <w:rPr>
          <w:rFonts w:ascii="Arial" w:eastAsia="Calibri" w:hAnsi="Arial" w:cs="Arial"/>
          <w:bCs/>
          <w:sz w:val="24"/>
          <w:szCs w:val="24"/>
        </w:rPr>
        <w:t xml:space="preserve"> to be </w:t>
      </w:r>
      <w:proofErr w:type="gramStart"/>
      <w:r w:rsidR="00992EBE">
        <w:rPr>
          <w:rFonts w:ascii="Arial" w:eastAsia="Calibri" w:hAnsi="Arial" w:cs="Arial"/>
          <w:bCs/>
          <w:sz w:val="24"/>
          <w:szCs w:val="24"/>
        </w:rPr>
        <w:t>looked into</w:t>
      </w:r>
      <w:proofErr w:type="gramEnd"/>
      <w:r w:rsidR="00992EBE">
        <w:rPr>
          <w:rFonts w:ascii="Arial" w:eastAsia="Calibri" w:hAnsi="Arial" w:cs="Arial"/>
          <w:bCs/>
          <w:sz w:val="24"/>
          <w:szCs w:val="24"/>
        </w:rPr>
        <w:t xml:space="preserve"> to find out the reasons, or if it’s</w:t>
      </w:r>
      <w:r w:rsidR="00E9272D" w:rsidRPr="00F0443F">
        <w:rPr>
          <w:rFonts w:ascii="Arial" w:eastAsia="Calibri" w:hAnsi="Arial" w:cs="Arial"/>
          <w:bCs/>
          <w:sz w:val="24"/>
          <w:szCs w:val="24"/>
        </w:rPr>
        <w:t xml:space="preserve"> a reporting issue</w:t>
      </w:r>
      <w:r w:rsidR="00080D77" w:rsidRPr="00F0443F">
        <w:rPr>
          <w:rFonts w:ascii="Arial" w:eastAsia="Calibri" w:hAnsi="Arial" w:cs="Arial"/>
          <w:bCs/>
          <w:sz w:val="24"/>
          <w:szCs w:val="24"/>
        </w:rPr>
        <w:t>.</w:t>
      </w:r>
    </w:p>
    <w:p w14:paraId="1E70C3FA" w14:textId="77777777" w:rsidR="00F64EE8" w:rsidRDefault="00F64EE8" w:rsidP="00F64EE8">
      <w:pPr>
        <w:spacing w:after="0" w:line="276" w:lineRule="auto"/>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F64EE8" w14:paraId="69DE092B" w14:textId="77777777" w:rsidTr="00C92ECE">
        <w:trPr>
          <w:jc w:val="center"/>
        </w:trPr>
        <w:tc>
          <w:tcPr>
            <w:tcW w:w="9016" w:type="dxa"/>
          </w:tcPr>
          <w:p w14:paraId="611B2818" w14:textId="53F45E62" w:rsidR="00F64EE8" w:rsidRDefault="00F64EE8" w:rsidP="00E55D9E">
            <w:pPr>
              <w:spacing w:line="276" w:lineRule="auto"/>
              <w:contextualSpacing/>
              <w:rPr>
                <w:rFonts w:ascii="Arial" w:eastAsia="Calibri" w:hAnsi="Arial" w:cs="Arial"/>
                <w:sz w:val="24"/>
                <w:szCs w:val="24"/>
              </w:rPr>
            </w:pPr>
            <w:r w:rsidRPr="00C92ECE">
              <w:rPr>
                <w:rFonts w:ascii="Arial" w:eastAsia="Calibri" w:hAnsi="Arial" w:cs="Arial"/>
                <w:sz w:val="24"/>
                <w:szCs w:val="24"/>
              </w:rPr>
              <w:t>Regionally we</w:t>
            </w:r>
            <w:r w:rsidR="00F22F92">
              <w:rPr>
                <w:rFonts w:ascii="Arial" w:eastAsia="Calibri" w:hAnsi="Arial" w:cs="Arial"/>
                <w:sz w:val="24"/>
                <w:szCs w:val="24"/>
              </w:rPr>
              <w:t>’ve</w:t>
            </w:r>
            <w:r w:rsidRPr="00C92ECE">
              <w:rPr>
                <w:rFonts w:ascii="Arial" w:eastAsia="Calibri" w:hAnsi="Arial" w:cs="Arial"/>
                <w:sz w:val="24"/>
                <w:szCs w:val="24"/>
              </w:rPr>
              <w:t xml:space="preserve"> continued to offer support and information </w:t>
            </w:r>
            <w:r w:rsidR="006D026C">
              <w:rPr>
                <w:rFonts w:ascii="Arial" w:eastAsia="Calibri" w:hAnsi="Arial" w:cs="Arial"/>
                <w:sz w:val="24"/>
                <w:szCs w:val="24"/>
              </w:rPr>
              <w:t>to our providers about the</w:t>
            </w:r>
            <w:r w:rsidRPr="00C92ECE">
              <w:rPr>
                <w:rFonts w:ascii="Arial" w:eastAsia="Calibri" w:hAnsi="Arial" w:cs="Arial"/>
                <w:sz w:val="24"/>
                <w:szCs w:val="24"/>
              </w:rPr>
              <w:t xml:space="preserve"> </w:t>
            </w:r>
            <w:proofErr w:type="gramStart"/>
            <w:r w:rsidRPr="00C92ECE">
              <w:rPr>
                <w:rFonts w:ascii="Arial" w:eastAsia="Calibri" w:hAnsi="Arial" w:cs="Arial"/>
                <w:sz w:val="24"/>
                <w:szCs w:val="24"/>
              </w:rPr>
              <w:t>All Wales</w:t>
            </w:r>
            <w:proofErr w:type="gramEnd"/>
            <w:r w:rsidRPr="00C92ECE">
              <w:rPr>
                <w:rFonts w:ascii="Arial" w:eastAsia="Calibri" w:hAnsi="Arial" w:cs="Arial"/>
                <w:sz w:val="24"/>
                <w:szCs w:val="24"/>
              </w:rPr>
              <w:t xml:space="preserve"> </w:t>
            </w:r>
            <w:r w:rsidR="006D026C">
              <w:rPr>
                <w:rFonts w:ascii="Arial" w:eastAsia="Calibri" w:hAnsi="Arial" w:cs="Arial"/>
                <w:sz w:val="24"/>
                <w:szCs w:val="24"/>
              </w:rPr>
              <w:t>i</w:t>
            </w:r>
            <w:r w:rsidRPr="00C92ECE">
              <w:rPr>
                <w:rFonts w:ascii="Arial" w:eastAsia="Calibri" w:hAnsi="Arial" w:cs="Arial"/>
                <w:sz w:val="24"/>
                <w:szCs w:val="24"/>
              </w:rPr>
              <w:t xml:space="preserve">nduction </w:t>
            </w:r>
            <w:r w:rsidR="006D026C">
              <w:rPr>
                <w:rFonts w:ascii="Arial" w:eastAsia="Calibri" w:hAnsi="Arial" w:cs="Arial"/>
                <w:sz w:val="24"/>
                <w:szCs w:val="24"/>
              </w:rPr>
              <w:t>f</w:t>
            </w:r>
            <w:r w:rsidRPr="00C92ECE">
              <w:rPr>
                <w:rFonts w:ascii="Arial" w:eastAsia="Calibri" w:hAnsi="Arial" w:cs="Arial"/>
                <w:sz w:val="24"/>
                <w:szCs w:val="24"/>
              </w:rPr>
              <w:t xml:space="preserve">ramework (AWIF) and </w:t>
            </w:r>
            <w:r w:rsidR="00831A51">
              <w:rPr>
                <w:rFonts w:ascii="Arial" w:eastAsia="Calibri" w:hAnsi="Arial" w:cs="Arial"/>
                <w:sz w:val="24"/>
                <w:szCs w:val="24"/>
              </w:rPr>
              <w:t>q</w:t>
            </w:r>
            <w:r w:rsidRPr="00C92ECE">
              <w:rPr>
                <w:rFonts w:ascii="Arial" w:eastAsia="Calibri" w:hAnsi="Arial" w:cs="Arial"/>
                <w:sz w:val="24"/>
                <w:szCs w:val="24"/>
              </w:rPr>
              <w:t xml:space="preserve">ualifications.  Cardiff and the Vale of Glamorgan have continued to commission through </w:t>
            </w:r>
            <w:r w:rsidR="00D36E93">
              <w:rPr>
                <w:rFonts w:ascii="Arial" w:eastAsia="Calibri" w:hAnsi="Arial" w:cs="Arial"/>
                <w:sz w:val="24"/>
                <w:szCs w:val="24"/>
              </w:rPr>
              <w:t>20</w:t>
            </w:r>
            <w:r w:rsidRPr="00C92ECE">
              <w:rPr>
                <w:rFonts w:ascii="Arial" w:eastAsia="Calibri" w:hAnsi="Arial" w:cs="Arial"/>
                <w:sz w:val="24"/>
                <w:szCs w:val="24"/>
              </w:rPr>
              <w:t>24</w:t>
            </w:r>
            <w:r w:rsidR="00D36E93">
              <w:rPr>
                <w:rFonts w:ascii="Arial" w:eastAsia="Calibri" w:hAnsi="Arial" w:cs="Arial"/>
                <w:sz w:val="24"/>
                <w:szCs w:val="24"/>
              </w:rPr>
              <w:t xml:space="preserve"> to 2025</w:t>
            </w:r>
            <w:r w:rsidRPr="00C92ECE">
              <w:rPr>
                <w:rFonts w:ascii="Arial" w:eastAsia="Calibri" w:hAnsi="Arial" w:cs="Arial"/>
                <w:sz w:val="24"/>
                <w:szCs w:val="24"/>
              </w:rPr>
              <w:t xml:space="preserve"> on a regional basis to offer the AWIF for Health </w:t>
            </w:r>
            <w:r w:rsidR="00C528B4">
              <w:rPr>
                <w:rFonts w:ascii="Arial" w:eastAsia="Calibri" w:hAnsi="Arial" w:cs="Arial"/>
                <w:sz w:val="24"/>
                <w:szCs w:val="24"/>
              </w:rPr>
              <w:t>and</w:t>
            </w:r>
            <w:r w:rsidRPr="00C92ECE">
              <w:rPr>
                <w:rFonts w:ascii="Arial" w:eastAsia="Calibri" w:hAnsi="Arial" w:cs="Arial"/>
                <w:sz w:val="24"/>
                <w:szCs w:val="24"/>
              </w:rPr>
              <w:t xml:space="preserve"> Social Care workshops in partnership with Cardiff </w:t>
            </w:r>
            <w:r w:rsidR="00C528B4">
              <w:rPr>
                <w:rFonts w:ascii="Arial" w:eastAsia="Calibri" w:hAnsi="Arial" w:cs="Arial"/>
                <w:sz w:val="24"/>
                <w:szCs w:val="24"/>
              </w:rPr>
              <w:t>and</w:t>
            </w:r>
            <w:r w:rsidRPr="00C92ECE">
              <w:rPr>
                <w:rFonts w:ascii="Arial" w:eastAsia="Calibri" w:hAnsi="Arial" w:cs="Arial"/>
                <w:sz w:val="24"/>
                <w:szCs w:val="24"/>
              </w:rPr>
              <w:t xml:space="preserve"> Vale College (CAVC).</w:t>
            </w:r>
            <w:r w:rsidRPr="00C92ECE">
              <w:rPr>
                <w:rFonts w:ascii="Arial" w:eastAsia="Calibri" w:hAnsi="Arial" w:cs="Arial"/>
                <w:color w:val="FF0000"/>
                <w:sz w:val="24"/>
                <w:szCs w:val="24"/>
              </w:rPr>
              <w:t xml:space="preserve"> </w:t>
            </w:r>
            <w:r w:rsidRPr="00C92ECE">
              <w:rPr>
                <w:rFonts w:ascii="Arial" w:eastAsia="Calibri" w:hAnsi="Arial" w:cs="Arial"/>
                <w:sz w:val="24"/>
                <w:szCs w:val="24"/>
              </w:rPr>
              <w:t>As reported at mid-year, three regional AWIF workshops were delivered at care level across the region during 2024</w:t>
            </w:r>
            <w:r w:rsidR="00C528B4">
              <w:rPr>
                <w:rFonts w:ascii="Arial" w:eastAsia="Calibri" w:hAnsi="Arial" w:cs="Arial"/>
                <w:sz w:val="24"/>
                <w:szCs w:val="24"/>
              </w:rPr>
              <w:t xml:space="preserve"> to 20</w:t>
            </w:r>
            <w:r w:rsidRPr="00C92ECE">
              <w:rPr>
                <w:rFonts w:ascii="Arial" w:eastAsia="Calibri" w:hAnsi="Arial" w:cs="Arial"/>
                <w:sz w:val="24"/>
                <w:szCs w:val="24"/>
              </w:rPr>
              <w:t xml:space="preserve">25 (Cardiff and the Vale </w:t>
            </w:r>
            <w:r w:rsidR="00992EBE">
              <w:rPr>
                <w:rFonts w:ascii="Arial" w:eastAsia="Calibri" w:hAnsi="Arial" w:cs="Arial"/>
                <w:sz w:val="24"/>
                <w:szCs w:val="24"/>
              </w:rPr>
              <w:t>r</w:t>
            </w:r>
            <w:r w:rsidRPr="00C92ECE">
              <w:rPr>
                <w:rFonts w:ascii="Arial" w:eastAsia="Calibri" w:hAnsi="Arial" w:cs="Arial"/>
                <w:sz w:val="24"/>
                <w:szCs w:val="24"/>
              </w:rPr>
              <w:t>egion)</w:t>
            </w:r>
          </w:p>
        </w:tc>
      </w:tr>
    </w:tbl>
    <w:p w14:paraId="44F9C3C8" w14:textId="77777777" w:rsidR="00F64EE8" w:rsidRDefault="00F64EE8" w:rsidP="00C92ECE">
      <w:pPr>
        <w:spacing w:after="0" w:line="276" w:lineRule="auto"/>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A77EAC" w14:paraId="0E0EAB3E" w14:textId="77777777" w:rsidTr="00C92ECE">
        <w:trPr>
          <w:jc w:val="center"/>
        </w:trPr>
        <w:tc>
          <w:tcPr>
            <w:tcW w:w="9016" w:type="dxa"/>
          </w:tcPr>
          <w:p w14:paraId="0C2BF97B" w14:textId="537F46D6" w:rsidR="00A77EAC" w:rsidRPr="00C92ECE" w:rsidRDefault="004B0058" w:rsidP="00C92ECE">
            <w:pPr>
              <w:pStyle w:val="NormalWeb"/>
              <w:spacing w:before="0" w:beforeAutospacing="0"/>
              <w:rPr>
                <w:rFonts w:asciiTheme="minorBidi" w:eastAsia="Calibri" w:hAnsiTheme="minorBidi" w:cstheme="minorBidi"/>
                <w:bCs/>
              </w:rPr>
            </w:pPr>
            <w:r w:rsidRPr="001D3350">
              <w:rPr>
                <w:rStyle w:val="fadeinm1hgl8"/>
                <w:rFonts w:asciiTheme="minorBidi" w:hAnsiTheme="minorBidi" w:cstheme="minorBidi"/>
              </w:rPr>
              <w:t>Wrexham continues to provide strategic support to provider services through ongoing advice, guidance, and signposting to relevant Social Care Wales resources. Where appropriate, direct support is offered through the delivery of taught sessions.</w:t>
            </w:r>
            <w:r w:rsidRPr="001D3350">
              <w:rPr>
                <w:rFonts w:asciiTheme="minorBidi" w:hAnsiTheme="minorBidi" w:cstheme="minorBidi"/>
              </w:rPr>
              <w:t xml:space="preserve"> </w:t>
            </w:r>
            <w:r w:rsidRPr="001D3350">
              <w:rPr>
                <w:rStyle w:val="fadeinm1hgl8"/>
                <w:rFonts w:asciiTheme="minorBidi" w:hAnsiTheme="minorBidi" w:cstheme="minorBidi"/>
              </w:rPr>
              <w:t xml:space="preserve">We maintain active engagement with the </w:t>
            </w:r>
            <w:proofErr w:type="gramStart"/>
            <w:r w:rsidRPr="001D3350">
              <w:rPr>
                <w:rStyle w:val="fadeinm1hgl8"/>
                <w:rFonts w:asciiTheme="minorBidi" w:hAnsiTheme="minorBidi" w:cstheme="minorBidi"/>
              </w:rPr>
              <w:t>All</w:t>
            </w:r>
            <w:r w:rsidR="008E3D86">
              <w:rPr>
                <w:rStyle w:val="fadeinm1hgl8"/>
                <w:rFonts w:asciiTheme="minorBidi" w:hAnsiTheme="minorBidi" w:cstheme="minorBidi"/>
              </w:rPr>
              <w:t xml:space="preserve"> </w:t>
            </w:r>
            <w:r w:rsidRPr="001D3350">
              <w:rPr>
                <w:rStyle w:val="fadeinm1hgl8"/>
                <w:rFonts w:asciiTheme="minorBidi" w:hAnsiTheme="minorBidi" w:cstheme="minorBidi"/>
              </w:rPr>
              <w:t>Wales</w:t>
            </w:r>
            <w:proofErr w:type="gramEnd"/>
            <w:r w:rsidRPr="001D3350">
              <w:rPr>
                <w:rStyle w:val="fadeinm1hgl8"/>
                <w:rFonts w:asciiTheme="minorBidi" w:hAnsiTheme="minorBidi" w:cstheme="minorBidi"/>
              </w:rPr>
              <w:t xml:space="preserve"> </w:t>
            </w:r>
            <w:r w:rsidR="008E3D86">
              <w:rPr>
                <w:rStyle w:val="fadeinm1hgl8"/>
                <w:rFonts w:asciiTheme="minorBidi" w:hAnsiTheme="minorBidi" w:cstheme="minorBidi"/>
              </w:rPr>
              <w:t>i</w:t>
            </w:r>
            <w:r w:rsidRPr="001D3350">
              <w:rPr>
                <w:rStyle w:val="fadeinm1hgl8"/>
                <w:rFonts w:asciiTheme="minorBidi" w:hAnsiTheme="minorBidi" w:cstheme="minorBidi"/>
              </w:rPr>
              <w:t xml:space="preserve">nduction </w:t>
            </w:r>
            <w:r w:rsidR="008E3D86">
              <w:rPr>
                <w:rStyle w:val="fadeinm1hgl8"/>
                <w:rFonts w:asciiTheme="minorBidi" w:hAnsiTheme="minorBidi" w:cstheme="minorBidi"/>
              </w:rPr>
              <w:t>f</w:t>
            </w:r>
            <w:r w:rsidRPr="001D3350">
              <w:rPr>
                <w:rStyle w:val="fadeinm1hgl8"/>
                <w:rFonts w:asciiTheme="minorBidi" w:hAnsiTheme="minorBidi" w:cstheme="minorBidi"/>
              </w:rPr>
              <w:t xml:space="preserve">ramework (AWIF) group, </w:t>
            </w:r>
            <w:r w:rsidR="008E3D86">
              <w:rPr>
                <w:rStyle w:val="fadeinm1hgl8"/>
                <w:rFonts w:asciiTheme="minorBidi" w:hAnsiTheme="minorBidi" w:cstheme="minorBidi"/>
              </w:rPr>
              <w:t>making sure that</w:t>
            </w:r>
            <w:r w:rsidRPr="001D3350">
              <w:rPr>
                <w:rStyle w:val="fadeinm1hgl8"/>
                <w:rFonts w:asciiTheme="minorBidi" w:hAnsiTheme="minorBidi" w:cstheme="minorBidi"/>
              </w:rPr>
              <w:t xml:space="preserve"> key updates and developments are communicated and embedded at a local level through regular feedback and collaboration. (Wrexham – </w:t>
            </w:r>
            <w:r w:rsidR="00310A0C">
              <w:rPr>
                <w:rStyle w:val="fadeinm1hgl8"/>
                <w:rFonts w:asciiTheme="minorBidi" w:hAnsiTheme="minorBidi" w:cstheme="minorBidi"/>
              </w:rPr>
              <w:t>n</w:t>
            </w:r>
            <w:r w:rsidRPr="001D3350">
              <w:rPr>
                <w:rStyle w:val="fadeinm1hgl8"/>
                <w:rFonts w:asciiTheme="minorBidi" w:hAnsiTheme="minorBidi" w:cstheme="minorBidi"/>
              </w:rPr>
              <w:t xml:space="preserve">orth Wales </w:t>
            </w:r>
            <w:r w:rsidR="00310A0C">
              <w:rPr>
                <w:rStyle w:val="fadeinm1hgl8"/>
                <w:rFonts w:asciiTheme="minorBidi" w:hAnsiTheme="minorBidi" w:cstheme="minorBidi"/>
              </w:rPr>
              <w:t>r</w:t>
            </w:r>
            <w:r w:rsidRPr="001D3350">
              <w:rPr>
                <w:rStyle w:val="fadeinm1hgl8"/>
                <w:rFonts w:asciiTheme="minorBidi" w:hAnsiTheme="minorBidi" w:cstheme="minorBidi"/>
              </w:rPr>
              <w:t>egion)</w:t>
            </w:r>
          </w:p>
        </w:tc>
      </w:tr>
    </w:tbl>
    <w:p w14:paraId="2E854DB9" w14:textId="77777777" w:rsidR="00B3774F" w:rsidRDefault="00B3774F" w:rsidP="00C92ECE">
      <w:pPr>
        <w:spacing w:after="200" w:line="276" w:lineRule="auto"/>
        <w:ind w:left="567"/>
        <w:contextualSpacing/>
        <w:rPr>
          <w:rFonts w:ascii="Arial" w:eastAsia="Calibri" w:hAnsi="Arial" w:cs="Arial"/>
          <w:bCs/>
          <w:sz w:val="24"/>
          <w:szCs w:val="24"/>
        </w:rPr>
      </w:pPr>
    </w:p>
    <w:p w14:paraId="69D6D0CB" w14:textId="77777777" w:rsidR="00260391" w:rsidRPr="00BB471B" w:rsidRDefault="00260391" w:rsidP="00260391">
      <w:pPr>
        <w:spacing w:after="0" w:line="276" w:lineRule="auto"/>
        <w:contextualSpacing/>
        <w:rPr>
          <w:rFonts w:ascii="Arial" w:eastAsia="Calibri" w:hAnsi="Arial" w:cs="Arial"/>
          <w:b/>
          <w:bCs/>
          <w:sz w:val="24"/>
          <w:szCs w:val="24"/>
        </w:rPr>
      </w:pPr>
      <w:r w:rsidRPr="00BB471B">
        <w:rPr>
          <w:rFonts w:ascii="Arial" w:eastAsia="Calibri" w:hAnsi="Arial" w:cs="Arial"/>
          <w:b/>
          <w:bCs/>
          <w:sz w:val="24"/>
          <w:szCs w:val="24"/>
        </w:rPr>
        <w:t>Extensive programme of learning based on needs</w:t>
      </w:r>
    </w:p>
    <w:p w14:paraId="7114E5EB" w14:textId="77777777" w:rsidR="00260391" w:rsidRPr="00DA6A26" w:rsidRDefault="00260391" w:rsidP="00260391">
      <w:pPr>
        <w:spacing w:after="0" w:line="276" w:lineRule="auto"/>
        <w:contextualSpacing/>
        <w:rPr>
          <w:rFonts w:ascii="Arial" w:eastAsia="Calibri" w:hAnsi="Arial" w:cs="Arial"/>
          <w:b/>
          <w:bCs/>
          <w:sz w:val="24"/>
          <w:szCs w:val="24"/>
        </w:rPr>
      </w:pPr>
    </w:p>
    <w:p w14:paraId="49C550F9" w14:textId="17D66C53" w:rsidR="00260391" w:rsidRPr="00B568F3" w:rsidRDefault="00260391" w:rsidP="00260391">
      <w:pPr>
        <w:numPr>
          <w:ilvl w:val="0"/>
          <w:numId w:val="6"/>
        </w:numPr>
        <w:spacing w:after="100" w:afterAutospacing="1" w:line="276" w:lineRule="auto"/>
        <w:ind w:left="567" w:hanging="425"/>
        <w:contextualSpacing/>
        <w:rPr>
          <w:rFonts w:ascii="Arial" w:eastAsia="Calibri" w:hAnsi="Arial" w:cs="Arial"/>
          <w:sz w:val="24"/>
          <w:szCs w:val="24"/>
        </w:rPr>
      </w:pPr>
      <w:r>
        <w:rPr>
          <w:rFonts w:ascii="Arial" w:eastAsia="Calibri" w:hAnsi="Arial" w:cs="Arial"/>
          <w:bCs/>
          <w:sz w:val="24"/>
          <w:szCs w:val="24"/>
        </w:rPr>
        <w:t>S</w:t>
      </w:r>
      <w:r w:rsidRPr="00457D43">
        <w:rPr>
          <w:rFonts w:ascii="Arial" w:eastAsia="Calibri" w:hAnsi="Arial" w:cs="Arial"/>
          <w:bCs/>
          <w:sz w:val="24"/>
          <w:szCs w:val="24"/>
        </w:rPr>
        <w:t>trong alignment between identified training needs and the design</w:t>
      </w:r>
      <w:r>
        <w:rPr>
          <w:rFonts w:ascii="Arial" w:eastAsia="Calibri" w:hAnsi="Arial" w:cs="Arial"/>
          <w:bCs/>
          <w:sz w:val="24"/>
          <w:szCs w:val="24"/>
        </w:rPr>
        <w:t xml:space="preserve"> and delivery</w:t>
      </w:r>
      <w:r w:rsidRPr="00457D43">
        <w:rPr>
          <w:rFonts w:ascii="Arial" w:eastAsia="Calibri" w:hAnsi="Arial" w:cs="Arial"/>
          <w:bCs/>
          <w:sz w:val="24"/>
          <w:szCs w:val="24"/>
        </w:rPr>
        <w:t xml:space="preserve"> of </w:t>
      </w:r>
      <w:r w:rsidR="00C95780">
        <w:rPr>
          <w:rFonts w:ascii="Arial" w:eastAsia="Calibri" w:hAnsi="Arial" w:cs="Arial"/>
          <w:bCs/>
          <w:sz w:val="24"/>
          <w:szCs w:val="24"/>
        </w:rPr>
        <w:t xml:space="preserve">a wide range of </w:t>
      </w:r>
      <w:r w:rsidRPr="00457D43">
        <w:rPr>
          <w:rFonts w:ascii="Arial" w:eastAsia="Calibri" w:hAnsi="Arial" w:cs="Arial"/>
          <w:bCs/>
          <w:sz w:val="24"/>
          <w:szCs w:val="24"/>
        </w:rPr>
        <w:t xml:space="preserve">learning and development programmes, </w:t>
      </w:r>
      <w:r w:rsidR="007E54A7">
        <w:rPr>
          <w:rFonts w:ascii="Arial" w:eastAsia="Calibri" w:hAnsi="Arial" w:cs="Arial"/>
          <w:bCs/>
          <w:sz w:val="24"/>
          <w:szCs w:val="24"/>
        </w:rPr>
        <w:t xml:space="preserve">which are offered free to </w:t>
      </w:r>
      <w:r w:rsidR="00093DB7">
        <w:rPr>
          <w:rFonts w:ascii="Arial" w:eastAsia="Calibri" w:hAnsi="Arial" w:cs="Arial"/>
          <w:bCs/>
          <w:sz w:val="24"/>
          <w:szCs w:val="24"/>
        </w:rPr>
        <w:t xml:space="preserve">the </w:t>
      </w:r>
      <w:r w:rsidR="00093DB7" w:rsidRPr="00B568F3">
        <w:rPr>
          <w:rFonts w:ascii="Arial" w:eastAsia="Calibri" w:hAnsi="Arial" w:cs="Arial"/>
          <w:sz w:val="24"/>
          <w:szCs w:val="24"/>
        </w:rPr>
        <w:t>whole</w:t>
      </w:r>
      <w:r w:rsidRPr="00B568F3">
        <w:rPr>
          <w:rFonts w:ascii="Arial" w:eastAsia="Calibri" w:hAnsi="Arial" w:cs="Arial"/>
          <w:sz w:val="24"/>
          <w:szCs w:val="24"/>
        </w:rPr>
        <w:t xml:space="preserve"> sector</w:t>
      </w:r>
      <w:r>
        <w:rPr>
          <w:rFonts w:ascii="Arial" w:eastAsia="Calibri" w:hAnsi="Arial" w:cs="Arial"/>
          <w:bCs/>
          <w:sz w:val="24"/>
          <w:szCs w:val="24"/>
        </w:rPr>
        <w:t xml:space="preserve">. </w:t>
      </w:r>
      <w:r w:rsidRPr="00457D43">
        <w:rPr>
          <w:rFonts w:ascii="Arial" w:eastAsia="Calibri" w:hAnsi="Arial" w:cs="Arial"/>
          <w:bCs/>
          <w:sz w:val="24"/>
          <w:szCs w:val="24"/>
        </w:rPr>
        <w:t xml:space="preserve"> </w:t>
      </w:r>
      <w:r w:rsidRPr="00B568F3">
        <w:rPr>
          <w:rFonts w:ascii="Arial" w:eastAsia="Calibri" w:hAnsi="Arial" w:cs="Arial"/>
          <w:sz w:val="24"/>
          <w:szCs w:val="24"/>
        </w:rPr>
        <w:t>This includes:</w:t>
      </w:r>
    </w:p>
    <w:p w14:paraId="31C029D0" w14:textId="77777777" w:rsidR="00260391" w:rsidRPr="00B568F3" w:rsidRDefault="00260391" w:rsidP="00260391">
      <w:pPr>
        <w:numPr>
          <w:ilvl w:val="0"/>
          <w:numId w:val="26"/>
        </w:numPr>
        <w:spacing w:after="100" w:afterAutospacing="1" w:line="276" w:lineRule="auto"/>
        <w:contextualSpacing/>
        <w:rPr>
          <w:rFonts w:ascii="Arial" w:eastAsia="Calibri" w:hAnsi="Arial" w:cs="Arial"/>
          <w:sz w:val="24"/>
          <w:szCs w:val="24"/>
        </w:rPr>
      </w:pPr>
      <w:r w:rsidRPr="00B568F3">
        <w:rPr>
          <w:rFonts w:ascii="Arial" w:eastAsia="Calibri" w:hAnsi="Arial" w:cs="Arial"/>
          <w:sz w:val="24"/>
          <w:szCs w:val="24"/>
        </w:rPr>
        <w:t xml:space="preserve">adults and children’s services across the whole sector (statutory, private and voluntary) </w:t>
      </w:r>
    </w:p>
    <w:p w14:paraId="3410E3BC" w14:textId="77777777" w:rsidR="00260391" w:rsidRPr="00B568F3" w:rsidRDefault="00260391" w:rsidP="00260391">
      <w:pPr>
        <w:numPr>
          <w:ilvl w:val="0"/>
          <w:numId w:val="26"/>
        </w:numPr>
        <w:spacing w:after="100" w:afterAutospacing="1" w:line="276" w:lineRule="auto"/>
        <w:contextualSpacing/>
        <w:rPr>
          <w:rFonts w:ascii="Arial" w:eastAsia="Calibri" w:hAnsi="Arial" w:cs="Arial"/>
          <w:sz w:val="24"/>
          <w:szCs w:val="24"/>
        </w:rPr>
      </w:pPr>
      <w:r w:rsidRPr="00B568F3">
        <w:rPr>
          <w:rFonts w:ascii="Arial" w:eastAsia="Calibri" w:hAnsi="Arial" w:cs="Arial"/>
          <w:sz w:val="24"/>
          <w:szCs w:val="24"/>
        </w:rPr>
        <w:t>foster care</w:t>
      </w:r>
    </w:p>
    <w:p w14:paraId="06FD6E9B" w14:textId="77777777" w:rsidR="00260391" w:rsidRPr="00B568F3" w:rsidRDefault="00260391" w:rsidP="00260391">
      <w:pPr>
        <w:numPr>
          <w:ilvl w:val="0"/>
          <w:numId w:val="26"/>
        </w:numPr>
        <w:spacing w:after="100" w:afterAutospacing="1" w:line="276" w:lineRule="auto"/>
        <w:contextualSpacing/>
        <w:rPr>
          <w:rFonts w:ascii="Arial" w:eastAsia="Calibri" w:hAnsi="Arial" w:cs="Arial"/>
          <w:sz w:val="24"/>
          <w:szCs w:val="24"/>
        </w:rPr>
      </w:pPr>
      <w:r w:rsidRPr="00B568F3">
        <w:rPr>
          <w:rFonts w:ascii="Arial" w:eastAsia="Calibri" w:hAnsi="Arial" w:cs="Arial"/>
          <w:sz w:val="24"/>
          <w:szCs w:val="24"/>
        </w:rPr>
        <w:t xml:space="preserve">adoption </w:t>
      </w:r>
    </w:p>
    <w:p w14:paraId="4388D27A" w14:textId="77777777" w:rsidR="00260391" w:rsidRPr="00B568F3" w:rsidRDefault="00260391" w:rsidP="00260391">
      <w:pPr>
        <w:numPr>
          <w:ilvl w:val="0"/>
          <w:numId w:val="26"/>
        </w:numPr>
        <w:spacing w:after="100" w:afterAutospacing="1" w:line="276" w:lineRule="auto"/>
        <w:contextualSpacing/>
        <w:rPr>
          <w:rFonts w:ascii="Arial" w:eastAsia="Calibri" w:hAnsi="Arial" w:cs="Arial"/>
          <w:sz w:val="24"/>
          <w:szCs w:val="24"/>
        </w:rPr>
      </w:pPr>
      <w:r w:rsidRPr="00B568F3">
        <w:rPr>
          <w:rFonts w:ascii="Arial" w:eastAsia="Calibri" w:hAnsi="Arial" w:cs="Arial"/>
          <w:sz w:val="24"/>
          <w:szCs w:val="24"/>
        </w:rPr>
        <w:lastRenderedPageBreak/>
        <w:t xml:space="preserve">paid and unpaid carers </w:t>
      </w:r>
    </w:p>
    <w:p w14:paraId="72FF6590" w14:textId="77777777" w:rsidR="00260391" w:rsidRPr="00B568F3" w:rsidRDefault="00260391" w:rsidP="00260391">
      <w:pPr>
        <w:numPr>
          <w:ilvl w:val="0"/>
          <w:numId w:val="26"/>
        </w:numPr>
        <w:spacing w:after="100" w:afterAutospacing="1" w:line="276" w:lineRule="auto"/>
        <w:contextualSpacing/>
        <w:rPr>
          <w:rFonts w:ascii="Arial" w:eastAsia="Calibri" w:hAnsi="Arial" w:cs="Arial"/>
          <w:sz w:val="24"/>
          <w:szCs w:val="24"/>
        </w:rPr>
      </w:pPr>
      <w:r w:rsidRPr="00B568F3">
        <w:rPr>
          <w:rFonts w:ascii="Arial" w:eastAsia="Calibri" w:hAnsi="Arial" w:cs="Arial"/>
          <w:sz w:val="24"/>
          <w:szCs w:val="24"/>
        </w:rPr>
        <w:t xml:space="preserve">personal assistants. </w:t>
      </w:r>
    </w:p>
    <w:p w14:paraId="4AE83DF2" w14:textId="77777777" w:rsidR="00260391" w:rsidRDefault="00260391" w:rsidP="00260391">
      <w:pPr>
        <w:spacing w:after="200" w:line="276" w:lineRule="auto"/>
        <w:ind w:left="567"/>
        <w:contextualSpacing/>
        <w:rPr>
          <w:rFonts w:ascii="Arial" w:eastAsia="Calibri" w:hAnsi="Arial" w:cs="Arial"/>
          <w:sz w:val="24"/>
          <w:szCs w:val="24"/>
        </w:rPr>
      </w:pPr>
    </w:p>
    <w:p w14:paraId="4A9D57D6" w14:textId="07CAB7CA" w:rsidR="00260391" w:rsidRDefault="00260391" w:rsidP="00260391">
      <w:pPr>
        <w:numPr>
          <w:ilvl w:val="0"/>
          <w:numId w:val="6"/>
        </w:numPr>
        <w:spacing w:after="200" w:line="276" w:lineRule="auto"/>
        <w:ind w:left="567" w:hanging="425"/>
        <w:contextualSpacing/>
        <w:rPr>
          <w:rFonts w:ascii="Arial" w:eastAsia="Calibri" w:hAnsi="Arial" w:cs="Arial"/>
          <w:sz w:val="24"/>
          <w:szCs w:val="24"/>
        </w:rPr>
      </w:pPr>
      <w:r w:rsidRPr="00B568F3">
        <w:rPr>
          <w:rFonts w:ascii="Arial" w:eastAsia="Calibri" w:hAnsi="Arial" w:cs="Arial"/>
          <w:sz w:val="24"/>
          <w:szCs w:val="24"/>
        </w:rPr>
        <w:t xml:space="preserve">The programmes of learning delivered aim to make sure that all statutory, legislative, and requirements linked to registration are included in offers </w:t>
      </w:r>
      <w:r w:rsidR="00166D8A">
        <w:rPr>
          <w:rFonts w:ascii="Arial" w:eastAsia="Calibri" w:hAnsi="Arial" w:cs="Arial"/>
          <w:sz w:val="24"/>
          <w:szCs w:val="24"/>
        </w:rPr>
        <w:t>as well as</w:t>
      </w:r>
      <w:r>
        <w:rPr>
          <w:rFonts w:ascii="Arial" w:eastAsia="Calibri" w:hAnsi="Arial" w:cs="Arial"/>
          <w:sz w:val="24"/>
          <w:szCs w:val="24"/>
        </w:rPr>
        <w:t xml:space="preserve"> supporting the </w:t>
      </w:r>
      <w:r w:rsidRPr="00B568F3">
        <w:rPr>
          <w:rFonts w:ascii="Arial" w:eastAsia="Calibri" w:hAnsi="Arial" w:cs="Arial"/>
          <w:sz w:val="24"/>
          <w:szCs w:val="24"/>
        </w:rPr>
        <w:t>resilience and well-being</w:t>
      </w:r>
      <w:r>
        <w:rPr>
          <w:rFonts w:ascii="Arial" w:eastAsia="Calibri" w:hAnsi="Arial" w:cs="Arial"/>
          <w:sz w:val="24"/>
          <w:szCs w:val="24"/>
        </w:rPr>
        <w:t xml:space="preserve"> of the workforce</w:t>
      </w:r>
      <w:r w:rsidRPr="00B568F3">
        <w:rPr>
          <w:rFonts w:ascii="Arial" w:eastAsia="Calibri" w:hAnsi="Arial" w:cs="Arial"/>
          <w:sz w:val="24"/>
          <w:szCs w:val="24"/>
        </w:rPr>
        <w:t>.</w:t>
      </w:r>
    </w:p>
    <w:p w14:paraId="501322A2" w14:textId="77777777" w:rsidR="009F193A" w:rsidRDefault="009F193A" w:rsidP="009F193A">
      <w:pPr>
        <w:spacing w:after="20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9F193A" w:rsidRPr="00610886" w14:paraId="39872CE0" w14:textId="77777777" w:rsidTr="009F193A">
        <w:tc>
          <w:tcPr>
            <w:tcW w:w="9016" w:type="dxa"/>
          </w:tcPr>
          <w:p w14:paraId="1F73D38B" w14:textId="272DE73E" w:rsidR="009F193A" w:rsidRPr="00610886" w:rsidRDefault="00573D32" w:rsidP="00C92ECE">
            <w:pPr>
              <w:spacing w:after="240"/>
              <w:jc w:val="both"/>
              <w:rPr>
                <w:rFonts w:ascii="Arial" w:eastAsia="Calibri" w:hAnsi="Arial" w:cs="Arial"/>
                <w:sz w:val="24"/>
                <w:szCs w:val="24"/>
              </w:rPr>
            </w:pPr>
            <w:r w:rsidRPr="00C92ECE">
              <w:rPr>
                <w:rFonts w:ascii="Arial" w:eastAsia="Arial" w:hAnsi="Arial" w:cs="Arial"/>
                <w:color w:val="000000" w:themeColor="text1"/>
                <w:sz w:val="24"/>
                <w:szCs w:val="24"/>
              </w:rPr>
              <w:t xml:space="preserve">A needs-based learning </w:t>
            </w:r>
            <w:r w:rsidR="00166D8A">
              <w:rPr>
                <w:rFonts w:ascii="Arial" w:eastAsia="Arial" w:hAnsi="Arial" w:cs="Arial"/>
                <w:color w:val="000000" w:themeColor="text1"/>
                <w:sz w:val="24"/>
                <w:szCs w:val="24"/>
              </w:rPr>
              <w:t>p</w:t>
            </w:r>
            <w:r w:rsidRPr="00C92ECE">
              <w:rPr>
                <w:rFonts w:ascii="Arial" w:eastAsia="Arial" w:hAnsi="Arial" w:cs="Arial"/>
                <w:color w:val="000000" w:themeColor="text1"/>
                <w:sz w:val="24"/>
                <w:szCs w:val="24"/>
              </w:rPr>
              <w:t xml:space="preserve">rogramme was made available to the entire sector, free of charge. It </w:t>
            </w:r>
            <w:r w:rsidR="00166D8A">
              <w:rPr>
                <w:rFonts w:ascii="Arial" w:eastAsia="Arial" w:hAnsi="Arial" w:cs="Arial"/>
                <w:color w:val="000000" w:themeColor="text1"/>
                <w:sz w:val="24"/>
                <w:szCs w:val="24"/>
              </w:rPr>
              <w:t>made sure</w:t>
            </w:r>
            <w:r w:rsidRPr="00C92ECE">
              <w:rPr>
                <w:rFonts w:ascii="Arial" w:eastAsia="Arial" w:hAnsi="Arial" w:cs="Arial"/>
                <w:color w:val="000000" w:themeColor="text1"/>
                <w:sz w:val="24"/>
                <w:szCs w:val="24"/>
              </w:rPr>
              <w:t xml:space="preserve"> all statutory, legislative, and registration-linked requirements could be met while also offering opportunities that foster resilience and well-being. (Gwent </w:t>
            </w:r>
            <w:r w:rsidR="00166D8A">
              <w:rPr>
                <w:rFonts w:ascii="Arial" w:eastAsia="Arial" w:hAnsi="Arial" w:cs="Arial"/>
                <w:color w:val="000000" w:themeColor="text1"/>
                <w:sz w:val="24"/>
                <w:szCs w:val="24"/>
              </w:rPr>
              <w:t>r</w:t>
            </w:r>
            <w:r w:rsidRPr="00C92ECE">
              <w:rPr>
                <w:rFonts w:ascii="Arial" w:eastAsia="Arial" w:hAnsi="Arial" w:cs="Arial"/>
                <w:color w:val="000000" w:themeColor="text1"/>
                <w:sz w:val="24"/>
                <w:szCs w:val="24"/>
              </w:rPr>
              <w:t>egion)</w:t>
            </w:r>
          </w:p>
        </w:tc>
      </w:tr>
    </w:tbl>
    <w:p w14:paraId="4DD0BA53" w14:textId="77777777" w:rsidR="009F193A" w:rsidRDefault="009F193A" w:rsidP="00C92ECE">
      <w:pPr>
        <w:spacing w:after="200" w:line="276" w:lineRule="auto"/>
        <w:contextualSpacing/>
        <w:rPr>
          <w:rFonts w:ascii="Arial" w:eastAsia="Calibri" w:hAnsi="Arial" w:cs="Arial"/>
          <w:sz w:val="24"/>
          <w:szCs w:val="24"/>
        </w:rPr>
      </w:pPr>
    </w:p>
    <w:p w14:paraId="4E42E67B" w14:textId="0D5BD565" w:rsidR="00260391" w:rsidRDefault="00203240" w:rsidP="00260391">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 xml:space="preserve">We’re working closely with </w:t>
      </w:r>
      <w:r w:rsidR="00260391" w:rsidRPr="00457D43">
        <w:rPr>
          <w:rFonts w:ascii="Arial" w:eastAsia="Calibri" w:hAnsi="Arial" w:cs="Arial"/>
          <w:bCs/>
          <w:sz w:val="24"/>
          <w:szCs w:val="24"/>
        </w:rPr>
        <w:t>external providers and responding proactively to requests for tailored training and support</w:t>
      </w:r>
      <w:r>
        <w:rPr>
          <w:rFonts w:ascii="Arial" w:eastAsia="Calibri" w:hAnsi="Arial" w:cs="Arial"/>
          <w:bCs/>
          <w:sz w:val="24"/>
          <w:szCs w:val="24"/>
        </w:rPr>
        <w:t>. However</w:t>
      </w:r>
      <w:r w:rsidR="00476DE4">
        <w:rPr>
          <w:rFonts w:ascii="Arial" w:eastAsia="Calibri" w:hAnsi="Arial" w:cs="Arial"/>
          <w:bCs/>
          <w:sz w:val="24"/>
          <w:szCs w:val="24"/>
        </w:rPr>
        <w:t xml:space="preserve"> not all providers </w:t>
      </w:r>
      <w:r>
        <w:rPr>
          <w:rFonts w:ascii="Arial" w:eastAsia="Calibri" w:hAnsi="Arial" w:cs="Arial"/>
          <w:bCs/>
          <w:sz w:val="24"/>
          <w:szCs w:val="24"/>
        </w:rPr>
        <w:t>make use of the</w:t>
      </w:r>
      <w:r w:rsidR="00FB7C8E">
        <w:rPr>
          <w:rFonts w:ascii="Arial" w:eastAsia="Calibri" w:hAnsi="Arial" w:cs="Arial"/>
          <w:bCs/>
          <w:sz w:val="24"/>
          <w:szCs w:val="24"/>
        </w:rPr>
        <w:t xml:space="preserve"> learning and development opportunities </w:t>
      </w:r>
      <w:r>
        <w:rPr>
          <w:rFonts w:ascii="Arial" w:eastAsia="Calibri" w:hAnsi="Arial" w:cs="Arial"/>
          <w:bCs/>
          <w:sz w:val="24"/>
          <w:szCs w:val="24"/>
        </w:rPr>
        <w:t>offered</w:t>
      </w:r>
      <w:r w:rsidR="00FB7C8E">
        <w:rPr>
          <w:rFonts w:ascii="Arial" w:eastAsia="Calibri" w:hAnsi="Arial" w:cs="Arial"/>
          <w:bCs/>
          <w:sz w:val="24"/>
          <w:szCs w:val="24"/>
        </w:rPr>
        <w:t xml:space="preserve"> by the regional</w:t>
      </w:r>
      <w:r>
        <w:rPr>
          <w:rFonts w:ascii="Arial" w:eastAsia="Calibri" w:hAnsi="Arial" w:cs="Arial"/>
          <w:bCs/>
          <w:sz w:val="24"/>
          <w:szCs w:val="24"/>
        </w:rPr>
        <w:t xml:space="preserve"> or </w:t>
      </w:r>
      <w:r w:rsidR="00FB7C8E">
        <w:rPr>
          <w:rFonts w:ascii="Arial" w:eastAsia="Calibri" w:hAnsi="Arial" w:cs="Arial"/>
          <w:bCs/>
          <w:sz w:val="24"/>
          <w:szCs w:val="24"/>
        </w:rPr>
        <w:t>local workforce development teams.</w:t>
      </w:r>
    </w:p>
    <w:p w14:paraId="28BEA913" w14:textId="77777777" w:rsidR="00F22854" w:rsidRDefault="00F22854" w:rsidP="00F22854">
      <w:pPr>
        <w:spacing w:after="20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F22854" w:rsidRPr="0062383F" w14:paraId="357FB763" w14:textId="77777777" w:rsidTr="00F22854">
        <w:tc>
          <w:tcPr>
            <w:tcW w:w="9016" w:type="dxa"/>
          </w:tcPr>
          <w:p w14:paraId="24A178FE" w14:textId="2031B398" w:rsidR="0062383F" w:rsidRPr="00C92ECE" w:rsidRDefault="0062383F" w:rsidP="0062383F">
            <w:pPr>
              <w:rPr>
                <w:rFonts w:ascii="Arial" w:eastAsia="Calibri" w:hAnsi="Arial" w:cs="Arial"/>
                <w:sz w:val="24"/>
                <w:szCs w:val="24"/>
              </w:rPr>
            </w:pPr>
            <w:r w:rsidRPr="00C92ECE">
              <w:rPr>
                <w:rFonts w:ascii="Arial" w:eastAsia="Calibri" w:hAnsi="Arial" w:cs="Arial"/>
                <w:sz w:val="24"/>
                <w:szCs w:val="24"/>
              </w:rPr>
              <w:t>Throughout 2024</w:t>
            </w:r>
            <w:r w:rsidR="00203240">
              <w:rPr>
                <w:rFonts w:ascii="Arial" w:eastAsia="Calibri" w:hAnsi="Arial" w:cs="Arial"/>
                <w:sz w:val="24"/>
                <w:szCs w:val="24"/>
              </w:rPr>
              <w:t xml:space="preserve"> to 20</w:t>
            </w:r>
            <w:r w:rsidRPr="00C92ECE">
              <w:rPr>
                <w:rFonts w:ascii="Arial" w:eastAsia="Calibri" w:hAnsi="Arial" w:cs="Arial"/>
                <w:sz w:val="24"/>
                <w:szCs w:val="24"/>
              </w:rPr>
              <w:t xml:space="preserve">25, provider support visits were carried out to deliver targeted training and guidance across key areas, including </w:t>
            </w:r>
            <w:r w:rsidR="005C2F48">
              <w:rPr>
                <w:rFonts w:ascii="Arial" w:eastAsia="Calibri" w:hAnsi="Arial" w:cs="Arial"/>
                <w:sz w:val="24"/>
                <w:szCs w:val="24"/>
              </w:rPr>
              <w:t>s</w:t>
            </w:r>
            <w:r w:rsidRPr="00C92ECE">
              <w:rPr>
                <w:rFonts w:ascii="Arial" w:eastAsia="Calibri" w:hAnsi="Arial" w:cs="Arial"/>
                <w:sz w:val="24"/>
                <w:szCs w:val="24"/>
              </w:rPr>
              <w:t xml:space="preserve">trength-based practice, qualifications, registration, dementia care, and manual handling. Training </w:t>
            </w:r>
            <w:r w:rsidR="005C2F48">
              <w:rPr>
                <w:rFonts w:ascii="Arial" w:eastAsia="Calibri" w:hAnsi="Arial" w:cs="Arial"/>
                <w:sz w:val="24"/>
                <w:szCs w:val="24"/>
              </w:rPr>
              <w:t>o</w:t>
            </w:r>
            <w:r w:rsidRPr="00C92ECE">
              <w:rPr>
                <w:rFonts w:ascii="Arial" w:eastAsia="Calibri" w:hAnsi="Arial" w:cs="Arial"/>
                <w:sz w:val="24"/>
                <w:szCs w:val="24"/>
              </w:rPr>
              <w:t xml:space="preserve">fficers </w:t>
            </w:r>
            <w:r w:rsidR="005C2F48">
              <w:rPr>
                <w:rFonts w:ascii="Arial" w:eastAsia="Calibri" w:hAnsi="Arial" w:cs="Arial"/>
                <w:sz w:val="24"/>
                <w:szCs w:val="24"/>
              </w:rPr>
              <w:t xml:space="preserve">provided </w:t>
            </w:r>
            <w:r w:rsidRPr="00C92ECE">
              <w:rPr>
                <w:rFonts w:ascii="Arial" w:eastAsia="Calibri" w:hAnsi="Arial" w:cs="Arial"/>
                <w:sz w:val="24"/>
                <w:szCs w:val="24"/>
              </w:rPr>
              <w:t xml:space="preserve">a responsive and flexible service, </w:t>
            </w:r>
            <w:r w:rsidR="00C760E7">
              <w:rPr>
                <w:rFonts w:ascii="Arial" w:eastAsia="Calibri" w:hAnsi="Arial" w:cs="Arial"/>
                <w:sz w:val="24"/>
                <w:szCs w:val="24"/>
              </w:rPr>
              <w:t>meeting</w:t>
            </w:r>
            <w:r w:rsidRPr="00C92ECE">
              <w:rPr>
                <w:rFonts w:ascii="Arial" w:eastAsia="Calibri" w:hAnsi="Arial" w:cs="Arial"/>
                <w:sz w:val="24"/>
                <w:szCs w:val="24"/>
              </w:rPr>
              <w:t xml:space="preserve"> a wide </w:t>
            </w:r>
            <w:r w:rsidR="00093DB7" w:rsidRPr="00C92ECE">
              <w:rPr>
                <w:rFonts w:ascii="Arial" w:eastAsia="Calibri" w:hAnsi="Arial" w:cs="Arial"/>
                <w:sz w:val="24"/>
                <w:szCs w:val="24"/>
              </w:rPr>
              <w:t>range of</w:t>
            </w:r>
            <w:r w:rsidR="00C760E7">
              <w:rPr>
                <w:rFonts w:ascii="Arial" w:eastAsia="Calibri" w:hAnsi="Arial" w:cs="Arial"/>
                <w:sz w:val="24"/>
                <w:szCs w:val="24"/>
              </w:rPr>
              <w:t xml:space="preserve"> </w:t>
            </w:r>
            <w:r w:rsidRPr="00C92ECE">
              <w:rPr>
                <w:rFonts w:ascii="Arial" w:eastAsia="Calibri" w:hAnsi="Arial" w:cs="Arial"/>
                <w:sz w:val="24"/>
                <w:szCs w:val="24"/>
              </w:rPr>
              <w:t>needs</w:t>
            </w:r>
            <w:r w:rsidR="00C760E7">
              <w:rPr>
                <w:rFonts w:ascii="Arial" w:eastAsia="Calibri" w:hAnsi="Arial" w:cs="Arial"/>
                <w:sz w:val="24"/>
                <w:szCs w:val="24"/>
              </w:rPr>
              <w:t>,</w:t>
            </w:r>
            <w:r w:rsidR="00093DB7">
              <w:rPr>
                <w:rFonts w:ascii="Arial" w:eastAsia="Calibri" w:hAnsi="Arial" w:cs="Arial"/>
                <w:sz w:val="24"/>
                <w:szCs w:val="24"/>
              </w:rPr>
              <w:t xml:space="preserve"> </w:t>
            </w:r>
            <w:r w:rsidRPr="00C92ECE">
              <w:rPr>
                <w:rFonts w:ascii="Arial" w:eastAsia="Calibri" w:hAnsi="Arial" w:cs="Arial"/>
                <w:sz w:val="24"/>
                <w:szCs w:val="24"/>
              </w:rPr>
              <w:t xml:space="preserve">from general support to safeguarding concerns and issues raised through the Joint Quality Multi-Agency Meeting (JQMM) process. Training Officers </w:t>
            </w:r>
            <w:r w:rsidR="00C760E7">
              <w:rPr>
                <w:rFonts w:ascii="Arial" w:eastAsia="Calibri" w:hAnsi="Arial" w:cs="Arial"/>
                <w:sz w:val="24"/>
                <w:szCs w:val="24"/>
              </w:rPr>
              <w:t>worked</w:t>
            </w:r>
            <w:r w:rsidRPr="00C92ECE">
              <w:rPr>
                <w:rFonts w:ascii="Arial" w:eastAsia="Calibri" w:hAnsi="Arial" w:cs="Arial"/>
                <w:sz w:val="24"/>
                <w:szCs w:val="24"/>
              </w:rPr>
              <w:t xml:space="preserve"> with professionals and service providers to problem-solve and develop tailored solutions</w:t>
            </w:r>
            <w:r w:rsidR="00F12A39">
              <w:rPr>
                <w:rFonts w:ascii="Arial" w:eastAsia="Calibri" w:hAnsi="Arial" w:cs="Arial"/>
                <w:sz w:val="24"/>
                <w:szCs w:val="24"/>
              </w:rPr>
              <w:t xml:space="preserve">, </w:t>
            </w:r>
            <w:r w:rsidRPr="00C92ECE">
              <w:rPr>
                <w:rFonts w:ascii="Arial" w:eastAsia="Calibri" w:hAnsi="Arial" w:cs="Arial"/>
                <w:sz w:val="24"/>
                <w:szCs w:val="24"/>
              </w:rPr>
              <w:t>includ</w:t>
            </w:r>
            <w:r w:rsidR="00F12A39">
              <w:rPr>
                <w:rFonts w:ascii="Arial" w:eastAsia="Calibri" w:hAnsi="Arial" w:cs="Arial"/>
                <w:sz w:val="24"/>
                <w:szCs w:val="24"/>
              </w:rPr>
              <w:t>ing</w:t>
            </w:r>
            <w:r w:rsidRPr="00C92ECE">
              <w:rPr>
                <w:rFonts w:ascii="Arial" w:eastAsia="Calibri" w:hAnsi="Arial" w:cs="Arial"/>
                <w:sz w:val="24"/>
                <w:szCs w:val="24"/>
              </w:rPr>
              <w:t xml:space="preserve"> on-site visits to ensure support was practical, timely, and effective. The focus </w:t>
            </w:r>
            <w:r w:rsidR="00F12A39">
              <w:rPr>
                <w:rFonts w:ascii="Arial" w:eastAsia="Calibri" w:hAnsi="Arial" w:cs="Arial"/>
                <w:sz w:val="24"/>
                <w:szCs w:val="24"/>
              </w:rPr>
              <w:t>was</w:t>
            </w:r>
            <w:r w:rsidR="00F12A39" w:rsidRPr="00C92ECE">
              <w:rPr>
                <w:rFonts w:ascii="Arial" w:eastAsia="Calibri" w:hAnsi="Arial" w:cs="Arial"/>
                <w:sz w:val="24"/>
                <w:szCs w:val="24"/>
              </w:rPr>
              <w:t xml:space="preserve"> </w:t>
            </w:r>
            <w:r w:rsidRPr="00C92ECE">
              <w:rPr>
                <w:rFonts w:ascii="Arial" w:eastAsia="Calibri" w:hAnsi="Arial" w:cs="Arial"/>
                <w:sz w:val="24"/>
                <w:szCs w:val="24"/>
              </w:rPr>
              <w:t xml:space="preserve">on building provider capacity, improving the quality of care, and supporting compliance with best practice standards. (Cardiff – Cardiff and the Vale </w:t>
            </w:r>
            <w:r w:rsidR="000E488F">
              <w:rPr>
                <w:rFonts w:ascii="Arial" w:eastAsia="Calibri" w:hAnsi="Arial" w:cs="Arial"/>
                <w:sz w:val="24"/>
                <w:szCs w:val="24"/>
              </w:rPr>
              <w:t>r</w:t>
            </w:r>
            <w:r w:rsidRPr="00C92ECE">
              <w:rPr>
                <w:rFonts w:ascii="Arial" w:eastAsia="Calibri" w:hAnsi="Arial" w:cs="Arial"/>
                <w:sz w:val="24"/>
                <w:szCs w:val="24"/>
              </w:rPr>
              <w:t>egion)</w:t>
            </w:r>
          </w:p>
          <w:p w14:paraId="626E1DF2" w14:textId="77777777" w:rsidR="00F22854" w:rsidRPr="0062383F" w:rsidRDefault="00F22854" w:rsidP="00F22854">
            <w:pPr>
              <w:spacing w:after="200" w:line="276" w:lineRule="auto"/>
              <w:contextualSpacing/>
              <w:rPr>
                <w:rFonts w:ascii="Arial" w:eastAsia="Calibri" w:hAnsi="Arial" w:cs="Arial"/>
                <w:bCs/>
                <w:sz w:val="24"/>
                <w:szCs w:val="24"/>
              </w:rPr>
            </w:pPr>
          </w:p>
        </w:tc>
      </w:tr>
    </w:tbl>
    <w:p w14:paraId="10315579" w14:textId="77777777" w:rsidR="00F22854" w:rsidRDefault="00F22854" w:rsidP="00C92ECE">
      <w:pPr>
        <w:spacing w:after="200" w:line="276" w:lineRule="auto"/>
        <w:contextualSpacing/>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B904F7" w:rsidRPr="00610886" w14:paraId="150E27F5" w14:textId="77777777" w:rsidTr="00C92ECE">
        <w:trPr>
          <w:jc w:val="center"/>
        </w:trPr>
        <w:tc>
          <w:tcPr>
            <w:tcW w:w="9016" w:type="dxa"/>
          </w:tcPr>
          <w:p w14:paraId="1D8F1465" w14:textId="4047DBDA" w:rsidR="00B904F7" w:rsidRPr="00610886" w:rsidRDefault="00D939B8" w:rsidP="00C92ECE">
            <w:pPr>
              <w:spacing w:after="240"/>
              <w:jc w:val="both"/>
              <w:rPr>
                <w:rFonts w:ascii="Arial" w:eastAsia="Calibri" w:hAnsi="Arial" w:cs="Arial"/>
                <w:bCs/>
                <w:sz w:val="24"/>
                <w:szCs w:val="24"/>
              </w:rPr>
            </w:pPr>
            <w:r w:rsidRPr="00C92ECE">
              <w:rPr>
                <w:rFonts w:ascii="Arial" w:eastAsia="Arial" w:hAnsi="Arial" w:cs="Arial"/>
                <w:color w:val="000000" w:themeColor="text1"/>
                <w:sz w:val="24"/>
                <w:szCs w:val="24"/>
              </w:rPr>
              <w:t xml:space="preserve">The region worked hard to improve </w:t>
            </w:r>
            <w:r w:rsidR="009062C6">
              <w:rPr>
                <w:rFonts w:ascii="Arial" w:eastAsia="Arial" w:hAnsi="Arial" w:cs="Arial"/>
                <w:color w:val="000000" w:themeColor="text1"/>
                <w:sz w:val="24"/>
                <w:szCs w:val="24"/>
              </w:rPr>
              <w:t xml:space="preserve">sector </w:t>
            </w:r>
            <w:r w:rsidRPr="00C92ECE">
              <w:rPr>
                <w:rFonts w:ascii="Arial" w:eastAsia="Arial" w:hAnsi="Arial" w:cs="Arial"/>
                <w:color w:val="000000" w:themeColor="text1"/>
                <w:sz w:val="24"/>
                <w:szCs w:val="24"/>
              </w:rPr>
              <w:t>engagement</w:t>
            </w:r>
            <w:r w:rsidR="009062C6">
              <w:rPr>
                <w:rFonts w:ascii="Arial" w:eastAsia="Arial" w:hAnsi="Arial" w:cs="Arial"/>
                <w:color w:val="000000" w:themeColor="text1"/>
                <w:sz w:val="24"/>
                <w:szCs w:val="24"/>
              </w:rPr>
              <w:t xml:space="preserve"> with </w:t>
            </w:r>
            <w:r w:rsidRPr="00C92ECE">
              <w:rPr>
                <w:rFonts w:ascii="Arial" w:eastAsia="Arial" w:hAnsi="Arial" w:cs="Arial"/>
                <w:color w:val="000000" w:themeColor="text1"/>
                <w:sz w:val="24"/>
                <w:szCs w:val="24"/>
              </w:rPr>
              <w:t xml:space="preserve">the opportunities </w:t>
            </w:r>
            <w:r w:rsidR="009062C6">
              <w:rPr>
                <w:rFonts w:ascii="Arial" w:eastAsia="Arial" w:hAnsi="Arial" w:cs="Arial"/>
                <w:color w:val="000000" w:themeColor="text1"/>
                <w:sz w:val="24"/>
                <w:szCs w:val="24"/>
              </w:rPr>
              <w:t>available</w:t>
            </w:r>
            <w:r w:rsidRPr="00C92ECE">
              <w:rPr>
                <w:rFonts w:ascii="Arial" w:eastAsia="Arial" w:hAnsi="Arial" w:cs="Arial"/>
                <w:color w:val="000000" w:themeColor="text1"/>
                <w:sz w:val="24"/>
                <w:szCs w:val="24"/>
              </w:rPr>
              <w:t>. It</w:t>
            </w:r>
            <w:r w:rsidR="009062C6">
              <w:rPr>
                <w:rFonts w:ascii="Arial" w:eastAsia="Arial" w:hAnsi="Arial" w:cs="Arial"/>
                <w:color w:val="000000" w:themeColor="text1"/>
                <w:sz w:val="24"/>
                <w:szCs w:val="24"/>
              </w:rPr>
              <w:t>’s</w:t>
            </w:r>
            <w:r w:rsidRPr="00C92ECE">
              <w:rPr>
                <w:rFonts w:ascii="Arial" w:eastAsia="Arial" w:hAnsi="Arial" w:cs="Arial"/>
                <w:color w:val="000000" w:themeColor="text1"/>
                <w:sz w:val="24"/>
                <w:szCs w:val="24"/>
              </w:rPr>
              <w:t xml:space="preserve"> important to note that there are known factors that will </w:t>
            </w:r>
            <w:r w:rsidR="009062C6">
              <w:rPr>
                <w:rFonts w:ascii="Arial" w:eastAsia="Arial" w:hAnsi="Arial" w:cs="Arial"/>
                <w:color w:val="000000" w:themeColor="text1"/>
                <w:sz w:val="24"/>
                <w:szCs w:val="24"/>
              </w:rPr>
              <w:t>always limit full</w:t>
            </w:r>
            <w:r w:rsidR="009062C6" w:rsidRPr="00C92ECE">
              <w:rPr>
                <w:rFonts w:ascii="Arial" w:eastAsia="Arial" w:hAnsi="Arial" w:cs="Arial"/>
                <w:color w:val="000000" w:themeColor="text1"/>
                <w:sz w:val="24"/>
                <w:szCs w:val="24"/>
              </w:rPr>
              <w:t xml:space="preserve"> </w:t>
            </w:r>
            <w:proofErr w:type="gramStart"/>
            <w:r w:rsidR="00093DB7" w:rsidRPr="00C92ECE">
              <w:rPr>
                <w:rFonts w:ascii="Arial" w:eastAsia="Arial" w:hAnsi="Arial" w:cs="Arial"/>
                <w:color w:val="000000" w:themeColor="text1"/>
                <w:sz w:val="24"/>
                <w:szCs w:val="24"/>
              </w:rPr>
              <w:t>engagement</w:t>
            </w:r>
            <w:proofErr w:type="gramEnd"/>
            <w:r w:rsidR="00093DB7" w:rsidRPr="00C92ECE">
              <w:rPr>
                <w:rFonts w:ascii="Arial" w:eastAsia="Arial" w:hAnsi="Arial" w:cs="Arial"/>
                <w:color w:val="000000" w:themeColor="text1"/>
                <w:sz w:val="24"/>
                <w:szCs w:val="24"/>
              </w:rPr>
              <w:t xml:space="preserve"> but</w:t>
            </w:r>
            <w:r w:rsidRPr="00C92ECE">
              <w:rPr>
                <w:rFonts w:ascii="Arial" w:eastAsia="Arial" w:hAnsi="Arial" w:cs="Arial"/>
                <w:color w:val="000000" w:themeColor="text1"/>
                <w:sz w:val="24"/>
                <w:szCs w:val="24"/>
              </w:rPr>
              <w:t xml:space="preserve"> efforts will continue. Moving forward, it</w:t>
            </w:r>
            <w:r w:rsidR="009062C6">
              <w:rPr>
                <w:rFonts w:ascii="Arial" w:eastAsia="Arial" w:hAnsi="Arial" w:cs="Arial"/>
                <w:color w:val="000000" w:themeColor="text1"/>
                <w:sz w:val="24"/>
                <w:szCs w:val="24"/>
              </w:rPr>
              <w:t>’s</w:t>
            </w:r>
            <w:r w:rsidRPr="00C92ECE">
              <w:rPr>
                <w:rFonts w:ascii="Arial" w:eastAsia="Arial" w:hAnsi="Arial" w:cs="Arial"/>
                <w:color w:val="000000" w:themeColor="text1"/>
                <w:sz w:val="24"/>
                <w:szCs w:val="24"/>
              </w:rPr>
              <w:t xml:space="preserve"> predicted that once fully operational the new digital system</w:t>
            </w:r>
            <w:r w:rsidR="009062C6">
              <w:rPr>
                <w:rFonts w:ascii="Arial" w:eastAsia="Arial" w:hAnsi="Arial" w:cs="Arial"/>
                <w:color w:val="000000" w:themeColor="text1"/>
                <w:sz w:val="24"/>
                <w:szCs w:val="24"/>
              </w:rPr>
              <w:t>, it</w:t>
            </w:r>
            <w:r w:rsidRPr="00C92ECE">
              <w:rPr>
                <w:rFonts w:ascii="Arial" w:eastAsia="Arial" w:hAnsi="Arial" w:cs="Arial"/>
                <w:color w:val="000000" w:themeColor="text1"/>
                <w:sz w:val="24"/>
                <w:szCs w:val="24"/>
              </w:rPr>
              <w:t xml:space="preserve"> will make a positive difference. (Gwent region)</w:t>
            </w:r>
          </w:p>
        </w:tc>
      </w:tr>
    </w:tbl>
    <w:p w14:paraId="046740F9" w14:textId="77777777" w:rsidR="00B904F7" w:rsidRDefault="00B904F7" w:rsidP="00EB51C8">
      <w:pPr>
        <w:pStyle w:val="ListParagraph"/>
        <w:rPr>
          <w:rFonts w:ascii="Arial" w:eastAsia="Calibri" w:hAnsi="Arial" w:cs="Arial"/>
          <w:bCs/>
          <w:sz w:val="24"/>
          <w:szCs w:val="24"/>
        </w:rPr>
      </w:pPr>
    </w:p>
    <w:p w14:paraId="4FA6A558" w14:textId="3B80BE0D" w:rsidR="001D2FA9" w:rsidRPr="00386CFE" w:rsidRDefault="006935E5" w:rsidP="00386CFE">
      <w:pPr>
        <w:numPr>
          <w:ilvl w:val="0"/>
          <w:numId w:val="6"/>
        </w:numPr>
        <w:spacing w:after="0" w:line="276" w:lineRule="auto"/>
        <w:ind w:left="567" w:hanging="425"/>
        <w:contextualSpacing/>
        <w:rPr>
          <w:rFonts w:ascii="Arial" w:eastAsia="Calibri" w:hAnsi="Arial" w:cs="Arial"/>
          <w:sz w:val="24"/>
          <w:szCs w:val="24"/>
        </w:rPr>
      </w:pPr>
      <w:r w:rsidRPr="006935E5">
        <w:rPr>
          <w:rFonts w:ascii="Arial" w:eastAsia="Calibri" w:hAnsi="Arial" w:cs="Arial"/>
          <w:sz w:val="24"/>
          <w:szCs w:val="24"/>
        </w:rPr>
        <w:t>Learning and development is delivered through a blended approach, combining e</w:t>
      </w:r>
      <w:r w:rsidR="002763ED">
        <w:rPr>
          <w:rFonts w:ascii="Arial" w:eastAsia="Calibri" w:hAnsi="Arial" w:cs="Arial"/>
          <w:sz w:val="24"/>
          <w:szCs w:val="24"/>
        </w:rPr>
        <w:t>-l</w:t>
      </w:r>
      <w:r w:rsidRPr="006935E5">
        <w:rPr>
          <w:rFonts w:ascii="Arial" w:eastAsia="Calibri" w:hAnsi="Arial" w:cs="Arial"/>
          <w:sz w:val="24"/>
          <w:szCs w:val="24"/>
        </w:rPr>
        <w:t>earning, virtual sessions, and face-to-face training. This hybrid model enhances accessibility and flexibility, particularly during winter months and periods of remote working.</w:t>
      </w:r>
    </w:p>
    <w:p w14:paraId="7790D399" w14:textId="77777777" w:rsidR="00260391" w:rsidRDefault="00260391" w:rsidP="00260391">
      <w:pPr>
        <w:pStyle w:val="ListParagraph"/>
        <w:rPr>
          <w:rFonts w:ascii="Arial" w:eastAsia="Calibri" w:hAnsi="Arial" w:cs="Arial"/>
          <w:bCs/>
          <w:sz w:val="24"/>
          <w:szCs w:val="24"/>
        </w:rPr>
      </w:pPr>
    </w:p>
    <w:p w14:paraId="656FDD89" w14:textId="34468C60" w:rsidR="001A1290" w:rsidRDefault="00A51954" w:rsidP="00C92ECE">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In 2024 to 2025 there was </w:t>
      </w:r>
      <w:r w:rsidR="001A1290" w:rsidRPr="00B568F3">
        <w:rPr>
          <w:rFonts w:ascii="Arial" w:eastAsia="Calibri" w:hAnsi="Arial" w:cs="Arial"/>
          <w:sz w:val="24"/>
          <w:szCs w:val="24"/>
          <w:lang w:eastAsia="en-GB"/>
        </w:rPr>
        <w:t xml:space="preserve">a </w:t>
      </w:r>
      <w:r w:rsidR="001A1290">
        <w:rPr>
          <w:rFonts w:ascii="Arial" w:eastAsia="Calibri" w:hAnsi="Arial" w:cs="Arial"/>
          <w:sz w:val="24"/>
          <w:szCs w:val="24"/>
          <w:lang w:eastAsia="en-GB"/>
        </w:rPr>
        <w:t xml:space="preserve">slight </w:t>
      </w:r>
      <w:r w:rsidR="001A1290" w:rsidRPr="00B568F3">
        <w:rPr>
          <w:rFonts w:ascii="Arial" w:eastAsia="Calibri" w:hAnsi="Arial" w:cs="Arial"/>
          <w:sz w:val="24"/>
          <w:szCs w:val="24"/>
          <w:lang w:eastAsia="en-GB"/>
        </w:rPr>
        <w:t>decrease in the number of training places booked (-</w:t>
      </w:r>
      <w:r w:rsidR="001A1290">
        <w:rPr>
          <w:rFonts w:ascii="Arial" w:eastAsia="Calibri" w:hAnsi="Arial" w:cs="Arial"/>
          <w:sz w:val="24"/>
          <w:szCs w:val="24"/>
          <w:lang w:eastAsia="en-GB"/>
        </w:rPr>
        <w:t>0.5</w:t>
      </w:r>
      <w:r w:rsidR="001A1290" w:rsidRPr="00B568F3">
        <w:rPr>
          <w:rFonts w:ascii="Arial" w:eastAsia="Calibri" w:hAnsi="Arial" w:cs="Arial"/>
          <w:sz w:val="24"/>
          <w:szCs w:val="24"/>
          <w:lang w:eastAsia="en-GB"/>
        </w:rPr>
        <w:t xml:space="preserve"> per cent) </w:t>
      </w:r>
      <w:r w:rsidR="003D45C0">
        <w:rPr>
          <w:rFonts w:ascii="Arial" w:eastAsia="Calibri" w:hAnsi="Arial" w:cs="Arial"/>
          <w:sz w:val="24"/>
          <w:szCs w:val="24"/>
          <w:lang w:eastAsia="en-GB"/>
        </w:rPr>
        <w:t xml:space="preserve">but </w:t>
      </w:r>
      <w:r w:rsidR="001A1290">
        <w:rPr>
          <w:rFonts w:ascii="Arial" w:eastAsia="Calibri" w:hAnsi="Arial" w:cs="Arial"/>
          <w:sz w:val="24"/>
          <w:szCs w:val="24"/>
          <w:lang w:eastAsia="en-GB"/>
        </w:rPr>
        <w:t xml:space="preserve">an increase in </w:t>
      </w:r>
      <w:r w:rsidR="001A1290" w:rsidRPr="00B568F3">
        <w:rPr>
          <w:rFonts w:ascii="Arial" w:eastAsia="Calibri" w:hAnsi="Arial" w:cs="Arial"/>
          <w:sz w:val="24"/>
          <w:szCs w:val="24"/>
          <w:lang w:eastAsia="en-GB"/>
        </w:rPr>
        <w:t>the number of people attending (</w:t>
      </w:r>
      <w:r w:rsidR="001A1290">
        <w:rPr>
          <w:rFonts w:ascii="Arial" w:eastAsia="Calibri" w:hAnsi="Arial" w:cs="Arial"/>
          <w:sz w:val="24"/>
          <w:szCs w:val="24"/>
          <w:lang w:eastAsia="en-GB"/>
        </w:rPr>
        <w:t xml:space="preserve">+3.5 </w:t>
      </w:r>
      <w:r w:rsidR="001A1290" w:rsidRPr="00B568F3">
        <w:rPr>
          <w:rFonts w:ascii="Arial" w:eastAsia="Calibri" w:hAnsi="Arial" w:cs="Arial"/>
          <w:sz w:val="24"/>
          <w:szCs w:val="24"/>
          <w:lang w:eastAsia="en-GB"/>
        </w:rPr>
        <w:t xml:space="preserve">per cent) compared to </w:t>
      </w:r>
      <w:r w:rsidR="003D45C0">
        <w:rPr>
          <w:rFonts w:ascii="Arial" w:eastAsia="Calibri" w:hAnsi="Arial" w:cs="Arial"/>
          <w:sz w:val="24"/>
          <w:szCs w:val="24"/>
          <w:lang w:eastAsia="en-GB"/>
        </w:rPr>
        <w:t xml:space="preserve">the previous year. </w:t>
      </w:r>
    </w:p>
    <w:p w14:paraId="0F92C2E3" w14:textId="30F27936" w:rsidR="001A1290" w:rsidRDefault="001A1290" w:rsidP="001A1290">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lastRenderedPageBreak/>
        <w:t>T</w:t>
      </w:r>
      <w:r w:rsidRPr="00783CA7">
        <w:rPr>
          <w:rFonts w:ascii="Arial" w:eastAsia="Calibri" w:hAnsi="Arial" w:cs="Arial"/>
          <w:sz w:val="24"/>
          <w:szCs w:val="24"/>
          <w:lang w:eastAsia="en-GB"/>
        </w:rPr>
        <w:t>here was a</w:t>
      </w:r>
      <w:r w:rsidR="000F5813">
        <w:rPr>
          <w:rFonts w:ascii="Arial" w:eastAsia="Calibri" w:hAnsi="Arial" w:cs="Arial"/>
          <w:sz w:val="24"/>
          <w:szCs w:val="24"/>
          <w:lang w:eastAsia="en-GB"/>
        </w:rPr>
        <w:t xml:space="preserve">lso a </w:t>
      </w:r>
      <w:r w:rsidRPr="00783CA7">
        <w:rPr>
          <w:rFonts w:ascii="Arial" w:eastAsia="Calibri" w:hAnsi="Arial" w:cs="Arial"/>
          <w:sz w:val="24"/>
          <w:szCs w:val="24"/>
          <w:lang w:eastAsia="en-GB"/>
        </w:rPr>
        <w:t>significant increase in the number of training places booked by the voluntary sector (+41.5</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alongside steady growth in the private sector (+3.6</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Attendance also rose in both sectors, with an 8.9</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xml:space="preserve"> increase for the voluntary sector and an 11.9</w:t>
      </w:r>
      <w:r>
        <w:rPr>
          <w:rFonts w:ascii="Arial" w:eastAsia="Calibri" w:hAnsi="Arial" w:cs="Arial"/>
          <w:sz w:val="24"/>
          <w:szCs w:val="24"/>
          <w:lang w:eastAsia="en-GB"/>
        </w:rPr>
        <w:t xml:space="preserve"> per cent</w:t>
      </w:r>
      <w:r w:rsidRPr="00783CA7">
        <w:rPr>
          <w:rFonts w:ascii="Arial" w:eastAsia="Calibri" w:hAnsi="Arial" w:cs="Arial"/>
          <w:sz w:val="24"/>
          <w:szCs w:val="24"/>
          <w:lang w:eastAsia="en-GB"/>
        </w:rPr>
        <w:t xml:space="preserve"> increase for the private sector, </w:t>
      </w:r>
      <w:r w:rsidR="002763ED">
        <w:rPr>
          <w:rFonts w:ascii="Arial" w:eastAsia="Calibri" w:hAnsi="Arial" w:cs="Arial"/>
          <w:sz w:val="24"/>
          <w:szCs w:val="24"/>
          <w:lang w:eastAsia="en-GB"/>
        </w:rPr>
        <w:t>showing</w:t>
      </w:r>
      <w:r w:rsidR="002763ED" w:rsidRPr="00783CA7">
        <w:rPr>
          <w:rFonts w:ascii="Arial" w:eastAsia="Calibri" w:hAnsi="Arial" w:cs="Arial"/>
          <w:sz w:val="24"/>
          <w:szCs w:val="24"/>
          <w:lang w:eastAsia="en-GB"/>
        </w:rPr>
        <w:t xml:space="preserve"> </w:t>
      </w:r>
      <w:r w:rsidRPr="00783CA7">
        <w:rPr>
          <w:rFonts w:ascii="Arial" w:eastAsia="Calibri" w:hAnsi="Arial" w:cs="Arial"/>
          <w:sz w:val="24"/>
          <w:szCs w:val="24"/>
          <w:lang w:eastAsia="en-GB"/>
        </w:rPr>
        <w:t>stronger engagement and uptake of training opportunities.</w:t>
      </w:r>
    </w:p>
    <w:p w14:paraId="3690ED1B" w14:textId="77777777" w:rsidR="001A1290" w:rsidRPr="00DA6A26" w:rsidRDefault="001A1290" w:rsidP="00C92ECE">
      <w:pPr>
        <w:spacing w:after="200" w:line="276" w:lineRule="auto"/>
        <w:ind w:left="567"/>
        <w:contextualSpacing/>
        <w:rPr>
          <w:rFonts w:ascii="Arial" w:eastAsia="Calibri" w:hAnsi="Arial" w:cs="Arial"/>
          <w:sz w:val="24"/>
          <w:szCs w:val="24"/>
          <w:highlight w:val="yellow"/>
        </w:rPr>
      </w:pPr>
    </w:p>
    <w:p w14:paraId="649890BF" w14:textId="28D69344" w:rsidR="00B75A17" w:rsidRPr="00C92ECE" w:rsidRDefault="00B75A17" w:rsidP="00B75A17">
      <w:pPr>
        <w:numPr>
          <w:ilvl w:val="0"/>
          <w:numId w:val="6"/>
        </w:numPr>
        <w:spacing w:after="20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As part of the 2025 to 2026 grant circular we</w:t>
      </w:r>
      <w:r w:rsidR="002763ED">
        <w:rPr>
          <w:rFonts w:ascii="Arial" w:eastAsia="Calibri" w:hAnsi="Arial" w:cs="Arial"/>
          <w:sz w:val="24"/>
          <w:szCs w:val="24"/>
        </w:rPr>
        <w:t>’ve</w:t>
      </w:r>
      <w:r w:rsidRPr="00C92ECE">
        <w:rPr>
          <w:rFonts w:ascii="Arial" w:eastAsia="Calibri" w:hAnsi="Arial" w:cs="Arial"/>
          <w:sz w:val="24"/>
          <w:szCs w:val="24"/>
        </w:rPr>
        <w:t xml:space="preserve"> </w:t>
      </w:r>
      <w:r w:rsidR="002763ED">
        <w:rPr>
          <w:rFonts w:ascii="Arial" w:eastAsia="Calibri" w:hAnsi="Arial" w:cs="Arial"/>
          <w:sz w:val="24"/>
          <w:szCs w:val="24"/>
        </w:rPr>
        <w:t>required</w:t>
      </w:r>
      <w:r w:rsidR="00DF5127" w:rsidRPr="00C92ECE">
        <w:rPr>
          <w:rFonts w:ascii="Arial" w:eastAsia="Calibri" w:hAnsi="Arial" w:cs="Arial"/>
          <w:sz w:val="24"/>
          <w:szCs w:val="24"/>
        </w:rPr>
        <w:t xml:space="preserve"> all </w:t>
      </w:r>
      <w:r w:rsidRPr="00C92ECE">
        <w:rPr>
          <w:rFonts w:ascii="Arial" w:eastAsia="Calibri" w:hAnsi="Arial" w:cs="Arial"/>
          <w:sz w:val="24"/>
          <w:szCs w:val="24"/>
        </w:rPr>
        <w:t xml:space="preserve">local authorities </w:t>
      </w:r>
      <w:r w:rsidR="0050310B">
        <w:rPr>
          <w:rFonts w:ascii="Arial" w:eastAsia="Calibri" w:hAnsi="Arial" w:cs="Arial"/>
          <w:sz w:val="24"/>
          <w:szCs w:val="24"/>
        </w:rPr>
        <w:t xml:space="preserve">to </w:t>
      </w:r>
      <w:r w:rsidR="00B366A0" w:rsidRPr="00C92ECE">
        <w:rPr>
          <w:rFonts w:ascii="Arial" w:eastAsia="Calibri" w:hAnsi="Arial" w:cs="Arial"/>
          <w:sz w:val="24"/>
          <w:szCs w:val="24"/>
        </w:rPr>
        <w:t xml:space="preserve">publish a </w:t>
      </w:r>
      <w:r w:rsidRPr="00C92ECE">
        <w:rPr>
          <w:rFonts w:ascii="Arial" w:eastAsia="Calibri" w:hAnsi="Arial" w:cs="Arial"/>
          <w:sz w:val="24"/>
          <w:szCs w:val="24"/>
        </w:rPr>
        <w:t xml:space="preserve">digital learning and development programme that </w:t>
      </w:r>
      <w:r w:rsidR="00B242C1" w:rsidRPr="00C92ECE">
        <w:rPr>
          <w:rFonts w:ascii="Arial" w:eastAsia="Calibri" w:hAnsi="Arial" w:cs="Arial"/>
          <w:sz w:val="24"/>
          <w:szCs w:val="24"/>
        </w:rPr>
        <w:t xml:space="preserve">is accessible to </w:t>
      </w:r>
      <w:r w:rsidRPr="00C92ECE">
        <w:rPr>
          <w:rFonts w:ascii="Arial" w:eastAsia="Calibri" w:hAnsi="Arial" w:cs="Arial"/>
          <w:sz w:val="24"/>
          <w:szCs w:val="24"/>
        </w:rPr>
        <w:t>all providers</w:t>
      </w:r>
      <w:r w:rsidR="00B242C1" w:rsidRPr="00C92ECE">
        <w:rPr>
          <w:rFonts w:ascii="Arial" w:eastAsia="Calibri" w:hAnsi="Arial" w:cs="Arial"/>
          <w:sz w:val="24"/>
          <w:szCs w:val="24"/>
        </w:rPr>
        <w:t xml:space="preserve">. </w:t>
      </w:r>
      <w:r w:rsidRPr="00C92ECE">
        <w:rPr>
          <w:rFonts w:ascii="Arial" w:eastAsia="Calibri" w:hAnsi="Arial" w:cs="Arial"/>
          <w:sz w:val="24"/>
          <w:szCs w:val="24"/>
        </w:rPr>
        <w:t xml:space="preserve"> </w:t>
      </w:r>
      <w:r w:rsidR="00B242C1" w:rsidRPr="00FD4DC1">
        <w:rPr>
          <w:rFonts w:ascii="Arial" w:eastAsia="Calibri" w:hAnsi="Arial" w:cs="Arial"/>
          <w:sz w:val="24"/>
          <w:szCs w:val="24"/>
        </w:rPr>
        <w:t xml:space="preserve">To </w:t>
      </w:r>
      <w:r w:rsidR="00093DB7">
        <w:rPr>
          <w:rFonts w:ascii="Arial" w:eastAsia="Calibri" w:hAnsi="Arial" w:cs="Arial"/>
          <w:sz w:val="24"/>
          <w:szCs w:val="24"/>
        </w:rPr>
        <w:t xml:space="preserve">improve </w:t>
      </w:r>
      <w:r w:rsidR="00093DB7" w:rsidRPr="00FD4DC1">
        <w:rPr>
          <w:rFonts w:ascii="Arial" w:eastAsia="Calibri" w:hAnsi="Arial" w:cs="Arial"/>
          <w:sz w:val="24"/>
          <w:szCs w:val="24"/>
        </w:rPr>
        <w:t>transparency</w:t>
      </w:r>
      <w:r w:rsidR="00B242C1" w:rsidRPr="00FD4DC1">
        <w:rPr>
          <w:rFonts w:ascii="Arial" w:eastAsia="Calibri" w:hAnsi="Arial" w:cs="Arial"/>
          <w:sz w:val="24"/>
          <w:szCs w:val="24"/>
        </w:rPr>
        <w:t xml:space="preserve"> and collaboration, we</w:t>
      </w:r>
      <w:r w:rsidR="0050310B">
        <w:rPr>
          <w:rFonts w:ascii="Arial" w:eastAsia="Calibri" w:hAnsi="Arial" w:cs="Arial"/>
          <w:sz w:val="24"/>
          <w:szCs w:val="24"/>
        </w:rPr>
        <w:t>’ve</w:t>
      </w:r>
      <w:r w:rsidR="00B242C1" w:rsidRPr="00FD4DC1">
        <w:rPr>
          <w:rFonts w:ascii="Arial" w:eastAsia="Calibri" w:hAnsi="Arial" w:cs="Arial"/>
          <w:sz w:val="24"/>
          <w:szCs w:val="24"/>
        </w:rPr>
        <w:t xml:space="preserve"> also launched a dedicated SCWWDP webpage on our website. This page shares key information about the grant and includes contact details for workforce development teams in each local authority.</w:t>
      </w:r>
    </w:p>
    <w:p w14:paraId="4FBB03C6" w14:textId="77777777" w:rsidR="00E860C0" w:rsidRDefault="00E860C0" w:rsidP="00C92ECE">
      <w:pPr>
        <w:spacing w:after="0" w:line="276" w:lineRule="auto"/>
        <w:contextualSpacing/>
        <w:rPr>
          <w:rFonts w:ascii="Arial" w:eastAsia="Calibri" w:hAnsi="Arial" w:cs="Arial"/>
          <w:sz w:val="24"/>
          <w:szCs w:val="24"/>
        </w:rPr>
      </w:pPr>
    </w:p>
    <w:p w14:paraId="06A61E70" w14:textId="3E16B07D" w:rsidR="00AF6A28" w:rsidRPr="00BB471B" w:rsidRDefault="00904F67" w:rsidP="00E860C0">
      <w:pPr>
        <w:suppressAutoHyphens/>
        <w:autoSpaceDN w:val="0"/>
        <w:spacing w:after="0" w:line="247" w:lineRule="auto"/>
        <w:textAlignment w:val="baseline"/>
        <w:rPr>
          <w:rFonts w:ascii="Arial" w:eastAsia="Calibri" w:hAnsi="Arial" w:cs="Arial"/>
          <w:b/>
          <w:bCs/>
          <w:sz w:val="24"/>
          <w:szCs w:val="24"/>
        </w:rPr>
      </w:pPr>
      <w:r w:rsidRPr="00BB471B">
        <w:rPr>
          <w:rFonts w:ascii="Arial" w:eastAsia="Calibri" w:hAnsi="Arial" w:cs="Arial"/>
          <w:b/>
          <w:bCs/>
          <w:sz w:val="24"/>
          <w:szCs w:val="24"/>
        </w:rPr>
        <w:t>Training themes</w:t>
      </w:r>
    </w:p>
    <w:p w14:paraId="02373953" w14:textId="77777777" w:rsidR="00033438" w:rsidRPr="00E860C0" w:rsidRDefault="00033438" w:rsidP="00E860C0">
      <w:pPr>
        <w:suppressAutoHyphens/>
        <w:autoSpaceDN w:val="0"/>
        <w:spacing w:after="0" w:line="247" w:lineRule="auto"/>
        <w:textAlignment w:val="baseline"/>
        <w:rPr>
          <w:rFonts w:ascii="Arial" w:eastAsia="Calibri" w:hAnsi="Arial" w:cs="Arial"/>
          <w:b/>
          <w:bCs/>
          <w:sz w:val="24"/>
          <w:szCs w:val="24"/>
        </w:rPr>
      </w:pPr>
    </w:p>
    <w:p w14:paraId="1D1AB388" w14:textId="7D1598B0" w:rsidR="00AC654B" w:rsidRPr="00C92ECE" w:rsidRDefault="00AC654B" w:rsidP="00C92ECE">
      <w:pPr>
        <w:spacing w:after="0" w:line="276" w:lineRule="auto"/>
        <w:contextualSpacing/>
        <w:rPr>
          <w:rFonts w:ascii="Arial" w:eastAsia="Calibri" w:hAnsi="Arial" w:cs="Arial"/>
          <w:sz w:val="24"/>
          <w:szCs w:val="24"/>
        </w:rPr>
      </w:pPr>
      <w:r w:rsidRPr="00C92ECE">
        <w:rPr>
          <w:rFonts w:ascii="Arial" w:eastAsia="Calibri" w:hAnsi="Arial" w:cs="Arial"/>
          <w:sz w:val="24"/>
          <w:szCs w:val="24"/>
        </w:rPr>
        <w:t xml:space="preserve">Common themes for learning and development </w:t>
      </w:r>
      <w:r w:rsidR="00904F67" w:rsidRPr="00C92ECE">
        <w:rPr>
          <w:rFonts w:ascii="Arial" w:eastAsia="Calibri" w:hAnsi="Arial" w:cs="Arial"/>
          <w:sz w:val="24"/>
          <w:szCs w:val="24"/>
        </w:rPr>
        <w:t>matching prev</w:t>
      </w:r>
      <w:r w:rsidRPr="00C92ECE">
        <w:rPr>
          <w:rFonts w:ascii="Arial" w:eastAsia="Calibri" w:hAnsi="Arial" w:cs="Arial"/>
          <w:sz w:val="24"/>
          <w:szCs w:val="24"/>
        </w:rPr>
        <w:t>ious years reporting include:</w:t>
      </w:r>
    </w:p>
    <w:p w14:paraId="51B13BA5" w14:textId="77777777" w:rsidR="00AC654B" w:rsidRDefault="00AC654B" w:rsidP="00C92ECE">
      <w:pPr>
        <w:spacing w:after="0" w:line="276" w:lineRule="auto"/>
        <w:ind w:left="567"/>
        <w:contextualSpacing/>
        <w:rPr>
          <w:rFonts w:ascii="Arial" w:eastAsia="Calibri" w:hAnsi="Arial" w:cs="Arial"/>
          <w:sz w:val="24"/>
          <w:szCs w:val="24"/>
        </w:rPr>
      </w:pPr>
    </w:p>
    <w:p w14:paraId="0D5FFECE" w14:textId="639548D2" w:rsidR="007870B0" w:rsidRDefault="008E2F06" w:rsidP="00C92ECE">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Trauma informed practice</w:t>
      </w:r>
      <w:r w:rsidR="007870B0">
        <w:rPr>
          <w:rFonts w:ascii="Arial" w:eastAsia="Calibri" w:hAnsi="Arial" w:cs="Arial"/>
          <w:sz w:val="24"/>
          <w:szCs w:val="24"/>
        </w:rPr>
        <w:t xml:space="preserve"> </w:t>
      </w:r>
      <w:r w:rsidR="008F0154">
        <w:rPr>
          <w:rFonts w:ascii="Arial" w:eastAsia="Calibri" w:hAnsi="Arial" w:cs="Arial"/>
          <w:sz w:val="24"/>
          <w:szCs w:val="24"/>
        </w:rPr>
        <w:t>e</w:t>
      </w:r>
      <w:r w:rsidRPr="00AF6A28">
        <w:rPr>
          <w:rFonts w:ascii="Arial" w:eastAsia="Calibri" w:hAnsi="Arial" w:cs="Arial"/>
          <w:sz w:val="24"/>
          <w:szCs w:val="24"/>
        </w:rPr>
        <w:t xml:space="preserve">mbedded </w:t>
      </w:r>
      <w:r>
        <w:rPr>
          <w:rFonts w:ascii="Arial" w:eastAsia="Calibri" w:hAnsi="Arial" w:cs="Arial"/>
          <w:sz w:val="24"/>
          <w:szCs w:val="24"/>
        </w:rPr>
        <w:t>through specialist training</w:t>
      </w:r>
      <w:r w:rsidR="0050310B">
        <w:rPr>
          <w:rFonts w:ascii="Arial" w:eastAsia="Calibri" w:hAnsi="Arial" w:cs="Arial"/>
          <w:sz w:val="24"/>
          <w:szCs w:val="24"/>
        </w:rPr>
        <w:t>.</w:t>
      </w:r>
    </w:p>
    <w:p w14:paraId="2DFFC01D" w14:textId="77777777" w:rsidR="00142422" w:rsidRDefault="00142422" w:rsidP="00142422">
      <w:pPr>
        <w:spacing w:after="100" w:afterAutospacing="1" w:line="276" w:lineRule="auto"/>
        <w:ind w:left="1221"/>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142422" w:rsidRPr="00FD4DC1" w14:paraId="4442846B" w14:textId="77777777" w:rsidTr="00C92ECE">
        <w:trPr>
          <w:jc w:val="center"/>
        </w:trPr>
        <w:tc>
          <w:tcPr>
            <w:tcW w:w="9016" w:type="dxa"/>
          </w:tcPr>
          <w:p w14:paraId="25763E58" w14:textId="7256A6FB" w:rsidR="00142422" w:rsidRPr="00FD4DC1" w:rsidRDefault="009C7FE8" w:rsidP="00142422">
            <w:pPr>
              <w:spacing w:after="100" w:afterAutospacing="1" w:line="276" w:lineRule="auto"/>
              <w:contextualSpacing/>
              <w:rPr>
                <w:rFonts w:ascii="Arial" w:eastAsia="Calibri" w:hAnsi="Arial" w:cs="Arial"/>
                <w:sz w:val="24"/>
                <w:szCs w:val="24"/>
              </w:rPr>
            </w:pPr>
            <w:r w:rsidRPr="00C92ECE">
              <w:rPr>
                <w:rFonts w:ascii="Arial" w:eastAsia="Arial" w:hAnsi="Arial" w:cs="Arial"/>
                <w:sz w:val="24"/>
                <w:szCs w:val="24"/>
              </w:rPr>
              <w:t xml:space="preserve">Carmarthenshire has commissioned training for an additional </w:t>
            </w:r>
            <w:r w:rsidR="0050310B">
              <w:rPr>
                <w:rFonts w:ascii="Arial" w:eastAsia="Arial" w:hAnsi="Arial" w:cs="Arial"/>
                <w:sz w:val="24"/>
                <w:szCs w:val="24"/>
              </w:rPr>
              <w:t>two</w:t>
            </w:r>
            <w:r w:rsidRPr="00C92ECE">
              <w:rPr>
                <w:rFonts w:ascii="Arial" w:eastAsia="Arial" w:hAnsi="Arial" w:cs="Arial"/>
                <w:sz w:val="24"/>
                <w:szCs w:val="24"/>
              </w:rPr>
              <w:t xml:space="preserve"> members of staff onto the Diploma in Trauma and Mental Health Informed Schools </w:t>
            </w:r>
            <w:r w:rsidR="0050310B">
              <w:rPr>
                <w:rFonts w:ascii="Arial" w:eastAsia="Arial" w:hAnsi="Arial" w:cs="Arial"/>
                <w:sz w:val="24"/>
                <w:szCs w:val="24"/>
              </w:rPr>
              <w:t>and</w:t>
            </w:r>
            <w:r w:rsidRPr="00C92ECE">
              <w:rPr>
                <w:rFonts w:ascii="Arial" w:eastAsia="Arial" w:hAnsi="Arial" w:cs="Arial"/>
                <w:sz w:val="24"/>
                <w:szCs w:val="24"/>
              </w:rPr>
              <w:t xml:space="preserve"> Communities (Practitioner Status). Ongoing supervision sessions are now being provided for the </w:t>
            </w:r>
            <w:r w:rsidR="0050310B">
              <w:rPr>
                <w:rFonts w:ascii="Arial" w:eastAsia="Arial" w:hAnsi="Arial" w:cs="Arial"/>
                <w:sz w:val="24"/>
                <w:szCs w:val="24"/>
              </w:rPr>
              <w:t>five</w:t>
            </w:r>
            <w:r w:rsidRPr="00C92ECE">
              <w:rPr>
                <w:rFonts w:ascii="Arial" w:eastAsia="Arial" w:hAnsi="Arial" w:cs="Arial"/>
                <w:sz w:val="24"/>
                <w:szCs w:val="24"/>
              </w:rPr>
              <w:t xml:space="preserve"> staff who had completed the course earlier in the year. (Carmarthenshire – </w:t>
            </w:r>
            <w:r w:rsidR="0050310B">
              <w:rPr>
                <w:rFonts w:ascii="Arial" w:eastAsia="Arial" w:hAnsi="Arial" w:cs="Arial"/>
                <w:sz w:val="24"/>
                <w:szCs w:val="24"/>
              </w:rPr>
              <w:t>w</w:t>
            </w:r>
            <w:r w:rsidRPr="00C92ECE">
              <w:rPr>
                <w:rFonts w:ascii="Arial" w:eastAsia="Arial" w:hAnsi="Arial" w:cs="Arial"/>
                <w:sz w:val="24"/>
                <w:szCs w:val="24"/>
              </w:rPr>
              <w:t xml:space="preserve">est Wales </w:t>
            </w:r>
            <w:r w:rsidR="0050310B">
              <w:rPr>
                <w:rFonts w:ascii="Arial" w:eastAsia="Arial" w:hAnsi="Arial" w:cs="Arial"/>
                <w:sz w:val="24"/>
                <w:szCs w:val="24"/>
              </w:rPr>
              <w:t>r</w:t>
            </w:r>
            <w:r w:rsidRPr="00C92ECE">
              <w:rPr>
                <w:rFonts w:ascii="Arial" w:eastAsia="Arial" w:hAnsi="Arial" w:cs="Arial"/>
                <w:sz w:val="24"/>
                <w:szCs w:val="24"/>
              </w:rPr>
              <w:t>egion)</w:t>
            </w:r>
          </w:p>
        </w:tc>
      </w:tr>
    </w:tbl>
    <w:p w14:paraId="3AC4B537" w14:textId="77777777" w:rsidR="00142422" w:rsidRDefault="00142422" w:rsidP="00C92ECE">
      <w:pPr>
        <w:spacing w:after="100" w:afterAutospacing="1" w:line="276" w:lineRule="auto"/>
        <w:ind w:left="1221"/>
        <w:contextualSpacing/>
        <w:rPr>
          <w:rFonts w:ascii="Arial" w:eastAsia="Calibri" w:hAnsi="Arial" w:cs="Arial"/>
          <w:sz w:val="24"/>
          <w:szCs w:val="24"/>
        </w:rPr>
      </w:pPr>
    </w:p>
    <w:p w14:paraId="48ABC6DD" w14:textId="710B9F40" w:rsidR="00554EB3" w:rsidRPr="005B2E3B" w:rsidRDefault="005B2E3B" w:rsidP="00C92ECE">
      <w:pPr>
        <w:numPr>
          <w:ilvl w:val="0"/>
          <w:numId w:val="6"/>
        </w:numPr>
        <w:spacing w:after="200" w:line="276" w:lineRule="auto"/>
        <w:ind w:left="567" w:hanging="425"/>
        <w:contextualSpacing/>
        <w:rPr>
          <w:rFonts w:ascii="Arial" w:eastAsia="Calibri" w:hAnsi="Arial" w:cs="Arial"/>
          <w:sz w:val="24"/>
          <w:szCs w:val="24"/>
        </w:rPr>
      </w:pPr>
      <w:r w:rsidRPr="007870B0">
        <w:rPr>
          <w:rFonts w:ascii="Arial" w:eastAsia="Calibri" w:hAnsi="Arial" w:cs="Arial"/>
          <w:sz w:val="24"/>
          <w:szCs w:val="24"/>
        </w:rPr>
        <w:t>Strength</w:t>
      </w:r>
      <w:r w:rsidR="008E2F06" w:rsidRPr="007870B0">
        <w:rPr>
          <w:rFonts w:ascii="Arial" w:eastAsia="Calibri" w:hAnsi="Arial" w:cs="Arial"/>
          <w:sz w:val="24"/>
          <w:szCs w:val="24"/>
        </w:rPr>
        <w:t>-based practice</w:t>
      </w:r>
      <w:r w:rsidR="007870B0">
        <w:rPr>
          <w:rFonts w:ascii="Arial" w:eastAsia="Calibri" w:hAnsi="Arial" w:cs="Arial"/>
          <w:sz w:val="24"/>
          <w:szCs w:val="24"/>
        </w:rPr>
        <w:t xml:space="preserve"> </w:t>
      </w:r>
      <w:r w:rsidR="00AF6A28" w:rsidRPr="007870B0">
        <w:rPr>
          <w:rFonts w:ascii="Arial" w:eastAsia="Calibri" w:hAnsi="Arial" w:cs="Arial"/>
          <w:sz w:val="24"/>
          <w:szCs w:val="24"/>
        </w:rPr>
        <w:t>promoted through collaborative communication training</w:t>
      </w:r>
      <w:r w:rsidR="00257811" w:rsidRPr="007870B0">
        <w:rPr>
          <w:rFonts w:ascii="Arial" w:eastAsia="Calibri" w:hAnsi="Arial" w:cs="Arial"/>
          <w:sz w:val="24"/>
          <w:szCs w:val="24"/>
        </w:rPr>
        <w:t xml:space="preserve"> </w:t>
      </w:r>
      <w:r w:rsidR="007870B0">
        <w:rPr>
          <w:rFonts w:ascii="Arial" w:eastAsia="Calibri" w:hAnsi="Arial" w:cs="Arial"/>
          <w:sz w:val="24"/>
          <w:szCs w:val="24"/>
        </w:rPr>
        <w:t>and learning</w:t>
      </w:r>
      <w:r w:rsidR="0050310B">
        <w:rPr>
          <w:rFonts w:ascii="Arial" w:eastAsia="Calibri" w:hAnsi="Arial" w:cs="Arial"/>
          <w:sz w:val="24"/>
          <w:szCs w:val="24"/>
        </w:rPr>
        <w:t>.</w:t>
      </w:r>
    </w:p>
    <w:p w14:paraId="6761EE24" w14:textId="77777777" w:rsidR="00554EB3" w:rsidRDefault="00554EB3" w:rsidP="00554EB3">
      <w:pPr>
        <w:spacing w:after="0" w:line="276" w:lineRule="auto"/>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554EB3" w:rsidRPr="00FD4DC1" w14:paraId="41657C7D" w14:textId="77777777" w:rsidTr="00C92ECE">
        <w:trPr>
          <w:jc w:val="center"/>
        </w:trPr>
        <w:tc>
          <w:tcPr>
            <w:tcW w:w="9016" w:type="dxa"/>
          </w:tcPr>
          <w:p w14:paraId="57763959" w14:textId="7748D7F3" w:rsidR="00554EB3" w:rsidRPr="00C92ECE" w:rsidRDefault="00554EB3" w:rsidP="00554EB3">
            <w:pPr>
              <w:rPr>
                <w:rFonts w:ascii="Arial" w:eastAsia="Calibri" w:hAnsi="Arial" w:cs="Arial"/>
                <w:sz w:val="24"/>
                <w:szCs w:val="24"/>
              </w:rPr>
            </w:pPr>
            <w:r w:rsidRPr="00C92ECE">
              <w:rPr>
                <w:rFonts w:ascii="Arial" w:eastAsia="Calibri" w:hAnsi="Arial" w:cs="Arial"/>
                <w:sz w:val="24"/>
                <w:szCs w:val="24"/>
              </w:rPr>
              <w:t xml:space="preserve">Cardiff Children’s Services has drafted a new practice model that incorporates </w:t>
            </w:r>
            <w:r w:rsidR="0050310B">
              <w:rPr>
                <w:rFonts w:ascii="Arial" w:eastAsia="Calibri" w:hAnsi="Arial" w:cs="Arial"/>
                <w:sz w:val="24"/>
                <w:szCs w:val="24"/>
              </w:rPr>
              <w:t>m</w:t>
            </w:r>
            <w:r w:rsidRPr="00C92ECE">
              <w:rPr>
                <w:rFonts w:ascii="Arial" w:eastAsia="Calibri" w:hAnsi="Arial" w:cs="Arial"/>
                <w:sz w:val="24"/>
                <w:szCs w:val="24"/>
              </w:rPr>
              <w:t xml:space="preserve">otivational </w:t>
            </w:r>
            <w:r w:rsidR="0050310B">
              <w:rPr>
                <w:rFonts w:ascii="Arial" w:eastAsia="Calibri" w:hAnsi="Arial" w:cs="Arial"/>
                <w:sz w:val="24"/>
                <w:szCs w:val="24"/>
              </w:rPr>
              <w:t>i</w:t>
            </w:r>
            <w:r w:rsidRPr="00C92ECE">
              <w:rPr>
                <w:rFonts w:ascii="Arial" w:eastAsia="Calibri" w:hAnsi="Arial" w:cs="Arial"/>
                <w:sz w:val="24"/>
                <w:szCs w:val="24"/>
              </w:rPr>
              <w:t xml:space="preserve">nterviewing, </w:t>
            </w:r>
            <w:r w:rsidR="0050310B">
              <w:rPr>
                <w:rFonts w:ascii="Arial" w:eastAsia="Calibri" w:hAnsi="Arial" w:cs="Arial"/>
                <w:sz w:val="24"/>
                <w:szCs w:val="24"/>
              </w:rPr>
              <w:t>t</w:t>
            </w:r>
            <w:r w:rsidRPr="00C92ECE">
              <w:rPr>
                <w:rFonts w:ascii="Arial" w:eastAsia="Calibri" w:hAnsi="Arial" w:cs="Arial"/>
                <w:sz w:val="24"/>
                <w:szCs w:val="24"/>
              </w:rPr>
              <w:t>rauma-</w:t>
            </w:r>
            <w:r w:rsidR="0050310B">
              <w:rPr>
                <w:rFonts w:ascii="Arial" w:eastAsia="Calibri" w:hAnsi="Arial" w:cs="Arial"/>
                <w:sz w:val="24"/>
                <w:szCs w:val="24"/>
              </w:rPr>
              <w:t>i</w:t>
            </w:r>
            <w:r w:rsidRPr="00C92ECE">
              <w:rPr>
                <w:rFonts w:ascii="Arial" w:eastAsia="Calibri" w:hAnsi="Arial" w:cs="Arial"/>
                <w:sz w:val="24"/>
                <w:szCs w:val="24"/>
              </w:rPr>
              <w:t xml:space="preserve">nformed </w:t>
            </w:r>
            <w:r w:rsidR="0050310B">
              <w:rPr>
                <w:rFonts w:ascii="Arial" w:eastAsia="Calibri" w:hAnsi="Arial" w:cs="Arial"/>
                <w:sz w:val="24"/>
                <w:szCs w:val="24"/>
              </w:rPr>
              <w:t>a</w:t>
            </w:r>
            <w:r w:rsidRPr="00C92ECE">
              <w:rPr>
                <w:rFonts w:ascii="Arial" w:eastAsia="Calibri" w:hAnsi="Arial" w:cs="Arial"/>
                <w:sz w:val="24"/>
                <w:szCs w:val="24"/>
              </w:rPr>
              <w:t xml:space="preserve">pproaches, and </w:t>
            </w:r>
            <w:r w:rsidR="0050310B">
              <w:rPr>
                <w:rFonts w:ascii="Arial" w:eastAsia="Calibri" w:hAnsi="Arial" w:cs="Arial"/>
                <w:sz w:val="24"/>
                <w:szCs w:val="24"/>
              </w:rPr>
              <w:t>s</w:t>
            </w:r>
            <w:r w:rsidRPr="00C92ECE">
              <w:rPr>
                <w:rFonts w:ascii="Arial" w:eastAsia="Calibri" w:hAnsi="Arial" w:cs="Arial"/>
                <w:sz w:val="24"/>
                <w:szCs w:val="24"/>
              </w:rPr>
              <w:t>trengths-</w:t>
            </w:r>
            <w:r w:rsidR="0050310B">
              <w:rPr>
                <w:rFonts w:ascii="Arial" w:eastAsia="Calibri" w:hAnsi="Arial" w:cs="Arial"/>
                <w:sz w:val="24"/>
                <w:szCs w:val="24"/>
              </w:rPr>
              <w:t>b</w:t>
            </w:r>
            <w:r w:rsidRPr="00C92ECE">
              <w:rPr>
                <w:rFonts w:ascii="Arial" w:eastAsia="Calibri" w:hAnsi="Arial" w:cs="Arial"/>
                <w:sz w:val="24"/>
                <w:szCs w:val="24"/>
              </w:rPr>
              <w:t xml:space="preserve">ased </w:t>
            </w:r>
            <w:r w:rsidR="0050310B">
              <w:rPr>
                <w:rFonts w:ascii="Arial" w:eastAsia="Calibri" w:hAnsi="Arial" w:cs="Arial"/>
                <w:sz w:val="24"/>
                <w:szCs w:val="24"/>
              </w:rPr>
              <w:t>p</w:t>
            </w:r>
            <w:r w:rsidRPr="00C92ECE">
              <w:rPr>
                <w:rFonts w:ascii="Arial" w:eastAsia="Calibri" w:hAnsi="Arial" w:cs="Arial"/>
                <w:sz w:val="24"/>
                <w:szCs w:val="24"/>
              </w:rPr>
              <w:t>ractice. This continues to develop through innovation coaching sessions with Social Care Wales.</w:t>
            </w:r>
          </w:p>
          <w:p w14:paraId="6D82DDAD" w14:textId="77777777" w:rsidR="00554EB3" w:rsidRPr="00C92ECE" w:rsidRDefault="00554EB3" w:rsidP="00554EB3">
            <w:pPr>
              <w:rPr>
                <w:rFonts w:ascii="Arial" w:eastAsia="Calibri" w:hAnsi="Arial" w:cs="Arial"/>
                <w:bCs/>
                <w:color w:val="FF0000"/>
                <w:sz w:val="24"/>
                <w:szCs w:val="24"/>
              </w:rPr>
            </w:pPr>
          </w:p>
          <w:p w14:paraId="507F2797" w14:textId="7EC53ED3" w:rsidR="00554EB3" w:rsidRPr="00C92ECE" w:rsidRDefault="00554EB3" w:rsidP="00554EB3">
            <w:pPr>
              <w:rPr>
                <w:rFonts w:ascii="Arial" w:eastAsia="Calibri" w:hAnsi="Arial" w:cs="Arial"/>
                <w:sz w:val="24"/>
                <w:szCs w:val="24"/>
              </w:rPr>
            </w:pPr>
            <w:r w:rsidRPr="00C92ECE">
              <w:rPr>
                <w:rFonts w:ascii="Arial" w:eastAsia="Calibri" w:hAnsi="Arial" w:cs="Arial"/>
                <w:sz w:val="24"/>
                <w:szCs w:val="24"/>
              </w:rPr>
              <w:t xml:space="preserve">Twelve practitioners completed a </w:t>
            </w:r>
            <w:r w:rsidR="00041C0F">
              <w:rPr>
                <w:rFonts w:ascii="Arial" w:eastAsia="Calibri" w:hAnsi="Arial" w:cs="Arial"/>
                <w:sz w:val="24"/>
                <w:szCs w:val="24"/>
              </w:rPr>
              <w:t>t</w:t>
            </w:r>
            <w:r w:rsidRPr="00C92ECE">
              <w:rPr>
                <w:rFonts w:ascii="Arial" w:eastAsia="Calibri" w:hAnsi="Arial" w:cs="Arial"/>
                <w:sz w:val="24"/>
                <w:szCs w:val="24"/>
              </w:rPr>
              <w:t>rain-the-</w:t>
            </w:r>
            <w:r w:rsidR="00041C0F">
              <w:rPr>
                <w:rFonts w:ascii="Arial" w:eastAsia="Calibri" w:hAnsi="Arial" w:cs="Arial"/>
                <w:sz w:val="24"/>
                <w:szCs w:val="24"/>
              </w:rPr>
              <w:t>t</w:t>
            </w:r>
            <w:r w:rsidRPr="00C92ECE">
              <w:rPr>
                <w:rFonts w:ascii="Arial" w:eastAsia="Calibri" w:hAnsi="Arial" w:cs="Arial"/>
                <w:sz w:val="24"/>
                <w:szCs w:val="24"/>
              </w:rPr>
              <w:t xml:space="preserve">rainer course in </w:t>
            </w:r>
            <w:r w:rsidR="00041C0F">
              <w:rPr>
                <w:rFonts w:ascii="Arial" w:eastAsia="Calibri" w:hAnsi="Arial" w:cs="Arial"/>
                <w:sz w:val="24"/>
                <w:szCs w:val="24"/>
              </w:rPr>
              <w:t>m</w:t>
            </w:r>
            <w:r w:rsidRPr="00C92ECE">
              <w:rPr>
                <w:rFonts w:ascii="Arial" w:eastAsia="Calibri" w:hAnsi="Arial" w:cs="Arial"/>
                <w:sz w:val="24"/>
                <w:szCs w:val="24"/>
              </w:rPr>
              <w:t xml:space="preserve">otivational </w:t>
            </w:r>
            <w:r w:rsidR="00041C0F">
              <w:rPr>
                <w:rFonts w:ascii="Arial" w:eastAsia="Calibri" w:hAnsi="Arial" w:cs="Arial"/>
                <w:sz w:val="24"/>
                <w:szCs w:val="24"/>
              </w:rPr>
              <w:t>i</w:t>
            </w:r>
            <w:r w:rsidRPr="00C92ECE">
              <w:rPr>
                <w:rFonts w:ascii="Arial" w:eastAsia="Calibri" w:hAnsi="Arial" w:cs="Arial"/>
                <w:sz w:val="24"/>
                <w:szCs w:val="24"/>
              </w:rPr>
              <w:t>nterviewing. They</w:t>
            </w:r>
            <w:r w:rsidR="00041C0F">
              <w:rPr>
                <w:rFonts w:ascii="Arial" w:eastAsia="Calibri" w:hAnsi="Arial" w:cs="Arial"/>
                <w:sz w:val="24"/>
                <w:szCs w:val="24"/>
              </w:rPr>
              <w:t>’ve</w:t>
            </w:r>
            <w:r w:rsidRPr="00C92ECE">
              <w:rPr>
                <w:rFonts w:ascii="Arial" w:eastAsia="Calibri" w:hAnsi="Arial" w:cs="Arial"/>
                <w:sz w:val="24"/>
                <w:szCs w:val="24"/>
              </w:rPr>
              <w:t xml:space="preserve"> since developed bespoke training materials for Cardiff, with a rollout planned over an 18-month period starting in 2025</w:t>
            </w:r>
            <w:r w:rsidR="00041C0F">
              <w:rPr>
                <w:rFonts w:ascii="Arial" w:eastAsia="Calibri" w:hAnsi="Arial" w:cs="Arial"/>
                <w:sz w:val="24"/>
                <w:szCs w:val="24"/>
              </w:rPr>
              <w:t xml:space="preserve"> to 20</w:t>
            </w:r>
            <w:r w:rsidRPr="00C92ECE">
              <w:rPr>
                <w:rFonts w:ascii="Arial" w:eastAsia="Calibri" w:hAnsi="Arial" w:cs="Arial"/>
                <w:sz w:val="24"/>
                <w:szCs w:val="24"/>
              </w:rPr>
              <w:t>26.</w:t>
            </w:r>
          </w:p>
          <w:p w14:paraId="391E9B81" w14:textId="77777777" w:rsidR="00554EB3" w:rsidRPr="00C92ECE" w:rsidRDefault="00554EB3" w:rsidP="00554EB3">
            <w:pPr>
              <w:rPr>
                <w:rFonts w:ascii="Arial" w:eastAsia="Calibri" w:hAnsi="Arial" w:cs="Arial"/>
                <w:sz w:val="24"/>
                <w:szCs w:val="24"/>
              </w:rPr>
            </w:pPr>
          </w:p>
          <w:p w14:paraId="664080EC" w14:textId="3F2C8214" w:rsidR="00554EB3" w:rsidRPr="00C92ECE" w:rsidRDefault="00554EB3" w:rsidP="00554EB3">
            <w:pPr>
              <w:rPr>
                <w:rFonts w:ascii="Arial" w:eastAsia="Calibri" w:hAnsi="Arial" w:cs="Arial"/>
                <w:sz w:val="24"/>
                <w:szCs w:val="24"/>
              </w:rPr>
            </w:pPr>
            <w:r w:rsidRPr="00C92ECE">
              <w:rPr>
                <w:rFonts w:ascii="Arial" w:eastAsia="Calibri" w:hAnsi="Arial" w:cs="Arial"/>
                <w:sz w:val="24"/>
                <w:szCs w:val="24"/>
              </w:rPr>
              <w:t xml:space="preserve">Children’s Services also offers an </w:t>
            </w:r>
            <w:r w:rsidR="00041C0F">
              <w:rPr>
                <w:rFonts w:ascii="Arial" w:eastAsia="Calibri" w:hAnsi="Arial" w:cs="Arial"/>
                <w:sz w:val="24"/>
                <w:szCs w:val="24"/>
              </w:rPr>
              <w:t>i</w:t>
            </w:r>
            <w:r w:rsidRPr="00C92ECE">
              <w:rPr>
                <w:rFonts w:ascii="Arial" w:eastAsia="Calibri" w:hAnsi="Arial" w:cs="Arial"/>
                <w:sz w:val="24"/>
                <w:szCs w:val="24"/>
              </w:rPr>
              <w:t xml:space="preserve">ntroduction to </w:t>
            </w:r>
            <w:r w:rsidR="00041C0F">
              <w:rPr>
                <w:rFonts w:ascii="Arial" w:eastAsia="Calibri" w:hAnsi="Arial" w:cs="Arial"/>
                <w:sz w:val="24"/>
                <w:szCs w:val="24"/>
              </w:rPr>
              <w:t>t</w:t>
            </w:r>
            <w:r w:rsidRPr="00C92ECE">
              <w:rPr>
                <w:rFonts w:ascii="Arial" w:eastAsia="Calibri" w:hAnsi="Arial" w:cs="Arial"/>
                <w:sz w:val="24"/>
                <w:szCs w:val="24"/>
              </w:rPr>
              <w:t>rauma-</w:t>
            </w:r>
            <w:r w:rsidR="00041C0F">
              <w:rPr>
                <w:rFonts w:ascii="Arial" w:eastAsia="Calibri" w:hAnsi="Arial" w:cs="Arial"/>
                <w:sz w:val="24"/>
                <w:szCs w:val="24"/>
              </w:rPr>
              <w:t>i</w:t>
            </w:r>
            <w:r w:rsidRPr="00C92ECE">
              <w:rPr>
                <w:rFonts w:ascii="Arial" w:eastAsia="Calibri" w:hAnsi="Arial" w:cs="Arial"/>
                <w:sz w:val="24"/>
                <w:szCs w:val="24"/>
              </w:rPr>
              <w:t xml:space="preserve">nformed </w:t>
            </w:r>
            <w:r w:rsidR="00041C0F">
              <w:rPr>
                <w:rFonts w:ascii="Arial" w:eastAsia="Calibri" w:hAnsi="Arial" w:cs="Arial"/>
                <w:sz w:val="24"/>
                <w:szCs w:val="24"/>
              </w:rPr>
              <w:t>a</w:t>
            </w:r>
            <w:r w:rsidRPr="00C92ECE">
              <w:rPr>
                <w:rFonts w:ascii="Arial" w:eastAsia="Calibri" w:hAnsi="Arial" w:cs="Arial"/>
                <w:sz w:val="24"/>
                <w:szCs w:val="24"/>
              </w:rPr>
              <w:t>pproaches, aligned with the new practice model. In 2024</w:t>
            </w:r>
            <w:r w:rsidR="00041C0F">
              <w:rPr>
                <w:rFonts w:ascii="Arial" w:eastAsia="Calibri" w:hAnsi="Arial" w:cs="Arial"/>
                <w:sz w:val="24"/>
                <w:szCs w:val="24"/>
              </w:rPr>
              <w:t xml:space="preserve"> to 20</w:t>
            </w:r>
            <w:r w:rsidRPr="00C92ECE">
              <w:rPr>
                <w:rFonts w:ascii="Arial" w:eastAsia="Calibri" w:hAnsi="Arial" w:cs="Arial"/>
                <w:sz w:val="24"/>
                <w:szCs w:val="24"/>
              </w:rPr>
              <w:t xml:space="preserve">25, nine senior managers completed a Diploma in Trauma to become experts in </w:t>
            </w:r>
            <w:r w:rsidR="00041C0F">
              <w:rPr>
                <w:rFonts w:ascii="Arial" w:eastAsia="Calibri" w:hAnsi="Arial" w:cs="Arial"/>
                <w:sz w:val="24"/>
                <w:szCs w:val="24"/>
              </w:rPr>
              <w:t>t</w:t>
            </w:r>
            <w:r w:rsidRPr="00C92ECE">
              <w:rPr>
                <w:rFonts w:ascii="Arial" w:eastAsia="Calibri" w:hAnsi="Arial" w:cs="Arial"/>
                <w:sz w:val="24"/>
                <w:szCs w:val="24"/>
              </w:rPr>
              <w:t>rauma-</w:t>
            </w:r>
            <w:r w:rsidR="00041C0F">
              <w:rPr>
                <w:rFonts w:ascii="Arial" w:eastAsia="Calibri" w:hAnsi="Arial" w:cs="Arial"/>
                <w:sz w:val="24"/>
                <w:szCs w:val="24"/>
              </w:rPr>
              <w:t>i</w:t>
            </w:r>
            <w:r w:rsidRPr="00C92ECE">
              <w:rPr>
                <w:rFonts w:ascii="Arial" w:eastAsia="Calibri" w:hAnsi="Arial" w:cs="Arial"/>
                <w:sz w:val="24"/>
                <w:szCs w:val="24"/>
              </w:rPr>
              <w:t xml:space="preserve">nformed </w:t>
            </w:r>
            <w:r w:rsidR="00041C0F">
              <w:rPr>
                <w:rFonts w:ascii="Arial" w:eastAsia="Calibri" w:hAnsi="Arial" w:cs="Arial"/>
                <w:sz w:val="24"/>
                <w:szCs w:val="24"/>
              </w:rPr>
              <w:t>p</w:t>
            </w:r>
            <w:r w:rsidRPr="00C92ECE">
              <w:rPr>
                <w:rFonts w:ascii="Arial" w:eastAsia="Calibri" w:hAnsi="Arial" w:cs="Arial"/>
                <w:sz w:val="24"/>
                <w:szCs w:val="24"/>
              </w:rPr>
              <w:t xml:space="preserve">ractice. They will </w:t>
            </w:r>
            <w:r w:rsidR="00041C0F">
              <w:rPr>
                <w:rFonts w:ascii="Arial" w:eastAsia="Calibri" w:hAnsi="Arial" w:cs="Arial"/>
                <w:sz w:val="24"/>
                <w:szCs w:val="24"/>
              </w:rPr>
              <w:t>share</w:t>
            </w:r>
            <w:r w:rsidRPr="00C92ECE">
              <w:rPr>
                <w:rFonts w:ascii="Arial" w:eastAsia="Calibri" w:hAnsi="Arial" w:cs="Arial"/>
                <w:sz w:val="24"/>
                <w:szCs w:val="24"/>
              </w:rPr>
              <w:t xml:space="preserve"> their learning across the service in 2025</w:t>
            </w:r>
            <w:r w:rsidR="00041C0F">
              <w:rPr>
                <w:rFonts w:ascii="Arial" w:eastAsia="Calibri" w:hAnsi="Arial" w:cs="Arial"/>
                <w:sz w:val="24"/>
                <w:szCs w:val="24"/>
              </w:rPr>
              <w:t xml:space="preserve"> to 20</w:t>
            </w:r>
            <w:r w:rsidRPr="00C92ECE">
              <w:rPr>
                <w:rFonts w:ascii="Arial" w:eastAsia="Calibri" w:hAnsi="Arial" w:cs="Arial"/>
                <w:sz w:val="24"/>
                <w:szCs w:val="24"/>
              </w:rPr>
              <w:t>26.</w:t>
            </w:r>
          </w:p>
          <w:p w14:paraId="539ECE80" w14:textId="77777777" w:rsidR="00554EB3" w:rsidRPr="00C92ECE" w:rsidRDefault="00554EB3" w:rsidP="00554EB3">
            <w:pPr>
              <w:rPr>
                <w:rFonts w:ascii="Arial" w:eastAsia="Calibri" w:hAnsi="Arial" w:cs="Arial"/>
                <w:sz w:val="24"/>
                <w:szCs w:val="24"/>
              </w:rPr>
            </w:pPr>
          </w:p>
          <w:p w14:paraId="0E64EC81" w14:textId="1E40B24D" w:rsidR="00554EB3" w:rsidRPr="00C92ECE" w:rsidRDefault="00554EB3" w:rsidP="00554EB3">
            <w:pPr>
              <w:rPr>
                <w:rFonts w:ascii="Arial" w:eastAsia="Calibri" w:hAnsi="Arial" w:cs="Arial"/>
                <w:sz w:val="24"/>
                <w:szCs w:val="24"/>
              </w:rPr>
            </w:pPr>
            <w:r w:rsidRPr="00C92ECE">
              <w:rPr>
                <w:rFonts w:ascii="Arial" w:eastAsia="Calibri" w:hAnsi="Arial" w:cs="Arial"/>
                <w:sz w:val="24"/>
                <w:szCs w:val="24"/>
              </w:rPr>
              <w:lastRenderedPageBreak/>
              <w:t xml:space="preserve">Staff working with </w:t>
            </w:r>
            <w:r w:rsidR="00041C0F">
              <w:rPr>
                <w:rFonts w:ascii="Arial" w:eastAsia="Calibri" w:hAnsi="Arial" w:cs="Arial"/>
                <w:sz w:val="24"/>
                <w:szCs w:val="24"/>
              </w:rPr>
              <w:t xml:space="preserve">looked after </w:t>
            </w:r>
            <w:r w:rsidRPr="00C92ECE">
              <w:rPr>
                <w:rFonts w:ascii="Arial" w:eastAsia="Calibri" w:hAnsi="Arial" w:cs="Arial"/>
                <w:sz w:val="24"/>
                <w:szCs w:val="24"/>
              </w:rPr>
              <w:t xml:space="preserve">children in Cardiff and the Vale have access to a psychology-led PACE, </w:t>
            </w:r>
            <w:r w:rsidR="00041C0F">
              <w:rPr>
                <w:rFonts w:ascii="Arial" w:eastAsia="Calibri" w:hAnsi="Arial" w:cs="Arial"/>
                <w:sz w:val="24"/>
                <w:szCs w:val="24"/>
              </w:rPr>
              <w:t>a</w:t>
            </w:r>
            <w:r w:rsidRPr="00C92ECE">
              <w:rPr>
                <w:rFonts w:ascii="Arial" w:eastAsia="Calibri" w:hAnsi="Arial" w:cs="Arial"/>
                <w:sz w:val="24"/>
                <w:szCs w:val="24"/>
              </w:rPr>
              <w:t xml:space="preserve">ttachment and </w:t>
            </w:r>
            <w:r w:rsidR="00041C0F">
              <w:rPr>
                <w:rFonts w:ascii="Arial" w:eastAsia="Calibri" w:hAnsi="Arial" w:cs="Arial"/>
                <w:sz w:val="24"/>
                <w:szCs w:val="24"/>
              </w:rPr>
              <w:t>t</w:t>
            </w:r>
            <w:r w:rsidRPr="00C92ECE">
              <w:rPr>
                <w:rFonts w:ascii="Arial" w:eastAsia="Calibri" w:hAnsi="Arial" w:cs="Arial"/>
                <w:sz w:val="24"/>
                <w:szCs w:val="24"/>
              </w:rPr>
              <w:t xml:space="preserve">rauma course provided by ENFYS. (Cardiff – Cardiff and the Vale </w:t>
            </w:r>
            <w:r w:rsidR="00041C0F">
              <w:rPr>
                <w:rFonts w:ascii="Arial" w:eastAsia="Calibri" w:hAnsi="Arial" w:cs="Arial"/>
                <w:sz w:val="24"/>
                <w:szCs w:val="24"/>
              </w:rPr>
              <w:t>r</w:t>
            </w:r>
            <w:r w:rsidRPr="00C92ECE">
              <w:rPr>
                <w:rFonts w:ascii="Arial" w:eastAsia="Calibri" w:hAnsi="Arial" w:cs="Arial"/>
                <w:sz w:val="24"/>
                <w:szCs w:val="24"/>
              </w:rPr>
              <w:t>egion)</w:t>
            </w:r>
          </w:p>
          <w:p w14:paraId="62786FCA" w14:textId="77777777" w:rsidR="00554EB3" w:rsidRPr="00FD4DC1" w:rsidRDefault="00554EB3" w:rsidP="00554EB3">
            <w:pPr>
              <w:spacing w:line="276" w:lineRule="auto"/>
              <w:contextualSpacing/>
              <w:rPr>
                <w:rFonts w:ascii="Arial" w:eastAsia="Calibri" w:hAnsi="Arial" w:cs="Arial"/>
                <w:sz w:val="24"/>
                <w:szCs w:val="24"/>
              </w:rPr>
            </w:pPr>
          </w:p>
        </w:tc>
      </w:tr>
    </w:tbl>
    <w:p w14:paraId="741BC8D4" w14:textId="77777777" w:rsidR="001D03FB" w:rsidRDefault="001D03FB" w:rsidP="00554EB3">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1D03FB" w:rsidRPr="00FD4DC1" w14:paraId="3E0E3DCE" w14:textId="77777777" w:rsidTr="001D03FB">
        <w:tc>
          <w:tcPr>
            <w:tcW w:w="9016" w:type="dxa"/>
          </w:tcPr>
          <w:p w14:paraId="53AF6DD2" w14:textId="0F043E92" w:rsidR="00B24038" w:rsidRPr="0019368B" w:rsidRDefault="00B24038" w:rsidP="0019368B">
            <w:pPr>
              <w:rPr>
                <w:rFonts w:ascii="Arial" w:eastAsia="Calibri" w:hAnsi="Arial" w:cs="Arial"/>
                <w:bCs/>
                <w:sz w:val="24"/>
                <w:szCs w:val="24"/>
              </w:rPr>
            </w:pPr>
            <w:r w:rsidRPr="0019368B">
              <w:rPr>
                <w:rFonts w:ascii="Arial" w:eastAsia="Calibri" w:hAnsi="Arial" w:cs="Arial"/>
                <w:bCs/>
                <w:sz w:val="24"/>
                <w:szCs w:val="24"/>
              </w:rPr>
              <w:t>There</w:t>
            </w:r>
            <w:r w:rsidR="00041C0F">
              <w:rPr>
                <w:rFonts w:ascii="Arial" w:eastAsia="Calibri" w:hAnsi="Arial" w:cs="Arial"/>
                <w:bCs/>
                <w:sz w:val="24"/>
                <w:szCs w:val="24"/>
              </w:rPr>
              <w:t>’s</w:t>
            </w:r>
            <w:r w:rsidRPr="0019368B">
              <w:rPr>
                <w:rFonts w:ascii="Arial" w:eastAsia="Calibri" w:hAnsi="Arial" w:cs="Arial"/>
                <w:bCs/>
                <w:sz w:val="24"/>
                <w:szCs w:val="24"/>
              </w:rPr>
              <w:t xml:space="preserve"> a renewed commitment to strengths-based practice </w:t>
            </w:r>
            <w:r w:rsidR="00E115A9">
              <w:rPr>
                <w:rFonts w:ascii="Arial" w:eastAsia="Calibri" w:hAnsi="Arial" w:cs="Arial"/>
                <w:bCs/>
                <w:sz w:val="24"/>
                <w:szCs w:val="24"/>
              </w:rPr>
              <w:t>in</w:t>
            </w:r>
            <w:r w:rsidR="00E115A9" w:rsidRPr="0019368B">
              <w:rPr>
                <w:rFonts w:ascii="Arial" w:eastAsia="Calibri" w:hAnsi="Arial" w:cs="Arial"/>
                <w:bCs/>
                <w:sz w:val="24"/>
                <w:szCs w:val="24"/>
              </w:rPr>
              <w:t xml:space="preserve"> </w:t>
            </w:r>
            <w:r w:rsidRPr="0019368B">
              <w:rPr>
                <w:rFonts w:ascii="Arial" w:eastAsia="Calibri" w:hAnsi="Arial" w:cs="Arial"/>
                <w:bCs/>
                <w:sz w:val="24"/>
                <w:szCs w:val="24"/>
              </w:rPr>
              <w:t xml:space="preserve">adult services, with all services thinking about how </w:t>
            </w:r>
            <w:r w:rsidR="00E115A9">
              <w:rPr>
                <w:rFonts w:ascii="Arial" w:eastAsia="Calibri" w:hAnsi="Arial" w:cs="Arial"/>
                <w:bCs/>
                <w:sz w:val="24"/>
                <w:szCs w:val="24"/>
              </w:rPr>
              <w:t xml:space="preserve">to embed and show evidence of </w:t>
            </w:r>
            <w:r w:rsidRPr="0019368B">
              <w:rPr>
                <w:rFonts w:ascii="Arial" w:eastAsia="Calibri" w:hAnsi="Arial" w:cs="Arial"/>
                <w:bCs/>
                <w:sz w:val="24"/>
                <w:szCs w:val="24"/>
              </w:rPr>
              <w:t xml:space="preserve">strengths-based practice. This </w:t>
            </w:r>
            <w:r w:rsidR="004E0FF9">
              <w:rPr>
                <w:rFonts w:ascii="Arial" w:eastAsia="Calibri" w:hAnsi="Arial" w:cs="Arial"/>
                <w:bCs/>
                <w:sz w:val="24"/>
                <w:szCs w:val="24"/>
              </w:rPr>
              <w:t>was highlighted</w:t>
            </w:r>
            <w:r w:rsidRPr="0019368B">
              <w:rPr>
                <w:rFonts w:ascii="Arial" w:eastAsia="Calibri" w:hAnsi="Arial" w:cs="Arial"/>
                <w:bCs/>
                <w:sz w:val="24"/>
                <w:szCs w:val="24"/>
              </w:rPr>
              <w:t xml:space="preserve"> in the Swansea Council inspection in April to May 2024, where it has been noted that the collaborative communication model can be </w:t>
            </w:r>
            <w:r w:rsidR="004E0FF9">
              <w:rPr>
                <w:rFonts w:ascii="Arial" w:eastAsia="Calibri" w:hAnsi="Arial" w:cs="Arial"/>
                <w:bCs/>
                <w:sz w:val="24"/>
                <w:szCs w:val="24"/>
              </w:rPr>
              <w:t>seen in staff</w:t>
            </w:r>
            <w:r w:rsidRPr="0019368B">
              <w:rPr>
                <w:rFonts w:ascii="Arial" w:eastAsia="Calibri" w:hAnsi="Arial" w:cs="Arial"/>
                <w:bCs/>
                <w:sz w:val="24"/>
                <w:szCs w:val="24"/>
              </w:rPr>
              <w:t xml:space="preserve"> discussion, and in social care records. </w:t>
            </w:r>
            <w:r w:rsidR="004E0FF9">
              <w:rPr>
                <w:rFonts w:ascii="Arial" w:eastAsia="Calibri" w:hAnsi="Arial" w:cs="Arial"/>
                <w:bCs/>
                <w:sz w:val="24"/>
                <w:szCs w:val="24"/>
              </w:rPr>
              <w:t>‘</w:t>
            </w:r>
            <w:r w:rsidRPr="0019368B">
              <w:rPr>
                <w:rFonts w:ascii="Arial" w:eastAsia="Calibri" w:hAnsi="Arial" w:cs="Arial"/>
                <w:bCs/>
                <w:sz w:val="24"/>
                <w:szCs w:val="24"/>
              </w:rPr>
              <w:t>What matters</w:t>
            </w:r>
            <w:r w:rsidR="004E0FF9">
              <w:rPr>
                <w:rFonts w:ascii="Arial" w:eastAsia="Calibri" w:hAnsi="Arial" w:cs="Arial"/>
                <w:bCs/>
                <w:sz w:val="24"/>
                <w:szCs w:val="24"/>
              </w:rPr>
              <w:t>’</w:t>
            </w:r>
            <w:r w:rsidRPr="0019368B">
              <w:rPr>
                <w:rFonts w:ascii="Arial" w:eastAsia="Calibri" w:hAnsi="Arial" w:cs="Arial"/>
                <w:bCs/>
                <w:sz w:val="24"/>
                <w:szCs w:val="24"/>
              </w:rPr>
              <w:t xml:space="preserve"> conversations with the use of tools such as scaling questions to evidence goals.</w:t>
            </w:r>
          </w:p>
          <w:p w14:paraId="0C14E4EA" w14:textId="77777777" w:rsidR="00B24038" w:rsidRPr="0019368B" w:rsidRDefault="00B24038" w:rsidP="0019368B">
            <w:pPr>
              <w:rPr>
                <w:rFonts w:ascii="Arial" w:eastAsia="Calibri" w:hAnsi="Arial" w:cs="Arial"/>
                <w:bCs/>
                <w:sz w:val="24"/>
                <w:szCs w:val="24"/>
              </w:rPr>
            </w:pPr>
          </w:p>
          <w:p w14:paraId="4EEEE684" w14:textId="4A725203" w:rsidR="001D03FB" w:rsidRPr="00FD4DC1" w:rsidRDefault="00B24038" w:rsidP="0019368B">
            <w:pPr>
              <w:rPr>
                <w:rFonts w:ascii="Arial" w:eastAsia="Calibri" w:hAnsi="Arial" w:cs="Arial"/>
                <w:sz w:val="24"/>
                <w:szCs w:val="24"/>
              </w:rPr>
            </w:pPr>
            <w:r w:rsidRPr="0019368B">
              <w:rPr>
                <w:rFonts w:ascii="Arial" w:eastAsia="Calibri" w:hAnsi="Arial" w:cs="Arial"/>
                <w:bCs/>
                <w:sz w:val="24"/>
                <w:szCs w:val="24"/>
              </w:rPr>
              <w:t xml:space="preserve">Train-the-trainer sessions in delivering Collaborative Communication Skills </w:t>
            </w:r>
            <w:r w:rsidR="004E0FF9">
              <w:rPr>
                <w:rFonts w:ascii="Arial" w:eastAsia="Calibri" w:hAnsi="Arial" w:cs="Arial"/>
                <w:bCs/>
                <w:sz w:val="24"/>
                <w:szCs w:val="24"/>
              </w:rPr>
              <w:t>(</w:t>
            </w:r>
            <w:r w:rsidRPr="0019368B">
              <w:rPr>
                <w:rFonts w:ascii="Arial" w:eastAsia="Calibri" w:hAnsi="Arial" w:cs="Arial"/>
                <w:bCs/>
                <w:sz w:val="24"/>
                <w:szCs w:val="24"/>
              </w:rPr>
              <w:t>from ASC Ltd</w:t>
            </w:r>
            <w:r w:rsidR="004E0FF9">
              <w:rPr>
                <w:rFonts w:ascii="Arial" w:eastAsia="Calibri" w:hAnsi="Arial" w:cs="Arial"/>
                <w:bCs/>
                <w:sz w:val="24"/>
                <w:szCs w:val="24"/>
              </w:rPr>
              <w:t>)</w:t>
            </w:r>
            <w:r w:rsidRPr="0019368B">
              <w:rPr>
                <w:rFonts w:ascii="Arial" w:eastAsia="Calibri" w:hAnsi="Arial" w:cs="Arial"/>
                <w:bCs/>
                <w:sz w:val="24"/>
                <w:szCs w:val="24"/>
              </w:rPr>
              <w:t xml:space="preserve"> have been commissioned and delivered to </w:t>
            </w:r>
            <w:r w:rsidR="00BF309D">
              <w:rPr>
                <w:rFonts w:ascii="Arial" w:eastAsia="Calibri" w:hAnsi="Arial" w:cs="Arial"/>
                <w:bCs/>
                <w:sz w:val="24"/>
                <w:szCs w:val="24"/>
              </w:rPr>
              <w:t>five</w:t>
            </w:r>
            <w:r w:rsidRPr="0019368B">
              <w:rPr>
                <w:rFonts w:ascii="Arial" w:eastAsia="Calibri" w:hAnsi="Arial" w:cs="Arial"/>
                <w:bCs/>
                <w:sz w:val="24"/>
                <w:szCs w:val="24"/>
              </w:rPr>
              <w:t xml:space="preserve"> members of the </w:t>
            </w:r>
            <w:r w:rsidR="00BF309D">
              <w:rPr>
                <w:rFonts w:ascii="Arial" w:eastAsia="Calibri" w:hAnsi="Arial" w:cs="Arial"/>
                <w:bCs/>
                <w:sz w:val="24"/>
                <w:szCs w:val="24"/>
              </w:rPr>
              <w:t>s</w:t>
            </w:r>
            <w:r w:rsidRPr="0019368B">
              <w:rPr>
                <w:rFonts w:ascii="Arial" w:eastAsia="Calibri" w:hAnsi="Arial" w:cs="Arial"/>
                <w:bCs/>
                <w:sz w:val="24"/>
                <w:szCs w:val="24"/>
              </w:rPr>
              <w:t xml:space="preserve">taff </w:t>
            </w:r>
            <w:r w:rsidR="00BF309D">
              <w:rPr>
                <w:rFonts w:ascii="Arial" w:eastAsia="Calibri" w:hAnsi="Arial" w:cs="Arial"/>
                <w:bCs/>
                <w:sz w:val="24"/>
                <w:szCs w:val="24"/>
              </w:rPr>
              <w:t>d</w:t>
            </w:r>
            <w:r w:rsidRPr="0019368B">
              <w:rPr>
                <w:rFonts w:ascii="Arial" w:eastAsia="Calibri" w:hAnsi="Arial" w:cs="Arial"/>
                <w:bCs/>
                <w:sz w:val="24"/>
                <w:szCs w:val="24"/>
              </w:rPr>
              <w:t xml:space="preserve">evelopment and </w:t>
            </w:r>
            <w:r w:rsidR="00BF309D">
              <w:rPr>
                <w:rFonts w:ascii="Arial" w:eastAsia="Calibri" w:hAnsi="Arial" w:cs="Arial"/>
                <w:bCs/>
                <w:sz w:val="24"/>
                <w:szCs w:val="24"/>
              </w:rPr>
              <w:t>t</w:t>
            </w:r>
            <w:r w:rsidRPr="0019368B">
              <w:rPr>
                <w:rFonts w:ascii="Arial" w:eastAsia="Calibri" w:hAnsi="Arial" w:cs="Arial"/>
                <w:bCs/>
                <w:sz w:val="24"/>
                <w:szCs w:val="24"/>
              </w:rPr>
              <w:t xml:space="preserve">raining </w:t>
            </w:r>
            <w:r w:rsidR="00BF309D">
              <w:rPr>
                <w:rFonts w:ascii="Arial" w:eastAsia="Calibri" w:hAnsi="Arial" w:cs="Arial"/>
                <w:bCs/>
                <w:sz w:val="24"/>
                <w:szCs w:val="24"/>
              </w:rPr>
              <w:t>u</w:t>
            </w:r>
            <w:r w:rsidRPr="0019368B">
              <w:rPr>
                <w:rFonts w:ascii="Arial" w:eastAsia="Calibri" w:hAnsi="Arial" w:cs="Arial"/>
                <w:bCs/>
                <w:sz w:val="24"/>
                <w:szCs w:val="24"/>
              </w:rPr>
              <w:t xml:space="preserve">nit. Trainers will also </w:t>
            </w:r>
            <w:r w:rsidR="00BF309D">
              <w:rPr>
                <w:rFonts w:ascii="Arial" w:eastAsia="Calibri" w:hAnsi="Arial" w:cs="Arial"/>
                <w:bCs/>
                <w:sz w:val="24"/>
                <w:szCs w:val="24"/>
              </w:rPr>
              <w:t>complete</w:t>
            </w:r>
            <w:r w:rsidRPr="0019368B">
              <w:rPr>
                <w:rFonts w:ascii="Arial" w:eastAsia="Calibri" w:hAnsi="Arial" w:cs="Arial"/>
                <w:bCs/>
                <w:sz w:val="24"/>
                <w:szCs w:val="24"/>
              </w:rPr>
              <w:t xml:space="preserve"> refresher training</w:t>
            </w:r>
            <w:r w:rsidR="00BF309D">
              <w:rPr>
                <w:rFonts w:ascii="Arial" w:eastAsia="Calibri" w:hAnsi="Arial" w:cs="Arial"/>
                <w:bCs/>
                <w:sz w:val="24"/>
                <w:szCs w:val="24"/>
              </w:rPr>
              <w:t xml:space="preserve"> and shadow sessions before delivering the </w:t>
            </w:r>
            <w:proofErr w:type="gramStart"/>
            <w:r w:rsidR="00BF309D">
              <w:rPr>
                <w:rFonts w:ascii="Arial" w:eastAsia="Calibri" w:hAnsi="Arial" w:cs="Arial"/>
                <w:bCs/>
                <w:sz w:val="24"/>
                <w:szCs w:val="24"/>
              </w:rPr>
              <w:t>two day</w:t>
            </w:r>
            <w:proofErr w:type="gramEnd"/>
            <w:r w:rsidRPr="0019368B">
              <w:rPr>
                <w:rFonts w:ascii="Arial" w:eastAsia="Calibri" w:hAnsi="Arial" w:cs="Arial"/>
                <w:bCs/>
                <w:sz w:val="24"/>
                <w:szCs w:val="24"/>
              </w:rPr>
              <w:t xml:space="preserve"> </w:t>
            </w:r>
            <w:r w:rsidR="007F51EF">
              <w:rPr>
                <w:rFonts w:ascii="Arial" w:eastAsia="Calibri" w:hAnsi="Arial" w:cs="Arial"/>
                <w:bCs/>
                <w:sz w:val="24"/>
                <w:szCs w:val="24"/>
              </w:rPr>
              <w:t>c</w:t>
            </w:r>
            <w:r w:rsidRPr="0019368B">
              <w:rPr>
                <w:rFonts w:ascii="Arial" w:eastAsia="Calibri" w:hAnsi="Arial" w:cs="Arial"/>
                <w:bCs/>
                <w:sz w:val="24"/>
                <w:szCs w:val="24"/>
              </w:rPr>
              <w:t xml:space="preserve">ollaborative </w:t>
            </w:r>
            <w:r w:rsidR="007F51EF">
              <w:rPr>
                <w:rFonts w:ascii="Arial" w:eastAsia="Calibri" w:hAnsi="Arial" w:cs="Arial"/>
                <w:bCs/>
                <w:sz w:val="24"/>
                <w:szCs w:val="24"/>
              </w:rPr>
              <w:t>c</w:t>
            </w:r>
            <w:r w:rsidRPr="0019368B">
              <w:rPr>
                <w:rFonts w:ascii="Arial" w:eastAsia="Calibri" w:hAnsi="Arial" w:cs="Arial"/>
                <w:bCs/>
                <w:sz w:val="24"/>
                <w:szCs w:val="24"/>
              </w:rPr>
              <w:t xml:space="preserve">ommunication skills </w:t>
            </w:r>
            <w:r w:rsidR="00093DB7" w:rsidRPr="0019368B">
              <w:rPr>
                <w:rFonts w:ascii="Arial" w:eastAsia="Calibri" w:hAnsi="Arial" w:cs="Arial"/>
                <w:bCs/>
                <w:sz w:val="24"/>
                <w:szCs w:val="24"/>
              </w:rPr>
              <w:t>training</w:t>
            </w:r>
            <w:r w:rsidR="00093DB7">
              <w:rPr>
                <w:rFonts w:ascii="Arial" w:eastAsia="Calibri" w:hAnsi="Arial" w:cs="Arial"/>
                <w:bCs/>
                <w:sz w:val="24"/>
                <w:szCs w:val="24"/>
              </w:rPr>
              <w:t>.</w:t>
            </w:r>
            <w:r w:rsidRPr="0019368B">
              <w:rPr>
                <w:rFonts w:ascii="Arial" w:eastAsia="Calibri" w:hAnsi="Arial" w:cs="Arial"/>
                <w:bCs/>
                <w:sz w:val="24"/>
                <w:szCs w:val="24"/>
              </w:rPr>
              <w:t xml:space="preserve"> Swansea trainers are collaborating with colleagues in Neath Port Talbot and Cardiff to improve outcomes-focused practice. After the initial </w:t>
            </w:r>
            <w:r w:rsidR="007F51EF">
              <w:rPr>
                <w:rFonts w:ascii="Arial" w:eastAsia="Calibri" w:hAnsi="Arial" w:cs="Arial"/>
                <w:bCs/>
                <w:sz w:val="24"/>
                <w:szCs w:val="24"/>
              </w:rPr>
              <w:t>three</w:t>
            </w:r>
            <w:r w:rsidRPr="0019368B">
              <w:rPr>
                <w:rFonts w:ascii="Arial" w:eastAsia="Calibri" w:hAnsi="Arial" w:cs="Arial"/>
                <w:bCs/>
                <w:sz w:val="24"/>
                <w:szCs w:val="24"/>
              </w:rPr>
              <w:t xml:space="preserve">-day training sessions, we will offer additional workshops. (Swansea – </w:t>
            </w:r>
            <w:r w:rsidR="007F51EF">
              <w:rPr>
                <w:rFonts w:ascii="Arial" w:eastAsia="Calibri" w:hAnsi="Arial" w:cs="Arial"/>
                <w:bCs/>
                <w:sz w:val="24"/>
                <w:szCs w:val="24"/>
              </w:rPr>
              <w:t>w</w:t>
            </w:r>
            <w:r w:rsidRPr="0019368B">
              <w:rPr>
                <w:rFonts w:ascii="Arial" w:eastAsia="Calibri" w:hAnsi="Arial" w:cs="Arial"/>
                <w:bCs/>
                <w:sz w:val="24"/>
                <w:szCs w:val="24"/>
              </w:rPr>
              <w:t xml:space="preserve">est Glamorgan </w:t>
            </w:r>
            <w:r w:rsidR="007F51EF">
              <w:rPr>
                <w:rFonts w:ascii="Arial" w:eastAsia="Calibri" w:hAnsi="Arial" w:cs="Arial"/>
                <w:bCs/>
                <w:sz w:val="24"/>
                <w:szCs w:val="24"/>
              </w:rPr>
              <w:t>r</w:t>
            </w:r>
            <w:r w:rsidRPr="0019368B">
              <w:rPr>
                <w:rFonts w:ascii="Arial" w:eastAsia="Calibri" w:hAnsi="Arial" w:cs="Arial"/>
                <w:bCs/>
                <w:sz w:val="24"/>
                <w:szCs w:val="24"/>
              </w:rPr>
              <w:t>egion)</w:t>
            </w:r>
          </w:p>
        </w:tc>
      </w:tr>
    </w:tbl>
    <w:p w14:paraId="0C2C7F84" w14:textId="77777777" w:rsidR="001D03FB" w:rsidRDefault="001D03FB" w:rsidP="00554EB3">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722030" w:rsidRPr="00F93D2D" w14:paraId="20BCB515" w14:textId="77777777" w:rsidTr="00722030">
        <w:tc>
          <w:tcPr>
            <w:tcW w:w="9016" w:type="dxa"/>
          </w:tcPr>
          <w:p w14:paraId="223AA9DE" w14:textId="0B5796C7" w:rsidR="00722030" w:rsidRPr="001D3350" w:rsidRDefault="00722030" w:rsidP="00722030">
            <w:pPr>
              <w:rPr>
                <w:rFonts w:ascii="Arial" w:eastAsia="Calibri" w:hAnsi="Arial" w:cs="Arial"/>
                <w:bCs/>
                <w:sz w:val="24"/>
                <w:szCs w:val="24"/>
              </w:rPr>
            </w:pPr>
            <w:r w:rsidRPr="001D3350">
              <w:rPr>
                <w:rFonts w:ascii="Arial" w:eastAsia="Calibri" w:hAnsi="Arial" w:cs="Arial"/>
                <w:bCs/>
                <w:sz w:val="24"/>
                <w:szCs w:val="24"/>
              </w:rPr>
              <w:t>We</w:t>
            </w:r>
            <w:r w:rsidR="00FC5101">
              <w:rPr>
                <w:rFonts w:ascii="Arial" w:eastAsia="Calibri" w:hAnsi="Arial" w:cs="Arial"/>
                <w:bCs/>
                <w:sz w:val="24"/>
                <w:szCs w:val="24"/>
              </w:rPr>
              <w:t>’ve</w:t>
            </w:r>
            <w:r w:rsidRPr="001D3350">
              <w:rPr>
                <w:rFonts w:ascii="Arial" w:eastAsia="Calibri" w:hAnsi="Arial" w:cs="Arial"/>
                <w:bCs/>
                <w:sz w:val="24"/>
                <w:szCs w:val="24"/>
              </w:rPr>
              <w:t xml:space="preserve"> run </w:t>
            </w:r>
            <w:r w:rsidR="00BB45FB">
              <w:rPr>
                <w:rFonts w:ascii="Arial" w:eastAsia="Calibri" w:hAnsi="Arial" w:cs="Arial"/>
                <w:bCs/>
                <w:sz w:val="24"/>
                <w:szCs w:val="24"/>
              </w:rPr>
              <w:t>two</w:t>
            </w:r>
            <w:r w:rsidRPr="001D3350">
              <w:rPr>
                <w:rFonts w:ascii="Arial" w:eastAsia="Calibri" w:hAnsi="Arial" w:cs="Arial"/>
                <w:bCs/>
                <w:sz w:val="24"/>
                <w:szCs w:val="24"/>
              </w:rPr>
              <w:t xml:space="preserve"> </w:t>
            </w:r>
            <w:r w:rsidR="00FC5101">
              <w:rPr>
                <w:rFonts w:ascii="Arial" w:eastAsia="Calibri" w:hAnsi="Arial" w:cs="Arial"/>
                <w:bCs/>
                <w:sz w:val="24"/>
                <w:szCs w:val="24"/>
              </w:rPr>
              <w:t>c</w:t>
            </w:r>
            <w:r w:rsidRPr="001D3350">
              <w:rPr>
                <w:rFonts w:ascii="Arial" w:eastAsia="Calibri" w:hAnsi="Arial" w:cs="Arial"/>
                <w:bCs/>
                <w:sz w:val="24"/>
                <w:szCs w:val="24"/>
              </w:rPr>
              <w:t xml:space="preserve">ollaborative </w:t>
            </w:r>
            <w:r w:rsidR="00FC5101">
              <w:rPr>
                <w:rFonts w:ascii="Arial" w:eastAsia="Calibri" w:hAnsi="Arial" w:cs="Arial"/>
                <w:bCs/>
                <w:sz w:val="24"/>
                <w:szCs w:val="24"/>
              </w:rPr>
              <w:t>c</w:t>
            </w:r>
            <w:r w:rsidRPr="001D3350">
              <w:rPr>
                <w:rFonts w:ascii="Arial" w:eastAsia="Calibri" w:hAnsi="Arial" w:cs="Arial"/>
                <w:bCs/>
                <w:sz w:val="24"/>
                <w:szCs w:val="24"/>
              </w:rPr>
              <w:t xml:space="preserve">ommunication </w:t>
            </w:r>
            <w:r w:rsidR="00FC5101">
              <w:rPr>
                <w:rFonts w:ascii="Arial" w:eastAsia="Calibri" w:hAnsi="Arial" w:cs="Arial"/>
                <w:bCs/>
                <w:sz w:val="24"/>
                <w:szCs w:val="24"/>
              </w:rPr>
              <w:t>s</w:t>
            </w:r>
            <w:r w:rsidRPr="001D3350">
              <w:rPr>
                <w:rFonts w:ascii="Arial" w:eastAsia="Calibri" w:hAnsi="Arial" w:cs="Arial"/>
                <w:bCs/>
                <w:sz w:val="24"/>
                <w:szCs w:val="24"/>
              </w:rPr>
              <w:t>kills training during the financial year. This is a two</w:t>
            </w:r>
            <w:r w:rsidR="00BB45FB">
              <w:rPr>
                <w:rFonts w:ascii="Arial" w:eastAsia="Calibri" w:hAnsi="Arial" w:cs="Arial"/>
                <w:bCs/>
                <w:sz w:val="24"/>
                <w:szCs w:val="24"/>
              </w:rPr>
              <w:t>-</w:t>
            </w:r>
            <w:r w:rsidRPr="001D3350">
              <w:rPr>
                <w:rFonts w:ascii="Arial" w:eastAsia="Calibri" w:hAnsi="Arial" w:cs="Arial"/>
                <w:bCs/>
                <w:sz w:val="24"/>
                <w:szCs w:val="24"/>
              </w:rPr>
              <w:t>day in</w:t>
            </w:r>
            <w:r w:rsidR="00BB45FB">
              <w:rPr>
                <w:rFonts w:ascii="Arial" w:eastAsia="Calibri" w:hAnsi="Arial" w:cs="Arial"/>
                <w:bCs/>
                <w:sz w:val="24"/>
                <w:szCs w:val="24"/>
              </w:rPr>
              <w:t>-</w:t>
            </w:r>
            <w:r w:rsidRPr="001D3350">
              <w:rPr>
                <w:rFonts w:ascii="Arial" w:eastAsia="Calibri" w:hAnsi="Arial" w:cs="Arial"/>
                <w:bCs/>
                <w:sz w:val="24"/>
                <w:szCs w:val="24"/>
              </w:rPr>
              <w:t xml:space="preserve">person training followed by a half day online follow up in a month to allow participants to practice the principles and techniques in daily practice. We then follow this up with a series of </w:t>
            </w:r>
            <w:r w:rsidR="00FC5101">
              <w:rPr>
                <w:rFonts w:ascii="Arial" w:eastAsia="Calibri" w:hAnsi="Arial" w:cs="Arial"/>
                <w:bCs/>
                <w:sz w:val="24"/>
                <w:szCs w:val="24"/>
              </w:rPr>
              <w:t>three</w:t>
            </w:r>
            <w:r w:rsidRPr="001D3350">
              <w:rPr>
                <w:rFonts w:ascii="Arial" w:eastAsia="Calibri" w:hAnsi="Arial" w:cs="Arial"/>
                <w:bCs/>
                <w:sz w:val="24"/>
                <w:szCs w:val="24"/>
              </w:rPr>
              <w:t xml:space="preserve"> reflective groups over the course of </w:t>
            </w:r>
            <w:r w:rsidR="00FC5101">
              <w:rPr>
                <w:rFonts w:ascii="Arial" w:eastAsia="Calibri" w:hAnsi="Arial" w:cs="Arial"/>
                <w:bCs/>
                <w:sz w:val="24"/>
                <w:szCs w:val="24"/>
              </w:rPr>
              <w:t>three</w:t>
            </w:r>
            <w:r w:rsidRPr="001D3350">
              <w:rPr>
                <w:rFonts w:ascii="Arial" w:eastAsia="Calibri" w:hAnsi="Arial" w:cs="Arial"/>
                <w:bCs/>
                <w:sz w:val="24"/>
                <w:szCs w:val="24"/>
              </w:rPr>
              <w:t xml:space="preserve"> months </w:t>
            </w:r>
            <w:r w:rsidR="00FC5101">
              <w:rPr>
                <w:rFonts w:ascii="Arial" w:eastAsia="Calibri" w:hAnsi="Arial" w:cs="Arial"/>
                <w:bCs/>
                <w:sz w:val="24"/>
                <w:szCs w:val="24"/>
              </w:rPr>
              <w:t xml:space="preserve">to </w:t>
            </w:r>
            <w:r w:rsidRPr="001D3350">
              <w:rPr>
                <w:rFonts w:ascii="Arial" w:eastAsia="Calibri" w:hAnsi="Arial" w:cs="Arial"/>
                <w:bCs/>
                <w:sz w:val="24"/>
                <w:szCs w:val="24"/>
              </w:rPr>
              <w:t xml:space="preserve">support and embed the learning into practice. </w:t>
            </w:r>
            <w:proofErr w:type="gramStart"/>
            <w:r w:rsidRPr="001D3350">
              <w:rPr>
                <w:rFonts w:ascii="Arial" w:eastAsia="Calibri" w:hAnsi="Arial" w:cs="Arial"/>
                <w:bCs/>
                <w:sz w:val="24"/>
                <w:szCs w:val="24"/>
              </w:rPr>
              <w:t>All of</w:t>
            </w:r>
            <w:proofErr w:type="gramEnd"/>
            <w:r w:rsidRPr="001D3350">
              <w:rPr>
                <w:rFonts w:ascii="Arial" w:eastAsia="Calibri" w:hAnsi="Arial" w:cs="Arial"/>
                <w:bCs/>
                <w:sz w:val="24"/>
                <w:szCs w:val="24"/>
              </w:rPr>
              <w:t xml:space="preserve"> the C</w:t>
            </w:r>
            <w:r w:rsidR="00FC5101">
              <w:rPr>
                <w:rFonts w:ascii="Arial" w:eastAsia="Calibri" w:hAnsi="Arial" w:cs="Arial"/>
                <w:bCs/>
                <w:sz w:val="24"/>
                <w:szCs w:val="24"/>
              </w:rPr>
              <w:t xml:space="preserve">ommunity </w:t>
            </w:r>
            <w:r w:rsidRPr="001D3350">
              <w:rPr>
                <w:rFonts w:ascii="Arial" w:eastAsia="Calibri" w:hAnsi="Arial" w:cs="Arial"/>
                <w:bCs/>
                <w:sz w:val="24"/>
                <w:szCs w:val="24"/>
              </w:rPr>
              <w:t>R</w:t>
            </w:r>
            <w:r w:rsidR="00FC5101">
              <w:rPr>
                <w:rFonts w:ascii="Arial" w:eastAsia="Calibri" w:hAnsi="Arial" w:cs="Arial"/>
                <w:bCs/>
                <w:sz w:val="24"/>
                <w:szCs w:val="24"/>
              </w:rPr>
              <w:t xml:space="preserve">esource </w:t>
            </w:r>
            <w:r w:rsidRPr="001D3350">
              <w:rPr>
                <w:rFonts w:ascii="Arial" w:eastAsia="Calibri" w:hAnsi="Arial" w:cs="Arial"/>
                <w:bCs/>
                <w:sz w:val="24"/>
                <w:szCs w:val="24"/>
              </w:rPr>
              <w:t>T</w:t>
            </w:r>
            <w:r w:rsidR="00FC5101">
              <w:rPr>
                <w:rFonts w:ascii="Arial" w:eastAsia="Calibri" w:hAnsi="Arial" w:cs="Arial"/>
                <w:bCs/>
                <w:sz w:val="24"/>
                <w:szCs w:val="24"/>
              </w:rPr>
              <w:t>eam</w:t>
            </w:r>
            <w:r w:rsidRPr="001D3350">
              <w:rPr>
                <w:rFonts w:ascii="Arial" w:eastAsia="Calibri" w:hAnsi="Arial" w:cs="Arial"/>
                <w:bCs/>
                <w:sz w:val="24"/>
                <w:szCs w:val="24"/>
              </w:rPr>
              <w:t xml:space="preserve">s have now undertaken refresher </w:t>
            </w:r>
            <w:r w:rsidR="00FC5101">
              <w:rPr>
                <w:rFonts w:ascii="Arial" w:eastAsia="Calibri" w:hAnsi="Arial" w:cs="Arial"/>
                <w:bCs/>
                <w:sz w:val="24"/>
                <w:szCs w:val="24"/>
              </w:rPr>
              <w:t>c</w:t>
            </w:r>
            <w:r w:rsidRPr="001D3350">
              <w:rPr>
                <w:rFonts w:ascii="Arial" w:eastAsia="Calibri" w:hAnsi="Arial" w:cs="Arial"/>
                <w:bCs/>
                <w:sz w:val="24"/>
                <w:szCs w:val="24"/>
              </w:rPr>
              <w:t>ollab</w:t>
            </w:r>
            <w:r w:rsidR="00FC5101">
              <w:rPr>
                <w:rFonts w:ascii="Arial" w:eastAsia="Calibri" w:hAnsi="Arial" w:cs="Arial"/>
                <w:bCs/>
                <w:sz w:val="24"/>
                <w:szCs w:val="24"/>
              </w:rPr>
              <w:t>orative</w:t>
            </w:r>
            <w:r w:rsidRPr="001D3350">
              <w:rPr>
                <w:rFonts w:ascii="Arial" w:eastAsia="Calibri" w:hAnsi="Arial" w:cs="Arial"/>
                <w:bCs/>
                <w:sz w:val="24"/>
                <w:szCs w:val="24"/>
              </w:rPr>
              <w:t xml:space="preserve"> training. We also ran training on outcome focused care and support plans for our teams in the edge of care service. (Gwynedd – </w:t>
            </w:r>
            <w:r w:rsidR="007F51EF">
              <w:rPr>
                <w:rFonts w:ascii="Arial" w:eastAsia="Calibri" w:hAnsi="Arial" w:cs="Arial"/>
                <w:bCs/>
                <w:sz w:val="24"/>
                <w:szCs w:val="24"/>
              </w:rPr>
              <w:t>n</w:t>
            </w:r>
            <w:r w:rsidRPr="001D3350">
              <w:rPr>
                <w:rFonts w:ascii="Arial" w:eastAsia="Calibri" w:hAnsi="Arial" w:cs="Arial"/>
                <w:bCs/>
                <w:sz w:val="24"/>
                <w:szCs w:val="24"/>
              </w:rPr>
              <w:t xml:space="preserve">orth Wales </w:t>
            </w:r>
            <w:r w:rsidR="007F51EF">
              <w:rPr>
                <w:rFonts w:ascii="Arial" w:eastAsia="Calibri" w:hAnsi="Arial" w:cs="Arial"/>
                <w:bCs/>
                <w:sz w:val="24"/>
                <w:szCs w:val="24"/>
              </w:rPr>
              <w:t>r</w:t>
            </w:r>
            <w:r w:rsidRPr="001D3350">
              <w:rPr>
                <w:rFonts w:ascii="Arial" w:eastAsia="Calibri" w:hAnsi="Arial" w:cs="Arial"/>
                <w:bCs/>
                <w:sz w:val="24"/>
                <w:szCs w:val="24"/>
              </w:rPr>
              <w:t>egion)</w:t>
            </w:r>
          </w:p>
          <w:p w14:paraId="75783CAD" w14:textId="77777777" w:rsidR="00722030" w:rsidRPr="00F93D2D" w:rsidRDefault="00722030" w:rsidP="00554EB3">
            <w:pPr>
              <w:spacing w:line="276" w:lineRule="auto"/>
              <w:contextualSpacing/>
              <w:rPr>
                <w:rFonts w:ascii="Arial" w:eastAsia="Calibri" w:hAnsi="Arial" w:cs="Arial"/>
                <w:sz w:val="24"/>
                <w:szCs w:val="24"/>
              </w:rPr>
            </w:pPr>
          </w:p>
        </w:tc>
      </w:tr>
    </w:tbl>
    <w:p w14:paraId="331B5185" w14:textId="77777777" w:rsidR="00722030" w:rsidRDefault="00722030" w:rsidP="00554EB3">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D2221A" w:rsidRPr="00F93D2D" w14:paraId="3102D9F0" w14:textId="77777777" w:rsidTr="00D2221A">
        <w:tc>
          <w:tcPr>
            <w:tcW w:w="9016" w:type="dxa"/>
          </w:tcPr>
          <w:p w14:paraId="5D140E4B" w14:textId="07D15935" w:rsidR="009E3DDA" w:rsidRPr="00C92ECE" w:rsidRDefault="009E3DDA" w:rsidP="009E3DDA">
            <w:pPr>
              <w:jc w:val="both"/>
              <w:rPr>
                <w:rFonts w:ascii="Arial" w:eastAsia="Arial" w:hAnsi="Arial" w:cs="Arial"/>
                <w:color w:val="000000" w:themeColor="text1"/>
                <w:sz w:val="24"/>
                <w:szCs w:val="24"/>
              </w:rPr>
            </w:pPr>
            <w:r w:rsidRPr="00C92ECE">
              <w:rPr>
                <w:rFonts w:ascii="Arial" w:eastAsia="Arial" w:hAnsi="Arial" w:cs="Arial"/>
                <w:color w:val="000000" w:themeColor="text1"/>
                <w:sz w:val="24"/>
                <w:szCs w:val="24"/>
              </w:rPr>
              <w:t xml:space="preserve">Collaborative </w:t>
            </w:r>
            <w:r w:rsidR="00FC5101">
              <w:rPr>
                <w:rFonts w:ascii="Arial" w:eastAsia="Arial" w:hAnsi="Arial" w:cs="Arial"/>
                <w:color w:val="000000" w:themeColor="text1"/>
                <w:sz w:val="24"/>
                <w:szCs w:val="24"/>
              </w:rPr>
              <w:t>c</w:t>
            </w:r>
            <w:r w:rsidRPr="00C92ECE">
              <w:rPr>
                <w:rFonts w:ascii="Arial" w:eastAsia="Arial" w:hAnsi="Arial" w:cs="Arial"/>
                <w:color w:val="000000" w:themeColor="text1"/>
                <w:sz w:val="24"/>
                <w:szCs w:val="24"/>
              </w:rPr>
              <w:t xml:space="preserve">ommunication continued to be supported and </w:t>
            </w:r>
            <w:r w:rsidR="00C92B05">
              <w:rPr>
                <w:rFonts w:ascii="Arial" w:eastAsia="Arial" w:hAnsi="Arial" w:cs="Arial"/>
                <w:color w:val="000000" w:themeColor="text1"/>
                <w:sz w:val="24"/>
                <w:szCs w:val="24"/>
              </w:rPr>
              <w:t>put</w:t>
            </w:r>
            <w:r w:rsidRPr="00C92ECE">
              <w:rPr>
                <w:rFonts w:ascii="Arial" w:eastAsia="Arial" w:hAnsi="Arial" w:cs="Arial"/>
                <w:color w:val="000000" w:themeColor="text1"/>
                <w:sz w:val="24"/>
                <w:szCs w:val="24"/>
              </w:rPr>
              <w:t xml:space="preserve"> into practice beyond the classroom. The high numbers reached are impossible to track, so the impact is</w:t>
            </w:r>
            <w:r w:rsidR="00C92B05">
              <w:rPr>
                <w:rFonts w:ascii="Arial" w:eastAsia="Arial" w:hAnsi="Arial" w:cs="Arial"/>
                <w:color w:val="000000" w:themeColor="text1"/>
                <w:sz w:val="24"/>
                <w:szCs w:val="24"/>
              </w:rPr>
              <w:t>n’t shown in the data.</w:t>
            </w:r>
            <w:r w:rsidRPr="00C92ECE">
              <w:rPr>
                <w:rFonts w:ascii="Arial" w:eastAsia="Arial" w:hAnsi="Arial" w:cs="Arial"/>
                <w:color w:val="000000" w:themeColor="text1"/>
                <w:sz w:val="24"/>
                <w:szCs w:val="24"/>
              </w:rPr>
              <w:t xml:space="preserve"> Reflective networks and service-based mentor </w:t>
            </w:r>
            <w:r w:rsidR="00C92B05">
              <w:rPr>
                <w:rFonts w:ascii="Arial" w:eastAsia="Arial" w:hAnsi="Arial" w:cs="Arial"/>
                <w:color w:val="000000" w:themeColor="text1"/>
                <w:sz w:val="24"/>
                <w:szCs w:val="24"/>
              </w:rPr>
              <w:t>p</w:t>
            </w:r>
            <w:r w:rsidRPr="00C92ECE">
              <w:rPr>
                <w:rFonts w:ascii="Arial" w:eastAsia="Arial" w:hAnsi="Arial" w:cs="Arial"/>
                <w:color w:val="000000" w:themeColor="text1"/>
                <w:sz w:val="24"/>
                <w:szCs w:val="24"/>
              </w:rPr>
              <w:t xml:space="preserve">rogrammes are just two examples of </w:t>
            </w:r>
            <w:r w:rsidR="00EC0F4E">
              <w:rPr>
                <w:rFonts w:ascii="Arial" w:eastAsia="Arial" w:hAnsi="Arial" w:cs="Arial"/>
                <w:color w:val="000000" w:themeColor="text1"/>
                <w:sz w:val="24"/>
                <w:szCs w:val="24"/>
              </w:rPr>
              <w:t>programmes that are helping</w:t>
            </w:r>
            <w:r w:rsidRPr="00C92ECE">
              <w:rPr>
                <w:rFonts w:ascii="Arial" w:eastAsia="Arial" w:hAnsi="Arial" w:cs="Arial"/>
                <w:color w:val="000000" w:themeColor="text1"/>
                <w:sz w:val="24"/>
                <w:szCs w:val="24"/>
              </w:rPr>
              <w:t xml:space="preserve"> drive better outcomes. (Gwent </w:t>
            </w:r>
            <w:r w:rsidR="00FC5101">
              <w:rPr>
                <w:rFonts w:ascii="Arial" w:eastAsia="Arial" w:hAnsi="Arial" w:cs="Arial"/>
                <w:color w:val="000000" w:themeColor="text1"/>
                <w:sz w:val="24"/>
                <w:szCs w:val="24"/>
              </w:rPr>
              <w:t>r</w:t>
            </w:r>
            <w:r w:rsidRPr="00C92ECE">
              <w:rPr>
                <w:rFonts w:ascii="Arial" w:eastAsia="Arial" w:hAnsi="Arial" w:cs="Arial"/>
                <w:color w:val="000000" w:themeColor="text1"/>
                <w:sz w:val="24"/>
                <w:szCs w:val="24"/>
              </w:rPr>
              <w:t>egion)</w:t>
            </w:r>
          </w:p>
          <w:p w14:paraId="02DB456B" w14:textId="77777777" w:rsidR="00D2221A" w:rsidRPr="00F93D2D" w:rsidRDefault="00D2221A" w:rsidP="00554EB3">
            <w:pPr>
              <w:spacing w:line="276" w:lineRule="auto"/>
              <w:contextualSpacing/>
              <w:rPr>
                <w:rFonts w:ascii="Arial" w:eastAsia="Calibri" w:hAnsi="Arial" w:cs="Arial"/>
                <w:sz w:val="24"/>
                <w:szCs w:val="24"/>
              </w:rPr>
            </w:pPr>
          </w:p>
        </w:tc>
      </w:tr>
    </w:tbl>
    <w:p w14:paraId="785E0A16" w14:textId="77777777" w:rsidR="001D03FB" w:rsidRPr="008E2F06" w:rsidRDefault="001D03FB" w:rsidP="00C92ECE">
      <w:pPr>
        <w:spacing w:after="0" w:line="276" w:lineRule="auto"/>
        <w:contextualSpacing/>
        <w:rPr>
          <w:rFonts w:ascii="Arial" w:eastAsia="Calibri" w:hAnsi="Arial" w:cs="Arial"/>
          <w:sz w:val="24"/>
          <w:szCs w:val="24"/>
        </w:rPr>
      </w:pPr>
    </w:p>
    <w:p w14:paraId="55537EE7" w14:textId="29C9E1AB" w:rsidR="00731AD9" w:rsidRPr="00C92ECE" w:rsidRDefault="00803F23" w:rsidP="00731AD9">
      <w:pPr>
        <w:numPr>
          <w:ilvl w:val="0"/>
          <w:numId w:val="6"/>
        </w:numPr>
        <w:spacing w:after="20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 xml:space="preserve">There is </w:t>
      </w:r>
      <w:r w:rsidR="00D73DA1" w:rsidRPr="00D73DA1">
        <w:rPr>
          <w:rFonts w:ascii="Arial" w:eastAsia="Calibri" w:hAnsi="Arial" w:cs="Arial"/>
          <w:bCs/>
          <w:sz w:val="24"/>
          <w:szCs w:val="24"/>
        </w:rPr>
        <w:t>engagement</w:t>
      </w:r>
      <w:r w:rsidR="00731AD9" w:rsidRPr="00C92ECE">
        <w:rPr>
          <w:rFonts w:ascii="Arial" w:eastAsia="Calibri" w:hAnsi="Arial" w:cs="Arial"/>
          <w:bCs/>
          <w:sz w:val="24"/>
          <w:szCs w:val="24"/>
        </w:rPr>
        <w:t xml:space="preserve"> in national and regional groups to embed the Autism Framework</w:t>
      </w:r>
      <w:r w:rsidR="00764195" w:rsidRPr="00C92ECE">
        <w:rPr>
          <w:rFonts w:ascii="Arial" w:eastAsia="Calibri" w:hAnsi="Arial" w:cs="Arial"/>
          <w:bCs/>
          <w:sz w:val="24"/>
          <w:szCs w:val="24"/>
        </w:rPr>
        <w:t xml:space="preserve"> and the </w:t>
      </w:r>
      <w:r w:rsidR="00731AD9" w:rsidRPr="00C92ECE">
        <w:rPr>
          <w:rFonts w:ascii="Arial" w:eastAsia="Calibri" w:hAnsi="Arial" w:cs="Arial"/>
          <w:bCs/>
          <w:sz w:val="24"/>
          <w:szCs w:val="24"/>
        </w:rPr>
        <w:t xml:space="preserve">e-learning modules from Autism Wales </w:t>
      </w:r>
      <w:r w:rsidR="00764195" w:rsidRPr="00C92ECE">
        <w:rPr>
          <w:rFonts w:ascii="Arial" w:eastAsia="Calibri" w:hAnsi="Arial" w:cs="Arial"/>
          <w:bCs/>
          <w:sz w:val="24"/>
          <w:szCs w:val="24"/>
        </w:rPr>
        <w:t xml:space="preserve">are </w:t>
      </w:r>
      <w:r w:rsidR="00731AD9" w:rsidRPr="00C92ECE">
        <w:rPr>
          <w:rFonts w:ascii="Arial" w:eastAsia="Calibri" w:hAnsi="Arial" w:cs="Arial"/>
          <w:bCs/>
          <w:sz w:val="24"/>
          <w:szCs w:val="24"/>
        </w:rPr>
        <w:t>widely used.</w:t>
      </w:r>
    </w:p>
    <w:p w14:paraId="4E7B88A8" w14:textId="77777777" w:rsidR="006935E5" w:rsidRPr="00C92ECE" w:rsidRDefault="006935E5" w:rsidP="00C92ECE">
      <w:pPr>
        <w:spacing w:after="200" w:line="276" w:lineRule="auto"/>
        <w:ind w:left="567"/>
        <w:contextualSpacing/>
        <w:rPr>
          <w:rFonts w:ascii="Arial" w:eastAsia="Calibri" w:hAnsi="Arial" w:cs="Arial"/>
          <w:bCs/>
          <w:sz w:val="24"/>
          <w:szCs w:val="24"/>
          <w:highlight w:val="yellow"/>
        </w:rPr>
      </w:pPr>
    </w:p>
    <w:p w14:paraId="5BFBE725" w14:textId="616EB7F2" w:rsidR="00F633AC" w:rsidRDefault="00367B28" w:rsidP="00F633AC">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Various n</w:t>
      </w:r>
      <w:r w:rsidR="00731AD9" w:rsidRPr="00C92ECE">
        <w:rPr>
          <w:rFonts w:ascii="Arial" w:eastAsia="Calibri" w:hAnsi="Arial" w:cs="Arial"/>
          <w:bCs/>
          <w:sz w:val="24"/>
          <w:szCs w:val="24"/>
        </w:rPr>
        <w:t>eurodiversity</w:t>
      </w:r>
      <w:r w:rsidR="002163F3" w:rsidRPr="00C92ECE">
        <w:rPr>
          <w:rFonts w:ascii="Arial" w:eastAsia="Calibri" w:hAnsi="Arial" w:cs="Arial"/>
          <w:bCs/>
          <w:sz w:val="24"/>
          <w:szCs w:val="24"/>
        </w:rPr>
        <w:t xml:space="preserve"> </w:t>
      </w:r>
      <w:r>
        <w:rPr>
          <w:rFonts w:ascii="Arial" w:eastAsia="Calibri" w:hAnsi="Arial" w:cs="Arial"/>
          <w:bCs/>
          <w:sz w:val="24"/>
          <w:szCs w:val="24"/>
        </w:rPr>
        <w:t xml:space="preserve">e-learning </w:t>
      </w:r>
      <w:r w:rsidR="001A184D">
        <w:rPr>
          <w:rFonts w:ascii="Arial" w:eastAsia="Calibri" w:hAnsi="Arial" w:cs="Arial"/>
          <w:bCs/>
          <w:sz w:val="24"/>
          <w:szCs w:val="24"/>
        </w:rPr>
        <w:t xml:space="preserve">and face to face training is delivered. The </w:t>
      </w:r>
      <w:r w:rsidR="00F633AC">
        <w:rPr>
          <w:rFonts w:ascii="Arial" w:eastAsia="Calibri" w:hAnsi="Arial" w:cs="Arial"/>
          <w:bCs/>
          <w:sz w:val="24"/>
          <w:szCs w:val="24"/>
        </w:rPr>
        <w:t>r</w:t>
      </w:r>
      <w:r w:rsidR="00F633AC" w:rsidRPr="00F633AC">
        <w:rPr>
          <w:rFonts w:ascii="Arial" w:eastAsia="Calibri" w:hAnsi="Arial" w:cs="Arial"/>
          <w:bCs/>
          <w:sz w:val="24"/>
          <w:szCs w:val="24"/>
        </w:rPr>
        <w:t xml:space="preserve">esources and training provided by </w:t>
      </w:r>
      <w:r w:rsidR="00F633AC">
        <w:rPr>
          <w:rFonts w:ascii="Arial" w:eastAsia="Calibri" w:hAnsi="Arial" w:cs="Arial"/>
          <w:bCs/>
          <w:sz w:val="24"/>
          <w:szCs w:val="24"/>
        </w:rPr>
        <w:t>N</w:t>
      </w:r>
      <w:r w:rsidR="00F633AC" w:rsidRPr="00F633AC">
        <w:rPr>
          <w:rFonts w:ascii="Arial" w:eastAsia="Calibri" w:hAnsi="Arial" w:cs="Arial"/>
          <w:bCs/>
          <w:sz w:val="24"/>
          <w:szCs w:val="24"/>
        </w:rPr>
        <w:t xml:space="preserve">eurodivergence Wales </w:t>
      </w:r>
      <w:r>
        <w:rPr>
          <w:rFonts w:ascii="Arial" w:eastAsia="Calibri" w:hAnsi="Arial" w:cs="Arial"/>
          <w:bCs/>
          <w:sz w:val="24"/>
          <w:szCs w:val="24"/>
        </w:rPr>
        <w:t xml:space="preserve">and the national team is </w:t>
      </w:r>
      <w:r w:rsidR="00F633AC" w:rsidRPr="00F633AC">
        <w:rPr>
          <w:rFonts w:ascii="Arial" w:eastAsia="Calibri" w:hAnsi="Arial" w:cs="Arial"/>
          <w:bCs/>
          <w:sz w:val="24"/>
          <w:szCs w:val="24"/>
        </w:rPr>
        <w:t>also promoted regularly.</w:t>
      </w:r>
    </w:p>
    <w:p w14:paraId="005DE26A" w14:textId="77777777" w:rsidR="001A184D" w:rsidRDefault="001A184D" w:rsidP="00C92ECE">
      <w:pPr>
        <w:pStyle w:val="ListParagraph"/>
        <w:spacing w:after="0"/>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1A184D" w14:paraId="24D5EC90" w14:textId="77777777" w:rsidTr="001A184D">
        <w:tc>
          <w:tcPr>
            <w:tcW w:w="9016" w:type="dxa"/>
          </w:tcPr>
          <w:p w14:paraId="1CB31DD7" w14:textId="0D95228E" w:rsidR="005C287A" w:rsidRPr="0019368B" w:rsidRDefault="005C287A" w:rsidP="0019368B">
            <w:pPr>
              <w:jc w:val="both"/>
              <w:rPr>
                <w:rFonts w:ascii="Arial" w:eastAsia="Arial" w:hAnsi="Arial" w:cs="Arial"/>
                <w:color w:val="000000" w:themeColor="text1"/>
                <w:sz w:val="24"/>
                <w:szCs w:val="24"/>
              </w:rPr>
            </w:pPr>
            <w:r w:rsidRPr="0019368B">
              <w:rPr>
                <w:rFonts w:ascii="Arial" w:eastAsia="Arial" w:hAnsi="Arial" w:cs="Arial"/>
                <w:color w:val="000000" w:themeColor="text1"/>
                <w:sz w:val="24"/>
                <w:szCs w:val="24"/>
              </w:rPr>
              <w:t xml:space="preserve">The Training Needs </w:t>
            </w:r>
            <w:r w:rsidR="00093DB7" w:rsidRPr="0019368B">
              <w:rPr>
                <w:rFonts w:ascii="Arial" w:eastAsia="Arial" w:hAnsi="Arial" w:cs="Arial"/>
                <w:color w:val="000000" w:themeColor="text1"/>
                <w:sz w:val="24"/>
                <w:szCs w:val="24"/>
              </w:rPr>
              <w:t>Analysis showed</w:t>
            </w:r>
            <w:r w:rsidR="000A2785">
              <w:rPr>
                <w:rFonts w:ascii="Arial" w:eastAsia="Arial" w:hAnsi="Arial" w:cs="Arial"/>
                <w:color w:val="000000" w:themeColor="text1"/>
                <w:sz w:val="24"/>
                <w:szCs w:val="24"/>
              </w:rPr>
              <w:t xml:space="preserve"> that more training is needed for</w:t>
            </w:r>
            <w:r w:rsidRPr="0019368B">
              <w:rPr>
                <w:rFonts w:ascii="Arial" w:eastAsia="Arial" w:hAnsi="Arial" w:cs="Arial"/>
                <w:color w:val="000000" w:themeColor="text1"/>
                <w:sz w:val="24"/>
                <w:szCs w:val="24"/>
              </w:rPr>
              <w:t xml:space="preserve"> neurodivergence, </w:t>
            </w:r>
            <w:r w:rsidR="000A2785">
              <w:rPr>
                <w:rFonts w:ascii="Arial" w:eastAsia="Arial" w:hAnsi="Arial" w:cs="Arial"/>
                <w:color w:val="000000" w:themeColor="text1"/>
                <w:sz w:val="24"/>
                <w:szCs w:val="24"/>
              </w:rPr>
              <w:t>especially a</w:t>
            </w:r>
            <w:r w:rsidRPr="0019368B">
              <w:rPr>
                <w:rFonts w:ascii="Arial" w:eastAsia="Arial" w:hAnsi="Arial" w:cs="Arial"/>
                <w:color w:val="000000" w:themeColor="text1"/>
                <w:sz w:val="24"/>
                <w:szCs w:val="24"/>
              </w:rPr>
              <w:t xml:space="preserve">utism and ADHD. An evaluation of in-person </w:t>
            </w:r>
            <w:r w:rsidR="002B5932">
              <w:rPr>
                <w:rFonts w:ascii="Arial" w:eastAsia="Arial" w:hAnsi="Arial" w:cs="Arial"/>
                <w:color w:val="000000" w:themeColor="text1"/>
                <w:sz w:val="24"/>
                <w:szCs w:val="24"/>
              </w:rPr>
              <w:t>a</w:t>
            </w:r>
            <w:r w:rsidRPr="0019368B">
              <w:rPr>
                <w:rFonts w:ascii="Arial" w:eastAsia="Arial" w:hAnsi="Arial" w:cs="Arial"/>
                <w:color w:val="000000" w:themeColor="text1"/>
                <w:sz w:val="24"/>
                <w:szCs w:val="24"/>
              </w:rPr>
              <w:t xml:space="preserve">utism </w:t>
            </w:r>
            <w:r w:rsidRPr="0019368B">
              <w:rPr>
                <w:rFonts w:ascii="Arial" w:eastAsia="Arial" w:hAnsi="Arial" w:cs="Arial"/>
                <w:color w:val="000000" w:themeColor="text1"/>
                <w:sz w:val="24"/>
                <w:szCs w:val="24"/>
              </w:rPr>
              <w:lastRenderedPageBreak/>
              <w:t>training delivered by in-house trainers showed that learners felt they had gained a deeper understanding of autism</w:t>
            </w:r>
            <w:r w:rsidR="002B5932">
              <w:rPr>
                <w:rFonts w:ascii="Arial" w:eastAsia="Arial" w:hAnsi="Arial" w:cs="Arial"/>
                <w:color w:val="000000" w:themeColor="text1"/>
                <w:sz w:val="24"/>
                <w:szCs w:val="24"/>
              </w:rPr>
              <w:t xml:space="preserve"> - </w:t>
            </w:r>
            <w:r w:rsidRPr="0019368B">
              <w:rPr>
                <w:rFonts w:ascii="Arial" w:eastAsia="Arial" w:hAnsi="Arial" w:cs="Arial"/>
                <w:color w:val="000000" w:themeColor="text1"/>
                <w:sz w:val="24"/>
                <w:szCs w:val="24"/>
              </w:rPr>
              <w:t xml:space="preserve">its spectrum, lifelong nature, and the impact of environmental factors, sensory experiences, and social barriers. Many reported feelings more confident and better equipped to deliver inclusive services. (Cardiff – Cardiff and the Vale </w:t>
            </w:r>
            <w:r w:rsidR="000A2785">
              <w:rPr>
                <w:rFonts w:ascii="Arial" w:eastAsia="Arial" w:hAnsi="Arial" w:cs="Arial"/>
                <w:color w:val="000000" w:themeColor="text1"/>
                <w:sz w:val="24"/>
                <w:szCs w:val="24"/>
              </w:rPr>
              <w:t>r</w:t>
            </w:r>
            <w:r w:rsidRPr="0019368B">
              <w:rPr>
                <w:rFonts w:ascii="Arial" w:eastAsia="Arial" w:hAnsi="Arial" w:cs="Arial"/>
                <w:color w:val="000000" w:themeColor="text1"/>
                <w:sz w:val="24"/>
                <w:szCs w:val="24"/>
              </w:rPr>
              <w:t>egion)</w:t>
            </w:r>
          </w:p>
          <w:p w14:paraId="452E85F5" w14:textId="77777777" w:rsidR="001A184D" w:rsidRDefault="001A184D" w:rsidP="001A184D">
            <w:pPr>
              <w:spacing w:after="200" w:line="276" w:lineRule="auto"/>
              <w:contextualSpacing/>
              <w:rPr>
                <w:rFonts w:ascii="Arial" w:eastAsia="Calibri" w:hAnsi="Arial" w:cs="Arial"/>
                <w:bCs/>
                <w:sz w:val="24"/>
                <w:szCs w:val="24"/>
              </w:rPr>
            </w:pPr>
          </w:p>
        </w:tc>
      </w:tr>
    </w:tbl>
    <w:p w14:paraId="7F384433" w14:textId="69DF5E84" w:rsidR="00731AD9" w:rsidRDefault="00731AD9" w:rsidP="00C92ECE">
      <w:pPr>
        <w:spacing w:after="200" w:line="276" w:lineRule="auto"/>
        <w:ind w:left="567"/>
        <w:contextualSpacing/>
        <w:rPr>
          <w:rFonts w:ascii="Arial" w:eastAsia="Calibri" w:hAnsi="Arial" w:cs="Arial"/>
          <w:bCs/>
          <w:sz w:val="24"/>
          <w:szCs w:val="24"/>
          <w:highlight w:val="yellow"/>
        </w:rPr>
      </w:pPr>
    </w:p>
    <w:p w14:paraId="2C9D4207" w14:textId="60E06220" w:rsidR="00731AD9" w:rsidRPr="00C92ECE" w:rsidRDefault="00F5305D" w:rsidP="00731AD9">
      <w:pPr>
        <w:numPr>
          <w:ilvl w:val="0"/>
          <w:numId w:val="6"/>
        </w:numPr>
        <w:spacing w:after="20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Ongoing delivery of p</w:t>
      </w:r>
      <w:r w:rsidR="00731AD9" w:rsidRPr="00C92ECE">
        <w:rPr>
          <w:rFonts w:ascii="Arial" w:eastAsia="Calibri" w:hAnsi="Arial" w:cs="Arial"/>
          <w:bCs/>
          <w:sz w:val="24"/>
          <w:szCs w:val="24"/>
        </w:rPr>
        <w:t xml:space="preserve">ositive </w:t>
      </w:r>
      <w:r w:rsidRPr="00C92ECE">
        <w:rPr>
          <w:rFonts w:ascii="Arial" w:eastAsia="Calibri" w:hAnsi="Arial" w:cs="Arial"/>
          <w:bCs/>
          <w:sz w:val="24"/>
          <w:szCs w:val="24"/>
        </w:rPr>
        <w:t>b</w:t>
      </w:r>
      <w:r w:rsidR="00731AD9" w:rsidRPr="00C92ECE">
        <w:rPr>
          <w:rFonts w:ascii="Arial" w:eastAsia="Calibri" w:hAnsi="Arial" w:cs="Arial"/>
          <w:bCs/>
          <w:sz w:val="24"/>
          <w:szCs w:val="24"/>
        </w:rPr>
        <w:t xml:space="preserve">ehaviour </w:t>
      </w:r>
      <w:r w:rsidRPr="00C92ECE">
        <w:rPr>
          <w:rFonts w:ascii="Arial" w:eastAsia="Calibri" w:hAnsi="Arial" w:cs="Arial"/>
          <w:bCs/>
          <w:sz w:val="24"/>
          <w:szCs w:val="24"/>
        </w:rPr>
        <w:t>s</w:t>
      </w:r>
      <w:r w:rsidR="00731AD9" w:rsidRPr="00C92ECE">
        <w:rPr>
          <w:rFonts w:ascii="Arial" w:eastAsia="Calibri" w:hAnsi="Arial" w:cs="Arial"/>
          <w:bCs/>
          <w:sz w:val="24"/>
          <w:szCs w:val="24"/>
        </w:rPr>
        <w:t xml:space="preserve">upport and active support training, </w:t>
      </w:r>
      <w:r w:rsidR="00683E34">
        <w:rPr>
          <w:rFonts w:ascii="Arial" w:eastAsia="Calibri" w:hAnsi="Arial" w:cs="Arial"/>
          <w:bCs/>
          <w:sz w:val="24"/>
          <w:szCs w:val="24"/>
        </w:rPr>
        <w:t>in partnership</w:t>
      </w:r>
      <w:r w:rsidR="00731AD9" w:rsidRPr="00C92ECE">
        <w:rPr>
          <w:rFonts w:ascii="Arial" w:eastAsia="Calibri" w:hAnsi="Arial" w:cs="Arial"/>
          <w:bCs/>
          <w:sz w:val="24"/>
          <w:szCs w:val="24"/>
        </w:rPr>
        <w:t xml:space="preserve"> with </w:t>
      </w:r>
      <w:r w:rsidR="00683E34">
        <w:rPr>
          <w:rFonts w:ascii="Arial" w:eastAsia="Calibri" w:hAnsi="Arial" w:cs="Arial"/>
          <w:bCs/>
          <w:sz w:val="24"/>
          <w:szCs w:val="24"/>
        </w:rPr>
        <w:t xml:space="preserve">the </w:t>
      </w:r>
      <w:r w:rsidR="002B5932" w:rsidRPr="002B5932">
        <w:rPr>
          <w:rFonts w:ascii="Arial" w:eastAsia="Calibri" w:hAnsi="Arial" w:cs="Arial"/>
          <w:bCs/>
          <w:sz w:val="24"/>
          <w:szCs w:val="24"/>
        </w:rPr>
        <w:t>British Institute of Learning Disabilitie</w:t>
      </w:r>
      <w:r w:rsidR="002B5932">
        <w:rPr>
          <w:rFonts w:ascii="Arial" w:eastAsia="Calibri" w:hAnsi="Arial" w:cs="Arial"/>
          <w:bCs/>
          <w:sz w:val="24"/>
          <w:szCs w:val="24"/>
        </w:rPr>
        <w:t>s (</w:t>
      </w:r>
      <w:r w:rsidR="00731AD9" w:rsidRPr="00C92ECE">
        <w:rPr>
          <w:rFonts w:ascii="Arial" w:eastAsia="Calibri" w:hAnsi="Arial" w:cs="Arial"/>
          <w:bCs/>
          <w:sz w:val="24"/>
          <w:szCs w:val="24"/>
        </w:rPr>
        <w:t>BILD</w:t>
      </w:r>
      <w:r w:rsidR="002B5932">
        <w:rPr>
          <w:rFonts w:ascii="Arial" w:eastAsia="Calibri" w:hAnsi="Arial" w:cs="Arial"/>
          <w:bCs/>
          <w:sz w:val="24"/>
          <w:szCs w:val="24"/>
        </w:rPr>
        <w:t>)</w:t>
      </w:r>
      <w:r w:rsidR="00731AD9" w:rsidRPr="00C92ECE">
        <w:rPr>
          <w:rFonts w:ascii="Arial" w:eastAsia="Calibri" w:hAnsi="Arial" w:cs="Arial"/>
          <w:bCs/>
          <w:sz w:val="24"/>
          <w:szCs w:val="24"/>
        </w:rPr>
        <w:t>.</w:t>
      </w:r>
    </w:p>
    <w:p w14:paraId="48D9653F" w14:textId="77777777" w:rsidR="006935E5" w:rsidRPr="00C92ECE" w:rsidRDefault="006935E5" w:rsidP="00C92ECE">
      <w:pPr>
        <w:spacing w:after="200" w:line="276" w:lineRule="auto"/>
        <w:ind w:left="567"/>
        <w:contextualSpacing/>
        <w:rPr>
          <w:rFonts w:ascii="Arial" w:eastAsia="Calibri" w:hAnsi="Arial" w:cs="Arial"/>
          <w:bCs/>
          <w:sz w:val="24"/>
          <w:szCs w:val="24"/>
          <w:highlight w:val="yellow"/>
        </w:rPr>
      </w:pPr>
    </w:p>
    <w:p w14:paraId="3E4D8986" w14:textId="25CAE872" w:rsidR="00A818A6" w:rsidRDefault="00731AD9" w:rsidP="00A818A6">
      <w:pPr>
        <w:numPr>
          <w:ilvl w:val="0"/>
          <w:numId w:val="6"/>
        </w:numPr>
        <w:spacing w:after="20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A wide range of</w:t>
      </w:r>
      <w:r w:rsidR="00187922">
        <w:rPr>
          <w:rFonts w:ascii="Arial" w:eastAsia="Calibri" w:hAnsi="Arial" w:cs="Arial"/>
          <w:bCs/>
          <w:sz w:val="24"/>
          <w:szCs w:val="24"/>
        </w:rPr>
        <w:t xml:space="preserve"> dementia</w:t>
      </w:r>
      <w:r w:rsidRPr="00C92ECE">
        <w:rPr>
          <w:rFonts w:ascii="Arial" w:eastAsia="Calibri" w:hAnsi="Arial" w:cs="Arial"/>
          <w:bCs/>
          <w:sz w:val="24"/>
          <w:szCs w:val="24"/>
        </w:rPr>
        <w:t xml:space="preserve"> training delivered both in-house and </w:t>
      </w:r>
      <w:r w:rsidR="00F17DA1">
        <w:rPr>
          <w:rFonts w:ascii="Arial" w:eastAsia="Calibri" w:hAnsi="Arial" w:cs="Arial"/>
          <w:bCs/>
          <w:sz w:val="24"/>
          <w:szCs w:val="24"/>
        </w:rPr>
        <w:t xml:space="preserve">through external providers. </w:t>
      </w:r>
      <w:r w:rsidR="00D77F33">
        <w:rPr>
          <w:rFonts w:ascii="Arial" w:eastAsia="Calibri" w:hAnsi="Arial" w:cs="Arial"/>
          <w:bCs/>
          <w:sz w:val="24"/>
          <w:szCs w:val="24"/>
        </w:rPr>
        <w:t xml:space="preserve"> Using d</w:t>
      </w:r>
      <w:r w:rsidR="003570B6">
        <w:rPr>
          <w:rFonts w:ascii="Arial" w:eastAsia="Calibri" w:hAnsi="Arial" w:cs="Arial"/>
          <w:bCs/>
          <w:sz w:val="24"/>
          <w:szCs w:val="24"/>
        </w:rPr>
        <w:t xml:space="preserve">ementia </w:t>
      </w:r>
      <w:r w:rsidR="00F17DA1">
        <w:rPr>
          <w:rFonts w:ascii="Arial" w:eastAsia="Calibri" w:hAnsi="Arial" w:cs="Arial"/>
          <w:bCs/>
          <w:sz w:val="24"/>
          <w:szCs w:val="24"/>
        </w:rPr>
        <w:t>virtual reality (</w:t>
      </w:r>
      <w:r w:rsidR="003570B6">
        <w:rPr>
          <w:rFonts w:ascii="Arial" w:eastAsia="Calibri" w:hAnsi="Arial" w:cs="Arial"/>
          <w:bCs/>
          <w:sz w:val="24"/>
          <w:szCs w:val="24"/>
        </w:rPr>
        <w:t>VR</w:t>
      </w:r>
      <w:r w:rsidR="00F17DA1">
        <w:rPr>
          <w:rFonts w:ascii="Arial" w:eastAsia="Calibri" w:hAnsi="Arial" w:cs="Arial"/>
          <w:bCs/>
          <w:sz w:val="24"/>
          <w:szCs w:val="24"/>
        </w:rPr>
        <w:t>)</w:t>
      </w:r>
      <w:r w:rsidR="003570B6">
        <w:rPr>
          <w:rFonts w:ascii="Arial" w:eastAsia="Calibri" w:hAnsi="Arial" w:cs="Arial"/>
          <w:bCs/>
          <w:sz w:val="24"/>
          <w:szCs w:val="24"/>
        </w:rPr>
        <w:t xml:space="preserve"> to raise awareness</w:t>
      </w:r>
      <w:r w:rsidR="00727A1B">
        <w:rPr>
          <w:rFonts w:ascii="Arial" w:eastAsia="Calibri" w:hAnsi="Arial" w:cs="Arial"/>
          <w:bCs/>
          <w:sz w:val="24"/>
          <w:szCs w:val="24"/>
        </w:rPr>
        <w:t xml:space="preserve"> of dementia and how it affects the sensory experiences of individuals living with </w:t>
      </w:r>
      <w:r w:rsidR="004160D5">
        <w:rPr>
          <w:rFonts w:ascii="Arial" w:eastAsia="Calibri" w:hAnsi="Arial" w:cs="Arial"/>
          <w:bCs/>
          <w:sz w:val="24"/>
          <w:szCs w:val="24"/>
        </w:rPr>
        <w:t>dementia</w:t>
      </w:r>
      <w:r w:rsidRPr="00C92ECE">
        <w:rPr>
          <w:rFonts w:ascii="Arial" w:eastAsia="Calibri" w:hAnsi="Arial" w:cs="Arial"/>
          <w:bCs/>
          <w:sz w:val="24"/>
          <w:szCs w:val="24"/>
        </w:rPr>
        <w:t>.</w:t>
      </w:r>
    </w:p>
    <w:p w14:paraId="0C584E40" w14:textId="77777777" w:rsidR="00E34432" w:rsidRDefault="00E34432" w:rsidP="00C92ECE">
      <w:pPr>
        <w:spacing w:after="200" w:line="276" w:lineRule="auto"/>
        <w:contextualSpacing/>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4218D0" w:rsidRPr="00E34432" w14:paraId="03AC1280" w14:textId="77777777" w:rsidTr="00C92ECE">
        <w:trPr>
          <w:jc w:val="center"/>
        </w:trPr>
        <w:tc>
          <w:tcPr>
            <w:tcW w:w="9016" w:type="dxa"/>
          </w:tcPr>
          <w:p w14:paraId="2763AD5C" w14:textId="02A6D390" w:rsidR="004218D0" w:rsidRPr="00C92ECE" w:rsidRDefault="004218D0" w:rsidP="004218D0">
            <w:pPr>
              <w:rPr>
                <w:rFonts w:ascii="Arial" w:eastAsia="Calibri" w:hAnsi="Arial" w:cs="Arial"/>
                <w:sz w:val="24"/>
                <w:szCs w:val="24"/>
              </w:rPr>
            </w:pPr>
            <w:r w:rsidRPr="00C92ECE">
              <w:rPr>
                <w:rFonts w:ascii="Arial" w:eastAsia="Calibri" w:hAnsi="Arial" w:cs="Arial"/>
                <w:sz w:val="24"/>
                <w:szCs w:val="24"/>
              </w:rPr>
              <w:t>N</w:t>
            </w:r>
            <w:r w:rsidR="00D77F33">
              <w:rPr>
                <w:rFonts w:ascii="Arial" w:eastAsia="Calibri" w:hAnsi="Arial" w:cs="Arial"/>
                <w:sz w:val="24"/>
                <w:szCs w:val="24"/>
              </w:rPr>
              <w:t xml:space="preserve">eath </w:t>
            </w:r>
            <w:r w:rsidRPr="00C92ECE">
              <w:rPr>
                <w:rFonts w:ascii="Arial" w:eastAsia="Calibri" w:hAnsi="Arial" w:cs="Arial"/>
                <w:sz w:val="24"/>
                <w:szCs w:val="24"/>
              </w:rPr>
              <w:t>P</w:t>
            </w:r>
            <w:r w:rsidR="00D77F33">
              <w:rPr>
                <w:rFonts w:ascii="Arial" w:eastAsia="Calibri" w:hAnsi="Arial" w:cs="Arial"/>
                <w:sz w:val="24"/>
                <w:szCs w:val="24"/>
              </w:rPr>
              <w:t>ort Talbot</w:t>
            </w:r>
            <w:r w:rsidRPr="00C92ECE">
              <w:rPr>
                <w:rFonts w:ascii="Arial" w:eastAsia="Calibri" w:hAnsi="Arial" w:cs="Arial"/>
                <w:sz w:val="24"/>
                <w:szCs w:val="24"/>
              </w:rPr>
              <w:t xml:space="preserve"> acquired the Virtual Dementia Bus, which operated over two consecutive days and was </w:t>
            </w:r>
            <w:r w:rsidR="00D77F33">
              <w:rPr>
                <w:rFonts w:ascii="Arial" w:eastAsia="Calibri" w:hAnsi="Arial" w:cs="Arial"/>
                <w:sz w:val="24"/>
                <w:szCs w:val="24"/>
              </w:rPr>
              <w:t>available</w:t>
            </w:r>
            <w:r w:rsidRPr="00C92ECE">
              <w:rPr>
                <w:rFonts w:ascii="Arial" w:eastAsia="Calibri" w:hAnsi="Arial" w:cs="Arial"/>
                <w:sz w:val="24"/>
                <w:szCs w:val="24"/>
              </w:rPr>
              <w:t xml:space="preserve"> to both statutory and private</w:t>
            </w:r>
            <w:r w:rsidR="00D77F33">
              <w:rPr>
                <w:rFonts w:ascii="Arial" w:eastAsia="Calibri" w:hAnsi="Arial" w:cs="Arial"/>
                <w:sz w:val="24"/>
                <w:szCs w:val="24"/>
              </w:rPr>
              <w:t xml:space="preserve"> or </w:t>
            </w:r>
            <w:r w:rsidRPr="00C92ECE">
              <w:rPr>
                <w:rFonts w:ascii="Arial" w:eastAsia="Calibri" w:hAnsi="Arial" w:cs="Arial"/>
                <w:sz w:val="24"/>
                <w:szCs w:val="24"/>
              </w:rPr>
              <w:t>voluntary sector staff. This helped to promote awareness raising of dementia and how dementia affects the sensory experiences of individuals living with dementia across commissioned providers</w:t>
            </w:r>
            <w:r w:rsidR="00D77F33">
              <w:rPr>
                <w:rFonts w:ascii="Arial" w:eastAsia="Calibri" w:hAnsi="Arial" w:cs="Arial"/>
                <w:sz w:val="24"/>
                <w:szCs w:val="24"/>
              </w:rPr>
              <w:t>,</w:t>
            </w:r>
            <w:r w:rsidRPr="00C92ECE">
              <w:rPr>
                <w:rFonts w:ascii="Arial" w:eastAsia="Calibri" w:hAnsi="Arial" w:cs="Arial"/>
                <w:sz w:val="24"/>
                <w:szCs w:val="24"/>
              </w:rPr>
              <w:t xml:space="preserve"> in both residential and domiciliary care services. </w:t>
            </w:r>
          </w:p>
          <w:p w14:paraId="35FE7824" w14:textId="3B1EF3B6" w:rsidR="004218D0" w:rsidRPr="00C92ECE" w:rsidRDefault="004218D0" w:rsidP="004218D0">
            <w:pPr>
              <w:rPr>
                <w:rFonts w:ascii="Arial" w:eastAsia="Calibri" w:hAnsi="Arial" w:cs="Arial"/>
                <w:bCs/>
                <w:sz w:val="24"/>
                <w:szCs w:val="24"/>
              </w:rPr>
            </w:pPr>
            <w:r w:rsidRPr="00C92ECE">
              <w:rPr>
                <w:rFonts w:ascii="Arial" w:eastAsia="Calibri" w:hAnsi="Arial" w:cs="Arial"/>
                <w:sz w:val="24"/>
                <w:szCs w:val="24"/>
              </w:rPr>
              <w:t xml:space="preserve">55 staff members were </w:t>
            </w:r>
            <w:r w:rsidR="00D77F33">
              <w:rPr>
                <w:rFonts w:ascii="Arial" w:eastAsia="Calibri" w:hAnsi="Arial" w:cs="Arial"/>
                <w:sz w:val="24"/>
                <w:szCs w:val="24"/>
              </w:rPr>
              <w:t>supported</w:t>
            </w:r>
            <w:r w:rsidRPr="00C92ECE">
              <w:rPr>
                <w:rFonts w:ascii="Arial" w:eastAsia="Calibri" w:hAnsi="Arial" w:cs="Arial"/>
                <w:sz w:val="24"/>
                <w:szCs w:val="24"/>
              </w:rPr>
              <w:t>, including 15 from statutory sectors and 41 from private</w:t>
            </w:r>
            <w:r w:rsidR="00D77F33">
              <w:rPr>
                <w:rFonts w:ascii="Arial" w:eastAsia="Calibri" w:hAnsi="Arial" w:cs="Arial"/>
                <w:sz w:val="24"/>
                <w:szCs w:val="24"/>
              </w:rPr>
              <w:t xml:space="preserve"> or </w:t>
            </w:r>
            <w:r w:rsidRPr="00C92ECE">
              <w:rPr>
                <w:rFonts w:ascii="Arial" w:eastAsia="Calibri" w:hAnsi="Arial" w:cs="Arial"/>
                <w:sz w:val="24"/>
                <w:szCs w:val="24"/>
              </w:rPr>
              <w:t>voluntary sectors.</w:t>
            </w:r>
            <w:r w:rsidRPr="00C92ECE">
              <w:rPr>
                <w:rFonts w:ascii="Arial" w:eastAsia="Calibri" w:hAnsi="Arial" w:cs="Arial"/>
                <w:bCs/>
                <w:sz w:val="24"/>
                <w:szCs w:val="24"/>
              </w:rPr>
              <w:t xml:space="preserve"> </w:t>
            </w:r>
          </w:p>
          <w:p w14:paraId="7E53CF1F" w14:textId="77777777" w:rsidR="004218D0" w:rsidRPr="00C92ECE" w:rsidRDefault="004218D0" w:rsidP="004218D0">
            <w:pPr>
              <w:spacing w:line="276" w:lineRule="auto"/>
              <w:rPr>
                <w:rFonts w:ascii="Arial" w:eastAsia="Calibri" w:hAnsi="Arial" w:cs="Arial"/>
                <w:b/>
                <w:bCs/>
                <w:color w:val="7030A0"/>
                <w:sz w:val="24"/>
                <w:szCs w:val="24"/>
              </w:rPr>
            </w:pPr>
          </w:p>
          <w:p w14:paraId="0FE5F31B" w14:textId="136E685F" w:rsidR="004218D0" w:rsidRPr="00C92ECE" w:rsidRDefault="004218D0" w:rsidP="00C92ECE">
            <w:pPr>
              <w:rPr>
                <w:rFonts w:ascii="Arial" w:eastAsia="Calibri" w:hAnsi="Arial" w:cs="Arial"/>
                <w:b/>
                <w:i/>
                <w:color w:val="FF0000"/>
                <w:sz w:val="24"/>
                <w:szCs w:val="24"/>
              </w:rPr>
            </w:pPr>
            <w:r w:rsidRPr="00C92ECE">
              <w:rPr>
                <w:rFonts w:ascii="Arial" w:eastAsia="Calibri" w:hAnsi="Arial" w:cs="Arial"/>
                <w:sz w:val="24"/>
                <w:szCs w:val="24"/>
              </w:rPr>
              <w:t xml:space="preserve">One individual provided feedback via email after the event, </w:t>
            </w:r>
            <w:r w:rsidR="00D77F33" w:rsidRPr="00C92ECE">
              <w:rPr>
                <w:rFonts w:ascii="Arial" w:eastAsia="Calibri" w:hAnsi="Arial" w:cs="Arial"/>
                <w:sz w:val="24"/>
                <w:szCs w:val="24"/>
              </w:rPr>
              <w:t>s</w:t>
            </w:r>
            <w:r w:rsidR="00D77F33">
              <w:rPr>
                <w:rFonts w:ascii="Arial" w:eastAsia="Calibri" w:hAnsi="Arial" w:cs="Arial"/>
                <w:sz w:val="24"/>
                <w:szCs w:val="24"/>
              </w:rPr>
              <w:t>aying</w:t>
            </w:r>
            <w:r w:rsidR="00D77F33" w:rsidRPr="00C92ECE">
              <w:rPr>
                <w:rFonts w:ascii="Arial" w:eastAsia="Calibri" w:hAnsi="Arial" w:cs="Arial"/>
                <w:sz w:val="24"/>
                <w:szCs w:val="24"/>
              </w:rPr>
              <w:t xml:space="preserve"> </w:t>
            </w:r>
            <w:r w:rsidRPr="00C92ECE">
              <w:rPr>
                <w:rFonts w:ascii="Arial" w:eastAsia="Calibri" w:hAnsi="Arial" w:cs="Arial"/>
                <w:sz w:val="24"/>
                <w:szCs w:val="24"/>
              </w:rPr>
              <w:t>that they ‘found the experience invaluable and suggested it should be included in the induction process for all staff’. (N</w:t>
            </w:r>
            <w:r w:rsidR="00D77F33">
              <w:rPr>
                <w:rFonts w:ascii="Arial" w:eastAsia="Calibri" w:hAnsi="Arial" w:cs="Arial"/>
                <w:sz w:val="24"/>
                <w:szCs w:val="24"/>
              </w:rPr>
              <w:t xml:space="preserve">eath </w:t>
            </w:r>
            <w:r w:rsidRPr="00C92ECE">
              <w:rPr>
                <w:rFonts w:ascii="Arial" w:eastAsia="Calibri" w:hAnsi="Arial" w:cs="Arial"/>
                <w:sz w:val="24"/>
                <w:szCs w:val="24"/>
              </w:rPr>
              <w:t>P</w:t>
            </w:r>
            <w:r w:rsidR="00D77F33">
              <w:rPr>
                <w:rFonts w:ascii="Arial" w:eastAsia="Calibri" w:hAnsi="Arial" w:cs="Arial"/>
                <w:sz w:val="24"/>
                <w:szCs w:val="24"/>
              </w:rPr>
              <w:t xml:space="preserve">ort </w:t>
            </w:r>
            <w:r w:rsidRPr="00C92ECE">
              <w:rPr>
                <w:rFonts w:ascii="Arial" w:eastAsia="Calibri" w:hAnsi="Arial" w:cs="Arial"/>
                <w:sz w:val="24"/>
                <w:szCs w:val="24"/>
              </w:rPr>
              <w:t>T</w:t>
            </w:r>
            <w:r w:rsidR="00D77F33">
              <w:rPr>
                <w:rFonts w:ascii="Arial" w:eastAsia="Calibri" w:hAnsi="Arial" w:cs="Arial"/>
                <w:sz w:val="24"/>
                <w:szCs w:val="24"/>
              </w:rPr>
              <w:t>albot</w:t>
            </w:r>
            <w:r w:rsidRPr="00C92ECE">
              <w:rPr>
                <w:rFonts w:ascii="Arial" w:eastAsia="Calibri" w:hAnsi="Arial" w:cs="Arial"/>
                <w:sz w:val="24"/>
                <w:szCs w:val="24"/>
              </w:rPr>
              <w:t xml:space="preserve"> – </w:t>
            </w:r>
            <w:r w:rsidR="00D77F33">
              <w:rPr>
                <w:rFonts w:ascii="Arial" w:eastAsia="Calibri" w:hAnsi="Arial" w:cs="Arial"/>
                <w:sz w:val="24"/>
                <w:szCs w:val="24"/>
              </w:rPr>
              <w:t>w</w:t>
            </w:r>
            <w:r w:rsidRPr="00C92ECE">
              <w:rPr>
                <w:rFonts w:ascii="Arial" w:eastAsia="Calibri" w:hAnsi="Arial" w:cs="Arial"/>
                <w:sz w:val="24"/>
                <w:szCs w:val="24"/>
              </w:rPr>
              <w:t xml:space="preserve">est Glamorgan </w:t>
            </w:r>
            <w:r w:rsidR="00D77F33">
              <w:rPr>
                <w:rFonts w:ascii="Arial" w:eastAsia="Calibri" w:hAnsi="Arial" w:cs="Arial"/>
                <w:sz w:val="24"/>
                <w:szCs w:val="24"/>
              </w:rPr>
              <w:t>r</w:t>
            </w:r>
            <w:r w:rsidRPr="00C92ECE">
              <w:rPr>
                <w:rFonts w:ascii="Arial" w:eastAsia="Calibri" w:hAnsi="Arial" w:cs="Arial"/>
                <w:sz w:val="24"/>
                <w:szCs w:val="24"/>
              </w:rPr>
              <w:t>egion)</w:t>
            </w:r>
          </w:p>
        </w:tc>
      </w:tr>
    </w:tbl>
    <w:p w14:paraId="4EEFBF35" w14:textId="77777777" w:rsidR="00796929" w:rsidRDefault="00796929">
      <w:pPr>
        <w:spacing w:after="200" w:line="276" w:lineRule="auto"/>
        <w:ind w:left="567"/>
        <w:contextualSpacing/>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A13DD2" w14:paraId="602453A7" w14:textId="77777777" w:rsidTr="00C92ECE">
        <w:trPr>
          <w:jc w:val="center"/>
        </w:trPr>
        <w:tc>
          <w:tcPr>
            <w:tcW w:w="9016" w:type="dxa"/>
          </w:tcPr>
          <w:p w14:paraId="6F8BC57E" w14:textId="56098EF6" w:rsidR="00A13DD2" w:rsidRPr="00C92ECE" w:rsidRDefault="00A13DD2" w:rsidP="00C92ECE">
            <w:pPr>
              <w:rPr>
                <w:rFonts w:ascii="Arial" w:eastAsia="Calibri" w:hAnsi="Arial" w:cs="Arial"/>
                <w:bCs/>
                <w:iCs/>
                <w:color w:val="A02B93"/>
                <w:sz w:val="24"/>
                <w:szCs w:val="24"/>
              </w:rPr>
            </w:pPr>
            <w:r w:rsidRPr="001D3350">
              <w:rPr>
                <w:rFonts w:ascii="Arial" w:eastAsia="Calibri" w:hAnsi="Arial" w:cs="Arial"/>
                <w:bCs/>
                <w:iCs/>
                <w:sz w:val="24"/>
                <w:szCs w:val="24"/>
              </w:rPr>
              <w:t>Audits were carried out with dementia providers to look at what provisions they</w:t>
            </w:r>
            <w:r w:rsidR="00D73DD0">
              <w:rPr>
                <w:rFonts w:ascii="Arial" w:eastAsia="Calibri" w:hAnsi="Arial" w:cs="Arial"/>
                <w:bCs/>
                <w:iCs/>
                <w:sz w:val="24"/>
                <w:szCs w:val="24"/>
              </w:rPr>
              <w:t>’re</w:t>
            </w:r>
            <w:r w:rsidRPr="001D3350">
              <w:rPr>
                <w:rFonts w:ascii="Arial" w:eastAsia="Calibri" w:hAnsi="Arial" w:cs="Arial"/>
                <w:bCs/>
                <w:iCs/>
                <w:sz w:val="24"/>
                <w:szCs w:val="24"/>
              </w:rPr>
              <w:t xml:space="preserve"> accessing and what support they need moving forward, shaping a dementia learning plan. </w:t>
            </w:r>
            <w:r w:rsidRPr="001D3350">
              <w:rPr>
                <w:rFonts w:ascii="Arial" w:eastAsia="Calibri" w:hAnsi="Arial" w:cs="Arial"/>
                <w:iCs/>
                <w:sz w:val="24"/>
                <w:szCs w:val="24"/>
              </w:rPr>
              <w:t xml:space="preserve">The dementia action plan has been created and will involve numerous practical elements for staff to experience and learn. Conwy has also commissioned a Dementia Learning Pathway for providers to access; this is to be developed further following consultation with providers. </w:t>
            </w:r>
            <w:r w:rsidRPr="001D3350">
              <w:rPr>
                <w:rFonts w:ascii="Arial" w:eastAsia="Calibri" w:hAnsi="Arial" w:cs="Arial"/>
                <w:bCs/>
                <w:iCs/>
                <w:sz w:val="24"/>
                <w:szCs w:val="24"/>
              </w:rPr>
              <w:t xml:space="preserve">(Conwy – </w:t>
            </w:r>
            <w:r w:rsidR="00D73DD0">
              <w:rPr>
                <w:rFonts w:ascii="Arial" w:eastAsia="Calibri" w:hAnsi="Arial" w:cs="Arial"/>
                <w:bCs/>
                <w:iCs/>
                <w:sz w:val="24"/>
                <w:szCs w:val="24"/>
              </w:rPr>
              <w:t>n</w:t>
            </w:r>
            <w:r w:rsidRPr="001D3350">
              <w:rPr>
                <w:rFonts w:ascii="Arial" w:eastAsia="Calibri" w:hAnsi="Arial" w:cs="Arial"/>
                <w:bCs/>
                <w:iCs/>
                <w:sz w:val="24"/>
                <w:szCs w:val="24"/>
              </w:rPr>
              <w:t xml:space="preserve">orth Wales </w:t>
            </w:r>
            <w:r w:rsidR="00D73DD0">
              <w:rPr>
                <w:rFonts w:ascii="Arial" w:eastAsia="Calibri" w:hAnsi="Arial" w:cs="Arial"/>
                <w:bCs/>
                <w:iCs/>
                <w:sz w:val="24"/>
                <w:szCs w:val="24"/>
              </w:rPr>
              <w:t>r</w:t>
            </w:r>
            <w:r w:rsidRPr="001D3350">
              <w:rPr>
                <w:rFonts w:ascii="Arial" w:eastAsia="Calibri" w:hAnsi="Arial" w:cs="Arial"/>
                <w:bCs/>
                <w:iCs/>
                <w:sz w:val="24"/>
                <w:szCs w:val="24"/>
              </w:rPr>
              <w:t>egion)</w:t>
            </w:r>
          </w:p>
        </w:tc>
      </w:tr>
    </w:tbl>
    <w:p w14:paraId="26815524" w14:textId="77777777" w:rsidR="00A13DD2" w:rsidRDefault="00A13DD2">
      <w:pPr>
        <w:spacing w:after="200" w:line="276" w:lineRule="auto"/>
        <w:ind w:left="567"/>
        <w:contextualSpacing/>
        <w:rPr>
          <w:rFonts w:ascii="Arial" w:eastAsia="Calibri" w:hAnsi="Arial" w:cs="Arial"/>
          <w:bCs/>
          <w:sz w:val="24"/>
          <w:szCs w:val="24"/>
        </w:rPr>
      </w:pPr>
    </w:p>
    <w:p w14:paraId="2B75DECB" w14:textId="099E326F" w:rsidR="00EB6AF0" w:rsidRDefault="00EB6AF0" w:rsidP="00A818A6">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 xml:space="preserve">Training </w:t>
      </w:r>
      <w:r w:rsidR="00621EB5">
        <w:rPr>
          <w:rFonts w:ascii="Arial" w:eastAsia="Calibri" w:hAnsi="Arial" w:cs="Arial"/>
          <w:bCs/>
          <w:sz w:val="24"/>
          <w:szCs w:val="24"/>
        </w:rPr>
        <w:t xml:space="preserve">on mental health topics and specific learning and development </w:t>
      </w:r>
      <w:r w:rsidRPr="00EB6AF0">
        <w:rPr>
          <w:rFonts w:ascii="Arial" w:eastAsia="Calibri" w:hAnsi="Arial" w:cs="Arial"/>
          <w:bCs/>
          <w:sz w:val="24"/>
          <w:szCs w:val="24"/>
        </w:rPr>
        <w:t>around the Mental Capacity Act (MCA) to strengthen practitioners' knowledge of the Act</w:t>
      </w:r>
      <w:r w:rsidR="00D73DD0">
        <w:rPr>
          <w:rFonts w:ascii="Arial" w:eastAsia="Calibri" w:hAnsi="Arial" w:cs="Arial"/>
          <w:bCs/>
          <w:sz w:val="24"/>
          <w:szCs w:val="24"/>
        </w:rPr>
        <w:t>.</w:t>
      </w:r>
    </w:p>
    <w:p w14:paraId="33FA1E65" w14:textId="77777777" w:rsidR="00621EB5" w:rsidRDefault="00621EB5" w:rsidP="00C92ECE">
      <w:pPr>
        <w:spacing w:after="200" w:line="276" w:lineRule="auto"/>
        <w:ind w:left="567"/>
        <w:contextualSpacing/>
        <w:rPr>
          <w:rFonts w:ascii="Arial" w:eastAsia="Calibri" w:hAnsi="Arial" w:cs="Arial"/>
          <w:bCs/>
          <w:sz w:val="24"/>
          <w:szCs w:val="24"/>
        </w:rPr>
      </w:pPr>
    </w:p>
    <w:p w14:paraId="10DEBFBC" w14:textId="259E7C97" w:rsidR="00A818A6" w:rsidRDefault="00D73DD0" w:rsidP="00A818A6">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 xml:space="preserve">Working </w:t>
      </w:r>
      <w:r w:rsidR="00093DB7">
        <w:rPr>
          <w:rFonts w:ascii="Arial" w:eastAsia="Calibri" w:hAnsi="Arial" w:cs="Arial"/>
          <w:bCs/>
          <w:sz w:val="24"/>
          <w:szCs w:val="24"/>
        </w:rPr>
        <w:t>with the</w:t>
      </w:r>
      <w:r>
        <w:rPr>
          <w:rFonts w:ascii="Arial" w:eastAsia="Calibri" w:hAnsi="Arial" w:cs="Arial"/>
          <w:bCs/>
          <w:sz w:val="24"/>
          <w:szCs w:val="24"/>
        </w:rPr>
        <w:t xml:space="preserve"> h</w:t>
      </w:r>
      <w:r w:rsidR="00C54AF9">
        <w:rPr>
          <w:rFonts w:ascii="Arial" w:eastAsia="Calibri" w:hAnsi="Arial" w:cs="Arial"/>
          <w:bCs/>
          <w:sz w:val="24"/>
          <w:szCs w:val="24"/>
        </w:rPr>
        <w:t>ealth</w:t>
      </w:r>
      <w:r>
        <w:rPr>
          <w:rFonts w:ascii="Arial" w:eastAsia="Calibri" w:hAnsi="Arial" w:cs="Arial"/>
          <w:bCs/>
          <w:sz w:val="24"/>
          <w:szCs w:val="24"/>
        </w:rPr>
        <w:t xml:space="preserve"> sector</w:t>
      </w:r>
      <w:r w:rsidR="00C54AF9">
        <w:rPr>
          <w:rFonts w:ascii="Arial" w:eastAsia="Calibri" w:hAnsi="Arial" w:cs="Arial"/>
          <w:bCs/>
          <w:sz w:val="24"/>
          <w:szCs w:val="24"/>
        </w:rPr>
        <w:t xml:space="preserve"> to deliver health related</w:t>
      </w:r>
      <w:r w:rsidR="00F05B2E">
        <w:rPr>
          <w:rFonts w:ascii="Arial" w:eastAsia="Calibri" w:hAnsi="Arial" w:cs="Arial"/>
          <w:bCs/>
          <w:sz w:val="24"/>
          <w:szCs w:val="24"/>
        </w:rPr>
        <w:t xml:space="preserve"> learning and development including</w:t>
      </w:r>
      <w:r w:rsidR="00C54AF9">
        <w:rPr>
          <w:rFonts w:ascii="Arial" w:eastAsia="Calibri" w:hAnsi="Arial" w:cs="Arial"/>
          <w:bCs/>
          <w:sz w:val="24"/>
          <w:szCs w:val="24"/>
        </w:rPr>
        <w:t xml:space="preserve"> </w:t>
      </w:r>
      <w:r w:rsidR="00A818A6" w:rsidRPr="00A818A6">
        <w:rPr>
          <w:rFonts w:ascii="Arial" w:eastAsia="Calibri" w:hAnsi="Arial" w:cs="Arial"/>
          <w:bCs/>
          <w:sz w:val="24"/>
          <w:szCs w:val="24"/>
        </w:rPr>
        <w:t xml:space="preserve">safe administration of medicines or medication management </w:t>
      </w:r>
      <w:r w:rsidR="00C54AF9">
        <w:rPr>
          <w:rFonts w:ascii="Arial" w:eastAsia="Calibri" w:hAnsi="Arial" w:cs="Arial"/>
          <w:bCs/>
          <w:sz w:val="24"/>
          <w:szCs w:val="24"/>
        </w:rPr>
        <w:t>training</w:t>
      </w:r>
      <w:r>
        <w:rPr>
          <w:rFonts w:ascii="Arial" w:eastAsia="Calibri" w:hAnsi="Arial" w:cs="Arial"/>
          <w:bCs/>
          <w:sz w:val="24"/>
          <w:szCs w:val="24"/>
        </w:rPr>
        <w:t>.</w:t>
      </w:r>
    </w:p>
    <w:p w14:paraId="1ADF2725" w14:textId="77777777" w:rsidR="00E34432" w:rsidRDefault="00E34432" w:rsidP="00C92ECE">
      <w:pPr>
        <w:spacing w:after="200" w:line="276" w:lineRule="auto"/>
        <w:ind w:left="567"/>
        <w:contextualSpacing/>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A818A6" w:rsidRPr="00E34432" w14:paraId="02A76869" w14:textId="77777777" w:rsidTr="00C92ECE">
        <w:trPr>
          <w:jc w:val="center"/>
        </w:trPr>
        <w:tc>
          <w:tcPr>
            <w:tcW w:w="9016" w:type="dxa"/>
          </w:tcPr>
          <w:p w14:paraId="67989D40" w14:textId="0C46AD25" w:rsidR="00067FED" w:rsidRPr="00C92ECE" w:rsidRDefault="00067FED" w:rsidP="0019368B">
            <w:pPr>
              <w:rPr>
                <w:rFonts w:ascii="Arial" w:eastAsia="Calibri" w:hAnsi="Arial" w:cs="Arial"/>
                <w:bCs/>
                <w:sz w:val="24"/>
                <w:szCs w:val="24"/>
              </w:rPr>
            </w:pPr>
            <w:r w:rsidRPr="00C92ECE">
              <w:rPr>
                <w:rFonts w:ascii="Arial" w:eastAsia="Calibri" w:hAnsi="Arial" w:cs="Arial"/>
                <w:bCs/>
                <w:sz w:val="24"/>
                <w:szCs w:val="24"/>
              </w:rPr>
              <w:t xml:space="preserve">In collaboration with Hywel Dda Health Board and the </w:t>
            </w:r>
            <w:r w:rsidR="00D73DD0">
              <w:rPr>
                <w:rFonts w:ascii="Arial" w:eastAsia="Calibri" w:hAnsi="Arial" w:cs="Arial"/>
                <w:bCs/>
                <w:sz w:val="24"/>
                <w:szCs w:val="24"/>
              </w:rPr>
              <w:t>three</w:t>
            </w:r>
            <w:r w:rsidRPr="00C92ECE">
              <w:rPr>
                <w:rFonts w:ascii="Arial" w:eastAsia="Calibri" w:hAnsi="Arial" w:cs="Arial"/>
                <w:bCs/>
                <w:sz w:val="24"/>
                <w:szCs w:val="24"/>
              </w:rPr>
              <w:t xml:space="preserve"> local authorities, a significant number of domiciliary PCC staff have also completed Medication </w:t>
            </w:r>
            <w:r w:rsidR="00D73DD0">
              <w:rPr>
                <w:rFonts w:ascii="Arial" w:eastAsia="Calibri" w:hAnsi="Arial" w:cs="Arial"/>
                <w:bCs/>
                <w:sz w:val="24"/>
                <w:szCs w:val="24"/>
              </w:rPr>
              <w:t>Admi</w:t>
            </w:r>
            <w:r w:rsidR="00C809CC">
              <w:rPr>
                <w:rFonts w:ascii="Arial" w:eastAsia="Calibri" w:hAnsi="Arial" w:cs="Arial"/>
                <w:bCs/>
                <w:sz w:val="24"/>
                <w:szCs w:val="24"/>
              </w:rPr>
              <w:t>n</w:t>
            </w:r>
            <w:r w:rsidR="00D73DD0">
              <w:rPr>
                <w:rFonts w:ascii="Arial" w:eastAsia="Calibri" w:hAnsi="Arial" w:cs="Arial"/>
                <w:bCs/>
                <w:sz w:val="24"/>
                <w:szCs w:val="24"/>
              </w:rPr>
              <w:t>istration Record (</w:t>
            </w:r>
            <w:r w:rsidRPr="00C92ECE">
              <w:rPr>
                <w:rFonts w:ascii="Arial" w:eastAsia="Calibri" w:hAnsi="Arial" w:cs="Arial"/>
                <w:bCs/>
                <w:sz w:val="24"/>
                <w:szCs w:val="24"/>
              </w:rPr>
              <w:t>MAR</w:t>
            </w:r>
            <w:r w:rsidR="00D73DD0">
              <w:rPr>
                <w:rFonts w:ascii="Arial" w:eastAsia="Calibri" w:hAnsi="Arial" w:cs="Arial"/>
                <w:bCs/>
                <w:sz w:val="24"/>
                <w:szCs w:val="24"/>
              </w:rPr>
              <w:t>)</w:t>
            </w:r>
            <w:r w:rsidRPr="00C92ECE">
              <w:rPr>
                <w:rFonts w:ascii="Arial" w:eastAsia="Calibri" w:hAnsi="Arial" w:cs="Arial"/>
                <w:bCs/>
                <w:sz w:val="24"/>
                <w:szCs w:val="24"/>
              </w:rPr>
              <w:t xml:space="preserve"> chart training. (</w:t>
            </w:r>
            <w:r w:rsidR="00D73DD0">
              <w:rPr>
                <w:rFonts w:ascii="Arial" w:eastAsia="Calibri" w:hAnsi="Arial" w:cs="Arial"/>
                <w:bCs/>
                <w:sz w:val="24"/>
                <w:szCs w:val="24"/>
              </w:rPr>
              <w:t>w</w:t>
            </w:r>
            <w:r w:rsidRPr="00C92ECE">
              <w:rPr>
                <w:rFonts w:ascii="Arial" w:eastAsia="Calibri" w:hAnsi="Arial" w:cs="Arial"/>
                <w:bCs/>
                <w:sz w:val="24"/>
                <w:szCs w:val="24"/>
              </w:rPr>
              <w:t>est Wales region)</w:t>
            </w:r>
          </w:p>
          <w:p w14:paraId="534113F4" w14:textId="77777777" w:rsidR="00A818A6" w:rsidRPr="00E34432" w:rsidRDefault="00A818A6" w:rsidP="00A818A6">
            <w:pPr>
              <w:spacing w:after="200" w:line="276" w:lineRule="auto"/>
              <w:contextualSpacing/>
              <w:rPr>
                <w:rFonts w:ascii="Arial" w:eastAsia="Calibri" w:hAnsi="Arial" w:cs="Arial"/>
                <w:bCs/>
                <w:sz w:val="24"/>
                <w:szCs w:val="24"/>
              </w:rPr>
            </w:pPr>
          </w:p>
        </w:tc>
      </w:tr>
    </w:tbl>
    <w:p w14:paraId="3760A317" w14:textId="77777777" w:rsidR="00A818A6" w:rsidRPr="00A818A6" w:rsidRDefault="00A818A6" w:rsidP="00C92ECE">
      <w:pPr>
        <w:spacing w:after="200" w:line="276" w:lineRule="auto"/>
        <w:ind w:left="567"/>
        <w:contextualSpacing/>
        <w:rPr>
          <w:rFonts w:ascii="Arial" w:eastAsia="Calibri" w:hAnsi="Arial" w:cs="Arial"/>
          <w:bCs/>
          <w:sz w:val="24"/>
          <w:szCs w:val="24"/>
        </w:rPr>
      </w:pPr>
    </w:p>
    <w:p w14:paraId="0F5E33F4" w14:textId="6C289F73" w:rsidR="008B3598" w:rsidRPr="008B3598" w:rsidRDefault="00731AD9" w:rsidP="008B3598">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bCs/>
          <w:sz w:val="24"/>
          <w:szCs w:val="24"/>
        </w:rPr>
        <w:t>Active participation in regional safeguarding boards and training groups</w:t>
      </w:r>
      <w:r w:rsidR="00D73DD0">
        <w:rPr>
          <w:rFonts w:ascii="Arial" w:eastAsia="Calibri" w:hAnsi="Arial" w:cs="Arial"/>
          <w:bCs/>
          <w:sz w:val="24"/>
          <w:szCs w:val="24"/>
        </w:rPr>
        <w:t>. S</w:t>
      </w:r>
      <w:r w:rsidRPr="00C92ECE">
        <w:rPr>
          <w:rFonts w:ascii="Arial" w:eastAsia="Calibri" w:hAnsi="Arial" w:cs="Arial"/>
          <w:bCs/>
          <w:sz w:val="24"/>
          <w:szCs w:val="24"/>
        </w:rPr>
        <w:t xml:space="preserve">afeguarding training </w:t>
      </w:r>
      <w:r w:rsidR="00D73DD0">
        <w:rPr>
          <w:rFonts w:ascii="Arial" w:eastAsia="Calibri" w:hAnsi="Arial" w:cs="Arial"/>
          <w:sz w:val="24"/>
          <w:szCs w:val="24"/>
        </w:rPr>
        <w:t>follows</w:t>
      </w:r>
      <w:r w:rsidR="00B91C6C" w:rsidRPr="008B3598">
        <w:rPr>
          <w:rFonts w:ascii="Arial" w:eastAsia="Calibri" w:hAnsi="Arial" w:cs="Arial"/>
          <w:sz w:val="24"/>
          <w:szCs w:val="24"/>
        </w:rPr>
        <w:t xml:space="preserve"> the National Safeguarding Training Framework</w:t>
      </w:r>
      <w:r w:rsidR="00B91C6C" w:rsidRPr="00C92ECE">
        <w:rPr>
          <w:rFonts w:ascii="Arial" w:eastAsia="Calibri" w:hAnsi="Arial" w:cs="Arial"/>
          <w:bCs/>
          <w:sz w:val="24"/>
          <w:szCs w:val="24"/>
        </w:rPr>
        <w:t xml:space="preserve"> and </w:t>
      </w:r>
      <w:r w:rsidR="008802C9">
        <w:rPr>
          <w:rFonts w:ascii="Arial" w:eastAsia="Calibri" w:hAnsi="Arial" w:cs="Arial"/>
          <w:bCs/>
          <w:sz w:val="24"/>
          <w:szCs w:val="24"/>
        </w:rPr>
        <w:t xml:space="preserve">is </w:t>
      </w:r>
      <w:r w:rsidRPr="00C92ECE">
        <w:rPr>
          <w:rFonts w:ascii="Arial" w:eastAsia="Calibri" w:hAnsi="Arial" w:cs="Arial"/>
          <w:bCs/>
          <w:sz w:val="24"/>
          <w:szCs w:val="24"/>
        </w:rPr>
        <w:t xml:space="preserve">delivered in </w:t>
      </w:r>
      <w:r w:rsidR="008802C9">
        <w:rPr>
          <w:rFonts w:ascii="Arial" w:eastAsia="Calibri" w:hAnsi="Arial" w:cs="Arial"/>
          <w:bCs/>
          <w:sz w:val="24"/>
          <w:szCs w:val="24"/>
        </w:rPr>
        <w:t>different</w:t>
      </w:r>
      <w:r w:rsidRPr="00C92ECE">
        <w:rPr>
          <w:rFonts w:ascii="Arial" w:eastAsia="Calibri" w:hAnsi="Arial" w:cs="Arial"/>
          <w:bCs/>
          <w:sz w:val="24"/>
          <w:szCs w:val="24"/>
        </w:rPr>
        <w:t xml:space="preserve"> ways across </w:t>
      </w:r>
      <w:r w:rsidR="00B91C6C" w:rsidRPr="00C92ECE">
        <w:rPr>
          <w:rFonts w:ascii="Arial" w:eastAsia="Calibri" w:hAnsi="Arial" w:cs="Arial"/>
          <w:bCs/>
          <w:sz w:val="24"/>
          <w:szCs w:val="24"/>
        </w:rPr>
        <w:t>regions</w:t>
      </w:r>
      <w:r w:rsidR="008B3598" w:rsidRPr="00C92ECE">
        <w:rPr>
          <w:rFonts w:ascii="Arial" w:eastAsia="Calibri" w:hAnsi="Arial" w:cs="Arial"/>
          <w:bCs/>
          <w:sz w:val="24"/>
          <w:szCs w:val="24"/>
        </w:rPr>
        <w:t xml:space="preserve">. </w:t>
      </w:r>
      <w:r w:rsidRPr="00C92ECE">
        <w:rPr>
          <w:rFonts w:ascii="Arial" w:eastAsia="Calibri" w:hAnsi="Arial" w:cs="Arial"/>
          <w:bCs/>
          <w:sz w:val="24"/>
          <w:szCs w:val="24"/>
        </w:rPr>
        <w:t xml:space="preserve"> </w:t>
      </w:r>
      <w:r w:rsidR="008B3598" w:rsidRPr="008B3598">
        <w:rPr>
          <w:rFonts w:ascii="Arial" w:eastAsia="Calibri" w:hAnsi="Arial" w:cs="Arial"/>
          <w:sz w:val="24"/>
          <w:szCs w:val="24"/>
        </w:rPr>
        <w:t>Topics include neglect, abuse in faith settings, professional curiosity, and suicide intervention.</w:t>
      </w:r>
    </w:p>
    <w:p w14:paraId="1A4F6086" w14:textId="2BFBCD11" w:rsidR="00586F87" w:rsidRPr="00B91C6C" w:rsidRDefault="00586F87" w:rsidP="00C92ECE">
      <w:pPr>
        <w:spacing w:after="200" w:line="276" w:lineRule="auto"/>
        <w:ind w:left="567"/>
        <w:contextualSpacing/>
        <w:rPr>
          <w:rFonts w:ascii="Arial" w:eastAsia="Calibri" w:hAnsi="Arial" w:cs="Arial"/>
          <w:bCs/>
          <w:sz w:val="24"/>
          <w:szCs w:val="24"/>
          <w:highlight w:val="yellow"/>
        </w:rPr>
      </w:pPr>
    </w:p>
    <w:tbl>
      <w:tblPr>
        <w:tblStyle w:val="TableGrid"/>
        <w:tblW w:w="0" w:type="auto"/>
        <w:jc w:val="center"/>
        <w:tblLook w:val="04A0" w:firstRow="1" w:lastRow="0" w:firstColumn="1" w:lastColumn="0" w:noHBand="0" w:noVBand="1"/>
      </w:tblPr>
      <w:tblGrid>
        <w:gridCol w:w="9016"/>
      </w:tblGrid>
      <w:tr w:rsidR="00CD1761" w:rsidRPr="00270163" w14:paraId="0160FBF8" w14:textId="77777777" w:rsidTr="00C92ECE">
        <w:trPr>
          <w:jc w:val="center"/>
        </w:trPr>
        <w:tc>
          <w:tcPr>
            <w:tcW w:w="9016" w:type="dxa"/>
          </w:tcPr>
          <w:p w14:paraId="16F64926" w14:textId="70B6BD2A" w:rsidR="00CD1761" w:rsidRPr="00C92ECE" w:rsidRDefault="0087246D" w:rsidP="00C92ECE">
            <w:pPr>
              <w:rPr>
                <w:rFonts w:ascii="Arial" w:eastAsia="Calibri" w:hAnsi="Arial" w:cs="Arial"/>
                <w:bCs/>
                <w:sz w:val="24"/>
                <w:szCs w:val="24"/>
              </w:rPr>
            </w:pPr>
            <w:r w:rsidRPr="00C92ECE">
              <w:rPr>
                <w:rFonts w:ascii="Arial" w:eastAsia="Calibri" w:hAnsi="Arial" w:cs="Arial"/>
                <w:bCs/>
                <w:sz w:val="24"/>
                <w:szCs w:val="24"/>
              </w:rPr>
              <w:t xml:space="preserve">Virtual and face to face sessions </w:t>
            </w:r>
            <w:r w:rsidR="00C809CC">
              <w:rPr>
                <w:rFonts w:ascii="Arial" w:eastAsia="Calibri" w:hAnsi="Arial" w:cs="Arial"/>
                <w:bCs/>
                <w:sz w:val="24"/>
                <w:szCs w:val="24"/>
              </w:rPr>
              <w:t xml:space="preserve">are being </w:t>
            </w:r>
            <w:r w:rsidRPr="00C92ECE">
              <w:rPr>
                <w:rFonts w:ascii="Arial" w:eastAsia="Calibri" w:hAnsi="Arial" w:cs="Arial"/>
                <w:bCs/>
                <w:sz w:val="24"/>
                <w:szCs w:val="24"/>
              </w:rPr>
              <w:t xml:space="preserve">planned and delivered </w:t>
            </w:r>
            <w:r w:rsidR="00C809CC">
              <w:rPr>
                <w:rFonts w:ascii="Arial" w:eastAsia="Calibri" w:hAnsi="Arial" w:cs="Arial"/>
                <w:bCs/>
                <w:sz w:val="24"/>
                <w:szCs w:val="24"/>
              </w:rPr>
              <w:t>for a</w:t>
            </w:r>
            <w:r w:rsidRPr="00C92ECE">
              <w:rPr>
                <w:rFonts w:ascii="Arial" w:eastAsia="Calibri" w:hAnsi="Arial" w:cs="Arial"/>
                <w:bCs/>
                <w:sz w:val="24"/>
                <w:szCs w:val="24"/>
              </w:rPr>
              <w:t xml:space="preserve">dults, </w:t>
            </w:r>
            <w:r w:rsidR="00C809CC">
              <w:rPr>
                <w:rFonts w:ascii="Arial" w:eastAsia="Calibri" w:hAnsi="Arial" w:cs="Arial"/>
                <w:bCs/>
                <w:sz w:val="24"/>
                <w:szCs w:val="24"/>
              </w:rPr>
              <w:t>c</w:t>
            </w:r>
            <w:r w:rsidRPr="00C92ECE">
              <w:rPr>
                <w:rFonts w:ascii="Arial" w:eastAsia="Calibri" w:hAnsi="Arial" w:cs="Arial"/>
                <w:bCs/>
                <w:sz w:val="24"/>
                <w:szCs w:val="24"/>
              </w:rPr>
              <w:t xml:space="preserve">hildren and </w:t>
            </w:r>
            <w:r w:rsidR="00C809CC">
              <w:rPr>
                <w:rFonts w:ascii="Arial" w:eastAsia="Calibri" w:hAnsi="Arial" w:cs="Arial"/>
                <w:bCs/>
                <w:sz w:val="24"/>
                <w:szCs w:val="24"/>
              </w:rPr>
              <w:t xml:space="preserve">the </w:t>
            </w:r>
            <w:r w:rsidR="008802C9">
              <w:rPr>
                <w:rFonts w:ascii="Arial" w:eastAsia="Calibri" w:hAnsi="Arial" w:cs="Arial"/>
                <w:bCs/>
                <w:sz w:val="24"/>
                <w:szCs w:val="24"/>
              </w:rPr>
              <w:t>third</w:t>
            </w:r>
            <w:r w:rsidRPr="00C92ECE">
              <w:rPr>
                <w:rFonts w:ascii="Arial" w:eastAsia="Calibri" w:hAnsi="Arial" w:cs="Arial"/>
                <w:bCs/>
                <w:sz w:val="24"/>
                <w:szCs w:val="24"/>
              </w:rPr>
              <w:t xml:space="preserve"> </w:t>
            </w:r>
            <w:r w:rsidR="00C809CC">
              <w:rPr>
                <w:rFonts w:ascii="Arial" w:eastAsia="Calibri" w:hAnsi="Arial" w:cs="Arial"/>
                <w:bCs/>
                <w:sz w:val="24"/>
                <w:szCs w:val="24"/>
              </w:rPr>
              <w:t>s</w:t>
            </w:r>
            <w:r w:rsidRPr="00C92ECE">
              <w:rPr>
                <w:rFonts w:ascii="Arial" w:eastAsia="Calibri" w:hAnsi="Arial" w:cs="Arial"/>
                <w:bCs/>
                <w:sz w:val="24"/>
                <w:szCs w:val="24"/>
              </w:rPr>
              <w:t>ector. The</w:t>
            </w:r>
            <w:r w:rsidR="00C809CC">
              <w:rPr>
                <w:rFonts w:ascii="Arial" w:eastAsia="Calibri" w:hAnsi="Arial" w:cs="Arial"/>
                <w:bCs/>
                <w:sz w:val="24"/>
                <w:szCs w:val="24"/>
              </w:rPr>
              <w:t>se</w:t>
            </w:r>
            <w:r w:rsidRPr="00C92ECE">
              <w:rPr>
                <w:rFonts w:ascii="Arial" w:eastAsia="Calibri" w:hAnsi="Arial" w:cs="Arial"/>
                <w:bCs/>
                <w:sz w:val="24"/>
                <w:szCs w:val="24"/>
              </w:rPr>
              <w:t xml:space="preserve"> sessions cover the new</w:t>
            </w:r>
            <w:r w:rsidR="00C809CC">
              <w:rPr>
                <w:rFonts w:ascii="Arial" w:eastAsia="Calibri" w:hAnsi="Arial" w:cs="Arial"/>
                <w:bCs/>
                <w:sz w:val="24"/>
                <w:szCs w:val="24"/>
              </w:rPr>
              <w:t xml:space="preserve"> s</w:t>
            </w:r>
            <w:r w:rsidRPr="00C92ECE">
              <w:rPr>
                <w:rFonts w:ascii="Arial" w:eastAsia="Calibri" w:hAnsi="Arial" w:cs="Arial"/>
                <w:bCs/>
                <w:sz w:val="24"/>
                <w:szCs w:val="24"/>
              </w:rPr>
              <w:t xml:space="preserve">afeguarding framework, Section 47, </w:t>
            </w:r>
            <w:r w:rsidR="00C809CC">
              <w:rPr>
                <w:rFonts w:ascii="Arial" w:eastAsia="Calibri" w:hAnsi="Arial" w:cs="Arial"/>
                <w:bCs/>
                <w:sz w:val="24"/>
                <w:szCs w:val="24"/>
              </w:rPr>
              <w:t>s</w:t>
            </w:r>
            <w:r w:rsidRPr="00C92ECE">
              <w:rPr>
                <w:rFonts w:ascii="Arial" w:eastAsia="Calibri" w:hAnsi="Arial" w:cs="Arial"/>
                <w:bCs/>
                <w:sz w:val="24"/>
                <w:szCs w:val="24"/>
              </w:rPr>
              <w:t xml:space="preserve">afeguarding and </w:t>
            </w:r>
            <w:r w:rsidR="00C809CC">
              <w:rPr>
                <w:rFonts w:ascii="Arial" w:eastAsia="Calibri" w:hAnsi="Arial" w:cs="Arial"/>
                <w:bCs/>
                <w:sz w:val="24"/>
                <w:szCs w:val="24"/>
              </w:rPr>
              <w:t>c</w:t>
            </w:r>
            <w:r w:rsidRPr="00C92ECE">
              <w:rPr>
                <w:rFonts w:ascii="Arial" w:eastAsia="Calibri" w:hAnsi="Arial" w:cs="Arial"/>
                <w:bCs/>
                <w:sz w:val="24"/>
                <w:szCs w:val="24"/>
              </w:rPr>
              <w:t xml:space="preserve">ulture, </w:t>
            </w:r>
            <w:r w:rsidR="00C809CC">
              <w:rPr>
                <w:rFonts w:ascii="Arial" w:eastAsia="Calibri" w:hAnsi="Arial" w:cs="Arial"/>
                <w:bCs/>
                <w:sz w:val="24"/>
                <w:szCs w:val="24"/>
              </w:rPr>
              <w:t>c</w:t>
            </w:r>
            <w:r w:rsidRPr="00C92ECE">
              <w:rPr>
                <w:rFonts w:ascii="Arial" w:eastAsia="Calibri" w:hAnsi="Arial" w:cs="Arial"/>
                <w:bCs/>
                <w:sz w:val="24"/>
                <w:szCs w:val="24"/>
              </w:rPr>
              <w:t xml:space="preserve">hild </w:t>
            </w:r>
            <w:r w:rsidR="00C809CC">
              <w:rPr>
                <w:rFonts w:ascii="Arial" w:eastAsia="Calibri" w:hAnsi="Arial" w:cs="Arial"/>
                <w:bCs/>
                <w:sz w:val="24"/>
                <w:szCs w:val="24"/>
              </w:rPr>
              <w:t>e</w:t>
            </w:r>
            <w:r w:rsidRPr="00C92ECE">
              <w:rPr>
                <w:rFonts w:ascii="Arial" w:eastAsia="Calibri" w:hAnsi="Arial" w:cs="Arial"/>
                <w:bCs/>
                <w:sz w:val="24"/>
                <w:szCs w:val="24"/>
              </w:rPr>
              <w:t xml:space="preserve">xploitation </w:t>
            </w:r>
            <w:r w:rsidR="00C809CC">
              <w:rPr>
                <w:rFonts w:ascii="Arial" w:eastAsia="Calibri" w:hAnsi="Arial" w:cs="Arial"/>
                <w:bCs/>
                <w:sz w:val="24"/>
                <w:szCs w:val="24"/>
              </w:rPr>
              <w:t>c</w:t>
            </w:r>
            <w:r w:rsidRPr="00C92ECE">
              <w:rPr>
                <w:rFonts w:ascii="Arial" w:eastAsia="Calibri" w:hAnsi="Arial" w:cs="Arial"/>
                <w:bCs/>
                <w:sz w:val="24"/>
                <w:szCs w:val="24"/>
              </w:rPr>
              <w:t xml:space="preserve">ommunity of </w:t>
            </w:r>
            <w:r w:rsidR="00C809CC">
              <w:rPr>
                <w:rFonts w:ascii="Arial" w:eastAsia="Calibri" w:hAnsi="Arial" w:cs="Arial"/>
                <w:bCs/>
                <w:sz w:val="24"/>
                <w:szCs w:val="24"/>
              </w:rPr>
              <w:t>p</w:t>
            </w:r>
            <w:r w:rsidRPr="00C92ECE">
              <w:rPr>
                <w:rFonts w:ascii="Arial" w:eastAsia="Calibri" w:hAnsi="Arial" w:cs="Arial"/>
                <w:bCs/>
                <w:sz w:val="24"/>
                <w:szCs w:val="24"/>
              </w:rPr>
              <w:t xml:space="preserve">ractice, </w:t>
            </w:r>
            <w:r w:rsidR="00C809CC">
              <w:rPr>
                <w:rFonts w:ascii="Arial" w:eastAsia="Calibri" w:hAnsi="Arial" w:cs="Arial"/>
                <w:bCs/>
                <w:sz w:val="24"/>
                <w:szCs w:val="24"/>
              </w:rPr>
              <w:t>d</w:t>
            </w:r>
            <w:r w:rsidRPr="00C92ECE">
              <w:rPr>
                <w:rFonts w:ascii="Arial" w:eastAsia="Calibri" w:hAnsi="Arial" w:cs="Arial"/>
                <w:bCs/>
                <w:sz w:val="24"/>
                <w:szCs w:val="24"/>
              </w:rPr>
              <w:t xml:space="preserve">isguised </w:t>
            </w:r>
            <w:r w:rsidR="00C809CC">
              <w:rPr>
                <w:rFonts w:ascii="Arial" w:eastAsia="Calibri" w:hAnsi="Arial" w:cs="Arial"/>
                <w:bCs/>
                <w:sz w:val="24"/>
                <w:szCs w:val="24"/>
              </w:rPr>
              <w:t>c</w:t>
            </w:r>
            <w:r w:rsidRPr="00C92ECE">
              <w:rPr>
                <w:rFonts w:ascii="Arial" w:eastAsia="Calibri" w:hAnsi="Arial" w:cs="Arial"/>
                <w:bCs/>
                <w:sz w:val="24"/>
                <w:szCs w:val="24"/>
              </w:rPr>
              <w:t xml:space="preserve">ompliance, </w:t>
            </w:r>
            <w:r w:rsidR="00C809CC">
              <w:rPr>
                <w:rFonts w:ascii="Arial" w:eastAsia="Calibri" w:hAnsi="Arial" w:cs="Arial"/>
                <w:bCs/>
                <w:sz w:val="24"/>
                <w:szCs w:val="24"/>
              </w:rPr>
              <w:t>h</w:t>
            </w:r>
            <w:r w:rsidRPr="00C92ECE">
              <w:rPr>
                <w:rFonts w:ascii="Arial" w:eastAsia="Calibri" w:hAnsi="Arial" w:cs="Arial"/>
                <w:bCs/>
                <w:sz w:val="24"/>
                <w:szCs w:val="24"/>
              </w:rPr>
              <w:t xml:space="preserve">oarding, </w:t>
            </w:r>
            <w:r w:rsidR="00093DB7">
              <w:rPr>
                <w:rFonts w:ascii="Arial" w:eastAsia="Calibri" w:hAnsi="Arial" w:cs="Arial"/>
                <w:bCs/>
                <w:sz w:val="24"/>
                <w:szCs w:val="24"/>
              </w:rPr>
              <w:t>s</w:t>
            </w:r>
            <w:r w:rsidR="00093DB7" w:rsidRPr="00C92ECE">
              <w:rPr>
                <w:rFonts w:ascii="Arial" w:eastAsia="Calibri" w:hAnsi="Arial" w:cs="Arial"/>
                <w:bCs/>
                <w:sz w:val="24"/>
                <w:szCs w:val="24"/>
              </w:rPr>
              <w:t>elf-</w:t>
            </w:r>
            <w:r w:rsidR="00093DB7">
              <w:rPr>
                <w:rFonts w:ascii="Arial" w:eastAsia="Calibri" w:hAnsi="Arial" w:cs="Arial"/>
                <w:bCs/>
                <w:sz w:val="24"/>
                <w:szCs w:val="24"/>
              </w:rPr>
              <w:t>n</w:t>
            </w:r>
            <w:r w:rsidR="00093DB7" w:rsidRPr="00C92ECE">
              <w:rPr>
                <w:rFonts w:ascii="Arial" w:eastAsia="Calibri" w:hAnsi="Arial" w:cs="Arial"/>
                <w:bCs/>
                <w:sz w:val="24"/>
                <w:szCs w:val="24"/>
              </w:rPr>
              <w:t>eglect</w:t>
            </w:r>
            <w:r w:rsidRPr="00C92ECE">
              <w:rPr>
                <w:rFonts w:ascii="Arial" w:eastAsia="Calibri" w:hAnsi="Arial" w:cs="Arial"/>
                <w:bCs/>
                <w:sz w:val="24"/>
                <w:szCs w:val="24"/>
              </w:rPr>
              <w:t xml:space="preserve"> </w:t>
            </w:r>
            <w:r w:rsidR="00C809CC">
              <w:rPr>
                <w:rFonts w:ascii="Arial" w:eastAsia="Calibri" w:hAnsi="Arial" w:cs="Arial"/>
                <w:bCs/>
                <w:sz w:val="24"/>
                <w:szCs w:val="24"/>
              </w:rPr>
              <w:t>and</w:t>
            </w:r>
            <w:r w:rsidRPr="00C92ECE">
              <w:rPr>
                <w:rFonts w:ascii="Arial" w:eastAsia="Calibri" w:hAnsi="Arial" w:cs="Arial"/>
                <w:bCs/>
                <w:sz w:val="24"/>
                <w:szCs w:val="24"/>
              </w:rPr>
              <w:t xml:space="preserve"> </w:t>
            </w:r>
            <w:r w:rsidR="00C809CC">
              <w:rPr>
                <w:rFonts w:ascii="Arial" w:eastAsia="Calibri" w:hAnsi="Arial" w:cs="Arial"/>
                <w:bCs/>
                <w:sz w:val="24"/>
                <w:szCs w:val="24"/>
              </w:rPr>
              <w:t>c</w:t>
            </w:r>
            <w:r w:rsidRPr="00C92ECE">
              <w:rPr>
                <w:rFonts w:ascii="Arial" w:eastAsia="Calibri" w:hAnsi="Arial" w:cs="Arial"/>
                <w:bCs/>
                <w:sz w:val="24"/>
                <w:szCs w:val="24"/>
              </w:rPr>
              <w:t xml:space="preserve">omplex </w:t>
            </w:r>
            <w:r w:rsidR="00C809CC">
              <w:rPr>
                <w:rFonts w:ascii="Arial" w:eastAsia="Calibri" w:hAnsi="Arial" w:cs="Arial"/>
                <w:bCs/>
                <w:sz w:val="24"/>
                <w:szCs w:val="24"/>
              </w:rPr>
              <w:t>l</w:t>
            </w:r>
            <w:r w:rsidRPr="00C92ECE">
              <w:rPr>
                <w:rFonts w:ascii="Arial" w:eastAsia="Calibri" w:hAnsi="Arial" w:cs="Arial"/>
                <w:bCs/>
                <w:sz w:val="24"/>
                <w:szCs w:val="24"/>
              </w:rPr>
              <w:t xml:space="preserve">ifestyles </w:t>
            </w:r>
            <w:r w:rsidR="00C809CC">
              <w:rPr>
                <w:rFonts w:ascii="Arial" w:eastAsia="Calibri" w:hAnsi="Arial" w:cs="Arial"/>
                <w:bCs/>
                <w:sz w:val="24"/>
                <w:szCs w:val="24"/>
              </w:rPr>
              <w:t>as well as</w:t>
            </w:r>
            <w:r w:rsidRPr="00C92ECE">
              <w:rPr>
                <w:rFonts w:ascii="Arial" w:eastAsia="Calibri" w:hAnsi="Arial" w:cs="Arial"/>
                <w:bCs/>
                <w:sz w:val="24"/>
                <w:szCs w:val="24"/>
              </w:rPr>
              <w:t xml:space="preserve"> specific areas of abuse</w:t>
            </w:r>
            <w:r w:rsidR="00C809CC">
              <w:rPr>
                <w:rFonts w:ascii="Arial" w:eastAsia="Calibri" w:hAnsi="Arial" w:cs="Arial"/>
                <w:bCs/>
                <w:sz w:val="24"/>
                <w:szCs w:val="24"/>
              </w:rPr>
              <w:t xml:space="preserve">. The aim is </w:t>
            </w:r>
            <w:r w:rsidRPr="00C92ECE">
              <w:rPr>
                <w:rFonts w:ascii="Arial" w:eastAsia="Calibri" w:hAnsi="Arial" w:cs="Arial"/>
                <w:bCs/>
                <w:sz w:val="24"/>
                <w:szCs w:val="24"/>
              </w:rPr>
              <w:t xml:space="preserve">to support frontline social care workers develop their </w:t>
            </w:r>
            <w:r w:rsidR="00C809CC">
              <w:rPr>
                <w:rFonts w:ascii="Arial" w:eastAsia="Calibri" w:hAnsi="Arial" w:cs="Arial"/>
                <w:bCs/>
                <w:sz w:val="24"/>
                <w:szCs w:val="24"/>
              </w:rPr>
              <w:t xml:space="preserve">safeguarding </w:t>
            </w:r>
            <w:r w:rsidRPr="00C92ECE">
              <w:rPr>
                <w:rFonts w:ascii="Arial" w:eastAsia="Calibri" w:hAnsi="Arial" w:cs="Arial"/>
                <w:bCs/>
                <w:sz w:val="24"/>
                <w:szCs w:val="24"/>
              </w:rPr>
              <w:t>skills</w:t>
            </w:r>
            <w:r w:rsidR="00C809CC">
              <w:rPr>
                <w:rFonts w:ascii="Arial" w:eastAsia="Calibri" w:hAnsi="Arial" w:cs="Arial"/>
                <w:bCs/>
                <w:sz w:val="24"/>
                <w:szCs w:val="24"/>
              </w:rPr>
              <w:t xml:space="preserve"> and understand the</w:t>
            </w:r>
            <w:r w:rsidRPr="00C92ECE">
              <w:rPr>
                <w:rFonts w:ascii="Arial" w:eastAsia="Calibri" w:hAnsi="Arial" w:cs="Arial"/>
                <w:bCs/>
                <w:sz w:val="24"/>
                <w:szCs w:val="24"/>
              </w:rPr>
              <w:t xml:space="preserve"> changes to legislation.  (Powys region)</w:t>
            </w:r>
          </w:p>
        </w:tc>
      </w:tr>
    </w:tbl>
    <w:p w14:paraId="5D0EF1D3" w14:textId="0D3F19E1" w:rsidR="00731AD9" w:rsidRPr="00C92ECE" w:rsidRDefault="00731AD9" w:rsidP="00C92ECE">
      <w:pPr>
        <w:spacing w:after="200" w:line="276" w:lineRule="auto"/>
        <w:ind w:left="2301"/>
        <w:contextualSpacing/>
        <w:rPr>
          <w:rFonts w:ascii="Arial" w:eastAsia="Calibri" w:hAnsi="Arial" w:cs="Arial"/>
          <w:bCs/>
          <w:sz w:val="24"/>
          <w:szCs w:val="24"/>
          <w:highlight w:val="yellow"/>
        </w:rPr>
      </w:pPr>
      <w:r w:rsidRPr="00C92ECE">
        <w:rPr>
          <w:rFonts w:ascii="Arial" w:eastAsia="Calibri" w:hAnsi="Arial" w:cs="Arial"/>
          <w:bCs/>
          <w:sz w:val="24"/>
          <w:szCs w:val="24"/>
          <w:highlight w:val="yellow"/>
        </w:rPr>
        <w:t xml:space="preserve"> </w:t>
      </w:r>
    </w:p>
    <w:tbl>
      <w:tblPr>
        <w:tblStyle w:val="TableGrid"/>
        <w:tblW w:w="0" w:type="auto"/>
        <w:tblLook w:val="04A0" w:firstRow="1" w:lastRow="0" w:firstColumn="1" w:lastColumn="0" w:noHBand="0" w:noVBand="1"/>
      </w:tblPr>
      <w:tblGrid>
        <w:gridCol w:w="9016"/>
      </w:tblGrid>
      <w:tr w:rsidR="0050505F" w:rsidRPr="00270163" w14:paraId="19563993" w14:textId="77777777" w:rsidTr="0050505F">
        <w:tc>
          <w:tcPr>
            <w:tcW w:w="9016" w:type="dxa"/>
          </w:tcPr>
          <w:p w14:paraId="0B7818A5" w14:textId="73B9B466" w:rsidR="0050505F" w:rsidRPr="00270163" w:rsidRDefault="0050505F" w:rsidP="00AF6A28">
            <w:pPr>
              <w:suppressAutoHyphens/>
              <w:autoSpaceDN w:val="0"/>
              <w:spacing w:line="247" w:lineRule="auto"/>
              <w:textAlignment w:val="baseline"/>
              <w:rPr>
                <w:rFonts w:ascii="Segoe UI Emoji" w:eastAsia="Calibri" w:hAnsi="Segoe UI Emoji" w:cs="Segoe UI Emoji"/>
                <w:sz w:val="24"/>
                <w:szCs w:val="24"/>
              </w:rPr>
            </w:pPr>
            <w:r w:rsidRPr="00C92ECE">
              <w:rPr>
                <w:rFonts w:ascii="Arial" w:eastAsia="Calibri" w:hAnsi="Arial" w:cs="Arial"/>
                <w:color w:val="000000"/>
                <w:sz w:val="24"/>
                <w:szCs w:val="24"/>
              </w:rPr>
              <w:t>N</w:t>
            </w:r>
            <w:r w:rsidR="00C809CC">
              <w:rPr>
                <w:rFonts w:ascii="Arial" w:eastAsia="Calibri" w:hAnsi="Arial" w:cs="Arial"/>
                <w:color w:val="000000"/>
                <w:sz w:val="24"/>
                <w:szCs w:val="24"/>
              </w:rPr>
              <w:t xml:space="preserve">eath </w:t>
            </w:r>
            <w:r w:rsidRPr="00C92ECE">
              <w:rPr>
                <w:rFonts w:ascii="Arial" w:eastAsia="Calibri" w:hAnsi="Arial" w:cs="Arial"/>
                <w:color w:val="000000"/>
                <w:sz w:val="24"/>
                <w:szCs w:val="24"/>
              </w:rPr>
              <w:t>P</w:t>
            </w:r>
            <w:r w:rsidR="00C809CC">
              <w:rPr>
                <w:rFonts w:ascii="Arial" w:eastAsia="Calibri" w:hAnsi="Arial" w:cs="Arial"/>
                <w:color w:val="000000"/>
                <w:sz w:val="24"/>
                <w:szCs w:val="24"/>
              </w:rPr>
              <w:t xml:space="preserve">ort </w:t>
            </w:r>
            <w:r w:rsidRPr="00C92ECE">
              <w:rPr>
                <w:rFonts w:ascii="Arial" w:eastAsia="Calibri" w:hAnsi="Arial" w:cs="Arial"/>
                <w:color w:val="000000"/>
                <w:sz w:val="24"/>
                <w:szCs w:val="24"/>
              </w:rPr>
              <w:t>T</w:t>
            </w:r>
            <w:r w:rsidR="00C809CC">
              <w:rPr>
                <w:rFonts w:ascii="Arial" w:eastAsia="Calibri" w:hAnsi="Arial" w:cs="Arial"/>
                <w:color w:val="000000"/>
                <w:sz w:val="24"/>
                <w:szCs w:val="24"/>
              </w:rPr>
              <w:t>albot</w:t>
            </w:r>
            <w:r w:rsidRPr="00C92ECE">
              <w:rPr>
                <w:rFonts w:ascii="Arial" w:eastAsia="Calibri" w:hAnsi="Arial" w:cs="Arial"/>
                <w:color w:val="000000"/>
                <w:sz w:val="24"/>
                <w:szCs w:val="24"/>
              </w:rPr>
              <w:t xml:space="preserve"> and Swansea have continued to </w:t>
            </w:r>
            <w:r w:rsidR="00C809CC">
              <w:rPr>
                <w:rFonts w:ascii="Arial" w:eastAsia="Calibri" w:hAnsi="Arial" w:cs="Arial"/>
                <w:color w:val="000000"/>
                <w:sz w:val="24"/>
                <w:szCs w:val="24"/>
              </w:rPr>
              <w:t>work</w:t>
            </w:r>
            <w:r w:rsidR="00C809CC" w:rsidRPr="00C92ECE">
              <w:rPr>
                <w:rFonts w:ascii="Arial" w:eastAsia="Calibri" w:hAnsi="Arial" w:cs="Arial"/>
                <w:color w:val="000000"/>
                <w:sz w:val="24"/>
                <w:szCs w:val="24"/>
              </w:rPr>
              <w:t xml:space="preserve"> </w:t>
            </w:r>
            <w:r w:rsidRPr="00C92ECE">
              <w:rPr>
                <w:rFonts w:ascii="Arial" w:eastAsia="Calibri" w:hAnsi="Arial" w:cs="Arial"/>
                <w:color w:val="000000"/>
                <w:sz w:val="24"/>
                <w:szCs w:val="24"/>
              </w:rPr>
              <w:t xml:space="preserve">with One Step North to create an interactive 360-degree e-learning resource to enhance existing training videos on self-neglect prevention and safeguarding. This will </w:t>
            </w:r>
            <w:r w:rsidR="00C809CC">
              <w:rPr>
                <w:rFonts w:ascii="Arial" w:eastAsia="Calibri" w:hAnsi="Arial" w:cs="Arial"/>
                <w:color w:val="000000"/>
                <w:sz w:val="24"/>
                <w:szCs w:val="24"/>
              </w:rPr>
              <w:t>give</w:t>
            </w:r>
            <w:r w:rsidRPr="00C92ECE">
              <w:rPr>
                <w:rFonts w:ascii="Arial" w:eastAsia="Calibri" w:hAnsi="Arial" w:cs="Arial"/>
                <w:color w:val="000000"/>
                <w:sz w:val="24"/>
                <w:szCs w:val="24"/>
              </w:rPr>
              <w:t xml:space="preserve"> trainers </w:t>
            </w:r>
            <w:r w:rsidR="00093DB7">
              <w:rPr>
                <w:rFonts w:ascii="Arial" w:eastAsia="Calibri" w:hAnsi="Arial" w:cs="Arial"/>
                <w:color w:val="000000"/>
                <w:sz w:val="24"/>
                <w:szCs w:val="24"/>
              </w:rPr>
              <w:t>tools</w:t>
            </w:r>
            <w:r w:rsidR="00C809CC">
              <w:rPr>
                <w:rFonts w:ascii="Arial" w:eastAsia="Calibri" w:hAnsi="Arial" w:cs="Arial"/>
                <w:color w:val="000000"/>
                <w:sz w:val="24"/>
                <w:szCs w:val="24"/>
              </w:rPr>
              <w:t xml:space="preserve"> to make sessions more engaging using</w:t>
            </w:r>
            <w:r w:rsidRPr="00C92ECE">
              <w:rPr>
                <w:rFonts w:ascii="Arial" w:eastAsia="Calibri" w:hAnsi="Arial" w:cs="Arial"/>
                <w:color w:val="000000"/>
                <w:sz w:val="24"/>
                <w:szCs w:val="24"/>
              </w:rPr>
              <w:t xml:space="preserve"> immersive technologies </w:t>
            </w:r>
            <w:r w:rsidR="00C809CC">
              <w:rPr>
                <w:rFonts w:ascii="Arial" w:eastAsia="Calibri" w:hAnsi="Arial" w:cs="Arial"/>
                <w:color w:val="000000"/>
                <w:sz w:val="24"/>
                <w:szCs w:val="24"/>
              </w:rPr>
              <w:t>to allow</w:t>
            </w:r>
            <w:r w:rsidRPr="00C92ECE">
              <w:rPr>
                <w:rFonts w:ascii="Arial" w:eastAsia="Calibri" w:hAnsi="Arial" w:cs="Arial"/>
                <w:color w:val="000000"/>
                <w:sz w:val="24"/>
                <w:szCs w:val="24"/>
              </w:rPr>
              <w:t xml:space="preserve"> learners </w:t>
            </w:r>
            <w:r w:rsidR="00093DB7">
              <w:rPr>
                <w:rFonts w:ascii="Arial" w:eastAsia="Calibri" w:hAnsi="Arial" w:cs="Arial"/>
                <w:color w:val="000000"/>
                <w:sz w:val="24"/>
                <w:szCs w:val="24"/>
              </w:rPr>
              <w:t xml:space="preserve">to </w:t>
            </w:r>
            <w:r w:rsidR="00093DB7" w:rsidRPr="00C92ECE">
              <w:rPr>
                <w:rFonts w:ascii="Arial" w:eastAsia="Calibri" w:hAnsi="Arial" w:cs="Arial"/>
                <w:color w:val="000000"/>
                <w:sz w:val="24"/>
                <w:szCs w:val="24"/>
              </w:rPr>
              <w:t>practice</w:t>
            </w:r>
            <w:r w:rsidRPr="00C92ECE">
              <w:rPr>
                <w:rFonts w:ascii="Arial" w:eastAsia="Calibri" w:hAnsi="Arial" w:cs="Arial"/>
                <w:color w:val="000000"/>
                <w:sz w:val="24"/>
                <w:szCs w:val="24"/>
              </w:rPr>
              <w:t xml:space="preserve"> skills and decision-making using scenario-based learning. In 2025</w:t>
            </w:r>
            <w:r w:rsidR="00C809CC">
              <w:rPr>
                <w:rFonts w:ascii="Arial" w:eastAsia="Calibri" w:hAnsi="Arial" w:cs="Arial"/>
                <w:color w:val="000000"/>
                <w:sz w:val="24"/>
                <w:szCs w:val="24"/>
              </w:rPr>
              <w:t xml:space="preserve"> to 20</w:t>
            </w:r>
            <w:r w:rsidRPr="00C92ECE">
              <w:rPr>
                <w:rFonts w:ascii="Arial" w:eastAsia="Calibri" w:hAnsi="Arial" w:cs="Arial"/>
                <w:color w:val="000000"/>
                <w:sz w:val="24"/>
                <w:szCs w:val="24"/>
              </w:rPr>
              <w:t xml:space="preserve">26 it </w:t>
            </w:r>
            <w:r w:rsidR="00C809CC">
              <w:rPr>
                <w:rFonts w:ascii="Arial" w:eastAsia="Calibri" w:hAnsi="Arial" w:cs="Arial"/>
                <w:color w:val="000000"/>
                <w:sz w:val="24"/>
                <w:szCs w:val="24"/>
              </w:rPr>
              <w:t>will be</w:t>
            </w:r>
            <w:r w:rsidRPr="00C92ECE">
              <w:rPr>
                <w:rFonts w:ascii="Arial" w:eastAsia="Calibri" w:hAnsi="Arial" w:cs="Arial"/>
                <w:color w:val="000000"/>
                <w:sz w:val="24"/>
                <w:szCs w:val="24"/>
              </w:rPr>
              <w:t xml:space="preserve"> part of a regional multiagency training pack on self-neglect for the </w:t>
            </w:r>
            <w:r w:rsidR="00C809CC">
              <w:rPr>
                <w:rFonts w:ascii="Arial" w:eastAsia="Calibri" w:hAnsi="Arial" w:cs="Arial"/>
                <w:color w:val="000000"/>
                <w:sz w:val="24"/>
                <w:szCs w:val="24"/>
              </w:rPr>
              <w:t xml:space="preserve">West Glamorgan Safeguarding </w:t>
            </w:r>
            <w:r w:rsidR="00093DB7">
              <w:rPr>
                <w:rFonts w:ascii="Arial" w:eastAsia="Calibri" w:hAnsi="Arial" w:cs="Arial"/>
                <w:color w:val="000000"/>
                <w:sz w:val="24"/>
                <w:szCs w:val="24"/>
              </w:rPr>
              <w:t>Board.</w:t>
            </w:r>
            <w:r w:rsidR="009F1CE2" w:rsidRPr="00C92ECE">
              <w:rPr>
                <w:rFonts w:ascii="Arial" w:eastAsia="Calibri" w:hAnsi="Arial" w:cs="Arial"/>
                <w:color w:val="000000"/>
                <w:sz w:val="24"/>
                <w:szCs w:val="24"/>
              </w:rPr>
              <w:t xml:space="preserve"> (</w:t>
            </w:r>
            <w:r w:rsidR="00C809CC">
              <w:rPr>
                <w:rFonts w:ascii="Arial" w:eastAsia="Calibri" w:hAnsi="Arial" w:cs="Arial"/>
                <w:color w:val="000000"/>
                <w:sz w:val="24"/>
                <w:szCs w:val="24"/>
              </w:rPr>
              <w:t>w</w:t>
            </w:r>
            <w:r w:rsidR="009F1CE2" w:rsidRPr="00C92ECE">
              <w:rPr>
                <w:rFonts w:ascii="Arial" w:eastAsia="Calibri" w:hAnsi="Arial" w:cs="Arial"/>
                <w:color w:val="000000"/>
                <w:sz w:val="24"/>
                <w:szCs w:val="24"/>
              </w:rPr>
              <w:t xml:space="preserve">est Glamorgan </w:t>
            </w:r>
            <w:r w:rsidR="00C809CC">
              <w:rPr>
                <w:rFonts w:ascii="Arial" w:eastAsia="Calibri" w:hAnsi="Arial" w:cs="Arial"/>
                <w:color w:val="000000"/>
                <w:sz w:val="24"/>
                <w:szCs w:val="24"/>
              </w:rPr>
              <w:t>r</w:t>
            </w:r>
            <w:r w:rsidR="009F1CE2" w:rsidRPr="00C92ECE">
              <w:rPr>
                <w:rFonts w:ascii="Arial" w:eastAsia="Calibri" w:hAnsi="Arial" w:cs="Arial"/>
                <w:color w:val="000000"/>
                <w:sz w:val="24"/>
                <w:szCs w:val="24"/>
              </w:rPr>
              <w:t>egion)</w:t>
            </w:r>
          </w:p>
        </w:tc>
      </w:tr>
    </w:tbl>
    <w:p w14:paraId="62D14AE7" w14:textId="77777777" w:rsidR="00E860C0" w:rsidRPr="00C809CC" w:rsidRDefault="00E860C0" w:rsidP="00AF6A28">
      <w:pPr>
        <w:suppressAutoHyphens/>
        <w:autoSpaceDN w:val="0"/>
        <w:spacing w:after="0" w:line="247" w:lineRule="auto"/>
        <w:textAlignment w:val="baseline"/>
        <w:rPr>
          <w:rFonts w:ascii="Segoe UI Emoji" w:eastAsia="Calibri" w:hAnsi="Segoe UI Emoji" w:cs="Segoe UI Emoji"/>
          <w:sz w:val="24"/>
          <w:szCs w:val="24"/>
        </w:rPr>
      </w:pPr>
    </w:p>
    <w:p w14:paraId="7315591D" w14:textId="543E3CE9" w:rsidR="00AF6A28" w:rsidRPr="00BB471B" w:rsidRDefault="00AF6A28" w:rsidP="00AF6A28">
      <w:pPr>
        <w:suppressAutoHyphens/>
        <w:autoSpaceDN w:val="0"/>
        <w:spacing w:after="0" w:line="247" w:lineRule="auto"/>
        <w:textAlignment w:val="baseline"/>
        <w:rPr>
          <w:rFonts w:ascii="Arial" w:eastAsia="Calibri" w:hAnsi="Arial" w:cs="Arial"/>
          <w:b/>
          <w:bCs/>
          <w:sz w:val="24"/>
          <w:szCs w:val="24"/>
        </w:rPr>
      </w:pPr>
      <w:r w:rsidRPr="00BB471B">
        <w:rPr>
          <w:rFonts w:ascii="Arial" w:eastAsia="Calibri" w:hAnsi="Arial" w:cs="Arial"/>
          <w:b/>
          <w:bCs/>
          <w:sz w:val="24"/>
          <w:szCs w:val="24"/>
        </w:rPr>
        <w:t xml:space="preserve">Collaboration </w:t>
      </w:r>
      <w:r w:rsidR="00C809CC" w:rsidRPr="00BB471B">
        <w:rPr>
          <w:rFonts w:ascii="Arial" w:eastAsia="Calibri" w:hAnsi="Arial" w:cs="Arial"/>
          <w:b/>
          <w:bCs/>
          <w:sz w:val="24"/>
          <w:szCs w:val="24"/>
        </w:rPr>
        <w:t>and</w:t>
      </w:r>
      <w:r w:rsidRPr="00BB471B">
        <w:rPr>
          <w:rFonts w:ascii="Arial" w:eastAsia="Calibri" w:hAnsi="Arial" w:cs="Arial"/>
          <w:b/>
          <w:bCs/>
          <w:sz w:val="24"/>
          <w:szCs w:val="24"/>
        </w:rPr>
        <w:t xml:space="preserve"> </w:t>
      </w:r>
      <w:r w:rsidR="00C809CC" w:rsidRPr="00BB471B">
        <w:rPr>
          <w:rFonts w:ascii="Arial" w:eastAsia="Calibri" w:hAnsi="Arial" w:cs="Arial"/>
          <w:b/>
          <w:bCs/>
          <w:sz w:val="24"/>
          <w:szCs w:val="24"/>
        </w:rPr>
        <w:t>r</w:t>
      </w:r>
      <w:r w:rsidRPr="00BB471B">
        <w:rPr>
          <w:rFonts w:ascii="Arial" w:eastAsia="Calibri" w:hAnsi="Arial" w:cs="Arial"/>
          <w:b/>
          <w:bCs/>
          <w:sz w:val="24"/>
          <w:szCs w:val="24"/>
        </w:rPr>
        <w:t xml:space="preserve">egional </w:t>
      </w:r>
      <w:r w:rsidR="00C809CC" w:rsidRPr="00BB471B">
        <w:rPr>
          <w:rFonts w:ascii="Arial" w:eastAsia="Calibri" w:hAnsi="Arial" w:cs="Arial"/>
          <w:b/>
          <w:bCs/>
          <w:sz w:val="24"/>
          <w:szCs w:val="24"/>
        </w:rPr>
        <w:t>c</w:t>
      </w:r>
      <w:r w:rsidRPr="00BB471B">
        <w:rPr>
          <w:rFonts w:ascii="Arial" w:eastAsia="Calibri" w:hAnsi="Arial" w:cs="Arial"/>
          <w:b/>
          <w:bCs/>
          <w:sz w:val="24"/>
          <w:szCs w:val="24"/>
        </w:rPr>
        <w:t>ommissioning</w:t>
      </w:r>
    </w:p>
    <w:p w14:paraId="4F46817E" w14:textId="77777777" w:rsidR="002C6247" w:rsidRDefault="002C6247" w:rsidP="00C92ECE">
      <w:pPr>
        <w:spacing w:after="0" w:line="276" w:lineRule="auto"/>
        <w:ind w:left="567"/>
        <w:contextualSpacing/>
        <w:rPr>
          <w:rFonts w:ascii="Arial" w:eastAsia="Calibri" w:hAnsi="Arial" w:cs="Arial"/>
          <w:sz w:val="24"/>
          <w:szCs w:val="24"/>
        </w:rPr>
      </w:pPr>
    </w:p>
    <w:p w14:paraId="2C449DA9" w14:textId="4896F8EF" w:rsidR="00FF646D" w:rsidRDefault="00E56035">
      <w:pPr>
        <w:numPr>
          <w:ilvl w:val="0"/>
          <w:numId w:val="6"/>
        </w:numPr>
        <w:spacing w:after="0" w:line="276" w:lineRule="auto"/>
        <w:ind w:left="567" w:hanging="425"/>
        <w:contextualSpacing/>
        <w:rPr>
          <w:rFonts w:ascii="Arial" w:eastAsia="Calibri" w:hAnsi="Arial" w:cs="Arial"/>
          <w:sz w:val="24"/>
          <w:szCs w:val="24"/>
        </w:rPr>
      </w:pPr>
      <w:r w:rsidRPr="00E56035">
        <w:rPr>
          <w:rFonts w:ascii="Arial" w:eastAsia="Calibri" w:hAnsi="Arial" w:cs="Arial"/>
          <w:sz w:val="24"/>
          <w:szCs w:val="24"/>
        </w:rPr>
        <w:t>Local authorities continue to work together to commission training</w:t>
      </w:r>
      <w:r w:rsidR="00C809CC">
        <w:rPr>
          <w:rFonts w:ascii="Arial" w:eastAsia="Calibri" w:hAnsi="Arial" w:cs="Arial"/>
          <w:sz w:val="24"/>
          <w:szCs w:val="24"/>
        </w:rPr>
        <w:t xml:space="preserve"> jointly. Th</w:t>
      </w:r>
      <w:r w:rsidR="00A6358C">
        <w:rPr>
          <w:rFonts w:ascii="Arial" w:eastAsia="Calibri" w:hAnsi="Arial" w:cs="Arial"/>
          <w:sz w:val="24"/>
          <w:szCs w:val="24"/>
        </w:rPr>
        <w:t>is</w:t>
      </w:r>
      <w:r w:rsidR="00C809CC">
        <w:rPr>
          <w:rFonts w:ascii="Arial" w:eastAsia="Calibri" w:hAnsi="Arial" w:cs="Arial"/>
          <w:sz w:val="24"/>
          <w:szCs w:val="24"/>
        </w:rPr>
        <w:t xml:space="preserve"> helps use</w:t>
      </w:r>
      <w:r w:rsidRPr="00E56035">
        <w:rPr>
          <w:rFonts w:ascii="Arial" w:eastAsia="Calibri" w:hAnsi="Arial" w:cs="Arial"/>
          <w:sz w:val="24"/>
          <w:szCs w:val="24"/>
        </w:rPr>
        <w:t xml:space="preserve"> resources </w:t>
      </w:r>
      <w:r w:rsidR="00C809CC">
        <w:rPr>
          <w:rFonts w:ascii="Arial" w:eastAsia="Calibri" w:hAnsi="Arial" w:cs="Arial"/>
          <w:sz w:val="24"/>
          <w:szCs w:val="24"/>
        </w:rPr>
        <w:t xml:space="preserve">more efficiently </w:t>
      </w:r>
      <w:r w:rsidRPr="00E56035">
        <w:rPr>
          <w:rFonts w:ascii="Arial" w:eastAsia="Calibri" w:hAnsi="Arial" w:cs="Arial"/>
          <w:sz w:val="24"/>
          <w:szCs w:val="24"/>
        </w:rPr>
        <w:t>and</w:t>
      </w:r>
      <w:r w:rsidR="00B439CE">
        <w:rPr>
          <w:rFonts w:ascii="Arial" w:eastAsia="Calibri" w:hAnsi="Arial" w:cs="Arial"/>
          <w:sz w:val="24"/>
          <w:szCs w:val="24"/>
        </w:rPr>
        <w:t xml:space="preserve"> makes </w:t>
      </w:r>
      <w:r w:rsidR="00BC2CE8">
        <w:rPr>
          <w:rFonts w:ascii="Arial" w:eastAsia="Calibri" w:hAnsi="Arial" w:cs="Arial"/>
          <w:sz w:val="24"/>
          <w:szCs w:val="24"/>
        </w:rPr>
        <w:t>s</w:t>
      </w:r>
      <w:r w:rsidR="00B439CE">
        <w:rPr>
          <w:rFonts w:ascii="Arial" w:eastAsia="Calibri" w:hAnsi="Arial" w:cs="Arial"/>
          <w:sz w:val="24"/>
          <w:szCs w:val="24"/>
        </w:rPr>
        <w:t>ure training is</w:t>
      </w:r>
      <w:r w:rsidRPr="00E56035">
        <w:rPr>
          <w:rFonts w:ascii="Arial" w:eastAsia="Calibri" w:hAnsi="Arial" w:cs="Arial"/>
          <w:sz w:val="24"/>
          <w:szCs w:val="24"/>
        </w:rPr>
        <w:t xml:space="preserve"> deliver</w:t>
      </w:r>
      <w:r w:rsidR="00B439CE">
        <w:rPr>
          <w:rFonts w:ascii="Arial" w:eastAsia="Calibri" w:hAnsi="Arial" w:cs="Arial"/>
          <w:sz w:val="24"/>
          <w:szCs w:val="24"/>
        </w:rPr>
        <w:t>ed</w:t>
      </w:r>
      <w:r w:rsidRPr="00E56035">
        <w:rPr>
          <w:rFonts w:ascii="Arial" w:eastAsia="Calibri" w:hAnsi="Arial" w:cs="Arial"/>
          <w:sz w:val="24"/>
          <w:szCs w:val="24"/>
        </w:rPr>
        <w:t xml:space="preserve"> </w:t>
      </w:r>
      <w:r w:rsidR="00B439CE">
        <w:rPr>
          <w:rFonts w:ascii="Arial" w:eastAsia="Calibri" w:hAnsi="Arial" w:cs="Arial"/>
          <w:sz w:val="24"/>
          <w:szCs w:val="24"/>
        </w:rPr>
        <w:t xml:space="preserve">consistently </w:t>
      </w:r>
      <w:r>
        <w:rPr>
          <w:rFonts w:ascii="Arial" w:eastAsia="Calibri" w:hAnsi="Arial" w:cs="Arial"/>
          <w:sz w:val="24"/>
          <w:szCs w:val="24"/>
        </w:rPr>
        <w:t xml:space="preserve">within </w:t>
      </w:r>
      <w:r w:rsidR="00B439CE">
        <w:rPr>
          <w:rFonts w:ascii="Arial" w:eastAsia="Calibri" w:hAnsi="Arial" w:cs="Arial"/>
          <w:sz w:val="24"/>
          <w:szCs w:val="24"/>
        </w:rPr>
        <w:t xml:space="preserve">regions and, </w:t>
      </w:r>
      <w:r>
        <w:rPr>
          <w:rFonts w:ascii="Arial" w:eastAsia="Calibri" w:hAnsi="Arial" w:cs="Arial"/>
          <w:sz w:val="24"/>
          <w:szCs w:val="24"/>
        </w:rPr>
        <w:t xml:space="preserve">in some cases </w:t>
      </w:r>
      <w:r w:rsidRPr="00E56035">
        <w:rPr>
          <w:rFonts w:ascii="Arial" w:eastAsia="Calibri" w:hAnsi="Arial" w:cs="Arial"/>
          <w:sz w:val="24"/>
          <w:szCs w:val="24"/>
        </w:rPr>
        <w:t>across regions.</w:t>
      </w:r>
    </w:p>
    <w:p w14:paraId="05C1F1E9" w14:textId="77777777" w:rsidR="00FF646D" w:rsidRDefault="00FF646D" w:rsidP="00C92ECE">
      <w:pPr>
        <w:spacing w:after="0" w:line="276" w:lineRule="auto"/>
        <w:ind w:left="567"/>
        <w:contextualSpacing/>
        <w:rPr>
          <w:rFonts w:ascii="Arial" w:eastAsia="Calibri" w:hAnsi="Arial" w:cs="Arial"/>
          <w:sz w:val="24"/>
          <w:szCs w:val="24"/>
        </w:rPr>
      </w:pPr>
    </w:p>
    <w:p w14:paraId="0768AFB8" w14:textId="2F7D3345" w:rsidR="00AF6A28" w:rsidRDefault="00FF646D" w:rsidP="00735923">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There are s</w:t>
      </w:r>
      <w:r w:rsidRPr="00FF646D">
        <w:rPr>
          <w:rFonts w:ascii="Arial" w:eastAsia="Calibri" w:hAnsi="Arial" w:cs="Arial"/>
          <w:sz w:val="24"/>
          <w:szCs w:val="24"/>
        </w:rPr>
        <w:t xml:space="preserve">trong partnerships with </w:t>
      </w:r>
      <w:r w:rsidR="00652E75">
        <w:rPr>
          <w:rFonts w:ascii="Arial" w:eastAsia="Calibri" w:hAnsi="Arial" w:cs="Arial"/>
          <w:sz w:val="24"/>
          <w:szCs w:val="24"/>
        </w:rPr>
        <w:t>higher education institutions</w:t>
      </w:r>
      <w:r w:rsidRPr="00FF646D">
        <w:rPr>
          <w:rFonts w:ascii="Arial" w:eastAsia="Calibri" w:hAnsi="Arial" w:cs="Arial"/>
          <w:sz w:val="24"/>
          <w:szCs w:val="24"/>
        </w:rPr>
        <w:t xml:space="preserve">, colleges, training providers, and national bodies </w:t>
      </w:r>
      <w:r w:rsidR="00735923">
        <w:rPr>
          <w:rFonts w:ascii="Arial" w:eastAsia="Calibri" w:hAnsi="Arial" w:cs="Arial"/>
          <w:sz w:val="24"/>
          <w:szCs w:val="24"/>
        </w:rPr>
        <w:t xml:space="preserve">to </w:t>
      </w:r>
      <w:r w:rsidRPr="00FF646D">
        <w:rPr>
          <w:rFonts w:ascii="Arial" w:eastAsia="Calibri" w:hAnsi="Arial" w:cs="Arial"/>
          <w:sz w:val="24"/>
          <w:szCs w:val="24"/>
        </w:rPr>
        <w:t>support</w:t>
      </w:r>
      <w:r w:rsidR="00735923">
        <w:rPr>
          <w:rFonts w:ascii="Arial" w:eastAsia="Calibri" w:hAnsi="Arial" w:cs="Arial"/>
          <w:sz w:val="24"/>
          <w:szCs w:val="24"/>
        </w:rPr>
        <w:t xml:space="preserve"> </w:t>
      </w:r>
      <w:r w:rsidRPr="00FF646D">
        <w:rPr>
          <w:rFonts w:ascii="Arial" w:eastAsia="Calibri" w:hAnsi="Arial" w:cs="Arial"/>
          <w:sz w:val="24"/>
          <w:szCs w:val="24"/>
        </w:rPr>
        <w:t>a coordinated approach to workforce development.</w:t>
      </w:r>
    </w:p>
    <w:p w14:paraId="687F97AA" w14:textId="77777777" w:rsidR="00735923" w:rsidRDefault="00735923" w:rsidP="00C92ECE">
      <w:pPr>
        <w:pStyle w:val="ListParagraph"/>
        <w:rPr>
          <w:rFonts w:ascii="Arial" w:eastAsia="Calibri" w:hAnsi="Arial" w:cs="Arial"/>
          <w:sz w:val="24"/>
          <w:szCs w:val="24"/>
        </w:rPr>
      </w:pPr>
    </w:p>
    <w:p w14:paraId="10495647" w14:textId="5EA39D14" w:rsidR="00735923" w:rsidRDefault="00B439CE" w:rsidP="00735923">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Working</w:t>
      </w:r>
      <w:r w:rsidR="00FD1CFB" w:rsidRPr="00FD1CFB">
        <w:rPr>
          <w:rFonts w:ascii="Arial" w:eastAsia="Calibri" w:hAnsi="Arial" w:cs="Arial"/>
          <w:sz w:val="24"/>
          <w:szCs w:val="24"/>
        </w:rPr>
        <w:t xml:space="preserve"> with local colleges provides student</w:t>
      </w:r>
      <w:r>
        <w:rPr>
          <w:rFonts w:ascii="Arial" w:eastAsia="Calibri" w:hAnsi="Arial" w:cs="Arial"/>
          <w:sz w:val="24"/>
          <w:szCs w:val="24"/>
        </w:rPr>
        <w:t>s with</w:t>
      </w:r>
      <w:r w:rsidR="00FD1CFB" w:rsidRPr="00FD1CFB">
        <w:rPr>
          <w:rFonts w:ascii="Arial" w:eastAsia="Calibri" w:hAnsi="Arial" w:cs="Arial"/>
          <w:sz w:val="24"/>
          <w:szCs w:val="24"/>
        </w:rPr>
        <w:t xml:space="preserve"> work experience placements, helping to raise awareness of social care as a career and strengthen future workforce pipelines.</w:t>
      </w:r>
    </w:p>
    <w:p w14:paraId="5D18F14F" w14:textId="77777777" w:rsidR="004C14A9" w:rsidRDefault="004C14A9" w:rsidP="00C92ECE">
      <w:pPr>
        <w:spacing w:after="0" w:line="276" w:lineRule="auto"/>
        <w:ind w:left="567"/>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CB65A3" w:rsidRPr="00FD1CFB" w14:paraId="0B8A2224" w14:textId="77777777" w:rsidTr="00CB65A3">
        <w:tc>
          <w:tcPr>
            <w:tcW w:w="9016" w:type="dxa"/>
          </w:tcPr>
          <w:p w14:paraId="095135D0" w14:textId="69A091D3" w:rsidR="00CB65A3" w:rsidRPr="00BB471B" w:rsidRDefault="008D69D6" w:rsidP="00C92ECE">
            <w:pPr>
              <w:rPr>
                <w:rFonts w:ascii="Arial" w:eastAsia="Calibri" w:hAnsi="Arial" w:cs="Arial"/>
                <w:sz w:val="24"/>
                <w:szCs w:val="24"/>
              </w:rPr>
            </w:pPr>
            <w:r w:rsidRPr="00BB471B">
              <w:rPr>
                <w:rFonts w:ascii="Arial" w:eastAsia="Calibri" w:hAnsi="Arial" w:cs="Arial"/>
                <w:sz w:val="24"/>
                <w:szCs w:val="24"/>
              </w:rPr>
              <w:t xml:space="preserve">“I meet the </w:t>
            </w:r>
            <w:r w:rsidR="00B439CE" w:rsidRPr="00BB471B">
              <w:rPr>
                <w:rFonts w:ascii="Arial" w:eastAsia="Calibri" w:hAnsi="Arial" w:cs="Arial"/>
                <w:sz w:val="24"/>
                <w:szCs w:val="24"/>
              </w:rPr>
              <w:t>c</w:t>
            </w:r>
            <w:r w:rsidRPr="00BB471B">
              <w:rPr>
                <w:rFonts w:ascii="Arial" w:eastAsia="Calibri" w:hAnsi="Arial" w:cs="Arial"/>
                <w:sz w:val="24"/>
                <w:szCs w:val="24"/>
              </w:rPr>
              <w:t xml:space="preserve">are worker </w:t>
            </w:r>
            <w:r w:rsidR="00B439CE" w:rsidRPr="00BB471B">
              <w:rPr>
                <w:rFonts w:ascii="Arial" w:eastAsia="Calibri" w:hAnsi="Arial" w:cs="Arial"/>
                <w:sz w:val="24"/>
                <w:szCs w:val="24"/>
              </w:rPr>
              <w:t>once</w:t>
            </w:r>
            <w:r w:rsidRPr="00BB471B">
              <w:rPr>
                <w:rFonts w:ascii="Arial" w:eastAsia="Calibri" w:hAnsi="Arial" w:cs="Arial"/>
                <w:sz w:val="24"/>
                <w:szCs w:val="24"/>
              </w:rPr>
              <w:t xml:space="preserve"> </w:t>
            </w:r>
            <w:r w:rsidR="00093DB7" w:rsidRPr="00BB471B">
              <w:rPr>
                <w:rFonts w:ascii="Arial" w:eastAsia="Calibri" w:hAnsi="Arial" w:cs="Arial"/>
                <w:sz w:val="24"/>
                <w:szCs w:val="24"/>
              </w:rPr>
              <w:t>a week</w:t>
            </w:r>
            <w:r w:rsidR="00B439CE" w:rsidRPr="00BB471B">
              <w:rPr>
                <w:rFonts w:ascii="Arial" w:eastAsia="Calibri" w:hAnsi="Arial" w:cs="Arial"/>
                <w:sz w:val="24"/>
                <w:szCs w:val="24"/>
              </w:rPr>
              <w:t>,</w:t>
            </w:r>
            <w:r w:rsidRPr="00BB471B">
              <w:rPr>
                <w:rFonts w:ascii="Arial" w:eastAsia="Calibri" w:hAnsi="Arial" w:cs="Arial"/>
                <w:sz w:val="24"/>
                <w:szCs w:val="24"/>
              </w:rPr>
              <w:t xml:space="preserve"> usually </w:t>
            </w:r>
            <w:r w:rsidR="00B439CE">
              <w:rPr>
                <w:rFonts w:ascii="Arial" w:eastAsia="Calibri" w:hAnsi="Arial" w:cs="Arial"/>
                <w:sz w:val="24"/>
                <w:szCs w:val="24"/>
              </w:rPr>
              <w:t xml:space="preserve">on </w:t>
            </w:r>
            <w:r w:rsidRPr="00BB471B">
              <w:rPr>
                <w:rFonts w:ascii="Arial" w:eastAsia="Calibri" w:hAnsi="Arial" w:cs="Arial"/>
                <w:sz w:val="24"/>
                <w:szCs w:val="24"/>
              </w:rPr>
              <w:t>the second call of the day. I then travel to each call with the carer. I</w:t>
            </w:r>
            <w:r w:rsidR="00B439CE">
              <w:rPr>
                <w:rFonts w:ascii="Arial" w:eastAsia="Calibri" w:hAnsi="Arial" w:cs="Arial"/>
                <w:sz w:val="24"/>
                <w:szCs w:val="24"/>
              </w:rPr>
              <w:t>’m</w:t>
            </w:r>
            <w:r w:rsidRPr="00BB471B">
              <w:rPr>
                <w:rFonts w:ascii="Arial" w:eastAsia="Calibri" w:hAnsi="Arial" w:cs="Arial"/>
                <w:sz w:val="24"/>
                <w:szCs w:val="24"/>
              </w:rPr>
              <w:t xml:space="preserve"> really enjoying my experience meeting difference people in their own homes </w:t>
            </w:r>
            <w:r w:rsidR="00B439CE">
              <w:rPr>
                <w:rFonts w:ascii="Arial" w:eastAsia="Calibri" w:hAnsi="Arial" w:cs="Arial"/>
                <w:sz w:val="24"/>
                <w:szCs w:val="24"/>
              </w:rPr>
              <w:t xml:space="preserve">who are </w:t>
            </w:r>
            <w:r w:rsidRPr="00BB471B">
              <w:rPr>
                <w:rFonts w:ascii="Arial" w:eastAsia="Calibri" w:hAnsi="Arial" w:cs="Arial"/>
                <w:sz w:val="24"/>
                <w:szCs w:val="24"/>
              </w:rPr>
              <w:t>being supported with a range of needs. I have experienced what it</w:t>
            </w:r>
            <w:r w:rsidR="00B439CE">
              <w:rPr>
                <w:rFonts w:ascii="Arial" w:eastAsia="Calibri" w:hAnsi="Arial" w:cs="Arial"/>
                <w:sz w:val="24"/>
                <w:szCs w:val="24"/>
              </w:rPr>
              <w:t>’s</w:t>
            </w:r>
            <w:r w:rsidRPr="00BB471B">
              <w:rPr>
                <w:rFonts w:ascii="Arial" w:eastAsia="Calibri" w:hAnsi="Arial" w:cs="Arial"/>
                <w:sz w:val="24"/>
                <w:szCs w:val="24"/>
              </w:rPr>
              <w:t xml:space="preserve"> like to provide care to people in their own homes and how much they rely on this service. It made me think of this as a career choice in the future” </w:t>
            </w:r>
            <w:r w:rsidRPr="00B439CE">
              <w:rPr>
                <w:rFonts w:ascii="Arial" w:eastAsia="Calibri" w:hAnsi="Arial" w:cs="Arial"/>
                <w:sz w:val="24"/>
                <w:szCs w:val="24"/>
              </w:rPr>
              <w:t>(Student</w:t>
            </w:r>
            <w:r w:rsidR="004C14A9" w:rsidRPr="00B439CE">
              <w:rPr>
                <w:rFonts w:ascii="Arial" w:eastAsia="Calibri" w:hAnsi="Arial" w:cs="Arial"/>
                <w:sz w:val="24"/>
                <w:szCs w:val="24"/>
              </w:rPr>
              <w:t xml:space="preserve"> work experience comments – N</w:t>
            </w:r>
            <w:r w:rsidR="00B439CE">
              <w:rPr>
                <w:rFonts w:ascii="Arial" w:eastAsia="Calibri" w:hAnsi="Arial" w:cs="Arial"/>
                <w:sz w:val="24"/>
                <w:szCs w:val="24"/>
              </w:rPr>
              <w:t xml:space="preserve">eath </w:t>
            </w:r>
            <w:r w:rsidR="004C14A9" w:rsidRPr="00B439CE">
              <w:rPr>
                <w:rFonts w:ascii="Arial" w:eastAsia="Calibri" w:hAnsi="Arial" w:cs="Arial"/>
                <w:sz w:val="24"/>
                <w:szCs w:val="24"/>
              </w:rPr>
              <w:t>P</w:t>
            </w:r>
            <w:r w:rsidR="00B439CE">
              <w:rPr>
                <w:rFonts w:ascii="Arial" w:eastAsia="Calibri" w:hAnsi="Arial" w:cs="Arial"/>
                <w:sz w:val="24"/>
                <w:szCs w:val="24"/>
              </w:rPr>
              <w:t xml:space="preserve">ort </w:t>
            </w:r>
            <w:r w:rsidR="004C14A9" w:rsidRPr="00B439CE">
              <w:rPr>
                <w:rFonts w:ascii="Arial" w:eastAsia="Calibri" w:hAnsi="Arial" w:cs="Arial"/>
                <w:sz w:val="24"/>
                <w:szCs w:val="24"/>
              </w:rPr>
              <w:t>T</w:t>
            </w:r>
            <w:r w:rsidR="00B439CE">
              <w:rPr>
                <w:rFonts w:ascii="Arial" w:eastAsia="Calibri" w:hAnsi="Arial" w:cs="Arial"/>
                <w:sz w:val="24"/>
                <w:szCs w:val="24"/>
              </w:rPr>
              <w:t>albot</w:t>
            </w:r>
            <w:r w:rsidR="004C14A9" w:rsidRPr="00B439CE">
              <w:rPr>
                <w:rFonts w:ascii="Arial" w:eastAsia="Calibri" w:hAnsi="Arial" w:cs="Arial"/>
                <w:sz w:val="24"/>
                <w:szCs w:val="24"/>
              </w:rPr>
              <w:t xml:space="preserve"> - </w:t>
            </w:r>
            <w:r w:rsidR="00B439CE">
              <w:rPr>
                <w:rFonts w:ascii="Arial" w:eastAsia="Calibri" w:hAnsi="Arial" w:cs="Arial"/>
                <w:sz w:val="24"/>
                <w:szCs w:val="24"/>
              </w:rPr>
              <w:t>w</w:t>
            </w:r>
            <w:r w:rsidR="004C14A9" w:rsidRPr="00B439CE">
              <w:rPr>
                <w:rFonts w:ascii="Arial" w:eastAsia="Calibri" w:hAnsi="Arial" w:cs="Arial"/>
                <w:sz w:val="24"/>
                <w:szCs w:val="24"/>
              </w:rPr>
              <w:t xml:space="preserve">est Glamorgan </w:t>
            </w:r>
            <w:r w:rsidR="00B439CE">
              <w:rPr>
                <w:rFonts w:ascii="Arial" w:eastAsia="Calibri" w:hAnsi="Arial" w:cs="Arial"/>
                <w:sz w:val="24"/>
                <w:szCs w:val="24"/>
              </w:rPr>
              <w:t>r</w:t>
            </w:r>
            <w:r w:rsidR="004C14A9" w:rsidRPr="00B439CE">
              <w:rPr>
                <w:rFonts w:ascii="Arial" w:eastAsia="Calibri" w:hAnsi="Arial" w:cs="Arial"/>
                <w:sz w:val="24"/>
                <w:szCs w:val="24"/>
              </w:rPr>
              <w:t>egion)</w:t>
            </w:r>
          </w:p>
        </w:tc>
      </w:tr>
    </w:tbl>
    <w:p w14:paraId="783A07D4" w14:textId="77777777" w:rsidR="00CB65A3" w:rsidRDefault="00CB65A3" w:rsidP="00C92ECE">
      <w:pPr>
        <w:spacing w:after="0" w:line="276" w:lineRule="auto"/>
        <w:contextualSpacing/>
        <w:rPr>
          <w:rFonts w:ascii="Arial" w:eastAsia="Calibri" w:hAnsi="Arial" w:cs="Arial"/>
          <w:sz w:val="24"/>
          <w:szCs w:val="24"/>
        </w:rPr>
      </w:pPr>
    </w:p>
    <w:p w14:paraId="4269DE37" w14:textId="2D273CB2" w:rsidR="002D1B1F" w:rsidRPr="00B568F3" w:rsidRDefault="002D1B1F" w:rsidP="000C06A7">
      <w:pPr>
        <w:pStyle w:val="Heading3"/>
      </w:pPr>
      <w:bookmarkStart w:id="33" w:name="_Toc210987772"/>
      <w:bookmarkStart w:id="34" w:name="_Toc211279625"/>
      <w:r w:rsidRPr="00B568F3">
        <w:lastRenderedPageBreak/>
        <w:t>Challenges</w:t>
      </w:r>
      <w:bookmarkEnd w:id="33"/>
      <w:bookmarkEnd w:id="34"/>
    </w:p>
    <w:p w14:paraId="1922A01C" w14:textId="5499A687" w:rsidR="00F878B6" w:rsidRPr="00C92ECE" w:rsidRDefault="00C751CC" w:rsidP="00632461">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Regions report that r</w:t>
      </w:r>
      <w:r w:rsidR="002D1B1F" w:rsidRPr="006F2579">
        <w:rPr>
          <w:rFonts w:ascii="Arial" w:eastAsia="Calibri" w:hAnsi="Arial" w:cs="Arial"/>
          <w:bCs/>
          <w:sz w:val="24"/>
          <w:szCs w:val="24"/>
        </w:rPr>
        <w:t xml:space="preserve">ecruitment and retention </w:t>
      </w:r>
      <w:r>
        <w:rPr>
          <w:rFonts w:ascii="Arial" w:eastAsia="Calibri" w:hAnsi="Arial" w:cs="Arial"/>
          <w:bCs/>
          <w:sz w:val="24"/>
          <w:szCs w:val="24"/>
        </w:rPr>
        <w:t xml:space="preserve">remain challenging, </w:t>
      </w:r>
      <w:r w:rsidR="002D1B1F" w:rsidRPr="006F2579">
        <w:rPr>
          <w:rFonts w:ascii="Arial" w:eastAsia="Calibri" w:hAnsi="Arial" w:cs="Arial"/>
          <w:bCs/>
          <w:sz w:val="24"/>
          <w:szCs w:val="24"/>
        </w:rPr>
        <w:t xml:space="preserve">and service pressures </w:t>
      </w:r>
      <w:r>
        <w:rPr>
          <w:rFonts w:ascii="Arial" w:eastAsia="Calibri" w:hAnsi="Arial" w:cs="Arial"/>
          <w:bCs/>
          <w:sz w:val="24"/>
          <w:szCs w:val="24"/>
        </w:rPr>
        <w:t>often makes it hard to release staff for training</w:t>
      </w:r>
      <w:r w:rsidR="00147811" w:rsidRPr="00C92ECE">
        <w:rPr>
          <w:rFonts w:ascii="Arial" w:eastAsia="Calibri" w:hAnsi="Arial" w:cs="Arial"/>
          <w:bCs/>
          <w:sz w:val="24"/>
          <w:szCs w:val="24"/>
        </w:rPr>
        <w:t xml:space="preserve">. </w:t>
      </w:r>
      <w:r w:rsidR="00C3209E" w:rsidRPr="006F2579">
        <w:rPr>
          <w:rFonts w:ascii="Arial" w:eastAsia="Calibri" w:hAnsi="Arial" w:cs="Arial"/>
          <w:bCs/>
          <w:sz w:val="24"/>
          <w:szCs w:val="24"/>
        </w:rPr>
        <w:t>Informally</w:t>
      </w:r>
      <w:r w:rsidR="00E86AAE" w:rsidRPr="006F2579">
        <w:rPr>
          <w:rFonts w:ascii="Arial" w:eastAsia="Calibri" w:hAnsi="Arial" w:cs="Arial"/>
          <w:bCs/>
          <w:sz w:val="24"/>
          <w:szCs w:val="24"/>
        </w:rPr>
        <w:t>,</w:t>
      </w:r>
      <w:r w:rsidR="002D1B1F" w:rsidRPr="006F2579">
        <w:rPr>
          <w:rFonts w:ascii="Arial" w:eastAsia="Calibri" w:hAnsi="Arial" w:cs="Arial"/>
          <w:bCs/>
          <w:sz w:val="24"/>
          <w:szCs w:val="24"/>
        </w:rPr>
        <w:t xml:space="preserve"> attendance </w:t>
      </w:r>
      <w:r w:rsidR="009F099C" w:rsidRPr="006F2579">
        <w:rPr>
          <w:rFonts w:ascii="Arial" w:eastAsia="Calibri" w:hAnsi="Arial" w:cs="Arial"/>
          <w:bCs/>
          <w:sz w:val="24"/>
          <w:szCs w:val="24"/>
        </w:rPr>
        <w:t xml:space="preserve">at </w:t>
      </w:r>
      <w:r w:rsidR="002D1B1F" w:rsidRPr="006F2579">
        <w:rPr>
          <w:rFonts w:ascii="Arial" w:eastAsia="Calibri" w:hAnsi="Arial" w:cs="Arial"/>
          <w:bCs/>
          <w:sz w:val="24"/>
          <w:szCs w:val="24"/>
        </w:rPr>
        <w:t>virtual training seems to be better than in-person</w:t>
      </w:r>
      <w:r>
        <w:rPr>
          <w:rFonts w:ascii="Arial" w:eastAsia="Calibri" w:hAnsi="Arial" w:cs="Arial"/>
          <w:bCs/>
          <w:sz w:val="24"/>
          <w:szCs w:val="24"/>
        </w:rPr>
        <w:t xml:space="preserve"> ones, </w:t>
      </w:r>
      <w:r w:rsidR="00F878B6" w:rsidRPr="00C92ECE">
        <w:rPr>
          <w:rFonts w:ascii="Arial" w:eastAsia="Calibri" w:hAnsi="Arial" w:cs="Arial"/>
          <w:bCs/>
          <w:sz w:val="24"/>
          <w:szCs w:val="24"/>
        </w:rPr>
        <w:t>and workforce development teams actively encourage full attendance</w:t>
      </w:r>
      <w:r w:rsidR="00F93C97" w:rsidRPr="00C92ECE">
        <w:rPr>
          <w:rFonts w:ascii="Arial" w:eastAsia="Calibri" w:hAnsi="Arial" w:cs="Arial"/>
          <w:bCs/>
          <w:sz w:val="24"/>
          <w:szCs w:val="24"/>
        </w:rPr>
        <w:t>.</w:t>
      </w:r>
    </w:p>
    <w:p w14:paraId="73813873" w14:textId="77777777" w:rsidR="00F878B6" w:rsidRPr="00C92ECE" w:rsidRDefault="00F878B6" w:rsidP="00C92ECE">
      <w:pPr>
        <w:spacing w:after="200" w:line="276" w:lineRule="auto"/>
        <w:contextualSpacing/>
        <w:rPr>
          <w:rFonts w:ascii="Arial" w:eastAsia="Calibri" w:hAnsi="Arial" w:cs="Arial"/>
          <w:bCs/>
          <w:sz w:val="24"/>
          <w:szCs w:val="24"/>
        </w:rPr>
      </w:pPr>
    </w:p>
    <w:p w14:paraId="71CBB8B3" w14:textId="39A164B9" w:rsidR="006B2749" w:rsidRPr="00C92ECE" w:rsidRDefault="00C751CC" w:rsidP="00523294">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bCs/>
          <w:sz w:val="24"/>
          <w:szCs w:val="24"/>
        </w:rPr>
        <w:t>Apprenticeship</w:t>
      </w:r>
      <w:r w:rsidR="00131706" w:rsidRPr="006B2749">
        <w:rPr>
          <w:rFonts w:ascii="Arial" w:eastAsia="Calibri" w:hAnsi="Arial" w:cs="Arial"/>
          <w:bCs/>
          <w:sz w:val="24"/>
          <w:szCs w:val="24"/>
        </w:rPr>
        <w:t xml:space="preserve"> funding</w:t>
      </w:r>
      <w:r>
        <w:rPr>
          <w:rFonts w:ascii="Arial" w:eastAsia="Calibri" w:hAnsi="Arial" w:cs="Arial"/>
          <w:bCs/>
          <w:sz w:val="24"/>
          <w:szCs w:val="24"/>
        </w:rPr>
        <w:t xml:space="preserve"> has dropped since</w:t>
      </w:r>
      <w:r w:rsidR="00131706" w:rsidRPr="006B2749">
        <w:rPr>
          <w:rFonts w:ascii="Arial" w:eastAsia="Calibri" w:hAnsi="Arial" w:cs="Arial"/>
          <w:bCs/>
          <w:sz w:val="24"/>
          <w:szCs w:val="24"/>
        </w:rPr>
        <w:t xml:space="preserve"> European Social Funding ended in 2023. This </w:t>
      </w:r>
      <w:r>
        <w:rPr>
          <w:rFonts w:ascii="Arial" w:eastAsia="Calibri" w:hAnsi="Arial" w:cs="Arial"/>
          <w:bCs/>
          <w:sz w:val="24"/>
          <w:szCs w:val="24"/>
        </w:rPr>
        <w:t xml:space="preserve">means </w:t>
      </w:r>
      <w:r w:rsidR="00131706" w:rsidRPr="006B2749">
        <w:rPr>
          <w:rFonts w:ascii="Arial" w:eastAsia="Calibri" w:hAnsi="Arial" w:cs="Arial"/>
          <w:bCs/>
          <w:sz w:val="24"/>
          <w:szCs w:val="24"/>
        </w:rPr>
        <w:t xml:space="preserve">less apprenticeship places available and waiting lists for key qualifications. </w:t>
      </w:r>
      <w:r w:rsidR="00131706" w:rsidRPr="00523294">
        <w:rPr>
          <w:rFonts w:ascii="Arial" w:eastAsia="Calibri" w:hAnsi="Arial" w:cs="Arial"/>
          <w:bCs/>
          <w:sz w:val="24"/>
          <w:szCs w:val="24"/>
        </w:rPr>
        <w:t xml:space="preserve">We know this is particularly affecting managers and residential care for children and young people. </w:t>
      </w:r>
      <w:r w:rsidR="00093DB7" w:rsidRPr="00523294">
        <w:rPr>
          <w:rFonts w:ascii="Arial" w:eastAsia="Calibri" w:hAnsi="Arial" w:cs="Arial"/>
          <w:bCs/>
          <w:sz w:val="24"/>
          <w:szCs w:val="24"/>
        </w:rPr>
        <w:t>We</w:t>
      </w:r>
      <w:r w:rsidR="00093DB7">
        <w:rPr>
          <w:rFonts w:ascii="Arial" w:eastAsia="Calibri" w:hAnsi="Arial" w:cs="Arial"/>
          <w:bCs/>
          <w:sz w:val="24"/>
          <w:szCs w:val="24"/>
        </w:rPr>
        <w:t xml:space="preserve"> ‘</w:t>
      </w:r>
      <w:proofErr w:type="gramStart"/>
      <w:r>
        <w:rPr>
          <w:rFonts w:ascii="Arial" w:eastAsia="Calibri" w:hAnsi="Arial" w:cs="Arial"/>
          <w:bCs/>
          <w:sz w:val="24"/>
          <w:szCs w:val="24"/>
        </w:rPr>
        <w:t xml:space="preserve">re </w:t>
      </w:r>
      <w:r w:rsidR="00093DB7">
        <w:rPr>
          <w:rFonts w:ascii="Arial" w:eastAsia="Calibri" w:hAnsi="Arial" w:cs="Arial"/>
          <w:bCs/>
          <w:sz w:val="24"/>
          <w:szCs w:val="24"/>
        </w:rPr>
        <w:t>working</w:t>
      </w:r>
      <w:proofErr w:type="gramEnd"/>
      <w:r w:rsidR="00093DB7">
        <w:rPr>
          <w:rFonts w:ascii="Arial" w:eastAsia="Calibri" w:hAnsi="Arial" w:cs="Arial"/>
          <w:bCs/>
          <w:sz w:val="24"/>
          <w:szCs w:val="24"/>
        </w:rPr>
        <w:t xml:space="preserve"> </w:t>
      </w:r>
      <w:r w:rsidR="00093DB7" w:rsidRPr="00523294">
        <w:rPr>
          <w:rFonts w:ascii="Arial" w:eastAsia="Calibri" w:hAnsi="Arial" w:cs="Arial"/>
          <w:bCs/>
          <w:sz w:val="24"/>
          <w:szCs w:val="24"/>
        </w:rPr>
        <w:t>with</w:t>
      </w:r>
      <w:r w:rsidR="00131706" w:rsidRPr="00523294">
        <w:rPr>
          <w:rFonts w:ascii="Arial" w:eastAsia="Calibri" w:hAnsi="Arial" w:cs="Arial"/>
          <w:bCs/>
          <w:sz w:val="24"/>
          <w:szCs w:val="24"/>
        </w:rPr>
        <w:t xml:space="preserve"> external partners to </w:t>
      </w:r>
      <w:r>
        <w:rPr>
          <w:rFonts w:ascii="Arial" w:eastAsia="Calibri" w:hAnsi="Arial" w:cs="Arial"/>
          <w:bCs/>
          <w:sz w:val="24"/>
          <w:szCs w:val="24"/>
        </w:rPr>
        <w:t>find</w:t>
      </w:r>
      <w:r w:rsidR="00131706" w:rsidRPr="00523294">
        <w:rPr>
          <w:rFonts w:ascii="Arial" w:eastAsia="Calibri" w:hAnsi="Arial" w:cs="Arial"/>
          <w:bCs/>
          <w:sz w:val="24"/>
          <w:szCs w:val="24"/>
        </w:rPr>
        <w:t xml:space="preserve"> solutions and to </w:t>
      </w:r>
      <w:r>
        <w:rPr>
          <w:rFonts w:ascii="Arial" w:eastAsia="Calibri" w:hAnsi="Arial" w:cs="Arial"/>
          <w:bCs/>
          <w:sz w:val="24"/>
          <w:szCs w:val="24"/>
        </w:rPr>
        <w:t>reduce</w:t>
      </w:r>
      <w:r w:rsidRPr="00523294">
        <w:rPr>
          <w:rFonts w:ascii="Arial" w:eastAsia="Calibri" w:hAnsi="Arial" w:cs="Arial"/>
          <w:bCs/>
          <w:sz w:val="24"/>
          <w:szCs w:val="24"/>
        </w:rPr>
        <w:t xml:space="preserve"> </w:t>
      </w:r>
      <w:r w:rsidR="00131706" w:rsidRPr="00523294">
        <w:rPr>
          <w:rFonts w:ascii="Arial" w:eastAsia="Calibri" w:hAnsi="Arial" w:cs="Arial"/>
          <w:bCs/>
          <w:sz w:val="24"/>
          <w:szCs w:val="24"/>
        </w:rPr>
        <w:t>the impact on the registration of workers.</w:t>
      </w:r>
      <w:r w:rsidR="00051F16" w:rsidRPr="00C92ECE">
        <w:rPr>
          <w:rFonts w:ascii="Arial" w:eastAsia="Calibri" w:hAnsi="Arial" w:cs="Arial"/>
          <w:bCs/>
          <w:sz w:val="24"/>
          <w:szCs w:val="24"/>
        </w:rPr>
        <w:t xml:space="preserve"> </w:t>
      </w:r>
    </w:p>
    <w:p w14:paraId="01756514" w14:textId="77777777" w:rsidR="00F03FE5" w:rsidRDefault="00F03FE5" w:rsidP="00F03FE5">
      <w:pPr>
        <w:spacing w:after="200" w:line="276" w:lineRule="auto"/>
        <w:ind w:left="567"/>
        <w:contextualSpacing/>
        <w:rPr>
          <w:rFonts w:ascii="Arial" w:eastAsia="Calibri" w:hAnsi="Arial" w:cs="Arial"/>
          <w:bCs/>
          <w:sz w:val="24"/>
          <w:szCs w:val="24"/>
        </w:rPr>
      </w:pPr>
    </w:p>
    <w:p w14:paraId="0FB36013" w14:textId="2AF8B13C" w:rsidR="00F03FE5" w:rsidRPr="00ED4B56" w:rsidRDefault="00661E90" w:rsidP="00F03FE5">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Apprenticeship f</w:t>
      </w:r>
      <w:r w:rsidR="00F03FE5" w:rsidRPr="00ED4B56">
        <w:rPr>
          <w:rFonts w:ascii="Arial" w:eastAsia="Calibri" w:hAnsi="Arial" w:cs="Arial"/>
          <w:sz w:val="24"/>
          <w:szCs w:val="24"/>
        </w:rPr>
        <w:t>unding decisions sit with Welsh Government and since</w:t>
      </w:r>
      <w:r w:rsidR="00F03FE5" w:rsidRPr="00ED4B56" w:rsidDel="003D03A0">
        <w:rPr>
          <w:rFonts w:ascii="Arial" w:eastAsia="Calibri" w:hAnsi="Arial" w:cs="Arial"/>
          <w:sz w:val="24"/>
          <w:szCs w:val="24"/>
        </w:rPr>
        <w:t xml:space="preserve"> </w:t>
      </w:r>
      <w:r w:rsidR="00F03FE5" w:rsidRPr="00ED4B56">
        <w:rPr>
          <w:rFonts w:ascii="Arial" w:eastAsia="Calibri" w:hAnsi="Arial" w:cs="Arial"/>
          <w:sz w:val="24"/>
          <w:szCs w:val="24"/>
        </w:rPr>
        <w:t>1</w:t>
      </w:r>
      <w:r w:rsidR="00F03FE5" w:rsidRPr="00ED4B56" w:rsidDel="004368F1">
        <w:rPr>
          <w:rFonts w:ascii="Arial" w:eastAsia="Calibri" w:hAnsi="Arial" w:cs="Arial"/>
          <w:sz w:val="24"/>
          <w:szCs w:val="24"/>
        </w:rPr>
        <w:t xml:space="preserve"> </w:t>
      </w:r>
      <w:r w:rsidR="00F03FE5" w:rsidRPr="00ED4B56">
        <w:rPr>
          <w:rFonts w:ascii="Arial" w:eastAsia="Calibri" w:hAnsi="Arial" w:cs="Arial"/>
          <w:sz w:val="24"/>
          <w:szCs w:val="24"/>
        </w:rPr>
        <w:t xml:space="preserve">August 2024, </w:t>
      </w:r>
      <w:hyperlink r:id="rId30" w:history="1">
        <w:proofErr w:type="spellStart"/>
        <w:r w:rsidR="00F03FE5" w:rsidRPr="00ED4B56">
          <w:rPr>
            <w:rStyle w:val="Hyperlink"/>
            <w:rFonts w:ascii="Arial" w:eastAsia="Calibri" w:hAnsi="Arial" w:cs="Arial"/>
            <w:sz w:val="24"/>
            <w:szCs w:val="24"/>
          </w:rPr>
          <w:t>Medr</w:t>
        </w:r>
        <w:proofErr w:type="spellEnd"/>
      </w:hyperlink>
      <w:r w:rsidR="00F03FE5" w:rsidRPr="005F0496">
        <w:rPr>
          <w:rFonts w:ascii="Arial" w:eastAsia="Calibri" w:hAnsi="Arial" w:cs="Arial"/>
          <w:sz w:val="24"/>
          <w:szCs w:val="24"/>
        </w:rPr>
        <w:t xml:space="preserve"> </w:t>
      </w:r>
      <w:r w:rsidR="00F03FE5" w:rsidRPr="00ED4B56">
        <w:rPr>
          <w:rFonts w:ascii="Arial" w:eastAsia="Calibri" w:hAnsi="Arial" w:cs="Arial"/>
          <w:sz w:val="24"/>
          <w:szCs w:val="24"/>
        </w:rPr>
        <w:t>is the arm’s length body responsible for funding and regulating tertiary education and research. We</w:t>
      </w:r>
      <w:r w:rsidR="00F03FE5" w:rsidRPr="005F0496">
        <w:rPr>
          <w:rFonts w:ascii="Arial" w:eastAsia="Calibri" w:hAnsi="Arial" w:cs="Arial"/>
          <w:sz w:val="24"/>
          <w:szCs w:val="24"/>
        </w:rPr>
        <w:t xml:space="preserve"> </w:t>
      </w:r>
      <w:r w:rsidR="00F03FE5" w:rsidRPr="00ED4B56">
        <w:rPr>
          <w:rFonts w:ascii="Arial" w:eastAsia="Calibri" w:hAnsi="Arial" w:cs="Arial"/>
          <w:sz w:val="24"/>
          <w:szCs w:val="24"/>
        </w:rPr>
        <w:t xml:space="preserve">continue </w:t>
      </w:r>
      <w:r w:rsidR="00F03FE5" w:rsidRPr="005F0496">
        <w:rPr>
          <w:rFonts w:ascii="Arial" w:eastAsia="Calibri" w:hAnsi="Arial" w:cs="Arial"/>
          <w:sz w:val="24"/>
          <w:szCs w:val="24"/>
        </w:rPr>
        <w:t xml:space="preserve">to work </w:t>
      </w:r>
      <w:r w:rsidR="00F03FE5" w:rsidRPr="00ED4B56">
        <w:rPr>
          <w:rFonts w:ascii="Arial" w:eastAsia="Calibri" w:hAnsi="Arial" w:cs="Arial"/>
          <w:sz w:val="24"/>
          <w:szCs w:val="24"/>
        </w:rPr>
        <w:t xml:space="preserve">closely with Welsh Government and with </w:t>
      </w:r>
      <w:proofErr w:type="spellStart"/>
      <w:r w:rsidR="00F03FE5" w:rsidRPr="00ED4B56">
        <w:rPr>
          <w:rFonts w:ascii="Arial" w:eastAsia="Calibri" w:hAnsi="Arial" w:cs="Arial"/>
          <w:sz w:val="24"/>
          <w:szCs w:val="24"/>
        </w:rPr>
        <w:t>Medr</w:t>
      </w:r>
      <w:proofErr w:type="spellEnd"/>
      <w:r w:rsidR="00F03FE5" w:rsidRPr="00ED4B56">
        <w:rPr>
          <w:rFonts w:ascii="Arial" w:eastAsia="Calibri" w:hAnsi="Arial" w:cs="Arial"/>
          <w:sz w:val="24"/>
          <w:szCs w:val="24"/>
        </w:rPr>
        <w:t xml:space="preserve"> </w:t>
      </w:r>
      <w:r w:rsidR="00F03FE5" w:rsidRPr="005F0496">
        <w:rPr>
          <w:rFonts w:ascii="Arial" w:eastAsia="Calibri" w:hAnsi="Arial" w:cs="Arial"/>
          <w:sz w:val="24"/>
          <w:szCs w:val="24"/>
        </w:rPr>
        <w:t>and have worked with</w:t>
      </w:r>
      <w:r w:rsidR="00582871">
        <w:rPr>
          <w:rFonts w:ascii="Arial" w:eastAsia="Calibri" w:hAnsi="Arial" w:cs="Arial"/>
          <w:sz w:val="24"/>
          <w:szCs w:val="24"/>
        </w:rPr>
        <w:t xml:space="preserve"> them</w:t>
      </w:r>
      <w:r w:rsidR="00F03FE5" w:rsidRPr="00ED4B56">
        <w:rPr>
          <w:rFonts w:ascii="Arial" w:eastAsia="Calibri" w:hAnsi="Arial" w:cs="Arial"/>
          <w:sz w:val="24"/>
          <w:szCs w:val="24"/>
        </w:rPr>
        <w:t xml:space="preserve"> to consult with the sector </w:t>
      </w:r>
      <w:r w:rsidR="00582871">
        <w:rPr>
          <w:rFonts w:ascii="Arial" w:eastAsia="Calibri" w:hAnsi="Arial" w:cs="Arial"/>
          <w:sz w:val="24"/>
          <w:szCs w:val="24"/>
        </w:rPr>
        <w:t>to review the</w:t>
      </w:r>
      <w:r w:rsidR="00F03FE5" w:rsidRPr="00ED4B56">
        <w:rPr>
          <w:rFonts w:ascii="Arial" w:eastAsia="Calibri" w:hAnsi="Arial" w:cs="Arial"/>
          <w:sz w:val="24"/>
          <w:szCs w:val="24"/>
        </w:rPr>
        <w:t xml:space="preserve"> apprenticeship frameworks for Health and Social Care and Children’s Care, Play, Learning and Development (Wales)</w:t>
      </w:r>
      <w:r w:rsidR="00F03FE5" w:rsidRPr="005F0496">
        <w:rPr>
          <w:rFonts w:ascii="Arial" w:eastAsia="Calibri" w:hAnsi="Arial" w:cs="Arial"/>
          <w:sz w:val="24"/>
          <w:szCs w:val="24"/>
        </w:rPr>
        <w:t xml:space="preserve">.  After the consultation, we’ll work with </w:t>
      </w:r>
      <w:proofErr w:type="spellStart"/>
      <w:r w:rsidR="00F03FE5" w:rsidRPr="005F0496">
        <w:rPr>
          <w:rFonts w:ascii="Arial" w:eastAsia="Calibri" w:hAnsi="Arial" w:cs="Arial"/>
          <w:sz w:val="24"/>
          <w:szCs w:val="24"/>
        </w:rPr>
        <w:t>Medr</w:t>
      </w:r>
      <w:proofErr w:type="spellEnd"/>
      <w:r w:rsidR="00F03FE5" w:rsidRPr="005F0496">
        <w:rPr>
          <w:rFonts w:ascii="Arial" w:eastAsia="Calibri" w:hAnsi="Arial" w:cs="Arial"/>
          <w:sz w:val="24"/>
          <w:szCs w:val="24"/>
        </w:rPr>
        <w:t xml:space="preserve"> to </w:t>
      </w:r>
      <w:r w:rsidR="00B61618">
        <w:rPr>
          <w:rFonts w:ascii="Arial" w:eastAsia="Calibri" w:hAnsi="Arial" w:cs="Arial"/>
          <w:sz w:val="24"/>
          <w:szCs w:val="24"/>
        </w:rPr>
        <w:t>update</w:t>
      </w:r>
      <w:r w:rsidR="00B61618" w:rsidRPr="005F0496">
        <w:rPr>
          <w:rFonts w:ascii="Arial" w:eastAsia="Calibri" w:hAnsi="Arial" w:cs="Arial"/>
          <w:sz w:val="24"/>
          <w:szCs w:val="24"/>
        </w:rPr>
        <w:t xml:space="preserve"> </w:t>
      </w:r>
      <w:r w:rsidR="00F03FE5" w:rsidRPr="005F0496">
        <w:rPr>
          <w:rFonts w:ascii="Arial" w:eastAsia="Calibri" w:hAnsi="Arial" w:cs="Arial"/>
          <w:sz w:val="24"/>
          <w:szCs w:val="24"/>
        </w:rPr>
        <w:t xml:space="preserve">the framework documents. </w:t>
      </w:r>
      <w:proofErr w:type="spellStart"/>
      <w:r w:rsidR="00F03FE5" w:rsidRPr="005F0496">
        <w:rPr>
          <w:rFonts w:ascii="Arial" w:eastAsia="Calibri" w:hAnsi="Arial" w:cs="Arial"/>
          <w:sz w:val="24"/>
          <w:szCs w:val="24"/>
        </w:rPr>
        <w:t>Medr</w:t>
      </w:r>
      <w:proofErr w:type="spellEnd"/>
      <w:r w:rsidR="00F03FE5" w:rsidRPr="005F0496">
        <w:rPr>
          <w:rFonts w:ascii="Arial" w:eastAsia="Calibri" w:hAnsi="Arial" w:cs="Arial"/>
          <w:sz w:val="24"/>
          <w:szCs w:val="24"/>
        </w:rPr>
        <w:t xml:space="preserve"> will publish the updated framework on its </w:t>
      </w:r>
      <w:r w:rsidR="00225A11" w:rsidRPr="005F0496">
        <w:rPr>
          <w:rFonts w:ascii="Arial" w:eastAsia="Calibri" w:hAnsi="Arial" w:cs="Arial"/>
          <w:sz w:val="24"/>
          <w:szCs w:val="24"/>
        </w:rPr>
        <w:t>website</w:t>
      </w:r>
      <w:r w:rsidR="00582871">
        <w:rPr>
          <w:rFonts w:ascii="Arial" w:eastAsia="Calibri" w:hAnsi="Arial" w:cs="Arial"/>
          <w:sz w:val="24"/>
          <w:szCs w:val="24"/>
        </w:rPr>
        <w:t>. T</w:t>
      </w:r>
      <w:r w:rsidR="00F03FE5" w:rsidRPr="005F0496">
        <w:rPr>
          <w:rFonts w:ascii="Arial" w:eastAsia="Calibri" w:hAnsi="Arial" w:cs="Arial"/>
          <w:sz w:val="24"/>
          <w:szCs w:val="24"/>
        </w:rPr>
        <w:t>he current framework will remain in place until the new frameworks are published.</w:t>
      </w:r>
    </w:p>
    <w:p w14:paraId="1191DEA0" w14:textId="77777777" w:rsidR="00F03FE5" w:rsidRDefault="00F03FE5" w:rsidP="00F03FE5">
      <w:pPr>
        <w:spacing w:after="200" w:line="276" w:lineRule="auto"/>
        <w:contextualSpacing/>
        <w:rPr>
          <w:rFonts w:ascii="Arial" w:eastAsia="Calibri" w:hAnsi="Arial" w:cs="Arial"/>
          <w:sz w:val="24"/>
          <w:szCs w:val="24"/>
        </w:rPr>
      </w:pPr>
    </w:p>
    <w:p w14:paraId="5DE0E80F" w14:textId="311898D6" w:rsidR="00F64D38" w:rsidRDefault="00582871" w:rsidP="00F64D38">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One region has</w:t>
      </w:r>
      <w:r w:rsidR="00F64D38" w:rsidRPr="5E7DC569">
        <w:rPr>
          <w:rFonts w:ascii="Arial" w:eastAsia="Calibri" w:hAnsi="Arial" w:cs="Arial"/>
          <w:sz w:val="24"/>
          <w:szCs w:val="24"/>
        </w:rPr>
        <w:t xml:space="preserve"> raised </w:t>
      </w:r>
      <w:r>
        <w:rPr>
          <w:rFonts w:ascii="Arial" w:eastAsia="Calibri" w:hAnsi="Arial" w:cs="Arial"/>
          <w:sz w:val="24"/>
          <w:szCs w:val="24"/>
        </w:rPr>
        <w:t>concerns about</w:t>
      </w:r>
      <w:r w:rsidR="00F64D38" w:rsidRPr="5E7DC569">
        <w:rPr>
          <w:rFonts w:ascii="Arial" w:eastAsia="Calibri" w:hAnsi="Arial" w:cs="Arial"/>
          <w:sz w:val="24"/>
          <w:szCs w:val="24"/>
        </w:rPr>
        <w:t xml:space="preserve"> qualification misalignment</w:t>
      </w:r>
      <w:r>
        <w:rPr>
          <w:rFonts w:ascii="Arial" w:eastAsia="Calibri" w:hAnsi="Arial" w:cs="Arial"/>
          <w:sz w:val="24"/>
          <w:szCs w:val="24"/>
        </w:rPr>
        <w:t>. The</w:t>
      </w:r>
      <w:r w:rsidR="00F64D38" w:rsidRPr="5E7DC569">
        <w:rPr>
          <w:rFonts w:ascii="Arial" w:eastAsia="Calibri" w:hAnsi="Arial" w:cs="Arial"/>
          <w:sz w:val="24"/>
          <w:szCs w:val="24"/>
        </w:rPr>
        <w:t xml:space="preserve"> full-time Level 3 Health </w:t>
      </w:r>
      <w:r>
        <w:rPr>
          <w:rFonts w:ascii="Arial" w:eastAsia="Calibri" w:hAnsi="Arial" w:cs="Arial"/>
          <w:sz w:val="24"/>
          <w:szCs w:val="24"/>
        </w:rPr>
        <w:t>and</w:t>
      </w:r>
      <w:r w:rsidR="00F64D38" w:rsidRPr="5E7DC569">
        <w:rPr>
          <w:rFonts w:ascii="Arial" w:eastAsia="Calibri" w:hAnsi="Arial" w:cs="Arial"/>
          <w:sz w:val="24"/>
          <w:szCs w:val="24"/>
        </w:rPr>
        <w:t xml:space="preserve"> Social Care qualification does</w:t>
      </w:r>
      <w:r>
        <w:rPr>
          <w:rFonts w:ascii="Arial" w:eastAsia="Calibri" w:hAnsi="Arial" w:cs="Arial"/>
          <w:sz w:val="24"/>
          <w:szCs w:val="24"/>
        </w:rPr>
        <w:t xml:space="preserve">n’t </w:t>
      </w:r>
      <w:r w:rsidR="00F64D38" w:rsidRPr="5E7DC569">
        <w:rPr>
          <w:rFonts w:ascii="Arial" w:eastAsia="Calibri" w:hAnsi="Arial" w:cs="Arial"/>
          <w:sz w:val="24"/>
          <w:szCs w:val="24"/>
        </w:rPr>
        <w:t>currently ma</w:t>
      </w:r>
      <w:r>
        <w:rPr>
          <w:rFonts w:ascii="Arial" w:eastAsia="Calibri" w:hAnsi="Arial" w:cs="Arial"/>
          <w:sz w:val="24"/>
          <w:szCs w:val="24"/>
        </w:rPr>
        <w:t>tch</w:t>
      </w:r>
      <w:r w:rsidR="00F64D38" w:rsidRPr="5E7DC569">
        <w:rPr>
          <w:rFonts w:ascii="Arial" w:eastAsia="Calibri" w:hAnsi="Arial" w:cs="Arial"/>
          <w:sz w:val="24"/>
          <w:szCs w:val="24"/>
        </w:rPr>
        <w:t xml:space="preserve"> the core work-based Health </w:t>
      </w:r>
      <w:r>
        <w:rPr>
          <w:rFonts w:ascii="Arial" w:eastAsia="Calibri" w:hAnsi="Arial" w:cs="Arial"/>
          <w:sz w:val="24"/>
          <w:szCs w:val="24"/>
        </w:rPr>
        <w:t>and</w:t>
      </w:r>
      <w:r w:rsidR="00F64D38" w:rsidRPr="5E7DC569">
        <w:rPr>
          <w:rFonts w:ascii="Arial" w:eastAsia="Calibri" w:hAnsi="Arial" w:cs="Arial"/>
          <w:sz w:val="24"/>
          <w:szCs w:val="24"/>
        </w:rPr>
        <w:t xml:space="preserve"> Social Care qualification. </w:t>
      </w:r>
      <w:r>
        <w:rPr>
          <w:rFonts w:ascii="Arial" w:eastAsia="Calibri" w:hAnsi="Arial" w:cs="Arial"/>
          <w:sz w:val="24"/>
          <w:szCs w:val="24"/>
        </w:rPr>
        <w:t>This means</w:t>
      </w:r>
      <w:r w:rsidR="00F64D38" w:rsidRPr="5E7DC569">
        <w:rPr>
          <w:rFonts w:ascii="Arial" w:eastAsia="Calibri" w:hAnsi="Arial" w:cs="Arial"/>
          <w:sz w:val="24"/>
          <w:szCs w:val="24"/>
        </w:rPr>
        <w:t xml:space="preserve"> workers who hold a Level 3 qualification </w:t>
      </w:r>
      <w:r>
        <w:rPr>
          <w:rFonts w:ascii="Arial" w:eastAsia="Calibri" w:hAnsi="Arial" w:cs="Arial"/>
          <w:sz w:val="24"/>
          <w:szCs w:val="24"/>
        </w:rPr>
        <w:t xml:space="preserve">still </w:t>
      </w:r>
      <w:proofErr w:type="gramStart"/>
      <w:r>
        <w:rPr>
          <w:rFonts w:ascii="Arial" w:eastAsia="Calibri" w:hAnsi="Arial" w:cs="Arial"/>
          <w:sz w:val="24"/>
          <w:szCs w:val="24"/>
        </w:rPr>
        <w:t>have to</w:t>
      </w:r>
      <w:proofErr w:type="gramEnd"/>
      <w:r>
        <w:rPr>
          <w:rFonts w:ascii="Arial" w:eastAsia="Calibri" w:hAnsi="Arial" w:cs="Arial"/>
          <w:sz w:val="24"/>
          <w:szCs w:val="24"/>
        </w:rPr>
        <w:t xml:space="preserve"> complete</w:t>
      </w:r>
      <w:r w:rsidR="00F64D38" w:rsidRPr="5E7DC569">
        <w:rPr>
          <w:rFonts w:ascii="Arial" w:eastAsia="Calibri" w:hAnsi="Arial" w:cs="Arial"/>
          <w:sz w:val="24"/>
          <w:szCs w:val="24"/>
        </w:rPr>
        <w:t xml:space="preserve"> the full Level 2 work-based qualification, which has raised concerns around duplication and inefficiency.</w:t>
      </w:r>
      <w:r w:rsidR="009D341A" w:rsidRPr="5E7DC569">
        <w:rPr>
          <w:rFonts w:ascii="Arial" w:eastAsia="Calibri" w:hAnsi="Arial" w:cs="Arial"/>
          <w:sz w:val="24"/>
          <w:szCs w:val="24"/>
        </w:rPr>
        <w:t xml:space="preserve"> We continue to support the sector and work with awarding bodies to </w:t>
      </w:r>
      <w:r>
        <w:rPr>
          <w:rFonts w:ascii="Arial" w:eastAsia="Calibri" w:hAnsi="Arial" w:cs="Arial"/>
          <w:sz w:val="24"/>
          <w:szCs w:val="24"/>
        </w:rPr>
        <w:t>make</w:t>
      </w:r>
      <w:r w:rsidRPr="5E7DC569">
        <w:rPr>
          <w:rFonts w:ascii="Arial" w:eastAsia="Calibri" w:hAnsi="Arial" w:cs="Arial"/>
          <w:sz w:val="24"/>
          <w:szCs w:val="24"/>
        </w:rPr>
        <w:t xml:space="preserve"> </w:t>
      </w:r>
      <w:r w:rsidR="009D341A" w:rsidRPr="5E7DC569">
        <w:rPr>
          <w:rFonts w:ascii="Arial" w:eastAsia="Calibri" w:hAnsi="Arial" w:cs="Arial"/>
          <w:sz w:val="24"/>
          <w:szCs w:val="24"/>
        </w:rPr>
        <w:t xml:space="preserve">improvements </w:t>
      </w:r>
      <w:r>
        <w:rPr>
          <w:rFonts w:ascii="Arial" w:eastAsia="Calibri" w:hAnsi="Arial" w:cs="Arial"/>
          <w:sz w:val="24"/>
          <w:szCs w:val="24"/>
        </w:rPr>
        <w:t>as needed</w:t>
      </w:r>
      <w:r w:rsidR="009D341A" w:rsidRPr="5E7DC569">
        <w:rPr>
          <w:rFonts w:ascii="Arial" w:eastAsia="Calibri" w:hAnsi="Arial" w:cs="Arial"/>
          <w:sz w:val="24"/>
          <w:szCs w:val="24"/>
        </w:rPr>
        <w:t>. It</w:t>
      </w:r>
      <w:r>
        <w:rPr>
          <w:rFonts w:ascii="Arial" w:eastAsia="Calibri" w:hAnsi="Arial" w:cs="Arial"/>
          <w:sz w:val="24"/>
          <w:szCs w:val="24"/>
        </w:rPr>
        <w:t>’s</w:t>
      </w:r>
      <w:r w:rsidR="009D341A" w:rsidRPr="5E7DC569">
        <w:rPr>
          <w:rFonts w:ascii="Arial" w:eastAsia="Calibri" w:hAnsi="Arial" w:cs="Arial"/>
          <w:sz w:val="24"/>
          <w:szCs w:val="24"/>
        </w:rPr>
        <w:t xml:space="preserve"> important to emphasise that there </w:t>
      </w:r>
      <w:r w:rsidR="16E25EBD" w:rsidRPr="5E7DC569">
        <w:rPr>
          <w:rFonts w:ascii="Arial" w:eastAsia="Calibri" w:hAnsi="Arial" w:cs="Arial"/>
          <w:sz w:val="24"/>
          <w:szCs w:val="24"/>
        </w:rPr>
        <w:t>are</w:t>
      </w:r>
      <w:r w:rsidR="009D341A" w:rsidRPr="5E7DC569">
        <w:rPr>
          <w:rFonts w:ascii="Arial" w:eastAsia="Calibri" w:hAnsi="Arial" w:cs="Arial"/>
          <w:sz w:val="24"/>
          <w:szCs w:val="24"/>
        </w:rPr>
        <w:t xml:space="preserve"> no concerns or challenges with the content of the qualifications</w:t>
      </w:r>
    </w:p>
    <w:p w14:paraId="6CB9A9BD" w14:textId="77777777" w:rsidR="00DC1BDF" w:rsidRDefault="00DC1BDF" w:rsidP="00C92ECE">
      <w:pPr>
        <w:spacing w:after="200" w:line="276" w:lineRule="auto"/>
        <w:ind w:left="567"/>
        <w:contextualSpacing/>
        <w:rPr>
          <w:rFonts w:ascii="Arial" w:eastAsia="Calibri" w:hAnsi="Arial" w:cs="Arial"/>
          <w:bCs/>
          <w:sz w:val="24"/>
          <w:szCs w:val="24"/>
        </w:rPr>
      </w:pPr>
    </w:p>
    <w:p w14:paraId="24DA4F21" w14:textId="3C6C2F5A" w:rsidR="002D1B1F" w:rsidRPr="000C06A7" w:rsidRDefault="002D1B1F" w:rsidP="00B568F3">
      <w:pPr>
        <w:pStyle w:val="Heading2"/>
      </w:pPr>
      <w:bookmarkStart w:id="35" w:name="_Toc211279626"/>
      <w:r w:rsidRPr="000C06A7">
        <w:t>Priority 3:</w:t>
      </w:r>
      <w:r w:rsidR="00972160" w:rsidRPr="00B568F3">
        <w:t xml:space="preserve"> </w:t>
      </w:r>
      <w:r w:rsidRPr="000C06A7">
        <w:t xml:space="preserve">Qualifying and </w:t>
      </w:r>
      <w:r w:rsidR="596BECF1" w:rsidRPr="000C06A7">
        <w:t>post</w:t>
      </w:r>
      <w:r w:rsidRPr="000C06A7">
        <w:t xml:space="preserve"> </w:t>
      </w:r>
      <w:r w:rsidR="27C95528" w:rsidRPr="000C06A7">
        <w:t>q</w:t>
      </w:r>
      <w:r w:rsidRPr="000C06A7">
        <w:t xml:space="preserve">ualifying programmes for </w:t>
      </w:r>
      <w:r w:rsidR="78F878E3" w:rsidRPr="000C06A7">
        <w:t>s</w:t>
      </w:r>
      <w:r w:rsidRPr="000C06A7">
        <w:t xml:space="preserve">ocial </w:t>
      </w:r>
      <w:r w:rsidR="735570FF" w:rsidRPr="000C06A7">
        <w:t>w</w:t>
      </w:r>
      <w:r w:rsidRPr="000C06A7">
        <w:t>ork</w:t>
      </w:r>
      <w:bookmarkEnd w:id="35"/>
    </w:p>
    <w:p w14:paraId="661A5B9C" w14:textId="77777777" w:rsidR="002D1B1F" w:rsidRPr="00B568F3" w:rsidRDefault="002D1B1F" w:rsidP="002D1B1F">
      <w:pPr>
        <w:spacing w:after="0" w:line="240" w:lineRule="auto"/>
        <w:rPr>
          <w:rFonts w:ascii="Arial" w:eastAsia="Calibri" w:hAnsi="Arial" w:cs="Arial"/>
          <w:color w:val="FF0000"/>
          <w:sz w:val="24"/>
          <w:szCs w:val="24"/>
          <w:shd w:val="clear" w:color="auto" w:fill="FFFFFF"/>
        </w:rPr>
      </w:pPr>
    </w:p>
    <w:p w14:paraId="1C395979" w14:textId="75E944FA" w:rsidR="002D1B1F" w:rsidRPr="00C92ECE" w:rsidRDefault="002D1B1F" w:rsidP="00896EB2">
      <w:pPr>
        <w:spacing w:after="0" w:line="240" w:lineRule="auto"/>
        <w:rPr>
          <w:rFonts w:ascii="Arial" w:eastAsia="Calibri" w:hAnsi="Arial" w:cs="Arial"/>
          <w:sz w:val="24"/>
          <w:szCs w:val="24"/>
          <w:shd w:val="clear" w:color="auto" w:fill="FFFFFF"/>
        </w:rPr>
      </w:pPr>
      <w:r w:rsidRPr="00C92ECE">
        <w:rPr>
          <w:rFonts w:ascii="Arial" w:eastAsia="Calibri" w:hAnsi="Arial" w:cs="Arial"/>
          <w:sz w:val="24"/>
          <w:szCs w:val="24"/>
          <w:shd w:val="clear" w:color="auto" w:fill="FFFFFF"/>
        </w:rPr>
        <w:t>The aim</w:t>
      </w:r>
      <w:r w:rsidR="00653D02" w:rsidRPr="00C92ECE">
        <w:rPr>
          <w:rFonts w:ascii="Arial" w:eastAsia="Calibri" w:hAnsi="Arial" w:cs="Arial"/>
          <w:sz w:val="24"/>
          <w:szCs w:val="24"/>
          <w:shd w:val="clear" w:color="auto" w:fill="FFFFFF"/>
        </w:rPr>
        <w:t xml:space="preserve"> of this </w:t>
      </w:r>
      <w:r w:rsidR="00896EB2" w:rsidRPr="00896EB2">
        <w:rPr>
          <w:rFonts w:ascii="Arial" w:eastAsia="Calibri" w:hAnsi="Arial" w:cs="Arial"/>
          <w:sz w:val="24"/>
          <w:szCs w:val="24"/>
          <w:shd w:val="clear" w:color="auto" w:fill="FFFFFF"/>
        </w:rPr>
        <w:t>priority</w:t>
      </w:r>
      <w:r w:rsidRPr="00C92ECE">
        <w:rPr>
          <w:rFonts w:ascii="Arial" w:eastAsia="Calibri" w:hAnsi="Arial" w:cs="Arial"/>
          <w:sz w:val="24"/>
          <w:szCs w:val="24"/>
          <w:shd w:val="clear" w:color="auto" w:fill="FFFFFF"/>
        </w:rPr>
        <w:t xml:space="preserve"> is to build confidence in the workforce, and lead and support improvement in social care and the social work profession a</w:t>
      </w:r>
      <w:r w:rsidR="00E212FE" w:rsidRPr="00C92ECE">
        <w:rPr>
          <w:rFonts w:ascii="Arial" w:eastAsia="Calibri" w:hAnsi="Arial" w:cs="Arial"/>
          <w:sz w:val="24"/>
          <w:szCs w:val="24"/>
          <w:shd w:val="clear" w:color="auto" w:fill="FFFFFF"/>
        </w:rPr>
        <w:t>s</w:t>
      </w:r>
      <w:r w:rsidRPr="00C92ECE">
        <w:rPr>
          <w:rFonts w:ascii="Arial" w:eastAsia="Calibri" w:hAnsi="Arial" w:cs="Arial"/>
          <w:sz w:val="24"/>
          <w:szCs w:val="24"/>
          <w:shd w:val="clear" w:color="auto" w:fill="FFFFFF"/>
        </w:rPr>
        <w:t xml:space="preserve"> a key part of the workforce. This involves support for all qualifying and post qualifying programmes of learning.</w:t>
      </w:r>
    </w:p>
    <w:p w14:paraId="72693808" w14:textId="77777777" w:rsidR="005B4CD8" w:rsidRDefault="005B4CD8" w:rsidP="00DD67DB">
      <w:pPr>
        <w:spacing w:after="0" w:line="240" w:lineRule="auto"/>
        <w:rPr>
          <w:rFonts w:ascii="Arial" w:eastAsia="Calibri" w:hAnsi="Arial" w:cs="Arial"/>
          <w:sz w:val="24"/>
          <w:szCs w:val="24"/>
          <w:shd w:val="clear" w:color="auto" w:fill="FFFFFF"/>
        </w:rPr>
      </w:pPr>
    </w:p>
    <w:p w14:paraId="7D3BE30B" w14:textId="77D83B96" w:rsidR="005D2C8A" w:rsidRPr="00E21C7A" w:rsidRDefault="000E115D" w:rsidP="00C92ECE">
      <w:pPr>
        <w:spacing w:after="200" w:line="276" w:lineRule="auto"/>
        <w:contextualSpacing/>
        <w:rPr>
          <w:rFonts w:ascii="Arial" w:eastAsia="Calibri" w:hAnsi="Arial" w:cs="Arial"/>
          <w:bCs/>
          <w:sz w:val="24"/>
          <w:szCs w:val="24"/>
        </w:rPr>
      </w:pPr>
      <w:r w:rsidRPr="00C92ECE">
        <w:rPr>
          <w:rFonts w:ascii="Arial" w:eastAsia="Calibri" w:hAnsi="Arial" w:cs="Arial"/>
          <w:bCs/>
          <w:sz w:val="24"/>
          <w:szCs w:val="24"/>
        </w:rPr>
        <w:t>This theme has</w:t>
      </w:r>
      <w:r w:rsidR="005D2C8A" w:rsidRPr="00C92ECE">
        <w:rPr>
          <w:rFonts w:ascii="Arial" w:eastAsia="Calibri" w:hAnsi="Arial" w:cs="Arial"/>
          <w:bCs/>
          <w:sz w:val="24"/>
          <w:szCs w:val="24"/>
        </w:rPr>
        <w:t xml:space="preserve"> </w:t>
      </w:r>
      <w:r w:rsidR="00582871">
        <w:rPr>
          <w:rFonts w:ascii="Arial" w:eastAsia="Calibri" w:hAnsi="Arial" w:cs="Arial"/>
          <w:bCs/>
          <w:sz w:val="24"/>
          <w:szCs w:val="24"/>
        </w:rPr>
        <w:t>had a lot of</w:t>
      </w:r>
      <w:r w:rsidR="005D2C8A" w:rsidRPr="00C92ECE">
        <w:rPr>
          <w:rFonts w:ascii="Arial" w:eastAsia="Calibri" w:hAnsi="Arial" w:cs="Arial"/>
          <w:bCs/>
          <w:sz w:val="24"/>
          <w:szCs w:val="24"/>
        </w:rPr>
        <w:t xml:space="preserve"> </w:t>
      </w:r>
      <w:r w:rsidRPr="00C92ECE">
        <w:rPr>
          <w:rFonts w:ascii="Arial" w:eastAsia="Calibri" w:hAnsi="Arial" w:cs="Arial"/>
          <w:bCs/>
          <w:sz w:val="24"/>
          <w:szCs w:val="24"/>
        </w:rPr>
        <w:t xml:space="preserve">attention </w:t>
      </w:r>
      <w:r w:rsidR="005D2C8A" w:rsidRPr="00C92ECE">
        <w:rPr>
          <w:rFonts w:ascii="Arial" w:eastAsia="Calibri" w:hAnsi="Arial" w:cs="Arial"/>
          <w:bCs/>
          <w:sz w:val="24"/>
          <w:szCs w:val="24"/>
        </w:rPr>
        <w:t xml:space="preserve">in </w:t>
      </w:r>
      <w:r w:rsidR="00582871">
        <w:rPr>
          <w:rFonts w:ascii="Arial" w:eastAsia="Calibri" w:hAnsi="Arial" w:cs="Arial"/>
          <w:bCs/>
          <w:sz w:val="24"/>
          <w:szCs w:val="24"/>
        </w:rPr>
        <w:t>the last few years</w:t>
      </w:r>
      <w:r w:rsidR="005D2C8A" w:rsidRPr="00C92ECE">
        <w:rPr>
          <w:rFonts w:ascii="Arial" w:eastAsia="Calibri" w:hAnsi="Arial" w:cs="Arial"/>
          <w:bCs/>
          <w:sz w:val="24"/>
          <w:szCs w:val="24"/>
        </w:rPr>
        <w:t xml:space="preserve"> </w:t>
      </w:r>
      <w:r w:rsidR="00582871">
        <w:rPr>
          <w:rFonts w:ascii="Arial" w:eastAsia="Calibri" w:hAnsi="Arial" w:cs="Arial"/>
          <w:bCs/>
          <w:sz w:val="24"/>
          <w:szCs w:val="24"/>
        </w:rPr>
        <w:t>because of issues</w:t>
      </w:r>
      <w:r w:rsidR="005D2C8A" w:rsidRPr="00C92ECE">
        <w:rPr>
          <w:rFonts w:ascii="Arial" w:eastAsia="Calibri" w:hAnsi="Arial" w:cs="Arial"/>
          <w:bCs/>
          <w:sz w:val="24"/>
          <w:szCs w:val="24"/>
        </w:rPr>
        <w:t xml:space="preserve"> facing th</w:t>
      </w:r>
      <w:r w:rsidR="00582871">
        <w:rPr>
          <w:rFonts w:ascii="Arial" w:eastAsia="Calibri" w:hAnsi="Arial" w:cs="Arial"/>
          <w:bCs/>
          <w:sz w:val="24"/>
          <w:szCs w:val="24"/>
        </w:rPr>
        <w:t>is part of the workforce</w:t>
      </w:r>
      <w:r w:rsidR="005D2C8A" w:rsidRPr="00C92ECE">
        <w:rPr>
          <w:rFonts w:ascii="Arial" w:eastAsia="Calibri" w:hAnsi="Arial" w:cs="Arial"/>
          <w:bCs/>
          <w:sz w:val="24"/>
          <w:szCs w:val="24"/>
        </w:rPr>
        <w:t xml:space="preserve">, as </w:t>
      </w:r>
      <w:r w:rsidR="00582871">
        <w:rPr>
          <w:rFonts w:ascii="Arial" w:eastAsia="Calibri" w:hAnsi="Arial" w:cs="Arial"/>
          <w:bCs/>
          <w:sz w:val="24"/>
          <w:szCs w:val="24"/>
        </w:rPr>
        <w:t>noted</w:t>
      </w:r>
      <w:r w:rsidR="005D2C8A" w:rsidRPr="00C92ECE">
        <w:rPr>
          <w:rFonts w:ascii="Arial" w:eastAsia="Calibri" w:hAnsi="Arial" w:cs="Arial"/>
          <w:bCs/>
          <w:sz w:val="24"/>
          <w:szCs w:val="24"/>
        </w:rPr>
        <w:t xml:space="preserve"> in the </w:t>
      </w:r>
      <w:hyperlink r:id="rId31" w:history="1">
        <w:r w:rsidRPr="00C92ECE">
          <w:rPr>
            <w:rStyle w:val="Hyperlink"/>
            <w:rFonts w:ascii="Arial" w:eastAsia="Calibri" w:hAnsi="Arial" w:cs="Arial"/>
            <w:bCs/>
            <w:sz w:val="24"/>
            <w:szCs w:val="24"/>
          </w:rPr>
          <w:t>Social Work Workforce Plan</w:t>
        </w:r>
      </w:hyperlink>
      <w:r w:rsidRPr="00C92ECE">
        <w:rPr>
          <w:rFonts w:ascii="Arial" w:eastAsia="Calibri" w:hAnsi="Arial" w:cs="Arial"/>
          <w:bCs/>
          <w:sz w:val="24"/>
          <w:szCs w:val="24"/>
        </w:rPr>
        <w:t xml:space="preserve">. </w:t>
      </w:r>
    </w:p>
    <w:p w14:paraId="34FC5C69" w14:textId="77777777" w:rsidR="005D2C8A" w:rsidRPr="00C92ECE" w:rsidRDefault="005D2C8A" w:rsidP="00C92ECE">
      <w:pPr>
        <w:spacing w:after="200" w:line="276" w:lineRule="auto"/>
        <w:ind w:left="567"/>
        <w:contextualSpacing/>
        <w:rPr>
          <w:rFonts w:ascii="Arial" w:eastAsia="Calibri" w:hAnsi="Arial" w:cs="Arial"/>
          <w:bCs/>
          <w:sz w:val="24"/>
          <w:szCs w:val="24"/>
          <w:highlight w:val="yellow"/>
        </w:rPr>
      </w:pPr>
    </w:p>
    <w:p w14:paraId="1AA566EA" w14:textId="23923414" w:rsidR="00E66E20" w:rsidRPr="00C92ECE" w:rsidRDefault="005D2C8A" w:rsidP="00C92ECE">
      <w:pPr>
        <w:spacing w:after="200" w:line="276" w:lineRule="auto"/>
        <w:contextualSpacing/>
        <w:rPr>
          <w:rFonts w:ascii="Arial" w:eastAsia="Calibri" w:hAnsi="Arial" w:cs="Arial"/>
          <w:bCs/>
          <w:sz w:val="24"/>
          <w:szCs w:val="24"/>
          <w:highlight w:val="yellow"/>
        </w:rPr>
      </w:pPr>
      <w:r>
        <w:rPr>
          <w:rFonts w:ascii="Arial" w:eastAsia="Calibri" w:hAnsi="Arial" w:cs="Arial"/>
          <w:bCs/>
          <w:sz w:val="24"/>
          <w:szCs w:val="24"/>
        </w:rPr>
        <w:lastRenderedPageBreak/>
        <w:t xml:space="preserve">The </w:t>
      </w:r>
      <w:r w:rsidR="00C950DB" w:rsidRPr="00C950DB">
        <w:rPr>
          <w:rFonts w:ascii="Arial" w:eastAsia="Calibri" w:hAnsi="Arial" w:cs="Arial"/>
          <w:bCs/>
          <w:sz w:val="24"/>
          <w:szCs w:val="24"/>
        </w:rPr>
        <w:t>Social Work Workforce Plan (2022</w:t>
      </w:r>
      <w:r w:rsidR="00582871">
        <w:rPr>
          <w:rFonts w:ascii="Arial" w:eastAsia="Calibri" w:hAnsi="Arial" w:cs="Arial"/>
          <w:bCs/>
          <w:sz w:val="24"/>
          <w:szCs w:val="24"/>
        </w:rPr>
        <w:t xml:space="preserve"> to </w:t>
      </w:r>
      <w:r w:rsidR="00C950DB" w:rsidRPr="00C950DB">
        <w:rPr>
          <w:rFonts w:ascii="Arial" w:eastAsia="Calibri" w:hAnsi="Arial" w:cs="Arial"/>
          <w:bCs/>
          <w:sz w:val="24"/>
          <w:szCs w:val="24"/>
        </w:rPr>
        <w:t xml:space="preserve">2025) was </w:t>
      </w:r>
      <w:r w:rsidR="00362F5F">
        <w:rPr>
          <w:rFonts w:ascii="Arial" w:eastAsia="Calibri" w:hAnsi="Arial" w:cs="Arial"/>
          <w:bCs/>
          <w:sz w:val="24"/>
          <w:szCs w:val="24"/>
        </w:rPr>
        <w:t>created</w:t>
      </w:r>
      <w:r w:rsidR="00C950DB" w:rsidRPr="00C950DB">
        <w:rPr>
          <w:rFonts w:ascii="Arial" w:eastAsia="Calibri" w:hAnsi="Arial" w:cs="Arial"/>
          <w:bCs/>
          <w:sz w:val="24"/>
          <w:szCs w:val="24"/>
        </w:rPr>
        <w:t xml:space="preserve"> in response to recommendations </w:t>
      </w:r>
      <w:r w:rsidR="00362F5F">
        <w:rPr>
          <w:rFonts w:ascii="Arial" w:eastAsia="Calibri" w:hAnsi="Arial" w:cs="Arial"/>
          <w:bCs/>
          <w:sz w:val="24"/>
          <w:szCs w:val="24"/>
        </w:rPr>
        <w:t>from</w:t>
      </w:r>
      <w:r w:rsidR="00C950DB" w:rsidRPr="00C950DB">
        <w:rPr>
          <w:rFonts w:ascii="Arial" w:eastAsia="Calibri" w:hAnsi="Arial" w:cs="Arial"/>
          <w:bCs/>
          <w:sz w:val="24"/>
          <w:szCs w:val="24"/>
        </w:rPr>
        <w:t xml:space="preserve"> the Health and Social Care Workforce Strategy launched in 2020. To </w:t>
      </w:r>
      <w:r w:rsidR="00362F5F">
        <w:rPr>
          <w:rFonts w:ascii="Arial" w:eastAsia="Calibri" w:hAnsi="Arial" w:cs="Arial"/>
          <w:bCs/>
          <w:sz w:val="24"/>
          <w:szCs w:val="24"/>
        </w:rPr>
        <w:t>stay in line with</w:t>
      </w:r>
      <w:r w:rsidR="00C950DB" w:rsidRPr="00C950DB">
        <w:rPr>
          <w:rFonts w:ascii="Arial" w:eastAsia="Calibri" w:hAnsi="Arial" w:cs="Arial"/>
          <w:bCs/>
          <w:sz w:val="24"/>
          <w:szCs w:val="24"/>
        </w:rPr>
        <w:t xml:space="preserve"> national priorities, we</w:t>
      </w:r>
      <w:r w:rsidR="00362F5F">
        <w:rPr>
          <w:rFonts w:ascii="Arial" w:eastAsia="Calibri" w:hAnsi="Arial" w:cs="Arial"/>
          <w:bCs/>
          <w:sz w:val="24"/>
          <w:szCs w:val="24"/>
        </w:rPr>
        <w:t>’ll start</w:t>
      </w:r>
      <w:r w:rsidR="00C950DB" w:rsidRPr="00C950DB">
        <w:rPr>
          <w:rFonts w:ascii="Arial" w:eastAsia="Calibri" w:hAnsi="Arial" w:cs="Arial"/>
          <w:bCs/>
          <w:sz w:val="24"/>
          <w:szCs w:val="24"/>
        </w:rPr>
        <w:t xml:space="preserve"> engaging with stakeholders and the wider social work sector in </w:t>
      </w:r>
      <w:r w:rsidR="00362F5F">
        <w:rPr>
          <w:rFonts w:ascii="Arial" w:eastAsia="Calibri" w:hAnsi="Arial" w:cs="Arial"/>
          <w:bCs/>
          <w:sz w:val="24"/>
          <w:szCs w:val="24"/>
        </w:rPr>
        <w:t>a</w:t>
      </w:r>
      <w:r w:rsidR="00C950DB" w:rsidRPr="00C950DB">
        <w:rPr>
          <w:rFonts w:ascii="Arial" w:eastAsia="Calibri" w:hAnsi="Arial" w:cs="Arial"/>
          <w:bCs/>
          <w:sz w:val="24"/>
          <w:szCs w:val="24"/>
        </w:rPr>
        <w:t>utumn</w:t>
      </w:r>
      <w:r w:rsidR="00362F5F">
        <w:rPr>
          <w:rFonts w:ascii="Arial" w:eastAsia="Calibri" w:hAnsi="Arial" w:cs="Arial"/>
          <w:bCs/>
          <w:sz w:val="24"/>
          <w:szCs w:val="24"/>
        </w:rPr>
        <w:t xml:space="preserve"> or w</w:t>
      </w:r>
      <w:r w:rsidR="00C950DB" w:rsidRPr="00C950DB">
        <w:rPr>
          <w:rFonts w:ascii="Arial" w:eastAsia="Calibri" w:hAnsi="Arial" w:cs="Arial"/>
          <w:bCs/>
          <w:sz w:val="24"/>
          <w:szCs w:val="24"/>
        </w:rPr>
        <w:t xml:space="preserve">inter 2025 to </w:t>
      </w:r>
      <w:r w:rsidR="00362F5F">
        <w:rPr>
          <w:rFonts w:ascii="Arial" w:eastAsia="Calibri" w:hAnsi="Arial" w:cs="Arial"/>
          <w:bCs/>
          <w:sz w:val="24"/>
          <w:szCs w:val="24"/>
        </w:rPr>
        <w:t>help shape</w:t>
      </w:r>
      <w:r w:rsidR="00C950DB" w:rsidRPr="00C950DB">
        <w:rPr>
          <w:rFonts w:ascii="Arial" w:eastAsia="Calibri" w:hAnsi="Arial" w:cs="Arial"/>
          <w:bCs/>
          <w:sz w:val="24"/>
          <w:szCs w:val="24"/>
        </w:rPr>
        <w:t xml:space="preserve"> a refreshed Social Work Delivery Plan. </w:t>
      </w:r>
    </w:p>
    <w:p w14:paraId="5669DC00" w14:textId="77777777" w:rsidR="00E66E20" w:rsidRPr="00C92ECE" w:rsidRDefault="00E66E20" w:rsidP="00C92ECE">
      <w:pPr>
        <w:rPr>
          <w:rFonts w:ascii="Arial" w:eastAsia="Calibri" w:hAnsi="Arial" w:cs="Arial"/>
          <w:bCs/>
          <w:sz w:val="24"/>
          <w:szCs w:val="24"/>
        </w:rPr>
      </w:pPr>
    </w:p>
    <w:p w14:paraId="4170A931" w14:textId="60689AC4" w:rsidR="003C7133" w:rsidRPr="005D2C8A" w:rsidRDefault="00C950DB" w:rsidP="00C92ECE">
      <w:pPr>
        <w:spacing w:after="200" w:line="276" w:lineRule="auto"/>
        <w:contextualSpacing/>
        <w:rPr>
          <w:rFonts w:ascii="Arial" w:eastAsia="Calibri" w:hAnsi="Arial" w:cs="Arial"/>
          <w:bCs/>
          <w:sz w:val="24"/>
          <w:szCs w:val="24"/>
          <w:highlight w:val="yellow"/>
        </w:rPr>
      </w:pPr>
      <w:r w:rsidRPr="00C950DB">
        <w:rPr>
          <w:rFonts w:ascii="Arial" w:eastAsia="Calibri" w:hAnsi="Arial" w:cs="Arial"/>
          <w:bCs/>
          <w:sz w:val="24"/>
          <w:szCs w:val="24"/>
        </w:rPr>
        <w:t xml:space="preserve">This updated plan will </w:t>
      </w:r>
      <w:r w:rsidR="00362F5F">
        <w:rPr>
          <w:rFonts w:ascii="Arial" w:eastAsia="Calibri" w:hAnsi="Arial" w:cs="Arial"/>
          <w:bCs/>
          <w:sz w:val="24"/>
          <w:szCs w:val="24"/>
        </w:rPr>
        <w:t>be in line with</w:t>
      </w:r>
      <w:r w:rsidRPr="00C950DB">
        <w:rPr>
          <w:rFonts w:ascii="Arial" w:eastAsia="Calibri" w:hAnsi="Arial" w:cs="Arial"/>
          <w:bCs/>
          <w:sz w:val="24"/>
          <w:szCs w:val="24"/>
        </w:rPr>
        <w:t xml:space="preserve"> the </w:t>
      </w:r>
      <w:r w:rsidR="00E50659">
        <w:rPr>
          <w:rFonts w:ascii="Arial" w:eastAsia="Calibri" w:hAnsi="Arial" w:cs="Arial"/>
          <w:bCs/>
          <w:sz w:val="24"/>
          <w:szCs w:val="24"/>
        </w:rPr>
        <w:t>wider</w:t>
      </w:r>
      <w:r w:rsidR="00E50659" w:rsidRPr="00C950DB">
        <w:rPr>
          <w:rFonts w:ascii="Arial" w:eastAsia="Calibri" w:hAnsi="Arial" w:cs="Arial"/>
          <w:bCs/>
          <w:sz w:val="24"/>
          <w:szCs w:val="24"/>
        </w:rPr>
        <w:t xml:space="preserve"> </w:t>
      </w:r>
      <w:r w:rsidRPr="00C950DB">
        <w:rPr>
          <w:rFonts w:ascii="Arial" w:eastAsia="Calibri" w:hAnsi="Arial" w:cs="Arial"/>
          <w:bCs/>
          <w:sz w:val="24"/>
          <w:szCs w:val="24"/>
        </w:rPr>
        <w:t>Social Care Workforce Delivery Plan 2024</w:t>
      </w:r>
      <w:r w:rsidR="00E21C7A">
        <w:rPr>
          <w:rFonts w:ascii="Arial" w:eastAsia="Calibri" w:hAnsi="Arial" w:cs="Arial"/>
          <w:bCs/>
          <w:sz w:val="24"/>
          <w:szCs w:val="24"/>
        </w:rPr>
        <w:t xml:space="preserve"> to </w:t>
      </w:r>
      <w:r w:rsidRPr="00C950DB">
        <w:rPr>
          <w:rFonts w:ascii="Arial" w:eastAsia="Calibri" w:hAnsi="Arial" w:cs="Arial"/>
          <w:bCs/>
          <w:sz w:val="24"/>
          <w:szCs w:val="24"/>
        </w:rPr>
        <w:t xml:space="preserve">2027, </w:t>
      </w:r>
      <w:r w:rsidR="00C25347" w:rsidRPr="00C25347">
        <w:rPr>
          <w:rFonts w:ascii="Arial" w:eastAsia="Calibri" w:hAnsi="Arial" w:cs="Arial"/>
          <w:bCs/>
          <w:sz w:val="24"/>
          <w:szCs w:val="24"/>
        </w:rPr>
        <w:t xml:space="preserve">which </w:t>
      </w:r>
      <w:r w:rsidR="00C25347">
        <w:rPr>
          <w:rFonts w:ascii="Arial" w:eastAsia="Calibri" w:hAnsi="Arial" w:cs="Arial"/>
          <w:bCs/>
          <w:sz w:val="24"/>
          <w:szCs w:val="24"/>
        </w:rPr>
        <w:t xml:space="preserve">is the </w:t>
      </w:r>
      <w:r w:rsidR="00C25347" w:rsidRPr="00C25347">
        <w:rPr>
          <w:rFonts w:ascii="Arial" w:eastAsia="Calibri" w:hAnsi="Arial" w:cs="Arial"/>
          <w:bCs/>
          <w:sz w:val="24"/>
          <w:szCs w:val="24"/>
        </w:rPr>
        <w:t>second phase of the ten-year workforce strategy</w:t>
      </w:r>
      <w:r w:rsidR="00E50659">
        <w:rPr>
          <w:rFonts w:ascii="Arial" w:eastAsia="Calibri" w:hAnsi="Arial" w:cs="Arial"/>
          <w:bCs/>
          <w:sz w:val="24"/>
          <w:szCs w:val="24"/>
        </w:rPr>
        <w:t>. It will make sure</w:t>
      </w:r>
      <w:r w:rsidR="00C25347" w:rsidRPr="00C25347">
        <w:rPr>
          <w:rFonts w:ascii="Arial" w:eastAsia="Calibri" w:hAnsi="Arial" w:cs="Arial"/>
          <w:bCs/>
          <w:sz w:val="24"/>
          <w:szCs w:val="24"/>
        </w:rPr>
        <w:t xml:space="preserve"> a coordinated and future-focused approach to supporting the social work profession within the wider social care context.</w:t>
      </w:r>
    </w:p>
    <w:p w14:paraId="2875E56F" w14:textId="77777777" w:rsidR="000E115D" w:rsidRPr="009D2E93" w:rsidRDefault="000E115D" w:rsidP="000E115D">
      <w:pPr>
        <w:spacing w:after="200" w:line="276" w:lineRule="auto"/>
        <w:ind w:left="567"/>
        <w:contextualSpacing/>
        <w:rPr>
          <w:rFonts w:ascii="Arial" w:eastAsia="Calibri" w:hAnsi="Arial" w:cs="Arial"/>
          <w:bCs/>
          <w:sz w:val="24"/>
          <w:szCs w:val="24"/>
          <w:highlight w:val="yellow"/>
        </w:rPr>
      </w:pPr>
    </w:p>
    <w:p w14:paraId="1AB89186" w14:textId="4877B6C3" w:rsidR="00672D40" w:rsidRDefault="000E115D" w:rsidP="00896EB2">
      <w:pPr>
        <w:spacing w:after="200" w:line="276" w:lineRule="auto"/>
        <w:contextualSpacing/>
        <w:rPr>
          <w:rFonts w:ascii="Arial" w:eastAsia="Calibri" w:hAnsi="Arial" w:cs="Arial"/>
          <w:bCs/>
          <w:sz w:val="24"/>
          <w:szCs w:val="24"/>
          <w:highlight w:val="yellow"/>
        </w:rPr>
      </w:pPr>
      <w:r w:rsidRPr="00C92ECE">
        <w:rPr>
          <w:rFonts w:ascii="Arial" w:eastAsia="Calibri" w:hAnsi="Arial" w:cs="Arial"/>
          <w:bCs/>
          <w:sz w:val="24"/>
          <w:szCs w:val="24"/>
        </w:rPr>
        <w:t xml:space="preserve">SCWWDP spend on this priority stayed the second highest at </w:t>
      </w:r>
      <w:r w:rsidR="00672D40" w:rsidRPr="00C92ECE">
        <w:rPr>
          <w:rFonts w:ascii="Arial" w:eastAsia="Calibri" w:hAnsi="Arial" w:cs="Arial"/>
          <w:bCs/>
          <w:sz w:val="24"/>
          <w:szCs w:val="24"/>
        </w:rPr>
        <w:t>36.7</w:t>
      </w:r>
      <w:r w:rsidRPr="00C92ECE">
        <w:rPr>
          <w:rFonts w:ascii="Arial" w:eastAsia="Calibri" w:hAnsi="Arial" w:cs="Arial"/>
          <w:bCs/>
          <w:sz w:val="24"/>
          <w:szCs w:val="24"/>
        </w:rPr>
        <w:t xml:space="preserve"> per cent in </w:t>
      </w:r>
      <w:r w:rsidR="00672D40" w:rsidRPr="00C92ECE">
        <w:rPr>
          <w:rFonts w:ascii="Arial" w:eastAsia="Calibri" w:hAnsi="Arial" w:cs="Arial"/>
          <w:bCs/>
          <w:sz w:val="24"/>
          <w:szCs w:val="24"/>
        </w:rPr>
        <w:t xml:space="preserve">2024 </w:t>
      </w:r>
      <w:r w:rsidRPr="00C92ECE">
        <w:rPr>
          <w:rFonts w:ascii="Arial" w:eastAsia="Calibri" w:hAnsi="Arial" w:cs="Arial"/>
          <w:bCs/>
          <w:sz w:val="24"/>
          <w:szCs w:val="24"/>
        </w:rPr>
        <w:t xml:space="preserve">to </w:t>
      </w:r>
      <w:r w:rsidR="00672D40" w:rsidRPr="00C92ECE">
        <w:rPr>
          <w:rFonts w:ascii="Arial" w:eastAsia="Calibri" w:hAnsi="Arial" w:cs="Arial"/>
          <w:bCs/>
          <w:sz w:val="24"/>
          <w:szCs w:val="24"/>
        </w:rPr>
        <w:t>2025</w:t>
      </w:r>
      <w:r w:rsidRPr="00C92ECE">
        <w:rPr>
          <w:rFonts w:ascii="Arial" w:eastAsia="Calibri" w:hAnsi="Arial" w:cs="Arial"/>
          <w:bCs/>
          <w:sz w:val="24"/>
          <w:szCs w:val="24"/>
        </w:rPr>
        <w:t xml:space="preserve">. For the same period, this priority made up for </w:t>
      </w:r>
      <w:r w:rsidR="00CA2E3E" w:rsidRPr="00C92ECE">
        <w:rPr>
          <w:rFonts w:ascii="Arial" w:eastAsia="Calibri" w:hAnsi="Arial" w:cs="Arial"/>
          <w:bCs/>
          <w:sz w:val="24"/>
          <w:szCs w:val="24"/>
        </w:rPr>
        <w:t>14.2</w:t>
      </w:r>
      <w:r w:rsidRPr="00C92ECE">
        <w:rPr>
          <w:rFonts w:ascii="Arial" w:eastAsia="Calibri" w:hAnsi="Arial" w:cs="Arial"/>
          <w:bCs/>
          <w:sz w:val="24"/>
          <w:szCs w:val="24"/>
        </w:rPr>
        <w:t xml:space="preserve"> per cent of </w:t>
      </w:r>
      <w:r w:rsidR="0022454C">
        <w:rPr>
          <w:rFonts w:ascii="Arial" w:eastAsia="Calibri" w:hAnsi="Arial" w:cs="Arial"/>
          <w:bCs/>
          <w:sz w:val="24"/>
          <w:szCs w:val="24"/>
        </w:rPr>
        <w:t xml:space="preserve">reported </w:t>
      </w:r>
      <w:r w:rsidRPr="00C92ECE">
        <w:rPr>
          <w:rFonts w:ascii="Arial" w:eastAsia="Calibri" w:hAnsi="Arial" w:cs="Arial"/>
          <w:bCs/>
          <w:sz w:val="24"/>
          <w:szCs w:val="24"/>
        </w:rPr>
        <w:t xml:space="preserve">additional local authority funding on national priorities. </w:t>
      </w:r>
    </w:p>
    <w:p w14:paraId="29187CA3" w14:textId="77777777" w:rsidR="00672D40" w:rsidRDefault="00672D40" w:rsidP="00896EB2">
      <w:pPr>
        <w:spacing w:after="200" w:line="276" w:lineRule="auto"/>
        <w:contextualSpacing/>
        <w:rPr>
          <w:rFonts w:ascii="Arial" w:eastAsia="Calibri" w:hAnsi="Arial" w:cs="Arial"/>
          <w:bCs/>
          <w:sz w:val="24"/>
          <w:szCs w:val="24"/>
          <w:highlight w:val="yellow"/>
        </w:rPr>
      </w:pPr>
    </w:p>
    <w:p w14:paraId="39FBDF26" w14:textId="77777777" w:rsidR="0065600D" w:rsidRDefault="0065600D" w:rsidP="0065600D">
      <w:pPr>
        <w:spacing w:after="0" w:line="240" w:lineRule="auto"/>
        <w:rPr>
          <w:rFonts w:ascii="Arial" w:eastAsia="Calibri" w:hAnsi="Arial" w:cs="Arial"/>
          <w:sz w:val="24"/>
          <w:szCs w:val="24"/>
        </w:rPr>
      </w:pPr>
      <w:r>
        <w:rPr>
          <w:rFonts w:ascii="Arial" w:eastAsia="Calibri" w:hAnsi="Arial" w:cs="Arial"/>
          <w:sz w:val="24"/>
          <w:szCs w:val="24"/>
        </w:rPr>
        <w:t>Common themes across the regions for this national priority in 2024 to 2025 were:</w:t>
      </w:r>
    </w:p>
    <w:p w14:paraId="7AD865F5" w14:textId="77777777" w:rsidR="00474708" w:rsidRDefault="00474708" w:rsidP="005B4CD8">
      <w:pPr>
        <w:spacing w:after="0" w:line="240" w:lineRule="auto"/>
        <w:rPr>
          <w:rFonts w:ascii="Arial" w:eastAsia="Calibri" w:hAnsi="Arial" w:cs="Arial"/>
          <w:b/>
          <w:bCs/>
          <w:sz w:val="24"/>
          <w:szCs w:val="24"/>
          <w:shd w:val="clear" w:color="auto" w:fill="FFFFFF"/>
        </w:rPr>
      </w:pPr>
    </w:p>
    <w:p w14:paraId="0766B42C" w14:textId="52FA2150" w:rsidR="005B4CD8" w:rsidRPr="00BB471B" w:rsidRDefault="00E50659" w:rsidP="005B4CD8">
      <w:pPr>
        <w:spacing w:after="0" w:line="240" w:lineRule="auto"/>
        <w:rPr>
          <w:rFonts w:ascii="Arial" w:eastAsia="Calibri" w:hAnsi="Arial" w:cs="Arial"/>
          <w:b/>
          <w:bCs/>
          <w:sz w:val="24"/>
          <w:szCs w:val="24"/>
          <w:shd w:val="clear" w:color="auto" w:fill="FFFFFF"/>
        </w:rPr>
      </w:pPr>
      <w:r w:rsidRPr="00BB471B">
        <w:rPr>
          <w:rFonts w:ascii="Arial" w:eastAsia="Calibri" w:hAnsi="Arial" w:cs="Arial"/>
          <w:b/>
          <w:bCs/>
          <w:sz w:val="24"/>
          <w:szCs w:val="24"/>
          <w:shd w:val="clear" w:color="auto" w:fill="FFFFFF"/>
        </w:rPr>
        <w:t>‘</w:t>
      </w:r>
      <w:r w:rsidR="005B4CD8" w:rsidRPr="00BB471B">
        <w:rPr>
          <w:rFonts w:ascii="Arial" w:eastAsia="Calibri" w:hAnsi="Arial" w:cs="Arial"/>
          <w:b/>
          <w:bCs/>
          <w:sz w:val="24"/>
          <w:szCs w:val="24"/>
          <w:shd w:val="clear" w:color="auto" w:fill="FFFFFF"/>
        </w:rPr>
        <w:t xml:space="preserve">Grow </w:t>
      </w:r>
      <w:r w:rsidRPr="00BB471B">
        <w:rPr>
          <w:rFonts w:ascii="Arial" w:eastAsia="Calibri" w:hAnsi="Arial" w:cs="Arial"/>
          <w:b/>
          <w:bCs/>
          <w:sz w:val="24"/>
          <w:szCs w:val="24"/>
          <w:shd w:val="clear" w:color="auto" w:fill="FFFFFF"/>
        </w:rPr>
        <w:t>o</w:t>
      </w:r>
      <w:r w:rsidR="005B4CD8" w:rsidRPr="00BB471B">
        <w:rPr>
          <w:rFonts w:ascii="Arial" w:eastAsia="Calibri" w:hAnsi="Arial" w:cs="Arial"/>
          <w:b/>
          <w:bCs/>
          <w:sz w:val="24"/>
          <w:szCs w:val="24"/>
          <w:shd w:val="clear" w:color="auto" w:fill="FFFFFF"/>
        </w:rPr>
        <w:t xml:space="preserve">ur </w:t>
      </w:r>
      <w:r w:rsidRPr="00BB471B">
        <w:rPr>
          <w:rFonts w:ascii="Arial" w:eastAsia="Calibri" w:hAnsi="Arial" w:cs="Arial"/>
          <w:b/>
          <w:bCs/>
          <w:sz w:val="24"/>
          <w:szCs w:val="24"/>
          <w:shd w:val="clear" w:color="auto" w:fill="FFFFFF"/>
        </w:rPr>
        <w:t>o</w:t>
      </w:r>
      <w:r w:rsidR="005B4CD8" w:rsidRPr="00BB471B">
        <w:rPr>
          <w:rFonts w:ascii="Arial" w:eastAsia="Calibri" w:hAnsi="Arial" w:cs="Arial"/>
          <w:b/>
          <w:bCs/>
          <w:sz w:val="24"/>
          <w:szCs w:val="24"/>
          <w:shd w:val="clear" w:color="auto" w:fill="FFFFFF"/>
        </w:rPr>
        <w:t>wn</w:t>
      </w:r>
      <w:r w:rsidRPr="00BB471B">
        <w:rPr>
          <w:rFonts w:ascii="Arial" w:eastAsia="Calibri" w:hAnsi="Arial" w:cs="Arial"/>
          <w:b/>
          <w:bCs/>
          <w:sz w:val="24"/>
          <w:szCs w:val="24"/>
          <w:shd w:val="clear" w:color="auto" w:fill="FFFFFF"/>
        </w:rPr>
        <w:t>’</w:t>
      </w:r>
      <w:r w:rsidR="005B4CD8" w:rsidRPr="00BB471B">
        <w:rPr>
          <w:rFonts w:ascii="Arial" w:eastAsia="Calibri" w:hAnsi="Arial" w:cs="Arial"/>
          <w:b/>
          <w:bCs/>
          <w:sz w:val="24"/>
          <w:szCs w:val="24"/>
          <w:shd w:val="clear" w:color="auto" w:fill="FFFFFF"/>
        </w:rPr>
        <w:t xml:space="preserve"> </w:t>
      </w:r>
      <w:r w:rsidRPr="00BB471B">
        <w:rPr>
          <w:rFonts w:ascii="Arial" w:eastAsia="Calibri" w:hAnsi="Arial" w:cs="Arial"/>
          <w:b/>
          <w:bCs/>
          <w:sz w:val="24"/>
          <w:szCs w:val="24"/>
          <w:shd w:val="clear" w:color="auto" w:fill="FFFFFF"/>
        </w:rPr>
        <w:t>w</w:t>
      </w:r>
      <w:r w:rsidR="005B4CD8" w:rsidRPr="00BB471B">
        <w:rPr>
          <w:rFonts w:ascii="Arial" w:eastAsia="Calibri" w:hAnsi="Arial" w:cs="Arial"/>
          <w:b/>
          <w:bCs/>
          <w:sz w:val="24"/>
          <w:szCs w:val="24"/>
          <w:shd w:val="clear" w:color="auto" w:fill="FFFFFF"/>
        </w:rPr>
        <w:t xml:space="preserve">orkforce </w:t>
      </w:r>
      <w:r w:rsidRPr="00BB471B">
        <w:rPr>
          <w:rFonts w:ascii="Arial" w:eastAsia="Calibri" w:hAnsi="Arial" w:cs="Arial"/>
          <w:b/>
          <w:bCs/>
          <w:sz w:val="24"/>
          <w:szCs w:val="24"/>
          <w:shd w:val="clear" w:color="auto" w:fill="FFFFFF"/>
        </w:rPr>
        <w:t>s</w:t>
      </w:r>
      <w:r w:rsidR="005B4CD8" w:rsidRPr="00BB471B">
        <w:rPr>
          <w:rFonts w:ascii="Arial" w:eastAsia="Calibri" w:hAnsi="Arial" w:cs="Arial"/>
          <w:b/>
          <w:bCs/>
          <w:sz w:val="24"/>
          <w:szCs w:val="24"/>
          <w:shd w:val="clear" w:color="auto" w:fill="FFFFFF"/>
        </w:rPr>
        <w:t>trategies</w:t>
      </w:r>
    </w:p>
    <w:p w14:paraId="45B42EC5" w14:textId="77777777" w:rsidR="008277AE" w:rsidRPr="005B4CD8" w:rsidRDefault="008277AE" w:rsidP="005B4CD8">
      <w:pPr>
        <w:spacing w:after="0" w:line="240" w:lineRule="auto"/>
        <w:rPr>
          <w:rFonts w:ascii="Arial" w:eastAsia="Calibri" w:hAnsi="Arial" w:cs="Arial"/>
          <w:b/>
          <w:bCs/>
          <w:sz w:val="24"/>
          <w:szCs w:val="24"/>
          <w:shd w:val="clear" w:color="auto" w:fill="FFFFFF"/>
        </w:rPr>
      </w:pPr>
    </w:p>
    <w:p w14:paraId="2CF4204D" w14:textId="5056F994" w:rsidR="0035739D" w:rsidRDefault="005B4CD8" w:rsidP="0035739D">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 xml:space="preserve">All regions </w:t>
      </w:r>
      <w:r w:rsidR="00B461FA" w:rsidRPr="00D362B0">
        <w:rPr>
          <w:rFonts w:ascii="Arial" w:eastAsia="Calibri" w:hAnsi="Arial" w:cs="Arial"/>
          <w:sz w:val="24"/>
          <w:szCs w:val="24"/>
        </w:rPr>
        <w:t xml:space="preserve">continue to invest </w:t>
      </w:r>
      <w:r w:rsidRPr="00C92ECE">
        <w:rPr>
          <w:rFonts w:ascii="Arial" w:eastAsia="Calibri" w:hAnsi="Arial" w:cs="Arial"/>
          <w:sz w:val="24"/>
          <w:szCs w:val="24"/>
        </w:rPr>
        <w:t xml:space="preserve">in internal sponsorship, secondments, and trainee schemes to </w:t>
      </w:r>
      <w:r w:rsidR="002774DC">
        <w:rPr>
          <w:rFonts w:ascii="Arial" w:eastAsia="Calibri" w:hAnsi="Arial" w:cs="Arial"/>
          <w:sz w:val="24"/>
          <w:szCs w:val="24"/>
        </w:rPr>
        <w:t>help</w:t>
      </w:r>
      <w:r w:rsidR="002774DC" w:rsidRPr="00C92ECE">
        <w:rPr>
          <w:rFonts w:ascii="Arial" w:eastAsia="Calibri" w:hAnsi="Arial" w:cs="Arial"/>
          <w:sz w:val="24"/>
          <w:szCs w:val="24"/>
        </w:rPr>
        <w:t xml:space="preserve"> </w:t>
      </w:r>
      <w:r w:rsidRPr="00C92ECE">
        <w:rPr>
          <w:rFonts w:ascii="Arial" w:eastAsia="Calibri" w:hAnsi="Arial" w:cs="Arial"/>
          <w:sz w:val="24"/>
          <w:szCs w:val="24"/>
        </w:rPr>
        <w:t>existing staff qualif</w:t>
      </w:r>
      <w:r w:rsidR="002774DC">
        <w:rPr>
          <w:rFonts w:ascii="Arial" w:eastAsia="Calibri" w:hAnsi="Arial" w:cs="Arial"/>
          <w:sz w:val="24"/>
          <w:szCs w:val="24"/>
        </w:rPr>
        <w:t xml:space="preserve">y as </w:t>
      </w:r>
      <w:r w:rsidRPr="00C92ECE">
        <w:rPr>
          <w:rFonts w:ascii="Arial" w:eastAsia="Calibri" w:hAnsi="Arial" w:cs="Arial"/>
          <w:sz w:val="24"/>
          <w:szCs w:val="24"/>
        </w:rPr>
        <w:t>social workers</w:t>
      </w:r>
      <w:r w:rsidR="002774DC">
        <w:rPr>
          <w:rFonts w:ascii="Arial" w:eastAsia="Calibri" w:hAnsi="Arial" w:cs="Arial"/>
          <w:sz w:val="24"/>
          <w:szCs w:val="24"/>
        </w:rPr>
        <w:t>.</w:t>
      </w:r>
      <w:r w:rsidR="002774DC">
        <w:rPr>
          <w:rFonts w:ascii="Arial" w:eastAsia="Calibri" w:hAnsi="Arial" w:cs="Arial"/>
          <w:sz w:val="24"/>
          <w:szCs w:val="24"/>
          <w:shd w:val="clear" w:color="auto" w:fill="FFFFFF"/>
        </w:rPr>
        <w:t xml:space="preserve">  R</w:t>
      </w:r>
      <w:r w:rsidR="003D15A7" w:rsidRPr="00D362B0">
        <w:rPr>
          <w:rFonts w:ascii="Arial" w:eastAsia="Calibri" w:hAnsi="Arial" w:cs="Arial"/>
          <w:sz w:val="24"/>
          <w:szCs w:val="24"/>
          <w:shd w:val="clear" w:color="auto" w:fill="FFFFFF"/>
        </w:rPr>
        <w:t>etention rates for sponsored and supported staff</w:t>
      </w:r>
      <w:r w:rsidR="002774DC">
        <w:rPr>
          <w:rFonts w:ascii="Arial" w:eastAsia="Calibri" w:hAnsi="Arial" w:cs="Arial"/>
          <w:sz w:val="24"/>
          <w:szCs w:val="24"/>
          <w:shd w:val="clear" w:color="auto" w:fill="FFFFFF"/>
        </w:rPr>
        <w:t xml:space="preserve"> remain high</w:t>
      </w:r>
      <w:r w:rsidRPr="00C92ECE">
        <w:rPr>
          <w:rFonts w:ascii="Arial" w:eastAsia="Calibri" w:hAnsi="Arial" w:cs="Arial"/>
          <w:sz w:val="24"/>
          <w:szCs w:val="24"/>
        </w:rPr>
        <w:t>.</w:t>
      </w:r>
    </w:p>
    <w:p w14:paraId="31CAC1EE" w14:textId="77777777" w:rsidR="000D63DC" w:rsidRPr="00D362B0" w:rsidRDefault="000D63DC" w:rsidP="00C92ECE">
      <w:pPr>
        <w:spacing w:after="0" w:line="276" w:lineRule="auto"/>
        <w:ind w:left="567"/>
        <w:contextualSpacing/>
        <w:rPr>
          <w:rFonts w:ascii="Arial" w:eastAsia="Calibri" w:hAnsi="Arial" w:cs="Arial"/>
          <w:sz w:val="24"/>
          <w:szCs w:val="24"/>
        </w:rPr>
      </w:pPr>
    </w:p>
    <w:p w14:paraId="3CB5F472" w14:textId="6A9C2E2E" w:rsidR="005B4CD8" w:rsidRPr="00D362B0" w:rsidRDefault="005B4CD8" w:rsidP="0035739D">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There’s a strong emphasis on widening access, supporting non-traditional entrants, and retaining talent within local authorities</w:t>
      </w:r>
      <w:r w:rsidR="003D15A7" w:rsidRPr="00D362B0">
        <w:rPr>
          <w:rFonts w:ascii="Arial" w:eastAsia="Calibri" w:hAnsi="Arial" w:cs="Arial"/>
          <w:sz w:val="24"/>
          <w:szCs w:val="24"/>
        </w:rPr>
        <w:t xml:space="preserve"> </w:t>
      </w:r>
    </w:p>
    <w:p w14:paraId="265EE2BD" w14:textId="77777777" w:rsidR="005727C6" w:rsidRPr="00D362B0" w:rsidRDefault="005727C6" w:rsidP="00C92ECE">
      <w:pPr>
        <w:spacing w:after="0" w:line="276" w:lineRule="auto"/>
        <w:ind w:left="567"/>
        <w:contextualSpacing/>
        <w:rPr>
          <w:rFonts w:ascii="Arial" w:eastAsia="Calibri" w:hAnsi="Arial" w:cs="Arial"/>
          <w:sz w:val="24"/>
          <w:szCs w:val="24"/>
        </w:rPr>
      </w:pPr>
    </w:p>
    <w:p w14:paraId="0A99126F" w14:textId="3BB29039" w:rsidR="00580AF4" w:rsidRPr="00C92ECE" w:rsidRDefault="009E2DA1" w:rsidP="00507D5B">
      <w:pPr>
        <w:numPr>
          <w:ilvl w:val="0"/>
          <w:numId w:val="6"/>
        </w:numPr>
        <w:spacing w:after="0" w:line="240" w:lineRule="auto"/>
        <w:ind w:left="567" w:hanging="425"/>
        <w:contextualSpacing/>
        <w:rPr>
          <w:rFonts w:ascii="Arial" w:eastAsia="Calibri" w:hAnsi="Arial" w:cs="Arial"/>
          <w:sz w:val="24"/>
          <w:szCs w:val="24"/>
          <w:shd w:val="clear" w:color="auto" w:fill="FFFFFF"/>
        </w:rPr>
      </w:pPr>
      <w:r w:rsidRPr="00C92ECE">
        <w:rPr>
          <w:rFonts w:ascii="Arial" w:eastAsia="Calibri" w:hAnsi="Arial" w:cs="Arial"/>
          <w:bCs/>
          <w:sz w:val="24"/>
          <w:szCs w:val="24"/>
        </w:rPr>
        <w:t xml:space="preserve">The Open University (OU) route </w:t>
      </w:r>
      <w:r w:rsidR="002774DC">
        <w:rPr>
          <w:rFonts w:ascii="Arial" w:eastAsia="Calibri" w:hAnsi="Arial" w:cs="Arial"/>
          <w:bCs/>
          <w:sz w:val="24"/>
          <w:szCs w:val="24"/>
        </w:rPr>
        <w:t>is still</w:t>
      </w:r>
      <w:r w:rsidRPr="00C92ECE">
        <w:rPr>
          <w:rFonts w:ascii="Arial" w:eastAsia="Calibri" w:hAnsi="Arial" w:cs="Arial"/>
          <w:bCs/>
          <w:sz w:val="24"/>
          <w:szCs w:val="24"/>
        </w:rPr>
        <w:t xml:space="preserve"> the most popular route for internal sponsorship</w:t>
      </w:r>
      <w:r w:rsidR="001D36BD" w:rsidRPr="00C92ECE">
        <w:rPr>
          <w:rFonts w:ascii="Arial" w:eastAsia="Calibri" w:hAnsi="Arial" w:cs="Arial"/>
          <w:bCs/>
          <w:sz w:val="24"/>
          <w:szCs w:val="24"/>
        </w:rPr>
        <w:t xml:space="preserve"> due to cost and flexibility. </w:t>
      </w:r>
    </w:p>
    <w:p w14:paraId="4AE576B8" w14:textId="77777777" w:rsidR="007B1C5F" w:rsidRDefault="007B1C5F" w:rsidP="00C92ECE">
      <w:pPr>
        <w:pStyle w:val="ListParagraph"/>
        <w:rPr>
          <w:rFonts w:ascii="Arial" w:eastAsia="Calibri" w:hAnsi="Arial" w:cs="Arial"/>
          <w:sz w:val="24"/>
          <w:szCs w:val="24"/>
          <w:shd w:val="clear" w:color="auto" w:fill="FFFFFF"/>
        </w:rPr>
      </w:pPr>
    </w:p>
    <w:p w14:paraId="656ADDB8" w14:textId="7E244BD1" w:rsidR="00FA09D5" w:rsidRPr="00FA09D5" w:rsidRDefault="00FA09D5" w:rsidP="00C92ECE">
      <w:pPr>
        <w:numPr>
          <w:ilvl w:val="0"/>
          <w:numId w:val="6"/>
        </w:numPr>
        <w:spacing w:after="200" w:line="276" w:lineRule="auto"/>
        <w:ind w:left="567" w:hanging="425"/>
        <w:contextualSpacing/>
        <w:rPr>
          <w:rFonts w:ascii="Arial" w:eastAsia="Calibri" w:hAnsi="Arial" w:cs="Arial"/>
          <w:sz w:val="24"/>
          <w:szCs w:val="24"/>
          <w:lang w:eastAsia="en-GB"/>
        </w:rPr>
      </w:pPr>
      <w:r w:rsidRPr="00FA09D5">
        <w:rPr>
          <w:rFonts w:ascii="Arial" w:eastAsia="Calibri" w:hAnsi="Arial" w:cs="Arial"/>
          <w:sz w:val="24"/>
          <w:szCs w:val="24"/>
          <w:lang w:eastAsia="en-GB"/>
        </w:rPr>
        <w:t>The continued focus on “</w:t>
      </w:r>
      <w:r w:rsidR="002774DC">
        <w:rPr>
          <w:rFonts w:ascii="Arial" w:eastAsia="Calibri" w:hAnsi="Arial" w:cs="Arial"/>
          <w:sz w:val="24"/>
          <w:szCs w:val="24"/>
          <w:lang w:eastAsia="en-GB"/>
        </w:rPr>
        <w:t>g</w:t>
      </w:r>
      <w:r w:rsidRPr="00FA09D5">
        <w:rPr>
          <w:rFonts w:ascii="Arial" w:eastAsia="Calibri" w:hAnsi="Arial" w:cs="Arial"/>
          <w:sz w:val="24"/>
          <w:szCs w:val="24"/>
          <w:lang w:eastAsia="en-GB"/>
        </w:rPr>
        <w:t xml:space="preserve">row our own” models is having a positive impact, </w:t>
      </w:r>
      <w:r w:rsidR="002774DC">
        <w:rPr>
          <w:rFonts w:ascii="Arial" w:eastAsia="Calibri" w:hAnsi="Arial" w:cs="Arial"/>
          <w:sz w:val="24"/>
          <w:szCs w:val="24"/>
          <w:lang w:eastAsia="en-GB"/>
        </w:rPr>
        <w:t>showing a steady rise</w:t>
      </w:r>
      <w:r w:rsidRPr="00FA09D5">
        <w:rPr>
          <w:rFonts w:ascii="Arial" w:eastAsia="Calibri" w:hAnsi="Arial" w:cs="Arial"/>
          <w:sz w:val="24"/>
          <w:szCs w:val="24"/>
          <w:lang w:eastAsia="en-GB"/>
        </w:rPr>
        <w:t xml:space="preserve"> in the number of sponsored social work students undertaking qualifying programmes over the past three years.</w:t>
      </w:r>
      <w:r>
        <w:rPr>
          <w:rFonts w:ascii="Arial" w:eastAsia="Calibri" w:hAnsi="Arial" w:cs="Arial"/>
          <w:sz w:val="24"/>
          <w:szCs w:val="24"/>
          <w:lang w:eastAsia="en-GB"/>
        </w:rPr>
        <w:t xml:space="preserve"> </w:t>
      </w:r>
      <w:r w:rsidRPr="00FA09D5">
        <w:rPr>
          <w:rFonts w:ascii="Arial" w:eastAsia="Calibri" w:hAnsi="Arial" w:cs="Arial"/>
          <w:sz w:val="24"/>
          <w:szCs w:val="24"/>
          <w:lang w:eastAsia="en-GB"/>
        </w:rPr>
        <w:t>In 2024</w:t>
      </w:r>
      <w:r>
        <w:rPr>
          <w:rFonts w:ascii="Arial" w:eastAsia="Calibri" w:hAnsi="Arial" w:cs="Arial"/>
          <w:sz w:val="24"/>
          <w:szCs w:val="24"/>
          <w:lang w:eastAsia="en-GB"/>
        </w:rPr>
        <w:t xml:space="preserve"> to </w:t>
      </w:r>
      <w:r w:rsidRPr="00FA09D5">
        <w:rPr>
          <w:rFonts w:ascii="Arial" w:eastAsia="Calibri" w:hAnsi="Arial" w:cs="Arial"/>
          <w:sz w:val="24"/>
          <w:szCs w:val="24"/>
          <w:lang w:eastAsia="en-GB"/>
        </w:rPr>
        <w:t>2025, there was a 36.6 per cent increase in sponsored students, following a 34.1 per cent increase in 2023</w:t>
      </w:r>
      <w:r>
        <w:rPr>
          <w:rFonts w:ascii="Arial" w:eastAsia="Calibri" w:hAnsi="Arial" w:cs="Arial"/>
          <w:sz w:val="24"/>
          <w:szCs w:val="24"/>
          <w:lang w:eastAsia="en-GB"/>
        </w:rPr>
        <w:t xml:space="preserve"> to </w:t>
      </w:r>
      <w:r w:rsidRPr="00FA09D5">
        <w:rPr>
          <w:rFonts w:ascii="Arial" w:eastAsia="Calibri" w:hAnsi="Arial" w:cs="Arial"/>
          <w:sz w:val="24"/>
          <w:szCs w:val="24"/>
          <w:lang w:eastAsia="en-GB"/>
        </w:rPr>
        <w:t>2024, and a 27.5 per cent increase in 2022</w:t>
      </w:r>
      <w:r>
        <w:rPr>
          <w:rFonts w:ascii="Arial" w:eastAsia="Calibri" w:hAnsi="Arial" w:cs="Arial"/>
          <w:sz w:val="24"/>
          <w:szCs w:val="24"/>
          <w:lang w:eastAsia="en-GB"/>
        </w:rPr>
        <w:t xml:space="preserve"> to </w:t>
      </w:r>
      <w:r w:rsidRPr="00FA09D5">
        <w:rPr>
          <w:rFonts w:ascii="Arial" w:eastAsia="Calibri" w:hAnsi="Arial" w:cs="Arial"/>
          <w:sz w:val="24"/>
          <w:szCs w:val="24"/>
          <w:lang w:eastAsia="en-GB"/>
        </w:rPr>
        <w:t>2023. This trend</w:t>
      </w:r>
      <w:r w:rsidR="00A55358">
        <w:rPr>
          <w:rFonts w:ascii="Arial" w:eastAsia="Calibri" w:hAnsi="Arial" w:cs="Arial"/>
          <w:sz w:val="24"/>
          <w:szCs w:val="24"/>
          <w:lang w:eastAsia="en-GB"/>
        </w:rPr>
        <w:t xml:space="preserve"> </w:t>
      </w:r>
      <w:r w:rsidR="00093DB7">
        <w:rPr>
          <w:rFonts w:ascii="Arial" w:eastAsia="Calibri" w:hAnsi="Arial" w:cs="Arial"/>
          <w:sz w:val="24"/>
          <w:szCs w:val="24"/>
          <w:lang w:eastAsia="en-GB"/>
        </w:rPr>
        <w:t xml:space="preserve">shows </w:t>
      </w:r>
      <w:r w:rsidR="00093DB7" w:rsidRPr="00FA09D5">
        <w:rPr>
          <w:rFonts w:ascii="Arial" w:eastAsia="Calibri" w:hAnsi="Arial" w:cs="Arial"/>
          <w:sz w:val="24"/>
          <w:szCs w:val="24"/>
          <w:lang w:eastAsia="en-GB"/>
        </w:rPr>
        <w:t>the</w:t>
      </w:r>
      <w:r w:rsidRPr="00FA09D5">
        <w:rPr>
          <w:rFonts w:ascii="Arial" w:eastAsia="Calibri" w:hAnsi="Arial" w:cs="Arial"/>
          <w:sz w:val="24"/>
          <w:szCs w:val="24"/>
          <w:lang w:eastAsia="en-GB"/>
        </w:rPr>
        <w:t xml:space="preserve"> effectiveness of local investment in developing the social work workforce and the value of supporting individuals to train and qualify within thei</w:t>
      </w:r>
      <w:r w:rsidR="00B36E1E">
        <w:rPr>
          <w:rFonts w:ascii="Arial" w:eastAsia="Calibri" w:hAnsi="Arial" w:cs="Arial"/>
          <w:sz w:val="24"/>
          <w:szCs w:val="24"/>
          <w:lang w:eastAsia="en-GB"/>
        </w:rPr>
        <w:t xml:space="preserve">r </w:t>
      </w:r>
      <w:r w:rsidRPr="00FA09D5">
        <w:rPr>
          <w:rFonts w:ascii="Arial" w:eastAsia="Calibri" w:hAnsi="Arial" w:cs="Arial"/>
          <w:sz w:val="24"/>
          <w:szCs w:val="24"/>
          <w:lang w:eastAsia="en-GB"/>
        </w:rPr>
        <w:t>communities.</w:t>
      </w:r>
    </w:p>
    <w:p w14:paraId="5523F001" w14:textId="77777777" w:rsidR="00466D1E" w:rsidRPr="00C92ECE" w:rsidRDefault="00466D1E" w:rsidP="00C92ECE">
      <w:pPr>
        <w:rPr>
          <w:rFonts w:ascii="Arial" w:eastAsia="Calibri" w:hAnsi="Arial" w:cs="Arial"/>
          <w:sz w:val="24"/>
          <w:szCs w:val="24"/>
          <w:shd w:val="clear" w:color="auto" w:fill="FFFFFF"/>
        </w:rPr>
      </w:pPr>
    </w:p>
    <w:p w14:paraId="5BC1C5CD" w14:textId="49F7FA17" w:rsidR="007B1C5F" w:rsidRDefault="007B1C5F" w:rsidP="007B1C5F">
      <w:pPr>
        <w:numPr>
          <w:ilvl w:val="0"/>
          <w:numId w:val="6"/>
        </w:numPr>
        <w:spacing w:after="20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 xml:space="preserve">In </w:t>
      </w:r>
      <w:r w:rsidR="00944683" w:rsidRPr="00C92ECE">
        <w:rPr>
          <w:rFonts w:ascii="Arial" w:eastAsia="Calibri" w:hAnsi="Arial" w:cs="Arial"/>
          <w:bCs/>
          <w:sz w:val="24"/>
          <w:szCs w:val="24"/>
        </w:rPr>
        <w:t xml:space="preserve">2024 </w:t>
      </w:r>
      <w:r w:rsidRPr="00C92ECE">
        <w:rPr>
          <w:rFonts w:ascii="Arial" w:eastAsia="Calibri" w:hAnsi="Arial" w:cs="Arial"/>
          <w:bCs/>
          <w:sz w:val="24"/>
          <w:szCs w:val="24"/>
        </w:rPr>
        <w:t>to 202</w:t>
      </w:r>
      <w:r w:rsidR="00944683" w:rsidRPr="00C92ECE">
        <w:rPr>
          <w:rFonts w:ascii="Arial" w:eastAsia="Calibri" w:hAnsi="Arial" w:cs="Arial"/>
          <w:bCs/>
          <w:sz w:val="24"/>
          <w:szCs w:val="24"/>
        </w:rPr>
        <w:t>5</w:t>
      </w:r>
      <w:r w:rsidRPr="00C92ECE">
        <w:rPr>
          <w:rFonts w:ascii="Arial" w:eastAsia="Calibri" w:hAnsi="Arial" w:cs="Arial"/>
          <w:bCs/>
          <w:sz w:val="24"/>
          <w:szCs w:val="24"/>
        </w:rPr>
        <w:t xml:space="preserve">, </w:t>
      </w:r>
      <w:r w:rsidR="00500F6B" w:rsidRPr="00C92ECE">
        <w:rPr>
          <w:rFonts w:ascii="Arial" w:eastAsia="Calibri" w:hAnsi="Arial" w:cs="Arial"/>
          <w:bCs/>
          <w:sz w:val="24"/>
          <w:szCs w:val="24"/>
        </w:rPr>
        <w:t>39.7</w:t>
      </w:r>
      <w:r w:rsidRPr="00C92ECE">
        <w:rPr>
          <w:rFonts w:ascii="Arial" w:eastAsia="Calibri" w:hAnsi="Arial" w:cs="Arial"/>
          <w:bCs/>
          <w:sz w:val="24"/>
          <w:szCs w:val="24"/>
        </w:rPr>
        <w:t xml:space="preserve"> per cent of the regional facilitation grant was</w:t>
      </w:r>
      <w:r w:rsidRPr="00C92ECE" w:rsidDel="001B2154">
        <w:rPr>
          <w:rFonts w:ascii="Arial" w:eastAsia="Calibri" w:hAnsi="Arial" w:cs="Arial"/>
          <w:bCs/>
          <w:sz w:val="24"/>
          <w:szCs w:val="24"/>
        </w:rPr>
        <w:t xml:space="preserve"> </w:t>
      </w:r>
      <w:r w:rsidRPr="00C92ECE">
        <w:rPr>
          <w:rFonts w:ascii="Arial" w:eastAsia="Calibri" w:hAnsi="Arial" w:cs="Arial"/>
          <w:bCs/>
          <w:sz w:val="24"/>
          <w:szCs w:val="24"/>
        </w:rPr>
        <w:t>given to social work degree sponsor programmes.</w:t>
      </w:r>
    </w:p>
    <w:p w14:paraId="4DC3DBCA" w14:textId="77777777" w:rsidR="000F603F" w:rsidRDefault="000F603F" w:rsidP="00C92ECE">
      <w:pPr>
        <w:spacing w:after="200" w:line="276" w:lineRule="auto"/>
        <w:contextualSpacing/>
        <w:rPr>
          <w:rFonts w:ascii="Arial" w:eastAsia="Calibri" w:hAnsi="Arial" w:cs="Arial"/>
          <w:bCs/>
          <w:sz w:val="24"/>
          <w:szCs w:val="24"/>
        </w:rPr>
      </w:pPr>
    </w:p>
    <w:p w14:paraId="3B217FB4" w14:textId="77777777" w:rsidR="00867152" w:rsidRPr="00C92ECE" w:rsidRDefault="00867152" w:rsidP="00C92ECE">
      <w:pPr>
        <w:spacing w:after="200" w:line="276" w:lineRule="auto"/>
        <w:contextualSpacing/>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2B74F7" w:rsidRPr="002B74F7" w14:paraId="5C18207C" w14:textId="77777777" w:rsidTr="00C92ECE">
        <w:trPr>
          <w:jc w:val="center"/>
        </w:trPr>
        <w:tc>
          <w:tcPr>
            <w:tcW w:w="9016" w:type="dxa"/>
          </w:tcPr>
          <w:p w14:paraId="752308DE" w14:textId="49A90887" w:rsidR="002B74F7" w:rsidRPr="002B74F7" w:rsidRDefault="002B74F7" w:rsidP="0019368B">
            <w:pPr>
              <w:rPr>
                <w:highlight w:val="yellow"/>
              </w:rPr>
            </w:pPr>
            <w:r w:rsidRPr="00C92ECE">
              <w:rPr>
                <w:rFonts w:ascii="Arial" w:eastAsia="Calibri" w:hAnsi="Arial" w:cs="Arial"/>
                <w:sz w:val="24"/>
                <w:szCs w:val="24"/>
              </w:rPr>
              <w:lastRenderedPageBreak/>
              <w:t xml:space="preserve">Regionally, substantial investment continues to support the </w:t>
            </w:r>
            <w:r w:rsidR="00290E6E">
              <w:rPr>
                <w:rFonts w:ascii="Arial" w:eastAsia="Calibri" w:hAnsi="Arial" w:cs="Arial"/>
                <w:sz w:val="24"/>
                <w:szCs w:val="24"/>
              </w:rPr>
              <w:t>g</w:t>
            </w:r>
            <w:r w:rsidRPr="00C92ECE">
              <w:rPr>
                <w:rFonts w:ascii="Arial" w:eastAsia="Calibri" w:hAnsi="Arial" w:cs="Arial"/>
                <w:sz w:val="24"/>
                <w:szCs w:val="24"/>
              </w:rPr>
              <w:t xml:space="preserve">row </w:t>
            </w:r>
            <w:r w:rsidR="00290E6E">
              <w:rPr>
                <w:rFonts w:ascii="Arial" w:eastAsia="Calibri" w:hAnsi="Arial" w:cs="Arial"/>
                <w:sz w:val="24"/>
                <w:szCs w:val="24"/>
              </w:rPr>
              <w:t>o</w:t>
            </w:r>
            <w:r w:rsidRPr="00C92ECE">
              <w:rPr>
                <w:rFonts w:ascii="Arial" w:eastAsia="Calibri" w:hAnsi="Arial" w:cs="Arial"/>
                <w:sz w:val="24"/>
                <w:szCs w:val="24"/>
              </w:rPr>
              <w:t xml:space="preserve">ur </w:t>
            </w:r>
            <w:r w:rsidR="00572421">
              <w:rPr>
                <w:rFonts w:ascii="Arial" w:eastAsia="Calibri" w:hAnsi="Arial" w:cs="Arial"/>
                <w:sz w:val="24"/>
                <w:szCs w:val="24"/>
              </w:rPr>
              <w:t>o</w:t>
            </w:r>
            <w:r w:rsidR="00572421" w:rsidRPr="00C92ECE">
              <w:rPr>
                <w:rFonts w:ascii="Arial" w:eastAsia="Calibri" w:hAnsi="Arial" w:cs="Arial"/>
                <w:sz w:val="24"/>
                <w:szCs w:val="24"/>
              </w:rPr>
              <w:t xml:space="preserve">wn </w:t>
            </w:r>
            <w:r w:rsidR="00290E6E">
              <w:rPr>
                <w:rFonts w:ascii="Arial" w:eastAsia="Calibri" w:hAnsi="Arial" w:cs="Arial"/>
                <w:sz w:val="24"/>
                <w:szCs w:val="24"/>
              </w:rPr>
              <w:t>s</w:t>
            </w:r>
            <w:r w:rsidRPr="00C92ECE">
              <w:rPr>
                <w:rFonts w:ascii="Arial" w:eastAsia="Calibri" w:hAnsi="Arial" w:cs="Arial"/>
                <w:sz w:val="24"/>
                <w:szCs w:val="24"/>
              </w:rPr>
              <w:t xml:space="preserve">ocial </w:t>
            </w:r>
            <w:r w:rsidR="00290E6E">
              <w:rPr>
                <w:rFonts w:ascii="Arial" w:eastAsia="Calibri" w:hAnsi="Arial" w:cs="Arial"/>
                <w:sz w:val="24"/>
                <w:szCs w:val="24"/>
              </w:rPr>
              <w:t>w</w:t>
            </w:r>
            <w:r w:rsidRPr="00C92ECE">
              <w:rPr>
                <w:rFonts w:ascii="Arial" w:eastAsia="Calibri" w:hAnsi="Arial" w:cs="Arial"/>
                <w:sz w:val="24"/>
                <w:szCs w:val="24"/>
              </w:rPr>
              <w:t xml:space="preserve">orkers initiative, </w:t>
            </w:r>
            <w:r w:rsidR="00290E6E">
              <w:rPr>
                <w:rFonts w:ascii="Arial" w:eastAsia="Calibri" w:hAnsi="Arial" w:cs="Arial"/>
                <w:sz w:val="24"/>
                <w:szCs w:val="24"/>
              </w:rPr>
              <w:t>mainly</w:t>
            </w:r>
            <w:r w:rsidRPr="00C92ECE">
              <w:rPr>
                <w:rFonts w:ascii="Arial" w:eastAsia="Calibri" w:hAnsi="Arial" w:cs="Arial"/>
                <w:sz w:val="24"/>
                <w:szCs w:val="24"/>
              </w:rPr>
              <w:t xml:space="preserve"> through the sponsorship route in </w:t>
            </w:r>
            <w:r w:rsidR="00290E6E">
              <w:rPr>
                <w:rFonts w:ascii="Arial" w:eastAsia="Calibri" w:hAnsi="Arial" w:cs="Arial"/>
                <w:sz w:val="24"/>
                <w:szCs w:val="24"/>
              </w:rPr>
              <w:t>partnership</w:t>
            </w:r>
            <w:r w:rsidR="00290E6E" w:rsidRPr="00C92ECE">
              <w:rPr>
                <w:rFonts w:ascii="Arial" w:eastAsia="Calibri" w:hAnsi="Arial" w:cs="Arial"/>
                <w:sz w:val="24"/>
                <w:szCs w:val="24"/>
              </w:rPr>
              <w:t xml:space="preserve"> </w:t>
            </w:r>
            <w:r w:rsidRPr="00C92ECE">
              <w:rPr>
                <w:rFonts w:ascii="Arial" w:eastAsia="Calibri" w:hAnsi="Arial" w:cs="Arial"/>
                <w:sz w:val="24"/>
                <w:szCs w:val="24"/>
              </w:rPr>
              <w:t xml:space="preserve">with the Open University. Currently, this </w:t>
            </w:r>
            <w:r w:rsidR="00290E6E">
              <w:rPr>
                <w:rFonts w:ascii="Arial" w:eastAsia="Calibri" w:hAnsi="Arial" w:cs="Arial"/>
                <w:sz w:val="24"/>
                <w:szCs w:val="24"/>
              </w:rPr>
              <w:t>is</w:t>
            </w:r>
            <w:r w:rsidRPr="00C92ECE">
              <w:rPr>
                <w:rFonts w:ascii="Arial" w:eastAsia="Calibri" w:hAnsi="Arial" w:cs="Arial"/>
                <w:sz w:val="24"/>
                <w:szCs w:val="24"/>
              </w:rPr>
              <w:t xml:space="preserve"> the only pathway being used by the Vale to develop its internal social work workforce. (Vale of Glamorgan – Cardiff and the Vale </w:t>
            </w:r>
            <w:r w:rsidR="00290E6E">
              <w:rPr>
                <w:rFonts w:ascii="Arial" w:eastAsia="Calibri" w:hAnsi="Arial" w:cs="Arial"/>
                <w:sz w:val="24"/>
                <w:szCs w:val="24"/>
              </w:rPr>
              <w:t>r</w:t>
            </w:r>
            <w:r w:rsidRPr="00C92ECE">
              <w:rPr>
                <w:rFonts w:ascii="Arial" w:eastAsia="Calibri" w:hAnsi="Arial" w:cs="Arial"/>
                <w:sz w:val="24"/>
                <w:szCs w:val="24"/>
              </w:rPr>
              <w:t>egion)</w:t>
            </w:r>
          </w:p>
        </w:tc>
      </w:tr>
    </w:tbl>
    <w:p w14:paraId="67AEF119" w14:textId="77777777" w:rsidR="0073133D" w:rsidRPr="0019368B" w:rsidRDefault="0073133D" w:rsidP="0019368B">
      <w:pPr>
        <w:spacing w:after="200" w:line="276" w:lineRule="auto"/>
        <w:ind w:left="567"/>
        <w:contextualSpacing/>
        <w:rPr>
          <w:rFonts w:ascii="Arial" w:eastAsia="Calibri" w:hAnsi="Arial" w:cs="Arial"/>
          <w:color w:val="FF0000"/>
          <w:sz w:val="24"/>
          <w:szCs w:val="24"/>
        </w:rPr>
      </w:pPr>
    </w:p>
    <w:p w14:paraId="719A6DF3" w14:textId="588EB83C" w:rsidR="00BD2483" w:rsidRPr="00C92ECE" w:rsidRDefault="00BD2483" w:rsidP="00BD2483">
      <w:pPr>
        <w:numPr>
          <w:ilvl w:val="0"/>
          <w:numId w:val="6"/>
        </w:numPr>
        <w:spacing w:after="200" w:line="276" w:lineRule="auto"/>
        <w:ind w:left="567" w:hanging="425"/>
        <w:contextualSpacing/>
        <w:rPr>
          <w:rFonts w:ascii="Arial" w:eastAsia="Calibri" w:hAnsi="Arial" w:cs="Arial"/>
          <w:color w:val="FF0000"/>
          <w:sz w:val="24"/>
          <w:szCs w:val="24"/>
        </w:rPr>
      </w:pPr>
      <w:r w:rsidRPr="00C92ECE">
        <w:rPr>
          <w:rFonts w:ascii="Arial" w:eastAsia="Calibri" w:hAnsi="Arial" w:cs="Arial"/>
          <w:sz w:val="24"/>
          <w:szCs w:val="24"/>
        </w:rPr>
        <w:t>Again in 2023 to 2024, there’s</w:t>
      </w:r>
      <w:r w:rsidRPr="00C92ECE" w:rsidDel="00C82FCF">
        <w:rPr>
          <w:rFonts w:ascii="Arial" w:eastAsia="Calibri" w:hAnsi="Arial" w:cs="Arial"/>
          <w:sz w:val="24"/>
          <w:szCs w:val="24"/>
        </w:rPr>
        <w:t xml:space="preserve"> </w:t>
      </w:r>
      <w:r w:rsidRPr="00C92ECE">
        <w:rPr>
          <w:rFonts w:ascii="Arial" w:eastAsia="Calibri" w:hAnsi="Arial" w:cs="Arial"/>
          <w:sz w:val="24"/>
          <w:szCs w:val="24"/>
        </w:rPr>
        <w:t>a consistent level of learners reported as being involved in the social services practitioner award (</w:t>
      </w:r>
      <w:r w:rsidR="00793DCD" w:rsidRPr="00C92ECE">
        <w:rPr>
          <w:rFonts w:ascii="Arial" w:eastAsia="Calibri" w:hAnsi="Arial" w:cs="Arial"/>
          <w:sz w:val="24"/>
          <w:szCs w:val="24"/>
        </w:rPr>
        <w:t>169</w:t>
      </w:r>
      <w:r w:rsidR="0050611C" w:rsidRPr="00C92ECE">
        <w:rPr>
          <w:rFonts w:ascii="Arial" w:eastAsia="Calibri" w:hAnsi="Arial" w:cs="Arial"/>
          <w:sz w:val="24"/>
          <w:szCs w:val="24"/>
        </w:rPr>
        <w:t xml:space="preserve"> in 2024 to 2025, compared to </w:t>
      </w:r>
      <w:r w:rsidRPr="00C92ECE">
        <w:rPr>
          <w:rFonts w:ascii="Arial" w:eastAsia="Calibri" w:hAnsi="Arial" w:cs="Arial"/>
          <w:sz w:val="24"/>
          <w:szCs w:val="24"/>
        </w:rPr>
        <w:t>166 in 2023 to 2024).  This</w:t>
      </w:r>
      <w:r w:rsidR="00290E6E">
        <w:rPr>
          <w:rFonts w:ascii="Arial" w:eastAsia="Calibri" w:hAnsi="Arial" w:cs="Arial"/>
          <w:sz w:val="24"/>
          <w:szCs w:val="24"/>
        </w:rPr>
        <w:t xml:space="preserve"> award</w:t>
      </w:r>
      <w:r w:rsidRPr="00C92ECE">
        <w:rPr>
          <w:rFonts w:ascii="Arial" w:eastAsia="Calibri" w:hAnsi="Arial" w:cs="Arial"/>
          <w:sz w:val="24"/>
          <w:szCs w:val="24"/>
        </w:rPr>
        <w:t xml:space="preserve"> </w:t>
      </w:r>
      <w:r w:rsidR="0014350C" w:rsidRPr="00C92ECE">
        <w:rPr>
          <w:rFonts w:ascii="Arial" w:eastAsia="Calibri" w:hAnsi="Arial" w:cs="Arial"/>
          <w:sz w:val="24"/>
          <w:szCs w:val="24"/>
        </w:rPr>
        <w:t xml:space="preserve">is </w:t>
      </w:r>
      <w:r w:rsidR="00093DB7">
        <w:rPr>
          <w:rFonts w:ascii="Arial" w:eastAsia="Calibri" w:hAnsi="Arial" w:cs="Arial"/>
          <w:sz w:val="24"/>
          <w:szCs w:val="24"/>
        </w:rPr>
        <w:t>needed for</w:t>
      </w:r>
      <w:r w:rsidR="00290E6E">
        <w:rPr>
          <w:rFonts w:ascii="Arial" w:eastAsia="Calibri" w:hAnsi="Arial" w:cs="Arial"/>
          <w:sz w:val="24"/>
          <w:szCs w:val="24"/>
        </w:rPr>
        <w:t xml:space="preserve"> carrying out</w:t>
      </w:r>
      <w:r w:rsidR="0014350C" w:rsidRPr="00713782">
        <w:rPr>
          <w:rFonts w:ascii="Arial" w:eastAsia="Calibri" w:hAnsi="Arial" w:cs="Arial"/>
          <w:sz w:val="24"/>
          <w:szCs w:val="24"/>
        </w:rPr>
        <w:t xml:space="preserve"> assessments and is also used as a pathway to qualify as a social worker.</w:t>
      </w:r>
    </w:p>
    <w:p w14:paraId="674C3AC5" w14:textId="77777777" w:rsidR="00A161FF" w:rsidRDefault="00A161FF" w:rsidP="00A161FF">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A161FF" w:rsidRPr="003963B3" w14:paraId="36348C59" w14:textId="77777777" w:rsidTr="00A161FF">
        <w:tc>
          <w:tcPr>
            <w:tcW w:w="9016" w:type="dxa"/>
          </w:tcPr>
          <w:p w14:paraId="35661FC8" w14:textId="38554867" w:rsidR="003963B3" w:rsidRPr="00C92ECE" w:rsidRDefault="003963B3" w:rsidP="003963B3">
            <w:pPr>
              <w:rPr>
                <w:rFonts w:ascii="Arial" w:eastAsia="Calibri" w:hAnsi="Arial" w:cs="Arial"/>
                <w:sz w:val="24"/>
                <w:szCs w:val="24"/>
              </w:rPr>
            </w:pPr>
            <w:r w:rsidRPr="00C92ECE">
              <w:rPr>
                <w:rFonts w:ascii="Arial" w:eastAsia="Calibri" w:hAnsi="Arial" w:cs="Arial"/>
                <w:sz w:val="24"/>
                <w:szCs w:val="24"/>
              </w:rPr>
              <w:t xml:space="preserve">All 14 </w:t>
            </w:r>
            <w:r w:rsidR="00D37941">
              <w:rPr>
                <w:rFonts w:ascii="Arial" w:eastAsia="Calibri" w:hAnsi="Arial" w:cs="Arial"/>
                <w:sz w:val="24"/>
                <w:szCs w:val="24"/>
              </w:rPr>
              <w:t>Social Service Practitioner</w:t>
            </w:r>
            <w:r w:rsidRPr="00C92ECE">
              <w:rPr>
                <w:rFonts w:ascii="Arial" w:eastAsia="Calibri" w:hAnsi="Arial" w:cs="Arial"/>
                <w:sz w:val="24"/>
                <w:szCs w:val="24"/>
              </w:rPr>
              <w:t xml:space="preserve"> learners have remained on the programme and are now approaching the end of their first year. Initial challenges</w:t>
            </w:r>
            <w:r w:rsidR="00D37941">
              <w:rPr>
                <w:rFonts w:ascii="Arial" w:eastAsia="Calibri" w:hAnsi="Arial" w:cs="Arial"/>
                <w:sz w:val="24"/>
                <w:szCs w:val="24"/>
              </w:rPr>
              <w:t xml:space="preserve"> such as</w:t>
            </w:r>
            <w:r w:rsidRPr="00C92ECE">
              <w:rPr>
                <w:rFonts w:ascii="Arial" w:eastAsia="Calibri" w:hAnsi="Arial" w:cs="Arial"/>
                <w:sz w:val="24"/>
                <w:szCs w:val="24"/>
              </w:rPr>
              <w:t xml:space="preserve"> difficulties releasing staff one day per week, reluctance to complete essential skills (particularly </w:t>
            </w:r>
            <w:r w:rsidR="00D37941">
              <w:rPr>
                <w:rFonts w:ascii="Arial" w:eastAsia="Calibri" w:hAnsi="Arial" w:cs="Arial"/>
                <w:sz w:val="24"/>
                <w:szCs w:val="24"/>
              </w:rPr>
              <w:t>m</w:t>
            </w:r>
            <w:r w:rsidRPr="00C92ECE">
              <w:rPr>
                <w:rFonts w:ascii="Arial" w:eastAsia="Calibri" w:hAnsi="Arial" w:cs="Arial"/>
                <w:sz w:val="24"/>
                <w:szCs w:val="24"/>
              </w:rPr>
              <w:t>ath</w:t>
            </w:r>
            <w:r w:rsidR="00D37941">
              <w:rPr>
                <w:rFonts w:ascii="Arial" w:eastAsia="Calibri" w:hAnsi="Arial" w:cs="Arial"/>
                <w:sz w:val="24"/>
                <w:szCs w:val="24"/>
              </w:rPr>
              <w:t>ematic</w:t>
            </w:r>
            <w:r w:rsidRPr="00C92ECE">
              <w:rPr>
                <w:rFonts w:ascii="Arial" w:eastAsia="Calibri" w:hAnsi="Arial" w:cs="Arial"/>
                <w:sz w:val="24"/>
                <w:szCs w:val="24"/>
              </w:rPr>
              <w:t>s), and issues with using digital tools like Google Classroom (which is not supported by Cardiff IT</w:t>
            </w:r>
            <w:r w:rsidR="00D37941">
              <w:rPr>
                <w:rFonts w:ascii="Arial" w:eastAsia="Calibri" w:hAnsi="Arial" w:cs="Arial"/>
                <w:sz w:val="24"/>
                <w:szCs w:val="24"/>
              </w:rPr>
              <w:t xml:space="preserve"> department</w:t>
            </w:r>
            <w:r w:rsidRPr="00C92ECE">
              <w:rPr>
                <w:rFonts w:ascii="Arial" w:eastAsia="Calibri" w:hAnsi="Arial" w:cs="Arial"/>
                <w:sz w:val="24"/>
                <w:szCs w:val="24"/>
              </w:rPr>
              <w:t>)</w:t>
            </w:r>
            <w:r w:rsidR="00D37941">
              <w:rPr>
                <w:rFonts w:ascii="Arial" w:eastAsia="Calibri" w:hAnsi="Arial" w:cs="Arial"/>
                <w:sz w:val="24"/>
                <w:szCs w:val="24"/>
              </w:rPr>
              <w:t xml:space="preserve">, </w:t>
            </w:r>
            <w:r w:rsidRPr="00C92ECE">
              <w:rPr>
                <w:rFonts w:ascii="Arial" w:eastAsia="Calibri" w:hAnsi="Arial" w:cs="Arial"/>
                <w:sz w:val="24"/>
                <w:szCs w:val="24"/>
              </w:rPr>
              <w:t>have now been resolved.</w:t>
            </w:r>
          </w:p>
          <w:p w14:paraId="6E0F4FE1" w14:textId="77777777" w:rsidR="003963B3" w:rsidRPr="00C92ECE" w:rsidRDefault="003963B3" w:rsidP="003963B3">
            <w:pPr>
              <w:rPr>
                <w:rFonts w:ascii="Arial" w:eastAsia="Calibri" w:hAnsi="Arial" w:cs="Arial"/>
                <w:sz w:val="24"/>
                <w:szCs w:val="24"/>
              </w:rPr>
            </w:pPr>
          </w:p>
          <w:p w14:paraId="29DDFFC5" w14:textId="0C4BB0F3" w:rsidR="003963B3" w:rsidRPr="00C92ECE" w:rsidRDefault="003963B3" w:rsidP="003963B3">
            <w:pPr>
              <w:rPr>
                <w:rFonts w:ascii="Arial" w:eastAsia="Calibri" w:hAnsi="Arial" w:cs="Arial"/>
                <w:sz w:val="24"/>
                <w:szCs w:val="24"/>
              </w:rPr>
            </w:pPr>
            <w:r w:rsidRPr="00C92ECE">
              <w:rPr>
                <w:rFonts w:ascii="Arial" w:eastAsia="Calibri" w:hAnsi="Arial" w:cs="Arial"/>
                <w:sz w:val="24"/>
                <w:szCs w:val="24"/>
              </w:rPr>
              <w:t xml:space="preserve">A key learning from this first cohort is the importance of providing clear reassurance to learners who wish to progress into </w:t>
            </w:r>
            <w:r w:rsidR="00D37941">
              <w:rPr>
                <w:rFonts w:ascii="Arial" w:eastAsia="Calibri" w:hAnsi="Arial" w:cs="Arial"/>
                <w:sz w:val="24"/>
                <w:szCs w:val="24"/>
              </w:rPr>
              <w:t>s</w:t>
            </w:r>
            <w:r w:rsidRPr="00C92ECE">
              <w:rPr>
                <w:rFonts w:ascii="Arial" w:eastAsia="Calibri" w:hAnsi="Arial" w:cs="Arial"/>
                <w:sz w:val="24"/>
                <w:szCs w:val="24"/>
              </w:rPr>
              <w:t xml:space="preserve">ocial </w:t>
            </w:r>
            <w:r w:rsidR="00D37941">
              <w:rPr>
                <w:rFonts w:ascii="Arial" w:eastAsia="Calibri" w:hAnsi="Arial" w:cs="Arial"/>
                <w:sz w:val="24"/>
                <w:szCs w:val="24"/>
              </w:rPr>
              <w:t>w</w:t>
            </w:r>
            <w:r w:rsidRPr="00C92ECE">
              <w:rPr>
                <w:rFonts w:ascii="Arial" w:eastAsia="Calibri" w:hAnsi="Arial" w:cs="Arial"/>
                <w:sz w:val="24"/>
                <w:szCs w:val="24"/>
              </w:rPr>
              <w:t>ork. They need confirmation of a guaranteed place on the Open University (OU) degree and confidence that their efforts will lead to a defined career pathway. The absence of a formal agreement has understandably caused some concern.</w:t>
            </w:r>
          </w:p>
          <w:p w14:paraId="6ED48285" w14:textId="77777777" w:rsidR="003963B3" w:rsidRPr="00C92ECE" w:rsidRDefault="003963B3" w:rsidP="003963B3">
            <w:pPr>
              <w:rPr>
                <w:rFonts w:ascii="Arial" w:eastAsia="Calibri" w:hAnsi="Arial" w:cs="Arial"/>
                <w:sz w:val="24"/>
                <w:szCs w:val="24"/>
              </w:rPr>
            </w:pPr>
          </w:p>
          <w:p w14:paraId="44A9E050" w14:textId="73540359" w:rsidR="003963B3" w:rsidRPr="00C92ECE" w:rsidRDefault="003963B3" w:rsidP="003963B3">
            <w:pPr>
              <w:rPr>
                <w:rFonts w:ascii="Arial" w:eastAsia="Calibri" w:hAnsi="Arial" w:cs="Arial"/>
                <w:sz w:val="24"/>
                <w:szCs w:val="24"/>
              </w:rPr>
            </w:pPr>
            <w:r w:rsidRPr="00C92ECE">
              <w:rPr>
                <w:rFonts w:ascii="Arial" w:eastAsia="Calibri" w:hAnsi="Arial" w:cs="Arial"/>
                <w:sz w:val="24"/>
                <w:szCs w:val="24"/>
              </w:rPr>
              <w:t>In Cardiff, the S</w:t>
            </w:r>
            <w:r w:rsidR="00D37941">
              <w:rPr>
                <w:rFonts w:ascii="Arial" w:eastAsia="Calibri" w:hAnsi="Arial" w:cs="Arial"/>
                <w:sz w:val="24"/>
                <w:szCs w:val="24"/>
              </w:rPr>
              <w:t>ocial Service Practitioner</w:t>
            </w:r>
            <w:r w:rsidRPr="00C92ECE">
              <w:rPr>
                <w:rFonts w:ascii="Arial" w:eastAsia="Calibri" w:hAnsi="Arial" w:cs="Arial"/>
                <w:sz w:val="24"/>
                <w:szCs w:val="24"/>
              </w:rPr>
              <w:t xml:space="preserve"> (work-based learning programme) is being </w:t>
            </w:r>
            <w:r w:rsidR="001A7BD5">
              <w:rPr>
                <w:rFonts w:ascii="Arial" w:eastAsia="Calibri" w:hAnsi="Arial" w:cs="Arial"/>
                <w:sz w:val="24"/>
                <w:szCs w:val="24"/>
              </w:rPr>
              <w:t>combined</w:t>
            </w:r>
            <w:r w:rsidRPr="00C92ECE">
              <w:rPr>
                <w:rFonts w:ascii="Arial" w:eastAsia="Calibri" w:hAnsi="Arial" w:cs="Arial"/>
                <w:sz w:val="24"/>
                <w:szCs w:val="24"/>
              </w:rPr>
              <w:t xml:space="preserve"> with the Level 5</w:t>
            </w:r>
            <w:r w:rsidR="00D37941">
              <w:rPr>
                <w:rFonts w:ascii="Arial" w:eastAsia="Calibri" w:hAnsi="Arial" w:cs="Arial"/>
                <w:sz w:val="24"/>
                <w:szCs w:val="24"/>
              </w:rPr>
              <w:t xml:space="preserve"> or </w:t>
            </w:r>
            <w:r w:rsidRPr="00C92ECE">
              <w:rPr>
                <w:rFonts w:ascii="Arial" w:eastAsia="Calibri" w:hAnsi="Arial" w:cs="Arial"/>
                <w:sz w:val="24"/>
                <w:szCs w:val="24"/>
              </w:rPr>
              <w:t>6 O</w:t>
            </w:r>
            <w:r w:rsidR="001A7BD5">
              <w:rPr>
                <w:rFonts w:ascii="Arial" w:eastAsia="Calibri" w:hAnsi="Arial" w:cs="Arial"/>
                <w:sz w:val="24"/>
                <w:szCs w:val="24"/>
              </w:rPr>
              <w:t xml:space="preserve">pen </w:t>
            </w:r>
            <w:r w:rsidRPr="00C92ECE">
              <w:rPr>
                <w:rFonts w:ascii="Arial" w:eastAsia="Calibri" w:hAnsi="Arial" w:cs="Arial"/>
                <w:sz w:val="24"/>
                <w:szCs w:val="24"/>
              </w:rPr>
              <w:t>U</w:t>
            </w:r>
            <w:r w:rsidR="001A7BD5">
              <w:rPr>
                <w:rFonts w:ascii="Arial" w:eastAsia="Calibri" w:hAnsi="Arial" w:cs="Arial"/>
                <w:sz w:val="24"/>
                <w:szCs w:val="24"/>
              </w:rPr>
              <w:t>niversity</w:t>
            </w:r>
            <w:r w:rsidRPr="00C92ECE">
              <w:rPr>
                <w:rFonts w:ascii="Arial" w:eastAsia="Calibri" w:hAnsi="Arial" w:cs="Arial"/>
                <w:sz w:val="24"/>
                <w:szCs w:val="24"/>
              </w:rPr>
              <w:t xml:space="preserve"> programme as part of the </w:t>
            </w:r>
            <w:r w:rsidR="00D37941">
              <w:rPr>
                <w:rFonts w:ascii="Arial" w:eastAsia="Calibri" w:hAnsi="Arial" w:cs="Arial"/>
                <w:sz w:val="24"/>
                <w:szCs w:val="24"/>
              </w:rPr>
              <w:t>s</w:t>
            </w:r>
            <w:r w:rsidRPr="00C92ECE">
              <w:rPr>
                <w:rFonts w:ascii="Arial" w:eastAsia="Calibri" w:hAnsi="Arial" w:cs="Arial"/>
                <w:sz w:val="24"/>
                <w:szCs w:val="24"/>
              </w:rPr>
              <w:t xml:space="preserve">ponsorship </w:t>
            </w:r>
            <w:r w:rsidR="00D37941">
              <w:rPr>
                <w:rFonts w:ascii="Arial" w:eastAsia="Calibri" w:hAnsi="Arial" w:cs="Arial"/>
                <w:sz w:val="24"/>
                <w:szCs w:val="24"/>
              </w:rPr>
              <w:t>p</w:t>
            </w:r>
            <w:r w:rsidRPr="00C92ECE">
              <w:rPr>
                <w:rFonts w:ascii="Arial" w:eastAsia="Calibri" w:hAnsi="Arial" w:cs="Arial"/>
                <w:sz w:val="24"/>
                <w:szCs w:val="24"/>
              </w:rPr>
              <w:t>athway. In 2024</w:t>
            </w:r>
            <w:r w:rsidR="001A7BD5">
              <w:rPr>
                <w:rFonts w:ascii="Arial" w:eastAsia="Calibri" w:hAnsi="Arial" w:cs="Arial"/>
                <w:sz w:val="24"/>
                <w:szCs w:val="24"/>
              </w:rPr>
              <w:t xml:space="preserve"> to 20</w:t>
            </w:r>
            <w:r w:rsidRPr="00C92ECE">
              <w:rPr>
                <w:rFonts w:ascii="Arial" w:eastAsia="Calibri" w:hAnsi="Arial" w:cs="Arial"/>
                <w:sz w:val="24"/>
                <w:szCs w:val="24"/>
              </w:rPr>
              <w:t>25 significant partnership work went into developing this pathway to ensure:</w:t>
            </w:r>
          </w:p>
          <w:p w14:paraId="440F3C4C" w14:textId="28B5DFC8" w:rsidR="003963B3" w:rsidRPr="00C92ECE" w:rsidRDefault="003963B3" w:rsidP="003963B3">
            <w:pPr>
              <w:numPr>
                <w:ilvl w:val="0"/>
                <w:numId w:val="114"/>
              </w:numPr>
              <w:rPr>
                <w:rFonts w:ascii="Arial" w:eastAsia="Calibri" w:hAnsi="Arial" w:cs="Arial"/>
                <w:sz w:val="24"/>
                <w:szCs w:val="24"/>
              </w:rPr>
            </w:pPr>
            <w:r w:rsidRPr="00C92ECE">
              <w:rPr>
                <w:rFonts w:ascii="Arial" w:eastAsia="Calibri" w:hAnsi="Arial" w:cs="Arial"/>
                <w:sz w:val="24"/>
                <w:szCs w:val="24"/>
              </w:rPr>
              <w:t xml:space="preserve"> timelines </w:t>
            </w:r>
            <w:r w:rsidR="001A7BD5">
              <w:rPr>
                <w:rFonts w:ascii="Arial" w:eastAsia="Calibri" w:hAnsi="Arial" w:cs="Arial"/>
                <w:sz w:val="24"/>
                <w:szCs w:val="24"/>
              </w:rPr>
              <w:t xml:space="preserve">were the same </w:t>
            </w:r>
            <w:r w:rsidRPr="00C92ECE">
              <w:rPr>
                <w:rFonts w:ascii="Arial" w:eastAsia="Calibri" w:hAnsi="Arial" w:cs="Arial"/>
                <w:sz w:val="24"/>
                <w:szCs w:val="24"/>
              </w:rPr>
              <w:t>across both programmes</w:t>
            </w:r>
          </w:p>
          <w:p w14:paraId="17890448" w14:textId="70F60A11" w:rsidR="003963B3" w:rsidRPr="00C92ECE" w:rsidRDefault="001A7BD5" w:rsidP="003963B3">
            <w:pPr>
              <w:numPr>
                <w:ilvl w:val="0"/>
                <w:numId w:val="114"/>
              </w:numPr>
              <w:rPr>
                <w:rFonts w:ascii="Arial" w:eastAsia="Calibri" w:hAnsi="Arial" w:cs="Arial"/>
                <w:sz w:val="24"/>
                <w:szCs w:val="24"/>
              </w:rPr>
            </w:pPr>
            <w:r>
              <w:rPr>
                <w:rFonts w:ascii="Arial" w:eastAsia="Calibri" w:hAnsi="Arial" w:cs="Arial"/>
                <w:sz w:val="24"/>
                <w:szCs w:val="24"/>
              </w:rPr>
              <w:t xml:space="preserve">strong </w:t>
            </w:r>
            <w:r w:rsidR="003963B3" w:rsidRPr="00C92ECE">
              <w:rPr>
                <w:rFonts w:ascii="Arial" w:eastAsia="Calibri" w:hAnsi="Arial" w:cs="Arial"/>
                <w:sz w:val="24"/>
                <w:szCs w:val="24"/>
              </w:rPr>
              <w:t>data-sharing protocols</w:t>
            </w:r>
          </w:p>
          <w:p w14:paraId="7E75FB5F" w14:textId="092AA73C" w:rsidR="003963B3" w:rsidRPr="00C92ECE" w:rsidRDefault="003963B3" w:rsidP="003963B3">
            <w:pPr>
              <w:numPr>
                <w:ilvl w:val="0"/>
                <w:numId w:val="114"/>
              </w:numPr>
              <w:rPr>
                <w:rFonts w:ascii="Arial" w:eastAsia="Calibri" w:hAnsi="Arial" w:cs="Arial"/>
                <w:sz w:val="24"/>
                <w:szCs w:val="24"/>
              </w:rPr>
            </w:pPr>
            <w:r w:rsidRPr="00C92ECE">
              <w:rPr>
                <w:rFonts w:ascii="Arial" w:eastAsia="Calibri" w:hAnsi="Arial" w:cs="Arial"/>
                <w:sz w:val="24"/>
                <w:szCs w:val="24"/>
              </w:rPr>
              <w:t xml:space="preserve">mandatory selection processes </w:t>
            </w:r>
            <w:r w:rsidR="001A7BD5">
              <w:rPr>
                <w:rFonts w:ascii="Arial" w:eastAsia="Calibri" w:hAnsi="Arial" w:cs="Arial"/>
                <w:sz w:val="24"/>
                <w:szCs w:val="24"/>
              </w:rPr>
              <w:t xml:space="preserve">have been combined </w:t>
            </w:r>
            <w:r w:rsidRPr="00C92ECE">
              <w:rPr>
                <w:rFonts w:ascii="Arial" w:eastAsia="Calibri" w:hAnsi="Arial" w:cs="Arial"/>
                <w:sz w:val="24"/>
                <w:szCs w:val="24"/>
              </w:rPr>
              <w:t>for both the college and the O</w:t>
            </w:r>
            <w:r w:rsidR="001A7BD5">
              <w:rPr>
                <w:rFonts w:ascii="Arial" w:eastAsia="Calibri" w:hAnsi="Arial" w:cs="Arial"/>
                <w:sz w:val="24"/>
                <w:szCs w:val="24"/>
              </w:rPr>
              <w:t xml:space="preserve">pen </w:t>
            </w:r>
            <w:r w:rsidRPr="00C92ECE">
              <w:rPr>
                <w:rFonts w:ascii="Arial" w:eastAsia="Calibri" w:hAnsi="Arial" w:cs="Arial"/>
                <w:sz w:val="24"/>
                <w:szCs w:val="24"/>
              </w:rPr>
              <w:t>U</w:t>
            </w:r>
            <w:r w:rsidR="001A7BD5">
              <w:rPr>
                <w:rFonts w:ascii="Arial" w:eastAsia="Calibri" w:hAnsi="Arial" w:cs="Arial"/>
                <w:sz w:val="24"/>
                <w:szCs w:val="24"/>
              </w:rPr>
              <w:t>niversity</w:t>
            </w:r>
          </w:p>
          <w:p w14:paraId="0F3954B7" w14:textId="70FE7282" w:rsidR="003963B3" w:rsidRPr="00C92ECE" w:rsidRDefault="001A7BD5" w:rsidP="003963B3">
            <w:pPr>
              <w:numPr>
                <w:ilvl w:val="0"/>
                <w:numId w:val="114"/>
              </w:numPr>
              <w:rPr>
                <w:rFonts w:ascii="Arial" w:eastAsia="Calibri" w:hAnsi="Arial" w:cs="Arial"/>
                <w:sz w:val="24"/>
                <w:szCs w:val="24"/>
              </w:rPr>
            </w:pPr>
            <w:r>
              <w:rPr>
                <w:rFonts w:ascii="Arial" w:eastAsia="Calibri" w:hAnsi="Arial" w:cs="Arial"/>
                <w:sz w:val="24"/>
                <w:szCs w:val="24"/>
              </w:rPr>
              <w:t>a</w:t>
            </w:r>
            <w:r w:rsidR="003963B3" w:rsidRPr="00C92ECE">
              <w:rPr>
                <w:rFonts w:ascii="Arial" w:eastAsia="Calibri" w:hAnsi="Arial" w:cs="Arial"/>
                <w:sz w:val="24"/>
                <w:szCs w:val="24"/>
              </w:rPr>
              <w:t xml:space="preserve">greed </w:t>
            </w:r>
            <w:r>
              <w:rPr>
                <w:rFonts w:ascii="Arial" w:eastAsia="Calibri" w:hAnsi="Arial" w:cs="Arial"/>
                <w:sz w:val="24"/>
                <w:szCs w:val="24"/>
              </w:rPr>
              <w:t>time limits</w:t>
            </w:r>
            <w:r w:rsidR="003963B3" w:rsidRPr="00C92ECE">
              <w:rPr>
                <w:rFonts w:ascii="Arial" w:eastAsia="Calibri" w:hAnsi="Arial" w:cs="Arial"/>
                <w:sz w:val="24"/>
                <w:szCs w:val="24"/>
              </w:rPr>
              <w:t xml:space="preserve"> for qualifications and interviews</w:t>
            </w:r>
          </w:p>
          <w:p w14:paraId="2573A4DB" w14:textId="6C7BCF9F" w:rsidR="003963B3" w:rsidRPr="00C92ECE" w:rsidRDefault="001A7BD5" w:rsidP="003963B3">
            <w:pPr>
              <w:numPr>
                <w:ilvl w:val="0"/>
                <w:numId w:val="114"/>
              </w:numPr>
              <w:rPr>
                <w:rFonts w:ascii="Arial" w:eastAsia="Calibri" w:hAnsi="Arial" w:cs="Arial"/>
                <w:sz w:val="24"/>
                <w:szCs w:val="24"/>
              </w:rPr>
            </w:pPr>
            <w:r>
              <w:rPr>
                <w:rFonts w:ascii="Arial" w:eastAsia="Calibri" w:hAnsi="Arial" w:cs="Arial"/>
                <w:sz w:val="24"/>
                <w:szCs w:val="24"/>
              </w:rPr>
              <w:t>a</w:t>
            </w:r>
            <w:r w:rsidR="003963B3" w:rsidRPr="00C92ECE">
              <w:rPr>
                <w:rFonts w:ascii="Arial" w:eastAsia="Calibri" w:hAnsi="Arial" w:cs="Arial"/>
                <w:sz w:val="24"/>
                <w:szCs w:val="24"/>
              </w:rPr>
              <w:t xml:space="preserve"> clear and structured process and framework</w:t>
            </w:r>
            <w:r>
              <w:rPr>
                <w:rFonts w:ascii="Arial" w:eastAsia="Calibri" w:hAnsi="Arial" w:cs="Arial"/>
                <w:sz w:val="24"/>
                <w:szCs w:val="24"/>
              </w:rPr>
              <w:t>.</w:t>
            </w:r>
          </w:p>
          <w:p w14:paraId="60883E1F" w14:textId="77777777" w:rsidR="003963B3" w:rsidRPr="00C92ECE" w:rsidRDefault="003963B3" w:rsidP="003963B3">
            <w:pPr>
              <w:ind w:left="720"/>
              <w:rPr>
                <w:rFonts w:ascii="Arial" w:eastAsia="Calibri" w:hAnsi="Arial" w:cs="Arial"/>
                <w:sz w:val="24"/>
                <w:szCs w:val="24"/>
              </w:rPr>
            </w:pPr>
          </w:p>
          <w:p w14:paraId="7AD0C578" w14:textId="24FB792B" w:rsidR="00A161FF" w:rsidRPr="003963B3" w:rsidRDefault="003963B3" w:rsidP="0019368B">
            <w:pPr>
              <w:rPr>
                <w:rFonts w:ascii="Arial" w:eastAsia="Calibri" w:hAnsi="Arial" w:cs="Arial"/>
                <w:sz w:val="24"/>
                <w:szCs w:val="24"/>
              </w:rPr>
            </w:pPr>
            <w:r w:rsidRPr="00C92ECE">
              <w:rPr>
                <w:rFonts w:ascii="Arial" w:eastAsia="Calibri" w:hAnsi="Arial" w:cs="Arial"/>
                <w:sz w:val="24"/>
                <w:szCs w:val="24"/>
              </w:rPr>
              <w:t xml:space="preserve">Cardiff will </w:t>
            </w:r>
            <w:r w:rsidR="001A7BD5">
              <w:rPr>
                <w:rFonts w:ascii="Arial" w:eastAsia="Calibri" w:hAnsi="Arial" w:cs="Arial"/>
                <w:sz w:val="24"/>
                <w:szCs w:val="24"/>
              </w:rPr>
              <w:t xml:space="preserve">also </w:t>
            </w:r>
            <w:r w:rsidRPr="00C92ECE">
              <w:rPr>
                <w:rFonts w:ascii="Arial" w:eastAsia="Calibri" w:hAnsi="Arial" w:cs="Arial"/>
                <w:sz w:val="24"/>
                <w:szCs w:val="24"/>
              </w:rPr>
              <w:t>use the S</w:t>
            </w:r>
            <w:r w:rsidR="001A7BD5">
              <w:rPr>
                <w:rFonts w:ascii="Arial" w:eastAsia="Calibri" w:hAnsi="Arial" w:cs="Arial"/>
                <w:sz w:val="24"/>
                <w:szCs w:val="24"/>
              </w:rPr>
              <w:t xml:space="preserve">ocial </w:t>
            </w:r>
            <w:r w:rsidRPr="00C92ECE">
              <w:rPr>
                <w:rFonts w:ascii="Arial" w:eastAsia="Calibri" w:hAnsi="Arial" w:cs="Arial"/>
                <w:sz w:val="24"/>
                <w:szCs w:val="24"/>
              </w:rPr>
              <w:t>S</w:t>
            </w:r>
            <w:r w:rsidR="001A7BD5">
              <w:rPr>
                <w:rFonts w:ascii="Arial" w:eastAsia="Calibri" w:hAnsi="Arial" w:cs="Arial"/>
                <w:sz w:val="24"/>
                <w:szCs w:val="24"/>
              </w:rPr>
              <w:t xml:space="preserve">ervices </w:t>
            </w:r>
            <w:r w:rsidRPr="00C92ECE">
              <w:rPr>
                <w:rFonts w:ascii="Arial" w:eastAsia="Calibri" w:hAnsi="Arial" w:cs="Arial"/>
                <w:sz w:val="24"/>
                <w:szCs w:val="24"/>
              </w:rPr>
              <w:t>P</w:t>
            </w:r>
            <w:r w:rsidR="001A7BD5">
              <w:rPr>
                <w:rFonts w:ascii="Arial" w:eastAsia="Calibri" w:hAnsi="Arial" w:cs="Arial"/>
                <w:sz w:val="24"/>
                <w:szCs w:val="24"/>
              </w:rPr>
              <w:t>ractitioner</w:t>
            </w:r>
            <w:r w:rsidRPr="00C92ECE">
              <w:rPr>
                <w:rFonts w:ascii="Arial" w:eastAsia="Calibri" w:hAnsi="Arial" w:cs="Arial"/>
                <w:sz w:val="24"/>
                <w:szCs w:val="24"/>
              </w:rPr>
              <w:t xml:space="preserve"> programme to support Social Services Practitioners who do not wish to pursue a career in </w:t>
            </w:r>
            <w:r w:rsidR="001A7BD5">
              <w:rPr>
                <w:rFonts w:ascii="Arial" w:eastAsia="Calibri" w:hAnsi="Arial" w:cs="Arial"/>
                <w:sz w:val="24"/>
                <w:szCs w:val="24"/>
              </w:rPr>
              <w:t>s</w:t>
            </w:r>
            <w:r w:rsidRPr="00C92ECE">
              <w:rPr>
                <w:rFonts w:ascii="Arial" w:eastAsia="Calibri" w:hAnsi="Arial" w:cs="Arial"/>
                <w:sz w:val="24"/>
                <w:szCs w:val="24"/>
              </w:rPr>
              <w:t xml:space="preserve">ocial </w:t>
            </w:r>
            <w:r w:rsidR="001A7BD5">
              <w:rPr>
                <w:rFonts w:ascii="Arial" w:eastAsia="Calibri" w:hAnsi="Arial" w:cs="Arial"/>
                <w:sz w:val="24"/>
                <w:szCs w:val="24"/>
              </w:rPr>
              <w:t>w</w:t>
            </w:r>
            <w:r w:rsidRPr="00C92ECE">
              <w:rPr>
                <w:rFonts w:ascii="Arial" w:eastAsia="Calibri" w:hAnsi="Arial" w:cs="Arial"/>
                <w:sz w:val="24"/>
                <w:szCs w:val="24"/>
              </w:rPr>
              <w:t xml:space="preserve">ork but are interested in gaining a Level 4 qualification to enhance their skills and development. (Cardiff – Cardiff and the Vale </w:t>
            </w:r>
            <w:r w:rsidR="001A7BD5">
              <w:rPr>
                <w:rFonts w:ascii="Arial" w:eastAsia="Calibri" w:hAnsi="Arial" w:cs="Arial"/>
                <w:sz w:val="24"/>
                <w:szCs w:val="24"/>
              </w:rPr>
              <w:t>r</w:t>
            </w:r>
            <w:r w:rsidRPr="00C92ECE">
              <w:rPr>
                <w:rFonts w:ascii="Arial" w:eastAsia="Calibri" w:hAnsi="Arial" w:cs="Arial"/>
                <w:sz w:val="24"/>
                <w:szCs w:val="24"/>
              </w:rPr>
              <w:t>egion)</w:t>
            </w:r>
          </w:p>
        </w:tc>
      </w:tr>
    </w:tbl>
    <w:p w14:paraId="5D3E59C1" w14:textId="77777777" w:rsidR="001A7BD5" w:rsidRDefault="001A7BD5" w:rsidP="0019368B">
      <w:pPr>
        <w:rPr>
          <w:rFonts w:ascii="Arial" w:eastAsia="Calibri" w:hAnsi="Arial" w:cs="Arial"/>
          <w:sz w:val="24"/>
          <w:szCs w:val="24"/>
          <w:shd w:val="clear" w:color="auto" w:fill="FFFFFF"/>
        </w:rPr>
      </w:pPr>
    </w:p>
    <w:p w14:paraId="70F2A77C" w14:textId="7FC1D844" w:rsidR="005B4CD8" w:rsidRPr="00BB471B" w:rsidRDefault="005B4CD8" w:rsidP="0019368B">
      <w:pPr>
        <w:rPr>
          <w:rFonts w:ascii="Arial" w:eastAsia="Calibri" w:hAnsi="Arial" w:cs="Arial"/>
          <w:b/>
          <w:bCs/>
          <w:sz w:val="24"/>
          <w:szCs w:val="24"/>
          <w:shd w:val="clear" w:color="auto" w:fill="FFFFFF"/>
        </w:rPr>
      </w:pPr>
      <w:r w:rsidRPr="00BB471B">
        <w:rPr>
          <w:rFonts w:ascii="Arial" w:eastAsia="Calibri" w:hAnsi="Arial" w:cs="Arial"/>
          <w:b/>
          <w:bCs/>
          <w:sz w:val="24"/>
          <w:szCs w:val="24"/>
          <w:shd w:val="clear" w:color="auto" w:fill="FFFFFF"/>
        </w:rPr>
        <w:t xml:space="preserve">Strong Partnership </w:t>
      </w:r>
      <w:r w:rsidR="0077791E" w:rsidRPr="00BB471B">
        <w:rPr>
          <w:rFonts w:ascii="Arial" w:eastAsia="Calibri" w:hAnsi="Arial" w:cs="Arial"/>
          <w:b/>
          <w:bCs/>
          <w:sz w:val="24"/>
          <w:szCs w:val="24"/>
          <w:shd w:val="clear" w:color="auto" w:fill="FFFFFF"/>
        </w:rPr>
        <w:t>working</w:t>
      </w:r>
    </w:p>
    <w:p w14:paraId="198294E0" w14:textId="77777777" w:rsidR="0065313E" w:rsidRPr="00D362B0" w:rsidRDefault="0065313E" w:rsidP="005B4CD8">
      <w:pPr>
        <w:spacing w:after="0" w:line="240" w:lineRule="auto"/>
        <w:rPr>
          <w:rFonts w:ascii="Arial" w:eastAsia="Calibri" w:hAnsi="Arial" w:cs="Arial"/>
          <w:b/>
          <w:bCs/>
          <w:sz w:val="24"/>
          <w:szCs w:val="24"/>
          <w:shd w:val="clear" w:color="auto" w:fill="FFFFFF"/>
        </w:rPr>
      </w:pPr>
    </w:p>
    <w:p w14:paraId="2AE0F690" w14:textId="531F5A5E" w:rsidR="00185FEA" w:rsidRPr="00D362B0" w:rsidRDefault="005B4CD8" w:rsidP="0048490F">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Collaboration</w:t>
      </w:r>
      <w:r w:rsidR="00B20A70" w:rsidRPr="00D362B0">
        <w:rPr>
          <w:rFonts w:ascii="Arial" w:eastAsia="Calibri" w:hAnsi="Arial" w:cs="Arial"/>
          <w:sz w:val="24"/>
          <w:szCs w:val="24"/>
        </w:rPr>
        <w:t xml:space="preserve">, engagement and partnership working </w:t>
      </w:r>
      <w:r w:rsidRPr="00C92ECE">
        <w:rPr>
          <w:rFonts w:ascii="Arial" w:eastAsia="Calibri" w:hAnsi="Arial" w:cs="Arial"/>
          <w:sz w:val="24"/>
          <w:szCs w:val="24"/>
        </w:rPr>
        <w:t xml:space="preserve">with </w:t>
      </w:r>
      <w:r w:rsidR="0048490F" w:rsidRPr="00C92ECE">
        <w:rPr>
          <w:rFonts w:ascii="Arial" w:eastAsia="Calibri" w:hAnsi="Arial" w:cs="Arial"/>
          <w:sz w:val="24"/>
          <w:szCs w:val="24"/>
          <w:shd w:val="clear" w:color="auto" w:fill="FFFFFF"/>
        </w:rPr>
        <w:t>HEIs</w:t>
      </w:r>
      <w:r w:rsidR="0065313E" w:rsidRPr="00C92ECE">
        <w:rPr>
          <w:rFonts w:ascii="Arial" w:eastAsia="Calibri" w:hAnsi="Arial" w:cs="Arial"/>
          <w:sz w:val="24"/>
          <w:szCs w:val="24"/>
          <w:shd w:val="clear" w:color="auto" w:fill="FFFFFF"/>
        </w:rPr>
        <w:t xml:space="preserve"> </w:t>
      </w:r>
      <w:r w:rsidRPr="00C92ECE">
        <w:rPr>
          <w:rFonts w:ascii="Arial" w:eastAsia="Calibri" w:hAnsi="Arial" w:cs="Arial"/>
          <w:sz w:val="24"/>
          <w:szCs w:val="24"/>
        </w:rPr>
        <w:t>is central for both qualifying and post-qualifying training</w:t>
      </w:r>
      <w:r w:rsidR="00185FEA" w:rsidRPr="00D362B0">
        <w:rPr>
          <w:rFonts w:ascii="Arial" w:eastAsia="Calibri" w:hAnsi="Arial" w:cs="Arial"/>
          <w:sz w:val="24"/>
          <w:szCs w:val="24"/>
        </w:rPr>
        <w:t xml:space="preserve">. </w:t>
      </w:r>
    </w:p>
    <w:p w14:paraId="7BD14845" w14:textId="77777777" w:rsidR="0065313E" w:rsidRPr="00C92ECE" w:rsidRDefault="0065313E" w:rsidP="00C92ECE">
      <w:pPr>
        <w:spacing w:after="0" w:line="276" w:lineRule="auto"/>
        <w:ind w:left="567"/>
        <w:contextualSpacing/>
        <w:rPr>
          <w:rFonts w:ascii="Arial" w:eastAsia="Calibri" w:hAnsi="Arial" w:cs="Arial"/>
          <w:sz w:val="24"/>
          <w:szCs w:val="24"/>
        </w:rPr>
      </w:pPr>
    </w:p>
    <w:p w14:paraId="6D9D9B10" w14:textId="60321760" w:rsidR="00AC6141" w:rsidRDefault="005B4CD8" w:rsidP="0048490F">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lastRenderedPageBreak/>
        <w:t xml:space="preserve">Regions </w:t>
      </w:r>
      <w:r w:rsidR="00185FEA" w:rsidRPr="00D362B0">
        <w:rPr>
          <w:rFonts w:ascii="Arial" w:eastAsia="Calibri" w:hAnsi="Arial" w:cs="Arial"/>
          <w:sz w:val="24"/>
          <w:szCs w:val="24"/>
        </w:rPr>
        <w:t xml:space="preserve">are active partners in </w:t>
      </w:r>
      <w:r w:rsidR="00185FEA" w:rsidRPr="00C92ECE">
        <w:rPr>
          <w:rFonts w:ascii="Arial" w:eastAsia="Calibri" w:hAnsi="Arial" w:cs="Arial"/>
          <w:sz w:val="24"/>
          <w:szCs w:val="24"/>
        </w:rPr>
        <w:t>HEI programme management structures</w:t>
      </w:r>
      <w:r w:rsidR="00D80F2D">
        <w:rPr>
          <w:rFonts w:ascii="Arial" w:eastAsia="Calibri" w:hAnsi="Arial" w:cs="Arial"/>
          <w:sz w:val="24"/>
          <w:szCs w:val="24"/>
        </w:rPr>
        <w:t>. This includes</w:t>
      </w:r>
      <w:r w:rsidR="00AC6141" w:rsidRPr="00C92ECE">
        <w:rPr>
          <w:rFonts w:ascii="Arial" w:eastAsia="Calibri" w:hAnsi="Arial" w:cs="Arial"/>
          <w:sz w:val="24"/>
          <w:szCs w:val="24"/>
        </w:rPr>
        <w:t xml:space="preserve"> </w:t>
      </w:r>
      <w:r w:rsidR="00AC6141" w:rsidRPr="00D362B0">
        <w:rPr>
          <w:rFonts w:ascii="Arial" w:eastAsia="Calibri" w:hAnsi="Arial" w:cs="Arial"/>
          <w:sz w:val="24"/>
          <w:szCs w:val="24"/>
        </w:rPr>
        <w:t xml:space="preserve">recruitment, </w:t>
      </w:r>
      <w:r w:rsidR="00093DB7" w:rsidRPr="00D362B0">
        <w:rPr>
          <w:rFonts w:ascii="Arial" w:eastAsia="Calibri" w:hAnsi="Arial" w:cs="Arial"/>
          <w:sz w:val="24"/>
          <w:szCs w:val="24"/>
        </w:rPr>
        <w:t>placements, assessment</w:t>
      </w:r>
      <w:r w:rsidR="00AC6141" w:rsidRPr="00D362B0">
        <w:rPr>
          <w:rFonts w:ascii="Arial" w:eastAsia="Calibri" w:hAnsi="Arial" w:cs="Arial"/>
          <w:sz w:val="24"/>
          <w:szCs w:val="24"/>
        </w:rPr>
        <w:t xml:space="preserve"> panels</w:t>
      </w:r>
      <w:r w:rsidR="00AC6141" w:rsidRPr="00C92ECE">
        <w:rPr>
          <w:rFonts w:ascii="Arial" w:eastAsia="Calibri" w:hAnsi="Arial" w:cs="Arial"/>
          <w:sz w:val="24"/>
          <w:szCs w:val="24"/>
        </w:rPr>
        <w:t xml:space="preserve"> </w:t>
      </w:r>
      <w:r w:rsidR="00185FEA" w:rsidRPr="00C92ECE">
        <w:rPr>
          <w:rFonts w:ascii="Arial" w:eastAsia="Calibri" w:hAnsi="Arial" w:cs="Arial"/>
          <w:sz w:val="24"/>
          <w:szCs w:val="24"/>
        </w:rPr>
        <w:t>and</w:t>
      </w:r>
      <w:r w:rsidR="00AC6141" w:rsidRPr="00C92ECE">
        <w:rPr>
          <w:rFonts w:ascii="Arial" w:eastAsia="Calibri" w:hAnsi="Arial" w:cs="Arial"/>
          <w:sz w:val="24"/>
          <w:szCs w:val="24"/>
        </w:rPr>
        <w:t xml:space="preserve"> </w:t>
      </w:r>
      <w:r w:rsidRPr="00C92ECE">
        <w:rPr>
          <w:rFonts w:ascii="Arial" w:eastAsia="Calibri" w:hAnsi="Arial" w:cs="Arial"/>
          <w:sz w:val="24"/>
          <w:szCs w:val="24"/>
        </w:rPr>
        <w:t>host</w:t>
      </w:r>
      <w:r w:rsidR="0027521A">
        <w:rPr>
          <w:rFonts w:ascii="Arial" w:eastAsia="Calibri" w:hAnsi="Arial" w:cs="Arial"/>
          <w:sz w:val="24"/>
          <w:szCs w:val="24"/>
        </w:rPr>
        <w:t>ing</w:t>
      </w:r>
      <w:r w:rsidRPr="00C92ECE">
        <w:rPr>
          <w:rFonts w:ascii="Arial" w:eastAsia="Calibri" w:hAnsi="Arial" w:cs="Arial"/>
          <w:sz w:val="24"/>
          <w:szCs w:val="24"/>
        </w:rPr>
        <w:t xml:space="preserve"> students from multiple HEIs</w:t>
      </w:r>
      <w:r w:rsidR="00AC6141" w:rsidRPr="00D362B0">
        <w:rPr>
          <w:rFonts w:ascii="Arial" w:eastAsia="Calibri" w:hAnsi="Arial" w:cs="Arial"/>
          <w:sz w:val="24"/>
          <w:szCs w:val="24"/>
        </w:rPr>
        <w:t>.</w:t>
      </w:r>
    </w:p>
    <w:p w14:paraId="00C77031" w14:textId="77777777" w:rsidR="001F75B4" w:rsidRDefault="001F75B4" w:rsidP="00C92ECE">
      <w:pPr>
        <w:pStyle w:val="ListParagraph"/>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1F75B4" w:rsidRPr="00537E1A" w14:paraId="09514DE8" w14:textId="77777777" w:rsidTr="00C92ECE">
        <w:trPr>
          <w:jc w:val="center"/>
        </w:trPr>
        <w:tc>
          <w:tcPr>
            <w:tcW w:w="9016" w:type="dxa"/>
          </w:tcPr>
          <w:p w14:paraId="21AD1D7F" w14:textId="7C680000" w:rsidR="001F75B4" w:rsidRPr="00C92ECE" w:rsidRDefault="00955F83" w:rsidP="00C92ECE">
            <w:pPr>
              <w:spacing w:before="100" w:beforeAutospacing="1" w:after="100" w:afterAutospacing="1"/>
              <w:jc w:val="both"/>
              <w:rPr>
                <w:rFonts w:ascii="Arial" w:eastAsia="Times New Roman" w:hAnsi="Arial" w:cs="Arial"/>
                <w:color w:val="000000" w:themeColor="text1"/>
                <w:sz w:val="24"/>
                <w:szCs w:val="24"/>
                <w:lang w:eastAsia="en-GB"/>
              </w:rPr>
            </w:pPr>
            <w:r w:rsidRPr="00C92ECE">
              <w:rPr>
                <w:rFonts w:ascii="Arial" w:eastAsia="Times New Roman" w:hAnsi="Arial" w:cs="Arial"/>
                <w:color w:val="000000" w:themeColor="text1"/>
                <w:sz w:val="24"/>
                <w:szCs w:val="24"/>
                <w:lang w:eastAsia="en-GB"/>
              </w:rPr>
              <w:t xml:space="preserve">Gwent collaborated closely with four </w:t>
            </w:r>
            <w:r w:rsidR="00D80F2D">
              <w:rPr>
                <w:rFonts w:ascii="Arial" w:eastAsia="Times New Roman" w:hAnsi="Arial" w:cs="Arial"/>
                <w:color w:val="000000" w:themeColor="text1"/>
                <w:sz w:val="24"/>
                <w:szCs w:val="24"/>
                <w:lang w:eastAsia="en-GB"/>
              </w:rPr>
              <w:t>s</w:t>
            </w:r>
            <w:r w:rsidRPr="00C92ECE">
              <w:rPr>
                <w:rFonts w:ascii="Arial" w:eastAsia="Times New Roman" w:hAnsi="Arial" w:cs="Arial"/>
                <w:color w:val="000000" w:themeColor="text1"/>
                <w:sz w:val="24"/>
                <w:szCs w:val="24"/>
                <w:lang w:eastAsia="en-GB"/>
              </w:rPr>
              <w:t xml:space="preserve">ocial </w:t>
            </w:r>
            <w:r w:rsidR="00D80F2D">
              <w:rPr>
                <w:rFonts w:ascii="Arial" w:eastAsia="Times New Roman" w:hAnsi="Arial" w:cs="Arial"/>
                <w:color w:val="000000" w:themeColor="text1"/>
                <w:sz w:val="24"/>
                <w:szCs w:val="24"/>
                <w:lang w:eastAsia="en-GB"/>
              </w:rPr>
              <w:t>w</w:t>
            </w:r>
            <w:r w:rsidRPr="00C92ECE">
              <w:rPr>
                <w:rFonts w:ascii="Arial" w:eastAsia="Times New Roman" w:hAnsi="Arial" w:cs="Arial"/>
                <w:color w:val="000000" w:themeColor="text1"/>
                <w:sz w:val="24"/>
                <w:szCs w:val="24"/>
                <w:lang w:eastAsia="en-GB"/>
              </w:rPr>
              <w:t xml:space="preserve">ork </w:t>
            </w:r>
            <w:r w:rsidR="00D80F2D">
              <w:rPr>
                <w:rFonts w:ascii="Arial" w:eastAsia="Times New Roman" w:hAnsi="Arial" w:cs="Arial"/>
                <w:color w:val="000000" w:themeColor="text1"/>
                <w:sz w:val="24"/>
                <w:szCs w:val="24"/>
                <w:lang w:eastAsia="en-GB"/>
              </w:rPr>
              <w:t>d</w:t>
            </w:r>
            <w:r w:rsidRPr="00C92ECE">
              <w:rPr>
                <w:rFonts w:ascii="Arial" w:eastAsia="Times New Roman" w:hAnsi="Arial" w:cs="Arial"/>
                <w:color w:val="000000" w:themeColor="text1"/>
                <w:sz w:val="24"/>
                <w:szCs w:val="24"/>
                <w:lang w:eastAsia="en-GB"/>
              </w:rPr>
              <w:t xml:space="preserve">egree </w:t>
            </w:r>
            <w:r w:rsidR="00D80F2D">
              <w:rPr>
                <w:rFonts w:ascii="Arial" w:eastAsia="Times New Roman" w:hAnsi="Arial" w:cs="Arial"/>
                <w:color w:val="000000" w:themeColor="text1"/>
                <w:sz w:val="24"/>
                <w:szCs w:val="24"/>
                <w:lang w:eastAsia="en-GB"/>
              </w:rPr>
              <w:t>p</w:t>
            </w:r>
            <w:r w:rsidRPr="00C92ECE">
              <w:rPr>
                <w:rFonts w:ascii="Arial" w:eastAsia="Times New Roman" w:hAnsi="Arial" w:cs="Arial"/>
                <w:color w:val="000000" w:themeColor="text1"/>
                <w:sz w:val="24"/>
                <w:szCs w:val="24"/>
                <w:lang w:eastAsia="en-GB"/>
              </w:rPr>
              <w:t>rogramme providers, monitoring the impact of changes to entry requirements on both applicant numbers and quality</w:t>
            </w:r>
            <w:r w:rsidR="00D80F2D">
              <w:rPr>
                <w:rFonts w:ascii="Arial" w:eastAsia="Times New Roman" w:hAnsi="Arial" w:cs="Arial"/>
                <w:color w:val="000000" w:themeColor="text1"/>
                <w:sz w:val="24"/>
                <w:szCs w:val="24"/>
                <w:lang w:eastAsia="en-GB"/>
              </w:rPr>
              <w:t>. They</w:t>
            </w:r>
            <w:r w:rsidRPr="00C92ECE">
              <w:rPr>
                <w:rFonts w:ascii="Arial" w:eastAsia="Times New Roman" w:hAnsi="Arial" w:cs="Arial"/>
                <w:color w:val="000000" w:themeColor="text1"/>
                <w:sz w:val="24"/>
                <w:szCs w:val="24"/>
                <w:lang w:eastAsia="en-GB"/>
              </w:rPr>
              <w:t xml:space="preserve"> remained a key player in </w:t>
            </w:r>
            <w:r w:rsidR="00D80F2D">
              <w:rPr>
                <w:rFonts w:ascii="Arial" w:eastAsia="Times New Roman" w:hAnsi="Arial" w:cs="Arial"/>
                <w:color w:val="000000" w:themeColor="text1"/>
                <w:sz w:val="24"/>
                <w:szCs w:val="24"/>
                <w:lang w:eastAsia="en-GB"/>
              </w:rPr>
              <w:t>p</w:t>
            </w:r>
            <w:r w:rsidRPr="00C92ECE">
              <w:rPr>
                <w:rFonts w:ascii="Arial" w:eastAsia="Times New Roman" w:hAnsi="Arial" w:cs="Arial"/>
                <w:color w:val="000000" w:themeColor="text1"/>
                <w:sz w:val="24"/>
                <w:szCs w:val="24"/>
                <w:lang w:eastAsia="en-GB"/>
              </w:rPr>
              <w:t xml:space="preserve">rogramme management boards, maintaining a visible presence and holding leadership roles such as Chair and Vice Chair. (Gwent </w:t>
            </w:r>
            <w:r w:rsidR="00D80F2D">
              <w:rPr>
                <w:rFonts w:ascii="Arial" w:eastAsia="Times New Roman" w:hAnsi="Arial" w:cs="Arial"/>
                <w:color w:val="000000" w:themeColor="text1"/>
                <w:sz w:val="24"/>
                <w:szCs w:val="24"/>
                <w:lang w:eastAsia="en-GB"/>
              </w:rPr>
              <w:t>r</w:t>
            </w:r>
            <w:r w:rsidRPr="00C92ECE">
              <w:rPr>
                <w:rFonts w:ascii="Arial" w:eastAsia="Times New Roman" w:hAnsi="Arial" w:cs="Arial"/>
                <w:color w:val="000000" w:themeColor="text1"/>
                <w:sz w:val="24"/>
                <w:szCs w:val="24"/>
                <w:lang w:eastAsia="en-GB"/>
              </w:rPr>
              <w:t>egion)</w:t>
            </w:r>
          </w:p>
        </w:tc>
      </w:tr>
    </w:tbl>
    <w:p w14:paraId="4162A7AD" w14:textId="77777777" w:rsidR="001F75B4" w:rsidRPr="00D362B0" w:rsidRDefault="001F75B4" w:rsidP="00C92ECE">
      <w:pPr>
        <w:spacing w:after="0" w:line="276" w:lineRule="auto"/>
        <w:ind w:left="567"/>
        <w:contextualSpacing/>
        <w:rPr>
          <w:rFonts w:ascii="Arial" w:eastAsia="Calibri" w:hAnsi="Arial" w:cs="Arial"/>
          <w:sz w:val="24"/>
          <w:szCs w:val="24"/>
        </w:rPr>
      </w:pPr>
    </w:p>
    <w:p w14:paraId="525296E5" w14:textId="7EE6BC57" w:rsidR="00AC6141" w:rsidRDefault="00ED2FF8" w:rsidP="00ED2FF8">
      <w:pPr>
        <w:pStyle w:val="ListParagraph"/>
        <w:numPr>
          <w:ilvl w:val="0"/>
          <w:numId w:val="70"/>
        </w:numPr>
        <w:rPr>
          <w:rFonts w:ascii="Arial" w:eastAsia="Calibri" w:hAnsi="Arial" w:cs="Arial"/>
          <w:sz w:val="24"/>
          <w:szCs w:val="24"/>
        </w:rPr>
      </w:pPr>
      <w:r w:rsidRPr="00ED2FF8">
        <w:rPr>
          <w:rFonts w:ascii="Arial" w:eastAsia="Calibri" w:hAnsi="Arial" w:cs="Arial"/>
          <w:sz w:val="24"/>
          <w:szCs w:val="24"/>
        </w:rPr>
        <w:t xml:space="preserve">There is strong collaborative within and across regions, with partners sharing learning and resources to </w:t>
      </w:r>
      <w:r w:rsidR="00D80F2D">
        <w:rPr>
          <w:rFonts w:ascii="Arial" w:eastAsia="Calibri" w:hAnsi="Arial" w:cs="Arial"/>
          <w:sz w:val="24"/>
          <w:szCs w:val="24"/>
        </w:rPr>
        <w:t>meet</w:t>
      </w:r>
      <w:r w:rsidR="00D80F2D" w:rsidRPr="00ED2FF8">
        <w:rPr>
          <w:rFonts w:ascii="Arial" w:eastAsia="Calibri" w:hAnsi="Arial" w:cs="Arial"/>
          <w:sz w:val="24"/>
          <w:szCs w:val="24"/>
        </w:rPr>
        <w:t xml:space="preserve"> </w:t>
      </w:r>
      <w:r w:rsidRPr="00ED2FF8">
        <w:rPr>
          <w:rFonts w:ascii="Arial" w:eastAsia="Calibri" w:hAnsi="Arial" w:cs="Arial"/>
          <w:sz w:val="24"/>
          <w:szCs w:val="24"/>
        </w:rPr>
        <w:t>the workforce</w:t>
      </w:r>
      <w:r w:rsidR="00D80F2D">
        <w:rPr>
          <w:rFonts w:ascii="Arial" w:eastAsia="Calibri" w:hAnsi="Arial" w:cs="Arial"/>
          <w:sz w:val="24"/>
          <w:szCs w:val="24"/>
        </w:rPr>
        <w:t xml:space="preserve"> </w:t>
      </w:r>
      <w:r w:rsidRPr="00ED2FF8">
        <w:rPr>
          <w:rFonts w:ascii="Arial" w:eastAsia="Calibri" w:hAnsi="Arial" w:cs="Arial"/>
          <w:sz w:val="24"/>
          <w:szCs w:val="24"/>
        </w:rPr>
        <w:t>learning and development needs.</w:t>
      </w:r>
    </w:p>
    <w:p w14:paraId="53E9C95A" w14:textId="77777777" w:rsidR="00ED2FF8" w:rsidRDefault="00ED2FF8" w:rsidP="00C92ECE">
      <w:pPr>
        <w:spacing w:after="0"/>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ED2FF8" w:rsidRPr="00537E1A" w14:paraId="4EF08561" w14:textId="77777777" w:rsidTr="00C92ECE">
        <w:trPr>
          <w:jc w:val="center"/>
        </w:trPr>
        <w:tc>
          <w:tcPr>
            <w:tcW w:w="9016" w:type="dxa"/>
          </w:tcPr>
          <w:p w14:paraId="00296411" w14:textId="2A161B39" w:rsidR="00ED2FF8" w:rsidRPr="00537E1A" w:rsidRDefault="00B10085" w:rsidP="00ED2FF8">
            <w:pPr>
              <w:rPr>
                <w:rFonts w:ascii="Arial" w:eastAsia="Calibri" w:hAnsi="Arial" w:cs="Arial"/>
                <w:sz w:val="24"/>
                <w:szCs w:val="24"/>
              </w:rPr>
            </w:pPr>
            <w:r w:rsidRPr="00C92ECE">
              <w:rPr>
                <w:rFonts w:ascii="Arial" w:eastAsia="Times New Roman" w:hAnsi="Arial" w:cs="Arial"/>
                <w:color w:val="000000" w:themeColor="text1"/>
                <w:sz w:val="24"/>
                <w:szCs w:val="24"/>
                <w:lang w:eastAsia="en-GB"/>
              </w:rPr>
              <w:t>Gwent facilitated</w:t>
            </w:r>
            <w:r w:rsidR="00290E26">
              <w:rPr>
                <w:rFonts w:ascii="Arial" w:eastAsia="Times New Roman" w:hAnsi="Arial" w:cs="Arial"/>
                <w:color w:val="000000" w:themeColor="text1"/>
                <w:sz w:val="24"/>
                <w:szCs w:val="24"/>
                <w:lang w:eastAsia="en-GB"/>
              </w:rPr>
              <w:t xml:space="preserve"> and Chaired</w:t>
            </w:r>
            <w:r w:rsidRPr="00C92ECE">
              <w:rPr>
                <w:rFonts w:ascii="Arial" w:eastAsia="Times New Roman" w:hAnsi="Arial" w:cs="Arial"/>
                <w:color w:val="000000" w:themeColor="text1"/>
                <w:sz w:val="24"/>
                <w:szCs w:val="24"/>
                <w:lang w:eastAsia="en-GB"/>
              </w:rPr>
              <w:t xml:space="preserve"> the Wales L</w:t>
            </w:r>
            <w:r w:rsidR="00290E26">
              <w:rPr>
                <w:rFonts w:ascii="Arial" w:eastAsia="Times New Roman" w:hAnsi="Arial" w:cs="Arial"/>
                <w:color w:val="000000" w:themeColor="text1"/>
                <w:sz w:val="24"/>
                <w:szCs w:val="24"/>
                <w:lang w:eastAsia="en-GB"/>
              </w:rPr>
              <w:t xml:space="preserve">ocal </w:t>
            </w:r>
            <w:r w:rsidRPr="00C92ECE">
              <w:rPr>
                <w:rFonts w:ascii="Arial" w:eastAsia="Times New Roman" w:hAnsi="Arial" w:cs="Arial"/>
                <w:color w:val="000000" w:themeColor="text1"/>
                <w:sz w:val="24"/>
                <w:szCs w:val="24"/>
                <w:lang w:eastAsia="en-GB"/>
              </w:rPr>
              <w:t>F</w:t>
            </w:r>
            <w:r w:rsidR="00290E26">
              <w:rPr>
                <w:rFonts w:ascii="Arial" w:eastAsia="Times New Roman" w:hAnsi="Arial" w:cs="Arial"/>
                <w:color w:val="000000" w:themeColor="text1"/>
                <w:sz w:val="24"/>
                <w:szCs w:val="24"/>
                <w:lang w:eastAsia="en-GB"/>
              </w:rPr>
              <w:t xml:space="preserve">amily </w:t>
            </w:r>
            <w:r w:rsidRPr="00C92ECE">
              <w:rPr>
                <w:rFonts w:ascii="Arial" w:eastAsia="Times New Roman" w:hAnsi="Arial" w:cs="Arial"/>
                <w:color w:val="000000" w:themeColor="text1"/>
                <w:sz w:val="24"/>
                <w:szCs w:val="24"/>
                <w:lang w:eastAsia="en-GB"/>
              </w:rPr>
              <w:t>J</w:t>
            </w:r>
            <w:r w:rsidR="00290E26">
              <w:rPr>
                <w:rFonts w:ascii="Arial" w:eastAsia="Times New Roman" w:hAnsi="Arial" w:cs="Arial"/>
                <w:color w:val="000000" w:themeColor="text1"/>
                <w:sz w:val="24"/>
                <w:szCs w:val="24"/>
                <w:lang w:eastAsia="en-GB"/>
              </w:rPr>
              <w:t xml:space="preserve">ustice Board learning and development </w:t>
            </w:r>
            <w:r w:rsidRPr="00C92ECE">
              <w:rPr>
                <w:rFonts w:ascii="Arial" w:eastAsia="Times New Roman" w:hAnsi="Arial" w:cs="Arial"/>
                <w:color w:val="000000" w:themeColor="text1"/>
                <w:sz w:val="24"/>
                <w:szCs w:val="24"/>
                <w:lang w:eastAsia="en-GB"/>
              </w:rPr>
              <w:t>group on behalf of the three</w:t>
            </w:r>
            <w:r w:rsidR="006062B1">
              <w:rPr>
                <w:rFonts w:ascii="Arial" w:eastAsia="Times New Roman" w:hAnsi="Arial" w:cs="Arial"/>
                <w:color w:val="000000" w:themeColor="text1"/>
                <w:sz w:val="24"/>
                <w:szCs w:val="24"/>
                <w:lang w:eastAsia="en-GB"/>
              </w:rPr>
              <w:t xml:space="preserve"> </w:t>
            </w:r>
            <w:r w:rsidR="00290E26">
              <w:rPr>
                <w:rFonts w:ascii="Arial" w:eastAsia="Times New Roman" w:hAnsi="Arial" w:cs="Arial"/>
                <w:color w:val="000000" w:themeColor="text1"/>
                <w:sz w:val="24"/>
                <w:szCs w:val="24"/>
                <w:lang w:eastAsia="en-GB"/>
              </w:rPr>
              <w:t>Local Family Justice Boards</w:t>
            </w:r>
            <w:r w:rsidRPr="00C92ECE">
              <w:rPr>
                <w:rFonts w:ascii="Arial" w:eastAsia="Times New Roman" w:hAnsi="Arial" w:cs="Arial"/>
                <w:color w:val="000000" w:themeColor="text1"/>
                <w:sz w:val="24"/>
                <w:szCs w:val="24"/>
                <w:lang w:eastAsia="en-GB"/>
              </w:rPr>
              <w:t>. The outcome of 2024</w:t>
            </w:r>
            <w:r w:rsidR="00D80F2D">
              <w:rPr>
                <w:rFonts w:ascii="Arial" w:eastAsia="Times New Roman" w:hAnsi="Arial" w:cs="Arial"/>
                <w:color w:val="000000" w:themeColor="text1"/>
                <w:sz w:val="24"/>
                <w:szCs w:val="24"/>
                <w:lang w:eastAsia="en-GB"/>
              </w:rPr>
              <w:t xml:space="preserve"> to 20</w:t>
            </w:r>
            <w:r w:rsidRPr="00C92ECE">
              <w:rPr>
                <w:rFonts w:ascii="Arial" w:eastAsia="Times New Roman" w:hAnsi="Arial" w:cs="Arial"/>
                <w:color w:val="000000" w:themeColor="text1"/>
                <w:sz w:val="24"/>
                <w:szCs w:val="24"/>
                <w:lang w:eastAsia="en-GB"/>
              </w:rPr>
              <w:t>25 work will be launched in the first half of 2025</w:t>
            </w:r>
            <w:r w:rsidR="00D80F2D">
              <w:rPr>
                <w:rFonts w:ascii="Arial" w:eastAsia="Times New Roman" w:hAnsi="Arial" w:cs="Arial"/>
                <w:color w:val="000000" w:themeColor="text1"/>
                <w:sz w:val="24"/>
                <w:szCs w:val="24"/>
                <w:lang w:eastAsia="en-GB"/>
              </w:rPr>
              <w:t xml:space="preserve"> to 20</w:t>
            </w:r>
            <w:r w:rsidRPr="00C92ECE">
              <w:rPr>
                <w:rFonts w:ascii="Arial" w:eastAsia="Times New Roman" w:hAnsi="Arial" w:cs="Arial"/>
                <w:color w:val="000000" w:themeColor="text1"/>
                <w:sz w:val="24"/>
                <w:szCs w:val="24"/>
                <w:lang w:eastAsia="en-GB"/>
              </w:rPr>
              <w:t xml:space="preserve">26 with the release of a </w:t>
            </w:r>
            <w:r w:rsidR="00290E26">
              <w:rPr>
                <w:rFonts w:ascii="Arial" w:eastAsia="Times New Roman" w:hAnsi="Arial" w:cs="Arial"/>
                <w:color w:val="000000" w:themeColor="text1"/>
                <w:sz w:val="24"/>
                <w:szCs w:val="24"/>
                <w:lang w:eastAsia="en-GB"/>
              </w:rPr>
              <w:t>c</w:t>
            </w:r>
            <w:r w:rsidRPr="00C92ECE">
              <w:rPr>
                <w:rFonts w:ascii="Arial" w:eastAsia="Times New Roman" w:hAnsi="Arial" w:cs="Arial"/>
                <w:color w:val="000000" w:themeColor="text1"/>
                <w:sz w:val="24"/>
                <w:szCs w:val="24"/>
                <w:lang w:eastAsia="en-GB"/>
              </w:rPr>
              <w:t xml:space="preserve">ourt </w:t>
            </w:r>
            <w:r w:rsidR="00290E26">
              <w:rPr>
                <w:rFonts w:ascii="Arial" w:eastAsia="Times New Roman" w:hAnsi="Arial" w:cs="Arial"/>
                <w:color w:val="000000" w:themeColor="text1"/>
                <w:sz w:val="24"/>
                <w:szCs w:val="24"/>
                <w:lang w:eastAsia="en-GB"/>
              </w:rPr>
              <w:t>s</w:t>
            </w:r>
            <w:r w:rsidRPr="00C92ECE">
              <w:rPr>
                <w:rFonts w:ascii="Arial" w:eastAsia="Times New Roman" w:hAnsi="Arial" w:cs="Arial"/>
                <w:color w:val="000000" w:themeColor="text1"/>
                <w:sz w:val="24"/>
                <w:szCs w:val="24"/>
                <w:lang w:eastAsia="en-GB"/>
              </w:rPr>
              <w:t xml:space="preserve">kills </w:t>
            </w:r>
            <w:r w:rsidR="00290E26">
              <w:rPr>
                <w:rFonts w:ascii="Arial" w:eastAsia="Times New Roman" w:hAnsi="Arial" w:cs="Arial"/>
                <w:color w:val="000000" w:themeColor="text1"/>
                <w:sz w:val="24"/>
                <w:szCs w:val="24"/>
                <w:lang w:eastAsia="en-GB"/>
              </w:rPr>
              <w:t>t</w:t>
            </w:r>
            <w:r w:rsidRPr="00C92ECE">
              <w:rPr>
                <w:rFonts w:ascii="Arial" w:eastAsia="Times New Roman" w:hAnsi="Arial" w:cs="Arial"/>
                <w:color w:val="000000" w:themeColor="text1"/>
                <w:sz w:val="24"/>
                <w:szCs w:val="24"/>
                <w:lang w:eastAsia="en-GB"/>
              </w:rPr>
              <w:t>oolkit, funded by S</w:t>
            </w:r>
            <w:r w:rsidR="00290E26">
              <w:rPr>
                <w:rFonts w:ascii="Arial" w:eastAsia="Times New Roman" w:hAnsi="Arial" w:cs="Arial"/>
                <w:color w:val="000000" w:themeColor="text1"/>
                <w:sz w:val="24"/>
                <w:szCs w:val="24"/>
                <w:lang w:eastAsia="en-GB"/>
              </w:rPr>
              <w:t xml:space="preserve">ocial </w:t>
            </w:r>
            <w:r w:rsidRPr="00C92ECE">
              <w:rPr>
                <w:rFonts w:ascii="Arial" w:eastAsia="Times New Roman" w:hAnsi="Arial" w:cs="Arial"/>
                <w:color w:val="000000" w:themeColor="text1"/>
                <w:sz w:val="24"/>
                <w:szCs w:val="24"/>
                <w:lang w:eastAsia="en-GB"/>
              </w:rPr>
              <w:t>C</w:t>
            </w:r>
            <w:r w:rsidR="00290E26">
              <w:rPr>
                <w:rFonts w:ascii="Arial" w:eastAsia="Times New Roman" w:hAnsi="Arial" w:cs="Arial"/>
                <w:color w:val="000000" w:themeColor="text1"/>
                <w:sz w:val="24"/>
                <w:szCs w:val="24"/>
                <w:lang w:eastAsia="en-GB"/>
              </w:rPr>
              <w:t xml:space="preserve">are </w:t>
            </w:r>
            <w:r w:rsidRPr="00C92ECE">
              <w:rPr>
                <w:rFonts w:ascii="Arial" w:eastAsia="Times New Roman" w:hAnsi="Arial" w:cs="Arial"/>
                <w:color w:val="000000" w:themeColor="text1"/>
                <w:sz w:val="24"/>
                <w:szCs w:val="24"/>
                <w:lang w:eastAsia="en-GB"/>
              </w:rPr>
              <w:t>W</w:t>
            </w:r>
            <w:r w:rsidR="00290E26">
              <w:rPr>
                <w:rFonts w:ascii="Arial" w:eastAsia="Times New Roman" w:hAnsi="Arial" w:cs="Arial"/>
                <w:color w:val="000000" w:themeColor="text1"/>
                <w:sz w:val="24"/>
                <w:szCs w:val="24"/>
                <w:lang w:eastAsia="en-GB"/>
              </w:rPr>
              <w:t>ales</w:t>
            </w:r>
            <w:r w:rsidRPr="00C92ECE">
              <w:rPr>
                <w:rFonts w:ascii="Arial" w:eastAsia="Times New Roman" w:hAnsi="Arial" w:cs="Arial"/>
                <w:color w:val="000000" w:themeColor="text1"/>
                <w:sz w:val="24"/>
                <w:szCs w:val="24"/>
                <w:lang w:eastAsia="en-GB"/>
              </w:rPr>
              <w:t xml:space="preserve">, for use by all 22 </w:t>
            </w:r>
            <w:r w:rsidR="00290E26">
              <w:rPr>
                <w:rFonts w:ascii="Arial" w:eastAsia="Times New Roman" w:hAnsi="Arial" w:cs="Arial"/>
                <w:color w:val="000000" w:themeColor="text1"/>
                <w:sz w:val="24"/>
                <w:szCs w:val="24"/>
                <w:lang w:eastAsia="en-GB"/>
              </w:rPr>
              <w:t xml:space="preserve">local </w:t>
            </w:r>
            <w:r w:rsidR="00093DB7">
              <w:rPr>
                <w:rFonts w:ascii="Arial" w:eastAsia="Times New Roman" w:hAnsi="Arial" w:cs="Arial"/>
                <w:color w:val="000000" w:themeColor="text1"/>
                <w:sz w:val="24"/>
                <w:szCs w:val="24"/>
                <w:lang w:eastAsia="en-GB"/>
              </w:rPr>
              <w:t>authorities</w:t>
            </w:r>
            <w:r w:rsidRPr="00C92ECE">
              <w:rPr>
                <w:rFonts w:ascii="Arial" w:eastAsia="Times New Roman" w:hAnsi="Arial" w:cs="Arial"/>
                <w:color w:val="000000" w:themeColor="text1"/>
                <w:sz w:val="24"/>
                <w:szCs w:val="24"/>
                <w:lang w:eastAsia="en-GB"/>
              </w:rPr>
              <w:t xml:space="preserve">. The toolkit is a series of filmed lectures, with training aids, to improve the confidence of </w:t>
            </w:r>
            <w:r w:rsidR="00290E26">
              <w:rPr>
                <w:rFonts w:ascii="Arial" w:eastAsia="Times New Roman" w:hAnsi="Arial" w:cs="Arial"/>
                <w:color w:val="000000" w:themeColor="text1"/>
                <w:sz w:val="24"/>
                <w:szCs w:val="24"/>
                <w:lang w:eastAsia="en-GB"/>
              </w:rPr>
              <w:t>newly qualifies social workers</w:t>
            </w:r>
            <w:r w:rsidRPr="00C92ECE">
              <w:rPr>
                <w:rFonts w:ascii="Arial" w:eastAsia="Times New Roman" w:hAnsi="Arial" w:cs="Arial"/>
                <w:color w:val="000000" w:themeColor="text1"/>
                <w:sz w:val="24"/>
                <w:szCs w:val="24"/>
                <w:lang w:eastAsia="en-GB"/>
              </w:rPr>
              <w:t xml:space="preserve"> and </w:t>
            </w:r>
            <w:r w:rsidR="00290E26">
              <w:rPr>
                <w:rFonts w:ascii="Arial" w:eastAsia="Times New Roman" w:hAnsi="Arial" w:cs="Arial"/>
                <w:color w:val="000000" w:themeColor="text1"/>
                <w:sz w:val="24"/>
                <w:szCs w:val="24"/>
                <w:lang w:eastAsia="en-GB"/>
              </w:rPr>
              <w:t xml:space="preserve">is used as a </w:t>
            </w:r>
            <w:r w:rsidR="00093DB7">
              <w:rPr>
                <w:rFonts w:ascii="Arial" w:eastAsia="Times New Roman" w:hAnsi="Arial" w:cs="Arial"/>
                <w:color w:val="000000" w:themeColor="text1"/>
                <w:sz w:val="24"/>
                <w:szCs w:val="24"/>
                <w:lang w:eastAsia="en-GB"/>
              </w:rPr>
              <w:t>refresher</w:t>
            </w:r>
            <w:r w:rsidRPr="00C92ECE">
              <w:rPr>
                <w:rFonts w:ascii="Arial" w:eastAsia="Times New Roman" w:hAnsi="Arial" w:cs="Arial"/>
                <w:color w:val="000000" w:themeColor="text1"/>
                <w:sz w:val="24"/>
                <w:szCs w:val="24"/>
                <w:lang w:eastAsia="en-GB"/>
              </w:rPr>
              <w:t xml:space="preserve"> for all </w:t>
            </w:r>
            <w:r w:rsidR="00290E26">
              <w:rPr>
                <w:rFonts w:ascii="Arial" w:eastAsia="Times New Roman" w:hAnsi="Arial" w:cs="Arial"/>
                <w:color w:val="000000" w:themeColor="text1"/>
                <w:sz w:val="24"/>
                <w:szCs w:val="24"/>
                <w:lang w:eastAsia="en-GB"/>
              </w:rPr>
              <w:t>social workers.</w:t>
            </w:r>
            <w:r w:rsidRPr="00C92ECE">
              <w:rPr>
                <w:rFonts w:ascii="Arial" w:eastAsia="Times New Roman" w:hAnsi="Arial" w:cs="Arial"/>
                <w:color w:val="000000" w:themeColor="text1"/>
                <w:sz w:val="24"/>
                <w:szCs w:val="24"/>
                <w:lang w:eastAsia="en-GB"/>
              </w:rPr>
              <w:t xml:space="preserve"> (Gwent </w:t>
            </w:r>
            <w:r w:rsidR="00D80F2D">
              <w:rPr>
                <w:rFonts w:ascii="Arial" w:eastAsia="Times New Roman" w:hAnsi="Arial" w:cs="Arial"/>
                <w:color w:val="000000" w:themeColor="text1"/>
                <w:sz w:val="24"/>
                <w:szCs w:val="24"/>
                <w:lang w:eastAsia="en-GB"/>
              </w:rPr>
              <w:t>r</w:t>
            </w:r>
            <w:r w:rsidRPr="00C92ECE">
              <w:rPr>
                <w:rFonts w:ascii="Arial" w:eastAsia="Times New Roman" w:hAnsi="Arial" w:cs="Arial"/>
                <w:color w:val="000000" w:themeColor="text1"/>
                <w:sz w:val="24"/>
                <w:szCs w:val="24"/>
                <w:lang w:eastAsia="en-GB"/>
              </w:rPr>
              <w:t>egion)</w:t>
            </w:r>
          </w:p>
        </w:tc>
      </w:tr>
    </w:tbl>
    <w:p w14:paraId="1A8BAC8E" w14:textId="77777777" w:rsidR="00D8659D" w:rsidRDefault="005B4CD8" w:rsidP="005B4CD8">
      <w:pPr>
        <w:spacing w:after="0" w:line="240" w:lineRule="auto"/>
        <w:rPr>
          <w:rFonts w:ascii="Arial" w:eastAsia="Calibri" w:hAnsi="Arial" w:cs="Arial"/>
          <w:sz w:val="24"/>
          <w:szCs w:val="24"/>
        </w:rPr>
      </w:pPr>
      <w:r w:rsidRPr="00C92ECE">
        <w:rPr>
          <w:rFonts w:ascii="Arial" w:eastAsia="Calibri" w:hAnsi="Arial" w:cs="Arial"/>
          <w:sz w:val="24"/>
          <w:szCs w:val="24"/>
        </w:rPr>
        <w:t xml:space="preserve"> </w:t>
      </w:r>
    </w:p>
    <w:p w14:paraId="7DD8419F" w14:textId="0DCAFB51" w:rsidR="005B4CD8" w:rsidRPr="00BB471B" w:rsidRDefault="005B4CD8" w:rsidP="005B4CD8">
      <w:pPr>
        <w:spacing w:after="0" w:line="240" w:lineRule="auto"/>
        <w:rPr>
          <w:rFonts w:ascii="Arial" w:eastAsia="Calibri" w:hAnsi="Arial" w:cs="Arial"/>
          <w:b/>
          <w:bCs/>
          <w:sz w:val="24"/>
          <w:szCs w:val="24"/>
          <w:shd w:val="clear" w:color="auto" w:fill="FFFFFF"/>
        </w:rPr>
      </w:pPr>
      <w:r w:rsidRPr="00BB471B">
        <w:rPr>
          <w:rFonts w:ascii="Arial" w:eastAsia="Calibri" w:hAnsi="Arial" w:cs="Arial"/>
          <w:b/>
          <w:bCs/>
          <w:sz w:val="24"/>
          <w:szCs w:val="24"/>
          <w:shd w:val="clear" w:color="auto" w:fill="FFFFFF"/>
        </w:rPr>
        <w:t xml:space="preserve">Structured </w:t>
      </w:r>
      <w:r w:rsidR="00290E26" w:rsidRPr="00BB471B">
        <w:rPr>
          <w:rFonts w:ascii="Arial" w:eastAsia="Calibri" w:hAnsi="Arial" w:cs="Arial"/>
          <w:b/>
          <w:bCs/>
          <w:sz w:val="24"/>
          <w:szCs w:val="24"/>
          <w:shd w:val="clear" w:color="auto" w:fill="FFFFFF"/>
        </w:rPr>
        <w:t>s</w:t>
      </w:r>
      <w:r w:rsidRPr="00BB471B">
        <w:rPr>
          <w:rFonts w:ascii="Arial" w:eastAsia="Calibri" w:hAnsi="Arial" w:cs="Arial"/>
          <w:b/>
          <w:bCs/>
          <w:sz w:val="24"/>
          <w:szCs w:val="24"/>
          <w:shd w:val="clear" w:color="auto" w:fill="FFFFFF"/>
        </w:rPr>
        <w:t xml:space="preserve">upport for </w:t>
      </w:r>
      <w:r w:rsidR="00290E26" w:rsidRPr="00BB471B">
        <w:rPr>
          <w:rFonts w:ascii="Arial" w:eastAsia="Calibri" w:hAnsi="Arial" w:cs="Arial"/>
          <w:b/>
          <w:bCs/>
          <w:sz w:val="24"/>
          <w:szCs w:val="24"/>
          <w:shd w:val="clear" w:color="auto" w:fill="FFFFFF"/>
        </w:rPr>
        <w:t xml:space="preserve">newly qualified social workers </w:t>
      </w:r>
    </w:p>
    <w:p w14:paraId="0496572E" w14:textId="77777777" w:rsidR="009E2DA1" w:rsidRPr="005B4CD8" w:rsidRDefault="009E2DA1" w:rsidP="005B4CD8">
      <w:pPr>
        <w:spacing w:after="0" w:line="240" w:lineRule="auto"/>
        <w:rPr>
          <w:rFonts w:ascii="Arial" w:eastAsia="Calibri" w:hAnsi="Arial" w:cs="Arial"/>
          <w:b/>
          <w:bCs/>
          <w:sz w:val="24"/>
          <w:szCs w:val="24"/>
          <w:shd w:val="clear" w:color="auto" w:fill="FFFFFF"/>
        </w:rPr>
      </w:pPr>
    </w:p>
    <w:p w14:paraId="62E379F7" w14:textId="68DF09ED" w:rsidR="005B4CD8" w:rsidRDefault="00AC6141" w:rsidP="00507D5B">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bCs/>
          <w:sz w:val="24"/>
          <w:szCs w:val="24"/>
        </w:rPr>
        <w:t xml:space="preserve">There continues to be a strong focus on the support needs of newly qualified social workers. </w:t>
      </w:r>
      <w:r w:rsidR="005B4CD8" w:rsidRPr="00C92ECE">
        <w:rPr>
          <w:rFonts w:ascii="Arial" w:eastAsia="Calibri" w:hAnsi="Arial" w:cs="Arial"/>
          <w:sz w:val="24"/>
          <w:szCs w:val="24"/>
        </w:rPr>
        <w:t>Every region runs a structured “</w:t>
      </w:r>
      <w:r w:rsidR="00FA34C2">
        <w:rPr>
          <w:rFonts w:ascii="Arial" w:eastAsia="Calibri" w:hAnsi="Arial" w:cs="Arial"/>
          <w:sz w:val="24"/>
          <w:szCs w:val="24"/>
        </w:rPr>
        <w:t>f</w:t>
      </w:r>
      <w:r w:rsidR="005B4CD8" w:rsidRPr="00C92ECE">
        <w:rPr>
          <w:rFonts w:ascii="Arial" w:eastAsia="Calibri" w:hAnsi="Arial" w:cs="Arial"/>
          <w:sz w:val="24"/>
          <w:szCs w:val="24"/>
        </w:rPr>
        <w:t xml:space="preserve">irst </w:t>
      </w:r>
      <w:r w:rsidR="00FA34C2">
        <w:rPr>
          <w:rFonts w:ascii="Arial" w:eastAsia="Calibri" w:hAnsi="Arial" w:cs="Arial"/>
          <w:sz w:val="24"/>
          <w:szCs w:val="24"/>
        </w:rPr>
        <w:t>t</w:t>
      </w:r>
      <w:r w:rsidR="005B4CD8" w:rsidRPr="00C92ECE">
        <w:rPr>
          <w:rFonts w:ascii="Arial" w:eastAsia="Calibri" w:hAnsi="Arial" w:cs="Arial"/>
          <w:sz w:val="24"/>
          <w:szCs w:val="24"/>
        </w:rPr>
        <w:t xml:space="preserve">hree </w:t>
      </w:r>
      <w:r w:rsidR="00FA34C2">
        <w:rPr>
          <w:rFonts w:ascii="Arial" w:eastAsia="Calibri" w:hAnsi="Arial" w:cs="Arial"/>
          <w:sz w:val="24"/>
          <w:szCs w:val="24"/>
        </w:rPr>
        <w:t>y</w:t>
      </w:r>
      <w:r w:rsidR="005B4CD8" w:rsidRPr="00C92ECE">
        <w:rPr>
          <w:rFonts w:ascii="Arial" w:eastAsia="Calibri" w:hAnsi="Arial" w:cs="Arial"/>
          <w:sz w:val="24"/>
          <w:szCs w:val="24"/>
        </w:rPr>
        <w:t xml:space="preserve">ears in </w:t>
      </w:r>
      <w:r w:rsidR="00FA34C2">
        <w:rPr>
          <w:rFonts w:ascii="Arial" w:eastAsia="Calibri" w:hAnsi="Arial" w:cs="Arial"/>
          <w:sz w:val="24"/>
          <w:szCs w:val="24"/>
        </w:rPr>
        <w:t>p</w:t>
      </w:r>
      <w:r w:rsidR="005B4CD8" w:rsidRPr="00C92ECE">
        <w:rPr>
          <w:rFonts w:ascii="Arial" w:eastAsia="Calibri" w:hAnsi="Arial" w:cs="Arial"/>
          <w:sz w:val="24"/>
          <w:szCs w:val="24"/>
        </w:rPr>
        <w:t>ractice” or equivalent programme</w:t>
      </w:r>
      <w:r w:rsidR="00FA34C2">
        <w:rPr>
          <w:rFonts w:ascii="Arial" w:eastAsia="Calibri" w:hAnsi="Arial" w:cs="Arial"/>
          <w:sz w:val="24"/>
          <w:szCs w:val="24"/>
        </w:rPr>
        <w:t>,</w:t>
      </w:r>
      <w:r w:rsidRPr="00D362B0">
        <w:rPr>
          <w:rFonts w:ascii="Arial" w:eastAsia="Calibri" w:hAnsi="Arial" w:cs="Arial"/>
          <w:sz w:val="24"/>
          <w:szCs w:val="24"/>
        </w:rPr>
        <w:t xml:space="preserve"> and support includes </w:t>
      </w:r>
      <w:r w:rsidR="005B4CD8" w:rsidRPr="00C92ECE">
        <w:rPr>
          <w:rFonts w:ascii="Arial" w:eastAsia="Calibri" w:hAnsi="Arial" w:cs="Arial"/>
          <w:sz w:val="24"/>
          <w:szCs w:val="24"/>
        </w:rPr>
        <w:t>individual development plans, mentoring, peer support, regular workshops, and reviews.</w:t>
      </w:r>
    </w:p>
    <w:p w14:paraId="4068EC6A" w14:textId="77777777" w:rsidR="00422172" w:rsidRDefault="00422172" w:rsidP="00422172">
      <w:pPr>
        <w:spacing w:after="0" w:line="276" w:lineRule="auto"/>
        <w:ind w:left="567"/>
        <w:contextualSpacing/>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422172" w:rsidRPr="00537E1A" w14:paraId="1BA8052A" w14:textId="77777777" w:rsidTr="00C92ECE">
        <w:trPr>
          <w:jc w:val="center"/>
        </w:trPr>
        <w:tc>
          <w:tcPr>
            <w:tcW w:w="9016" w:type="dxa"/>
          </w:tcPr>
          <w:p w14:paraId="3D51F016" w14:textId="1F5FE6AC" w:rsidR="00422172" w:rsidRPr="0091485A" w:rsidRDefault="00422172" w:rsidP="00422172">
            <w:pPr>
              <w:rPr>
                <w:rFonts w:ascii="Arial" w:eastAsia="Calibri" w:hAnsi="Arial" w:cs="Arial"/>
                <w:bCs/>
                <w:iCs/>
                <w:sz w:val="24"/>
                <w:szCs w:val="24"/>
              </w:rPr>
            </w:pPr>
            <w:r w:rsidRPr="0091485A">
              <w:rPr>
                <w:rFonts w:ascii="Arial" w:eastAsia="Calibri" w:hAnsi="Arial" w:cs="Arial"/>
                <w:bCs/>
                <w:iCs/>
                <w:sz w:val="24"/>
                <w:szCs w:val="24"/>
              </w:rPr>
              <w:t xml:space="preserve">All newly qualified social workers are allocated an individual </w:t>
            </w:r>
            <w:r w:rsidR="00FA34C2">
              <w:rPr>
                <w:rFonts w:ascii="Arial" w:eastAsia="Calibri" w:hAnsi="Arial" w:cs="Arial"/>
                <w:bCs/>
                <w:iCs/>
                <w:sz w:val="24"/>
                <w:szCs w:val="24"/>
              </w:rPr>
              <w:t>m</w:t>
            </w:r>
            <w:r w:rsidRPr="0091485A">
              <w:rPr>
                <w:rFonts w:ascii="Arial" w:eastAsia="Calibri" w:hAnsi="Arial" w:cs="Arial"/>
                <w:bCs/>
                <w:iCs/>
                <w:sz w:val="24"/>
                <w:szCs w:val="24"/>
              </w:rPr>
              <w:t xml:space="preserve">entor to support them during their first </w:t>
            </w:r>
            <w:r w:rsidR="00FA34C2">
              <w:rPr>
                <w:rFonts w:ascii="Arial" w:eastAsia="Calibri" w:hAnsi="Arial" w:cs="Arial"/>
                <w:bCs/>
                <w:iCs/>
                <w:sz w:val="24"/>
                <w:szCs w:val="24"/>
              </w:rPr>
              <w:t>year</w:t>
            </w:r>
            <w:r w:rsidRPr="0091485A">
              <w:rPr>
                <w:rFonts w:ascii="Arial" w:eastAsia="Calibri" w:hAnsi="Arial" w:cs="Arial"/>
                <w:bCs/>
                <w:iCs/>
                <w:sz w:val="24"/>
                <w:szCs w:val="24"/>
              </w:rPr>
              <w:t xml:space="preserve">. The </w:t>
            </w:r>
            <w:r w:rsidR="00FA34C2">
              <w:rPr>
                <w:rFonts w:ascii="Arial" w:eastAsia="Calibri" w:hAnsi="Arial" w:cs="Arial"/>
                <w:bCs/>
                <w:iCs/>
                <w:sz w:val="24"/>
                <w:szCs w:val="24"/>
              </w:rPr>
              <w:t>m</w:t>
            </w:r>
            <w:r w:rsidRPr="0091485A">
              <w:rPr>
                <w:rFonts w:ascii="Arial" w:eastAsia="Calibri" w:hAnsi="Arial" w:cs="Arial"/>
                <w:bCs/>
                <w:iCs/>
                <w:sz w:val="24"/>
                <w:szCs w:val="24"/>
              </w:rPr>
              <w:t>entor provides guidance, quality assurance</w:t>
            </w:r>
            <w:r w:rsidR="00FA34C2">
              <w:rPr>
                <w:rFonts w:ascii="Arial" w:eastAsia="Calibri" w:hAnsi="Arial" w:cs="Arial"/>
                <w:bCs/>
                <w:iCs/>
                <w:sz w:val="24"/>
                <w:szCs w:val="24"/>
              </w:rPr>
              <w:t xml:space="preserve"> for example,</w:t>
            </w:r>
            <w:r w:rsidRPr="0091485A">
              <w:rPr>
                <w:rFonts w:ascii="Arial" w:eastAsia="Calibri" w:hAnsi="Arial" w:cs="Arial"/>
                <w:bCs/>
                <w:iCs/>
                <w:sz w:val="24"/>
                <w:szCs w:val="24"/>
              </w:rPr>
              <w:t xml:space="preserve"> assessment report</w:t>
            </w:r>
            <w:r w:rsidR="00FA34C2">
              <w:rPr>
                <w:rFonts w:ascii="Arial" w:eastAsia="Calibri" w:hAnsi="Arial" w:cs="Arial"/>
                <w:bCs/>
                <w:iCs/>
                <w:sz w:val="24"/>
                <w:szCs w:val="24"/>
              </w:rPr>
              <w:t xml:space="preserve">s and so </w:t>
            </w:r>
            <w:r w:rsidR="00093DB7">
              <w:rPr>
                <w:rFonts w:ascii="Arial" w:eastAsia="Calibri" w:hAnsi="Arial" w:cs="Arial"/>
                <w:bCs/>
                <w:iCs/>
                <w:sz w:val="24"/>
                <w:szCs w:val="24"/>
              </w:rPr>
              <w:t>on.</w:t>
            </w:r>
            <w:r w:rsidRPr="0091485A">
              <w:rPr>
                <w:rFonts w:ascii="Arial" w:eastAsia="Calibri" w:hAnsi="Arial" w:cs="Arial"/>
                <w:bCs/>
                <w:iCs/>
                <w:sz w:val="24"/>
                <w:szCs w:val="24"/>
              </w:rPr>
              <w:t xml:space="preserve"> </w:t>
            </w:r>
            <w:r w:rsidR="00FA34C2">
              <w:rPr>
                <w:rFonts w:ascii="Arial" w:eastAsia="Calibri" w:hAnsi="Arial" w:cs="Arial"/>
                <w:bCs/>
                <w:iCs/>
                <w:sz w:val="24"/>
                <w:szCs w:val="24"/>
              </w:rPr>
              <w:t>Also</w:t>
            </w:r>
            <w:r w:rsidRPr="0091485A">
              <w:rPr>
                <w:rFonts w:ascii="Arial" w:eastAsia="Calibri" w:hAnsi="Arial" w:cs="Arial"/>
                <w:bCs/>
                <w:iCs/>
                <w:sz w:val="24"/>
                <w:szCs w:val="24"/>
              </w:rPr>
              <w:t xml:space="preserve">, </w:t>
            </w:r>
            <w:r w:rsidR="00FA34C2">
              <w:rPr>
                <w:rFonts w:ascii="Arial" w:eastAsia="Calibri" w:hAnsi="Arial" w:cs="Arial"/>
                <w:bCs/>
                <w:iCs/>
                <w:sz w:val="24"/>
                <w:szCs w:val="24"/>
              </w:rPr>
              <w:t>m</w:t>
            </w:r>
            <w:r w:rsidRPr="0091485A">
              <w:rPr>
                <w:rFonts w:ascii="Arial" w:eastAsia="Calibri" w:hAnsi="Arial" w:cs="Arial"/>
                <w:bCs/>
                <w:iCs/>
                <w:sz w:val="24"/>
                <w:szCs w:val="24"/>
              </w:rPr>
              <w:t xml:space="preserve">entors host </w:t>
            </w:r>
            <w:r w:rsidR="00FA34C2">
              <w:rPr>
                <w:rFonts w:ascii="Arial" w:eastAsia="Calibri" w:hAnsi="Arial" w:cs="Arial"/>
                <w:bCs/>
                <w:iCs/>
                <w:sz w:val="24"/>
                <w:szCs w:val="24"/>
              </w:rPr>
              <w:t>p</w:t>
            </w:r>
            <w:r w:rsidRPr="0091485A">
              <w:rPr>
                <w:rFonts w:ascii="Arial" w:eastAsia="Calibri" w:hAnsi="Arial" w:cs="Arial"/>
                <w:bCs/>
                <w:iCs/>
                <w:sz w:val="24"/>
                <w:szCs w:val="24"/>
              </w:rPr>
              <w:t xml:space="preserve">eer and </w:t>
            </w:r>
            <w:r w:rsidR="00FA34C2">
              <w:rPr>
                <w:rFonts w:ascii="Arial" w:eastAsia="Calibri" w:hAnsi="Arial" w:cs="Arial"/>
                <w:bCs/>
                <w:iCs/>
                <w:sz w:val="24"/>
                <w:szCs w:val="24"/>
              </w:rPr>
              <w:t>g</w:t>
            </w:r>
            <w:r w:rsidRPr="0091485A">
              <w:rPr>
                <w:rFonts w:ascii="Arial" w:eastAsia="Calibri" w:hAnsi="Arial" w:cs="Arial"/>
                <w:bCs/>
                <w:iCs/>
                <w:sz w:val="24"/>
                <w:szCs w:val="24"/>
              </w:rPr>
              <w:t xml:space="preserve">roup supervision sessions for newly qualified social workers.  (Conwy – </w:t>
            </w:r>
            <w:r w:rsidR="00FA34C2">
              <w:rPr>
                <w:rFonts w:ascii="Arial" w:eastAsia="Calibri" w:hAnsi="Arial" w:cs="Arial"/>
                <w:bCs/>
                <w:iCs/>
                <w:sz w:val="24"/>
                <w:szCs w:val="24"/>
              </w:rPr>
              <w:t>n</w:t>
            </w:r>
            <w:r w:rsidRPr="0091485A">
              <w:rPr>
                <w:rFonts w:ascii="Arial" w:eastAsia="Calibri" w:hAnsi="Arial" w:cs="Arial"/>
                <w:bCs/>
                <w:iCs/>
                <w:sz w:val="24"/>
                <w:szCs w:val="24"/>
              </w:rPr>
              <w:t xml:space="preserve">orth Wales </w:t>
            </w:r>
            <w:r w:rsidR="00FA34C2">
              <w:rPr>
                <w:rFonts w:ascii="Arial" w:eastAsia="Calibri" w:hAnsi="Arial" w:cs="Arial"/>
                <w:bCs/>
                <w:iCs/>
                <w:sz w:val="24"/>
                <w:szCs w:val="24"/>
              </w:rPr>
              <w:t>r</w:t>
            </w:r>
            <w:r w:rsidRPr="0091485A">
              <w:rPr>
                <w:rFonts w:ascii="Arial" w:eastAsia="Calibri" w:hAnsi="Arial" w:cs="Arial"/>
                <w:bCs/>
                <w:iCs/>
                <w:sz w:val="24"/>
                <w:szCs w:val="24"/>
              </w:rPr>
              <w:t>egion)</w:t>
            </w:r>
          </w:p>
          <w:p w14:paraId="7C2E6A11" w14:textId="77777777" w:rsidR="00422172" w:rsidRPr="00537E1A" w:rsidRDefault="00422172" w:rsidP="00422172">
            <w:pPr>
              <w:spacing w:line="276" w:lineRule="auto"/>
              <w:contextualSpacing/>
              <w:rPr>
                <w:rFonts w:ascii="Arial" w:eastAsia="Calibri" w:hAnsi="Arial" w:cs="Arial"/>
                <w:sz w:val="24"/>
                <w:szCs w:val="24"/>
              </w:rPr>
            </w:pPr>
          </w:p>
        </w:tc>
      </w:tr>
    </w:tbl>
    <w:p w14:paraId="29E35183" w14:textId="77777777" w:rsidR="0051495D" w:rsidRPr="00C92ECE" w:rsidRDefault="0051495D" w:rsidP="00C92ECE">
      <w:pPr>
        <w:spacing w:after="0" w:line="276" w:lineRule="auto"/>
        <w:ind w:left="567"/>
        <w:contextualSpacing/>
        <w:rPr>
          <w:rFonts w:ascii="Arial" w:eastAsia="Calibri" w:hAnsi="Arial" w:cs="Arial"/>
          <w:sz w:val="24"/>
          <w:szCs w:val="24"/>
        </w:rPr>
      </w:pPr>
    </w:p>
    <w:p w14:paraId="4BCAD544" w14:textId="7771D631" w:rsidR="005B4CD8" w:rsidRPr="005B4CD8" w:rsidRDefault="005B4CD8" w:rsidP="005B4CD8">
      <w:pPr>
        <w:spacing w:after="0" w:line="240" w:lineRule="auto"/>
        <w:rPr>
          <w:rFonts w:ascii="Arial" w:eastAsia="Calibri" w:hAnsi="Arial" w:cs="Arial"/>
          <w:sz w:val="24"/>
          <w:szCs w:val="24"/>
          <w:shd w:val="clear" w:color="auto" w:fill="FFFFFF"/>
        </w:rPr>
      </w:pPr>
    </w:p>
    <w:p w14:paraId="773D972C" w14:textId="51D56305" w:rsidR="00F8660E" w:rsidRPr="00BB471B" w:rsidRDefault="00F8660E" w:rsidP="00F8660E">
      <w:pPr>
        <w:spacing w:after="0" w:line="240" w:lineRule="auto"/>
        <w:rPr>
          <w:rFonts w:ascii="Arial" w:eastAsia="Calibri" w:hAnsi="Arial" w:cs="Arial"/>
          <w:b/>
          <w:bCs/>
          <w:sz w:val="24"/>
          <w:szCs w:val="24"/>
          <w:shd w:val="clear" w:color="auto" w:fill="FFFFFF"/>
        </w:rPr>
      </w:pPr>
      <w:r w:rsidRPr="00BB471B">
        <w:rPr>
          <w:rFonts w:ascii="Arial" w:eastAsia="Calibri" w:hAnsi="Arial" w:cs="Arial"/>
          <w:b/>
          <w:bCs/>
          <w:sz w:val="24"/>
          <w:szCs w:val="24"/>
          <w:shd w:val="clear" w:color="auto" w:fill="FFFFFF"/>
        </w:rPr>
        <w:t>Post-</w:t>
      </w:r>
      <w:r w:rsidR="00FA34C2" w:rsidRPr="00BB471B">
        <w:rPr>
          <w:rFonts w:ascii="Arial" w:eastAsia="Calibri" w:hAnsi="Arial" w:cs="Arial"/>
          <w:b/>
          <w:bCs/>
          <w:sz w:val="24"/>
          <w:szCs w:val="24"/>
          <w:shd w:val="clear" w:color="auto" w:fill="FFFFFF"/>
        </w:rPr>
        <w:t>q</w:t>
      </w:r>
      <w:r w:rsidRPr="00BB471B">
        <w:rPr>
          <w:rFonts w:ascii="Arial" w:eastAsia="Calibri" w:hAnsi="Arial" w:cs="Arial"/>
          <w:b/>
          <w:bCs/>
          <w:sz w:val="24"/>
          <w:szCs w:val="24"/>
          <w:shd w:val="clear" w:color="auto" w:fill="FFFFFF"/>
        </w:rPr>
        <w:t xml:space="preserve">ualifying </w:t>
      </w:r>
      <w:r w:rsidR="00FA34C2" w:rsidRPr="00BB471B">
        <w:rPr>
          <w:rFonts w:ascii="Arial" w:eastAsia="Calibri" w:hAnsi="Arial" w:cs="Arial"/>
          <w:b/>
          <w:bCs/>
          <w:sz w:val="24"/>
          <w:szCs w:val="24"/>
          <w:shd w:val="clear" w:color="auto" w:fill="FFFFFF"/>
        </w:rPr>
        <w:t>c</w:t>
      </w:r>
      <w:r w:rsidR="00571989" w:rsidRPr="00BB471B">
        <w:rPr>
          <w:rFonts w:ascii="Arial" w:eastAsia="Calibri" w:hAnsi="Arial" w:cs="Arial"/>
          <w:b/>
          <w:bCs/>
          <w:sz w:val="24"/>
          <w:szCs w:val="24"/>
          <w:shd w:val="clear" w:color="auto" w:fill="FFFFFF"/>
        </w:rPr>
        <w:t xml:space="preserve">onsolidation and </w:t>
      </w:r>
      <w:r w:rsidR="00FA34C2" w:rsidRPr="00BB471B">
        <w:rPr>
          <w:rFonts w:ascii="Arial" w:eastAsia="Calibri" w:hAnsi="Arial" w:cs="Arial"/>
          <w:b/>
          <w:bCs/>
          <w:sz w:val="24"/>
          <w:szCs w:val="24"/>
          <w:shd w:val="clear" w:color="auto" w:fill="FFFFFF"/>
        </w:rPr>
        <w:t>s</w:t>
      </w:r>
      <w:r w:rsidRPr="00BB471B">
        <w:rPr>
          <w:rFonts w:ascii="Arial" w:eastAsia="Calibri" w:hAnsi="Arial" w:cs="Arial"/>
          <w:b/>
          <w:bCs/>
          <w:sz w:val="24"/>
          <w:szCs w:val="24"/>
          <w:shd w:val="clear" w:color="auto" w:fill="FFFFFF"/>
        </w:rPr>
        <w:t xml:space="preserve">pecialist </w:t>
      </w:r>
      <w:r w:rsidR="00FA34C2" w:rsidRPr="00BB471B">
        <w:rPr>
          <w:rFonts w:ascii="Arial" w:eastAsia="Calibri" w:hAnsi="Arial" w:cs="Arial"/>
          <w:b/>
          <w:bCs/>
          <w:sz w:val="24"/>
          <w:szCs w:val="24"/>
          <w:shd w:val="clear" w:color="auto" w:fill="FFFFFF"/>
        </w:rPr>
        <w:t>a</w:t>
      </w:r>
      <w:r w:rsidRPr="00BB471B">
        <w:rPr>
          <w:rFonts w:ascii="Arial" w:eastAsia="Calibri" w:hAnsi="Arial" w:cs="Arial"/>
          <w:b/>
          <w:bCs/>
          <w:sz w:val="24"/>
          <w:szCs w:val="24"/>
          <w:shd w:val="clear" w:color="auto" w:fill="FFFFFF"/>
        </w:rPr>
        <w:t>wards</w:t>
      </w:r>
    </w:p>
    <w:p w14:paraId="10DD5DFC" w14:textId="77777777" w:rsidR="00F8660E" w:rsidRDefault="00F8660E" w:rsidP="00F8660E">
      <w:pPr>
        <w:spacing w:after="0" w:line="240" w:lineRule="auto"/>
        <w:ind w:left="720"/>
        <w:rPr>
          <w:rFonts w:ascii="Arial" w:eastAsia="Calibri" w:hAnsi="Arial" w:cs="Arial"/>
          <w:sz w:val="24"/>
          <w:szCs w:val="24"/>
          <w:shd w:val="clear" w:color="auto" w:fill="FFFFFF"/>
        </w:rPr>
      </w:pPr>
    </w:p>
    <w:p w14:paraId="176B4EB6" w14:textId="2B260A8F" w:rsidR="00F8660E" w:rsidRPr="00C92ECE" w:rsidRDefault="00F8660E" w:rsidP="00C92EC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There’s consistent involvement in and achievement of post qualifying specialist awards</w:t>
      </w:r>
      <w:r w:rsidR="00FA34C2">
        <w:rPr>
          <w:rFonts w:ascii="Arial" w:eastAsia="Calibri" w:hAnsi="Arial" w:cs="Arial"/>
          <w:bCs/>
          <w:sz w:val="24"/>
          <w:szCs w:val="24"/>
        </w:rPr>
        <w:t>. These include</w:t>
      </w:r>
      <w:r w:rsidRPr="00C92ECE">
        <w:rPr>
          <w:rFonts w:ascii="Arial" w:eastAsia="Calibri" w:hAnsi="Arial" w:cs="Arial"/>
          <w:bCs/>
          <w:sz w:val="24"/>
          <w:szCs w:val="24"/>
        </w:rPr>
        <w:t xml:space="preserve"> consolidation programmes, Approved Mental Health Professional</w:t>
      </w:r>
      <w:r w:rsidR="00FA34C2">
        <w:rPr>
          <w:rFonts w:ascii="Arial" w:eastAsia="Calibri" w:hAnsi="Arial" w:cs="Arial"/>
          <w:bCs/>
          <w:sz w:val="24"/>
          <w:szCs w:val="24"/>
        </w:rPr>
        <w:t xml:space="preserve"> (AMHP)</w:t>
      </w:r>
      <w:r w:rsidRPr="00C92ECE">
        <w:rPr>
          <w:rFonts w:ascii="Arial" w:eastAsia="Calibri" w:hAnsi="Arial" w:cs="Arial"/>
          <w:bCs/>
          <w:sz w:val="24"/>
          <w:szCs w:val="24"/>
        </w:rPr>
        <w:t>, Best Interest Assessor, and other advanced qualifications</w:t>
      </w:r>
      <w:r w:rsidR="00FA34C2">
        <w:rPr>
          <w:rFonts w:ascii="Arial" w:eastAsia="Calibri" w:hAnsi="Arial" w:cs="Arial"/>
          <w:bCs/>
          <w:sz w:val="24"/>
          <w:szCs w:val="24"/>
        </w:rPr>
        <w:t xml:space="preserve"> all of which are</w:t>
      </w:r>
      <w:r w:rsidRPr="00C92ECE">
        <w:rPr>
          <w:rFonts w:ascii="Arial" w:eastAsia="Calibri" w:hAnsi="Arial" w:cs="Arial"/>
          <w:bCs/>
          <w:sz w:val="24"/>
          <w:szCs w:val="24"/>
        </w:rPr>
        <w:t xml:space="preserve"> widely supported.</w:t>
      </w:r>
    </w:p>
    <w:p w14:paraId="0AB75E82" w14:textId="77777777" w:rsidR="00F8660E" w:rsidRPr="00C92ECE" w:rsidRDefault="00F8660E" w:rsidP="00C92ECE">
      <w:pPr>
        <w:spacing w:after="0" w:line="276" w:lineRule="auto"/>
        <w:ind w:left="567"/>
        <w:contextualSpacing/>
        <w:rPr>
          <w:rFonts w:ascii="Arial" w:eastAsia="Calibri" w:hAnsi="Arial" w:cs="Arial"/>
          <w:bCs/>
          <w:sz w:val="24"/>
          <w:szCs w:val="24"/>
        </w:rPr>
      </w:pPr>
    </w:p>
    <w:p w14:paraId="37B15228" w14:textId="6D6FEC55" w:rsidR="00F8660E" w:rsidRPr="00C92ECE" w:rsidRDefault="00F8660E" w:rsidP="00C92EC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lastRenderedPageBreak/>
        <w:t>Clear career pathways</w:t>
      </w:r>
      <w:r w:rsidR="00CF1535">
        <w:rPr>
          <w:rFonts w:ascii="Arial" w:eastAsia="Calibri" w:hAnsi="Arial" w:cs="Arial"/>
          <w:bCs/>
          <w:sz w:val="24"/>
          <w:szCs w:val="24"/>
        </w:rPr>
        <w:t>,</w:t>
      </w:r>
      <w:r w:rsidRPr="00C92ECE">
        <w:rPr>
          <w:rFonts w:ascii="Arial" w:eastAsia="Calibri" w:hAnsi="Arial" w:cs="Arial"/>
          <w:bCs/>
          <w:sz w:val="24"/>
          <w:szCs w:val="24"/>
        </w:rPr>
        <w:t xml:space="preserve"> ongoing professional development, leadership, and succession planning are seen as key to workforce stability and retention.</w:t>
      </w:r>
    </w:p>
    <w:p w14:paraId="4DD7A293" w14:textId="77777777" w:rsidR="00F8660E" w:rsidRPr="005B4CD8" w:rsidRDefault="00F8660E" w:rsidP="00C92ECE">
      <w:pPr>
        <w:spacing w:after="0" w:line="240" w:lineRule="auto"/>
        <w:rPr>
          <w:rFonts w:ascii="Arial" w:eastAsia="Calibri" w:hAnsi="Arial" w:cs="Arial"/>
          <w:sz w:val="24"/>
          <w:szCs w:val="24"/>
          <w:shd w:val="clear" w:color="auto" w:fill="FFFFFF"/>
        </w:rPr>
      </w:pPr>
    </w:p>
    <w:p w14:paraId="23A95BD4" w14:textId="0304AA49" w:rsidR="00EF03D3" w:rsidRPr="00BB471B" w:rsidRDefault="00D362B0" w:rsidP="00C92ECE">
      <w:pPr>
        <w:spacing w:after="0" w:line="240" w:lineRule="auto"/>
        <w:rPr>
          <w:rFonts w:ascii="Arial" w:eastAsia="Calibri" w:hAnsi="Arial" w:cs="Arial"/>
          <w:b/>
          <w:bCs/>
          <w:sz w:val="24"/>
          <w:szCs w:val="24"/>
          <w:shd w:val="clear" w:color="auto" w:fill="FFFFFF"/>
        </w:rPr>
      </w:pPr>
      <w:r w:rsidRPr="00BB471B">
        <w:rPr>
          <w:rFonts w:ascii="Arial" w:eastAsia="Calibri" w:hAnsi="Arial" w:cs="Arial"/>
          <w:b/>
          <w:bCs/>
          <w:sz w:val="24"/>
          <w:szCs w:val="24"/>
          <w:shd w:val="clear" w:color="auto" w:fill="FFFFFF"/>
        </w:rPr>
        <w:t>Placement planning and practice educators (PE)</w:t>
      </w:r>
    </w:p>
    <w:p w14:paraId="5BA0A221" w14:textId="77777777" w:rsidR="00D362B0" w:rsidRDefault="00D362B0" w:rsidP="00C92ECE">
      <w:pPr>
        <w:spacing w:after="200" w:line="276" w:lineRule="auto"/>
        <w:contextualSpacing/>
        <w:rPr>
          <w:rFonts w:ascii="Arial" w:eastAsia="Calibri" w:hAnsi="Arial" w:cs="Arial"/>
          <w:sz w:val="24"/>
          <w:szCs w:val="24"/>
          <w:highlight w:val="yellow"/>
        </w:rPr>
      </w:pPr>
    </w:p>
    <w:p w14:paraId="7D88A496" w14:textId="335B6173" w:rsidR="00567492" w:rsidRDefault="00EF03D3" w:rsidP="00D362B0">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Placement planning and practice educators (PE) continues to be a key theme across all regions</w:t>
      </w:r>
      <w:r w:rsidR="00567492" w:rsidRPr="00C92ECE">
        <w:rPr>
          <w:rFonts w:ascii="Arial" w:eastAsia="Calibri" w:hAnsi="Arial" w:cs="Arial"/>
          <w:bCs/>
          <w:sz w:val="24"/>
          <w:szCs w:val="24"/>
        </w:rPr>
        <w:t xml:space="preserve"> with significant effort made to provide a wide range of placements (statutory, voluntary and specialist).</w:t>
      </w:r>
    </w:p>
    <w:p w14:paraId="219780C9" w14:textId="77777777" w:rsidR="00DB7D18" w:rsidRDefault="00DB7D18" w:rsidP="00DB7D18">
      <w:pPr>
        <w:spacing w:after="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DB7D18" w:rsidRPr="00FE3FB6" w14:paraId="413B43BF" w14:textId="77777777" w:rsidTr="00DB7D18">
        <w:tc>
          <w:tcPr>
            <w:tcW w:w="9016" w:type="dxa"/>
          </w:tcPr>
          <w:p w14:paraId="0227858E" w14:textId="01A34385" w:rsidR="00DB7D18" w:rsidRPr="00FE3FB6" w:rsidRDefault="00DB7D18" w:rsidP="00C92ECE">
            <w:pPr>
              <w:spacing w:line="276" w:lineRule="auto"/>
              <w:rPr>
                <w:rFonts w:ascii="Arial" w:eastAsia="Calibri" w:hAnsi="Arial" w:cs="Arial"/>
                <w:bCs/>
                <w:sz w:val="24"/>
                <w:szCs w:val="24"/>
              </w:rPr>
            </w:pPr>
            <w:r w:rsidRPr="00C92ECE">
              <w:rPr>
                <w:rFonts w:ascii="Arial" w:eastAsia="Arial" w:hAnsi="Arial" w:cs="Arial"/>
                <w:sz w:val="24"/>
                <w:szCs w:val="24"/>
              </w:rPr>
              <w:t>Students have had a variety of placements, with more teams offering learning opportunities, including the 16+ Team, C</w:t>
            </w:r>
            <w:r w:rsidR="00CF1535">
              <w:rPr>
                <w:rFonts w:ascii="Arial" w:eastAsia="Arial" w:hAnsi="Arial" w:cs="Arial"/>
                <w:sz w:val="24"/>
                <w:szCs w:val="24"/>
              </w:rPr>
              <w:t xml:space="preserve">ommunity </w:t>
            </w:r>
            <w:r w:rsidRPr="00C92ECE">
              <w:rPr>
                <w:rFonts w:ascii="Arial" w:eastAsia="Arial" w:hAnsi="Arial" w:cs="Arial"/>
                <w:sz w:val="24"/>
                <w:szCs w:val="24"/>
              </w:rPr>
              <w:t>M</w:t>
            </w:r>
            <w:r w:rsidR="00CF1535">
              <w:rPr>
                <w:rFonts w:ascii="Arial" w:eastAsia="Arial" w:hAnsi="Arial" w:cs="Arial"/>
                <w:sz w:val="24"/>
                <w:szCs w:val="24"/>
              </w:rPr>
              <w:t xml:space="preserve">ental </w:t>
            </w:r>
            <w:r w:rsidRPr="00C92ECE">
              <w:rPr>
                <w:rFonts w:ascii="Arial" w:eastAsia="Arial" w:hAnsi="Arial" w:cs="Arial"/>
                <w:sz w:val="24"/>
                <w:szCs w:val="24"/>
              </w:rPr>
              <w:t>H</w:t>
            </w:r>
            <w:r w:rsidR="00CF1535">
              <w:rPr>
                <w:rFonts w:ascii="Arial" w:eastAsia="Arial" w:hAnsi="Arial" w:cs="Arial"/>
                <w:sz w:val="24"/>
                <w:szCs w:val="24"/>
              </w:rPr>
              <w:t xml:space="preserve">ealth </w:t>
            </w:r>
            <w:r w:rsidRPr="00C92ECE">
              <w:rPr>
                <w:rFonts w:ascii="Arial" w:eastAsia="Arial" w:hAnsi="Arial" w:cs="Arial"/>
                <w:sz w:val="24"/>
                <w:szCs w:val="24"/>
              </w:rPr>
              <w:t>T</w:t>
            </w:r>
            <w:r w:rsidR="00CF1535">
              <w:rPr>
                <w:rFonts w:ascii="Arial" w:eastAsia="Arial" w:hAnsi="Arial" w:cs="Arial"/>
                <w:sz w:val="24"/>
                <w:szCs w:val="24"/>
              </w:rPr>
              <w:t>eam</w:t>
            </w:r>
            <w:r w:rsidRPr="00C92ECE">
              <w:rPr>
                <w:rFonts w:ascii="Arial" w:eastAsia="Arial" w:hAnsi="Arial" w:cs="Arial"/>
                <w:sz w:val="24"/>
                <w:szCs w:val="24"/>
              </w:rPr>
              <w:t xml:space="preserve"> and Children Looked After Teams. </w:t>
            </w:r>
            <w:r w:rsidR="00CF1535">
              <w:rPr>
                <w:rFonts w:ascii="Arial" w:eastAsia="Arial" w:hAnsi="Arial" w:cs="Arial"/>
                <w:sz w:val="24"/>
                <w:szCs w:val="24"/>
              </w:rPr>
              <w:t>One</w:t>
            </w:r>
            <w:r w:rsidRPr="00C92ECE">
              <w:rPr>
                <w:rFonts w:ascii="Arial" w:eastAsia="Arial" w:hAnsi="Arial" w:cs="Arial"/>
                <w:sz w:val="24"/>
                <w:szCs w:val="24"/>
              </w:rPr>
              <w:t xml:space="preserve"> student has had a placement with an independent Women’s Aid placement with </w:t>
            </w:r>
            <w:r w:rsidR="00477D9E">
              <w:rPr>
                <w:rFonts w:ascii="Arial" w:eastAsia="Arial" w:hAnsi="Arial" w:cs="Arial"/>
                <w:sz w:val="24"/>
                <w:szCs w:val="24"/>
              </w:rPr>
              <w:t xml:space="preserve">personal education </w:t>
            </w:r>
            <w:r w:rsidRPr="00C92ECE">
              <w:rPr>
                <w:rFonts w:ascii="Arial" w:eastAsia="Arial" w:hAnsi="Arial" w:cs="Arial"/>
                <w:sz w:val="24"/>
                <w:szCs w:val="24"/>
              </w:rPr>
              <w:t>support from within a M</w:t>
            </w:r>
            <w:r w:rsidR="00477D9E">
              <w:rPr>
                <w:rFonts w:ascii="Arial" w:eastAsia="Arial" w:hAnsi="Arial" w:cs="Arial"/>
                <w:sz w:val="24"/>
                <w:szCs w:val="24"/>
              </w:rPr>
              <w:t xml:space="preserve">erthyr </w:t>
            </w:r>
            <w:r w:rsidRPr="00C92ECE">
              <w:rPr>
                <w:rFonts w:ascii="Arial" w:eastAsia="Arial" w:hAnsi="Arial" w:cs="Arial"/>
                <w:sz w:val="24"/>
                <w:szCs w:val="24"/>
              </w:rPr>
              <w:t>T</w:t>
            </w:r>
            <w:r w:rsidR="00477D9E">
              <w:rPr>
                <w:rFonts w:ascii="Arial" w:eastAsia="Arial" w:hAnsi="Arial" w:cs="Arial"/>
                <w:sz w:val="24"/>
                <w:szCs w:val="24"/>
              </w:rPr>
              <w:t xml:space="preserve">ydfil </w:t>
            </w:r>
            <w:r w:rsidRPr="00C92ECE">
              <w:rPr>
                <w:rFonts w:ascii="Arial" w:eastAsia="Arial" w:hAnsi="Arial" w:cs="Arial"/>
                <w:sz w:val="24"/>
                <w:szCs w:val="24"/>
              </w:rPr>
              <w:t>C</w:t>
            </w:r>
            <w:r w:rsidR="00477D9E">
              <w:rPr>
                <w:rFonts w:ascii="Arial" w:eastAsia="Arial" w:hAnsi="Arial" w:cs="Arial"/>
                <w:sz w:val="24"/>
                <w:szCs w:val="24"/>
              </w:rPr>
              <w:t xml:space="preserve">ounty </w:t>
            </w:r>
            <w:r w:rsidRPr="00C92ECE">
              <w:rPr>
                <w:rFonts w:ascii="Arial" w:eastAsia="Arial" w:hAnsi="Arial" w:cs="Arial"/>
                <w:sz w:val="24"/>
                <w:szCs w:val="24"/>
              </w:rPr>
              <w:t>B</w:t>
            </w:r>
            <w:r w:rsidR="00477D9E">
              <w:rPr>
                <w:rFonts w:ascii="Arial" w:eastAsia="Arial" w:hAnsi="Arial" w:cs="Arial"/>
                <w:sz w:val="24"/>
                <w:szCs w:val="24"/>
              </w:rPr>
              <w:t xml:space="preserve">orough </w:t>
            </w:r>
            <w:r w:rsidRPr="00C92ECE">
              <w:rPr>
                <w:rFonts w:ascii="Arial" w:eastAsia="Arial" w:hAnsi="Arial" w:cs="Arial"/>
                <w:sz w:val="24"/>
                <w:szCs w:val="24"/>
              </w:rPr>
              <w:t>C</w:t>
            </w:r>
            <w:r w:rsidR="00477D9E">
              <w:rPr>
                <w:rFonts w:ascii="Arial" w:eastAsia="Arial" w:hAnsi="Arial" w:cs="Arial"/>
                <w:sz w:val="24"/>
                <w:szCs w:val="24"/>
              </w:rPr>
              <w:t>ouncil</w:t>
            </w:r>
            <w:r w:rsidRPr="00C92ECE">
              <w:rPr>
                <w:rFonts w:ascii="Arial" w:eastAsia="Arial" w:hAnsi="Arial" w:cs="Arial"/>
                <w:sz w:val="24"/>
                <w:szCs w:val="24"/>
              </w:rPr>
              <w:t xml:space="preserve"> statutory team. (Cwm Taf Morgannwg </w:t>
            </w:r>
            <w:r w:rsidR="00CF1535">
              <w:rPr>
                <w:rFonts w:ascii="Arial" w:eastAsia="Arial" w:hAnsi="Arial" w:cs="Arial"/>
                <w:sz w:val="24"/>
                <w:szCs w:val="24"/>
              </w:rPr>
              <w:t>r</w:t>
            </w:r>
            <w:r w:rsidRPr="00C92ECE">
              <w:rPr>
                <w:rFonts w:ascii="Arial" w:eastAsia="Arial" w:hAnsi="Arial" w:cs="Arial"/>
                <w:sz w:val="24"/>
                <w:szCs w:val="24"/>
              </w:rPr>
              <w:t>egion)</w:t>
            </w:r>
          </w:p>
        </w:tc>
      </w:tr>
    </w:tbl>
    <w:p w14:paraId="0B3E4796" w14:textId="77777777" w:rsidR="00A23988" w:rsidRPr="00C92ECE" w:rsidRDefault="00A23988" w:rsidP="00C92ECE">
      <w:pPr>
        <w:spacing w:after="0" w:line="276" w:lineRule="auto"/>
        <w:ind w:left="567"/>
        <w:contextualSpacing/>
        <w:rPr>
          <w:rFonts w:ascii="Arial" w:eastAsia="Calibri" w:hAnsi="Arial" w:cs="Arial"/>
          <w:bCs/>
          <w:sz w:val="24"/>
          <w:szCs w:val="24"/>
        </w:rPr>
      </w:pPr>
    </w:p>
    <w:p w14:paraId="33B1B1AF" w14:textId="13B4DE0B" w:rsidR="003D3A2C" w:rsidRDefault="003D3A2C" w:rsidP="003D3A2C">
      <w:pPr>
        <w:numPr>
          <w:ilvl w:val="0"/>
          <w:numId w:val="6"/>
        </w:numPr>
        <w:spacing w:after="0" w:line="276" w:lineRule="auto"/>
        <w:ind w:left="567" w:hanging="425"/>
        <w:contextualSpacing/>
        <w:rPr>
          <w:rFonts w:ascii="Arial" w:eastAsia="Calibri" w:hAnsi="Arial" w:cs="Arial"/>
          <w:bCs/>
          <w:sz w:val="24"/>
          <w:szCs w:val="24"/>
        </w:rPr>
      </w:pPr>
      <w:r w:rsidRPr="003D3A2C">
        <w:rPr>
          <w:rFonts w:ascii="Arial" w:eastAsia="Calibri" w:hAnsi="Arial" w:cs="Arial"/>
          <w:bCs/>
          <w:sz w:val="24"/>
          <w:szCs w:val="24"/>
        </w:rPr>
        <w:t xml:space="preserve">Work is ongoing to improve both the availability and quality of social work placements. However, </w:t>
      </w:r>
      <w:r w:rsidR="00477D9E">
        <w:rPr>
          <w:rFonts w:ascii="Arial" w:eastAsia="Calibri" w:hAnsi="Arial" w:cs="Arial"/>
          <w:bCs/>
          <w:sz w:val="24"/>
          <w:szCs w:val="24"/>
        </w:rPr>
        <w:t xml:space="preserve">there are still </w:t>
      </w:r>
      <w:r w:rsidRPr="003D3A2C">
        <w:rPr>
          <w:rFonts w:ascii="Arial" w:eastAsia="Calibri" w:hAnsi="Arial" w:cs="Arial"/>
          <w:bCs/>
          <w:sz w:val="24"/>
          <w:szCs w:val="24"/>
        </w:rPr>
        <w:t xml:space="preserve">some challenges </w:t>
      </w:r>
      <w:r w:rsidR="0081041F">
        <w:rPr>
          <w:rFonts w:ascii="Arial" w:eastAsia="Calibri" w:hAnsi="Arial" w:cs="Arial"/>
          <w:bCs/>
          <w:sz w:val="24"/>
          <w:szCs w:val="24"/>
        </w:rPr>
        <w:t xml:space="preserve">with complex </w:t>
      </w:r>
      <w:r w:rsidRPr="003D3A2C">
        <w:rPr>
          <w:rFonts w:ascii="Arial" w:eastAsia="Calibri" w:hAnsi="Arial" w:cs="Arial"/>
          <w:bCs/>
          <w:sz w:val="24"/>
          <w:szCs w:val="24"/>
        </w:rPr>
        <w:t>student</w:t>
      </w:r>
      <w:r w:rsidR="0081041F">
        <w:rPr>
          <w:rFonts w:ascii="Arial" w:eastAsia="Calibri" w:hAnsi="Arial" w:cs="Arial"/>
          <w:bCs/>
          <w:sz w:val="24"/>
          <w:szCs w:val="24"/>
        </w:rPr>
        <w:t xml:space="preserve"> circumstances</w:t>
      </w:r>
      <w:r w:rsidRPr="003D3A2C">
        <w:rPr>
          <w:rFonts w:ascii="Arial" w:eastAsia="Calibri" w:hAnsi="Arial" w:cs="Arial"/>
          <w:bCs/>
          <w:sz w:val="24"/>
          <w:szCs w:val="24"/>
        </w:rPr>
        <w:t xml:space="preserve"> particularly for those who are non-drivers or have additional learning needs. These barriers can affect access to suitable placements and the overall learning </w:t>
      </w:r>
      <w:r w:rsidR="00477D9E" w:rsidRPr="003D3A2C">
        <w:rPr>
          <w:rFonts w:ascii="Arial" w:eastAsia="Calibri" w:hAnsi="Arial" w:cs="Arial"/>
          <w:bCs/>
          <w:sz w:val="24"/>
          <w:szCs w:val="24"/>
        </w:rPr>
        <w:t>experience but</w:t>
      </w:r>
      <w:r w:rsidR="0081041F">
        <w:rPr>
          <w:rFonts w:ascii="Arial" w:eastAsia="Calibri" w:hAnsi="Arial" w:cs="Arial"/>
          <w:bCs/>
          <w:sz w:val="24"/>
          <w:szCs w:val="24"/>
        </w:rPr>
        <w:t xml:space="preserve"> are </w:t>
      </w:r>
      <w:r w:rsidRPr="003D3A2C">
        <w:rPr>
          <w:rFonts w:ascii="Arial" w:eastAsia="Calibri" w:hAnsi="Arial" w:cs="Arial"/>
          <w:bCs/>
          <w:sz w:val="24"/>
          <w:szCs w:val="24"/>
        </w:rPr>
        <w:t>considered as part of wider efforts to enhance placement support and inclusivity.</w:t>
      </w:r>
    </w:p>
    <w:p w14:paraId="45F02CC3" w14:textId="77777777" w:rsidR="00C52FA1" w:rsidRDefault="00C52FA1" w:rsidP="00C52FA1">
      <w:pPr>
        <w:spacing w:after="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C52FA1" w:rsidRPr="00C52FA1" w14:paraId="698CDD33" w14:textId="77777777" w:rsidTr="00C52FA1">
        <w:tc>
          <w:tcPr>
            <w:tcW w:w="9016" w:type="dxa"/>
          </w:tcPr>
          <w:p w14:paraId="2CE508BC" w14:textId="4CBDEDC6" w:rsidR="00C52FA1" w:rsidRPr="00C52FA1" w:rsidRDefault="00C52FA1" w:rsidP="00C92ECE">
            <w:pPr>
              <w:rPr>
                <w:rFonts w:ascii="Arial" w:eastAsia="Calibri" w:hAnsi="Arial" w:cs="Arial"/>
                <w:bCs/>
                <w:sz w:val="24"/>
                <w:szCs w:val="24"/>
              </w:rPr>
            </w:pPr>
            <w:r w:rsidRPr="00C92ECE">
              <w:rPr>
                <w:rFonts w:ascii="Arial" w:eastAsia="Calibri" w:hAnsi="Arial" w:cs="Arial"/>
                <w:sz w:val="24"/>
                <w:szCs w:val="24"/>
              </w:rPr>
              <w:t xml:space="preserve">A growing concern is the number of non-driving students. Although remote working during the pandemic offered flexibility, the shift to hybrid models with increased face-to-face work has made </w:t>
            </w:r>
            <w:r w:rsidR="00477D9E">
              <w:rPr>
                <w:rFonts w:ascii="Arial" w:eastAsia="Calibri" w:hAnsi="Arial" w:cs="Arial"/>
                <w:sz w:val="24"/>
                <w:szCs w:val="24"/>
              </w:rPr>
              <w:t xml:space="preserve">looking for </w:t>
            </w:r>
            <w:r w:rsidRPr="00C92ECE">
              <w:rPr>
                <w:rFonts w:ascii="Arial" w:eastAsia="Calibri" w:hAnsi="Arial" w:cs="Arial"/>
                <w:sz w:val="24"/>
                <w:szCs w:val="24"/>
              </w:rPr>
              <w:t>placement</w:t>
            </w:r>
            <w:r w:rsidR="00477D9E">
              <w:rPr>
                <w:rFonts w:ascii="Arial" w:eastAsia="Calibri" w:hAnsi="Arial" w:cs="Arial"/>
                <w:sz w:val="24"/>
                <w:szCs w:val="24"/>
              </w:rPr>
              <w:t>s</w:t>
            </w:r>
            <w:r w:rsidRPr="00C92ECE">
              <w:rPr>
                <w:rFonts w:ascii="Arial" w:eastAsia="Calibri" w:hAnsi="Arial" w:cs="Arial"/>
                <w:sz w:val="24"/>
                <w:szCs w:val="24"/>
              </w:rPr>
              <w:t xml:space="preserve"> difficult. Most statutory and voluntary agencies can</w:t>
            </w:r>
            <w:r w:rsidR="00477D9E">
              <w:rPr>
                <w:rFonts w:ascii="Arial" w:eastAsia="Calibri" w:hAnsi="Arial" w:cs="Arial"/>
                <w:sz w:val="24"/>
                <w:szCs w:val="24"/>
              </w:rPr>
              <w:t>’t</w:t>
            </w:r>
            <w:r w:rsidRPr="00C92ECE">
              <w:rPr>
                <w:rFonts w:ascii="Arial" w:eastAsia="Calibri" w:hAnsi="Arial" w:cs="Arial"/>
                <w:sz w:val="24"/>
                <w:szCs w:val="24"/>
              </w:rPr>
              <w:t xml:space="preserve"> host non-drivers </w:t>
            </w:r>
            <w:r w:rsidR="00E4382D">
              <w:rPr>
                <w:rFonts w:ascii="Arial" w:eastAsia="Calibri" w:hAnsi="Arial" w:cs="Arial"/>
                <w:sz w:val="24"/>
                <w:szCs w:val="24"/>
              </w:rPr>
              <w:t>because of</w:t>
            </w:r>
            <w:r w:rsidRPr="00C92ECE">
              <w:rPr>
                <w:rFonts w:ascii="Arial" w:eastAsia="Calibri" w:hAnsi="Arial" w:cs="Arial"/>
                <w:sz w:val="24"/>
                <w:szCs w:val="24"/>
              </w:rPr>
              <w:t xml:space="preserve"> the nature of the work. This year, seven students did</w:t>
            </w:r>
            <w:r w:rsidR="00E4382D">
              <w:rPr>
                <w:rFonts w:ascii="Arial" w:eastAsia="Calibri" w:hAnsi="Arial" w:cs="Arial"/>
                <w:sz w:val="24"/>
                <w:szCs w:val="24"/>
              </w:rPr>
              <w:t>n’t</w:t>
            </w:r>
            <w:r w:rsidRPr="00C92ECE">
              <w:rPr>
                <w:rFonts w:ascii="Arial" w:eastAsia="Calibri" w:hAnsi="Arial" w:cs="Arial"/>
                <w:sz w:val="24"/>
                <w:szCs w:val="24"/>
              </w:rPr>
              <w:t xml:space="preserve">; two passed their test just before placement, while securing placements for the others was challenging, with some teams unwilling to accommodate them. (Cardiff – Cardiff and the Vale </w:t>
            </w:r>
            <w:r w:rsidR="00E4382D">
              <w:rPr>
                <w:rFonts w:ascii="Arial" w:eastAsia="Calibri" w:hAnsi="Arial" w:cs="Arial"/>
                <w:sz w:val="24"/>
                <w:szCs w:val="24"/>
              </w:rPr>
              <w:t>r</w:t>
            </w:r>
            <w:r w:rsidRPr="00C92ECE">
              <w:rPr>
                <w:rFonts w:ascii="Arial" w:eastAsia="Calibri" w:hAnsi="Arial" w:cs="Arial"/>
                <w:sz w:val="24"/>
                <w:szCs w:val="24"/>
              </w:rPr>
              <w:t>egion)</w:t>
            </w:r>
          </w:p>
        </w:tc>
      </w:tr>
    </w:tbl>
    <w:p w14:paraId="0B75EF21" w14:textId="77777777" w:rsidR="00343B71" w:rsidRDefault="00343B71">
      <w:pPr>
        <w:pStyle w:val="ListParagraph"/>
        <w:rPr>
          <w:rFonts w:ascii="Arial" w:eastAsia="Calibri" w:hAnsi="Arial" w:cs="Arial"/>
          <w:bCs/>
          <w:sz w:val="24"/>
          <w:szCs w:val="24"/>
        </w:rPr>
      </w:pPr>
    </w:p>
    <w:p w14:paraId="6A7D3E10" w14:textId="77777777" w:rsidR="005B4CD8" w:rsidRPr="00C92ECE" w:rsidRDefault="005B4CD8" w:rsidP="00C92EC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All regions are actively supporting staff to become Practice Educators (PEs), with peer support, workshops, and formal qualifications.</w:t>
      </w:r>
    </w:p>
    <w:p w14:paraId="2E27D2E2" w14:textId="77777777" w:rsidR="006C1BEF" w:rsidRPr="00C92ECE" w:rsidRDefault="006C1BEF" w:rsidP="00C92ECE">
      <w:pPr>
        <w:spacing w:after="0" w:line="276" w:lineRule="auto"/>
        <w:ind w:left="567"/>
        <w:contextualSpacing/>
        <w:rPr>
          <w:rFonts w:ascii="Arial" w:eastAsia="Calibri" w:hAnsi="Arial" w:cs="Arial"/>
          <w:bCs/>
          <w:sz w:val="24"/>
          <w:szCs w:val="24"/>
        </w:rPr>
      </w:pPr>
    </w:p>
    <w:p w14:paraId="61C2D29D" w14:textId="77777777" w:rsidR="005B4CD8" w:rsidRPr="005508BE" w:rsidRDefault="005B4CD8" w:rsidP="00D362B0">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There are waiting lists and high demand for PE programmes in some areas.</w:t>
      </w:r>
    </w:p>
    <w:p w14:paraId="4A28064D" w14:textId="77777777" w:rsidR="002C3C10" w:rsidRDefault="002C3C10" w:rsidP="00C92ECE">
      <w:pPr>
        <w:pStyle w:val="ListParagraph"/>
        <w:rPr>
          <w:rFonts w:ascii="Arial" w:eastAsia="Calibri" w:hAnsi="Arial" w:cs="Arial"/>
          <w:bCs/>
          <w:sz w:val="24"/>
          <w:szCs w:val="24"/>
        </w:rPr>
      </w:pPr>
    </w:p>
    <w:tbl>
      <w:tblPr>
        <w:tblStyle w:val="TableGrid"/>
        <w:tblW w:w="0" w:type="auto"/>
        <w:jc w:val="center"/>
        <w:tblLook w:val="04A0" w:firstRow="1" w:lastRow="0" w:firstColumn="1" w:lastColumn="0" w:noHBand="0" w:noVBand="1"/>
      </w:tblPr>
      <w:tblGrid>
        <w:gridCol w:w="9016"/>
      </w:tblGrid>
      <w:tr w:rsidR="002C3C10" w:rsidRPr="005508BE" w14:paraId="48DE5AF2" w14:textId="77777777" w:rsidTr="00C92ECE">
        <w:trPr>
          <w:jc w:val="center"/>
        </w:trPr>
        <w:tc>
          <w:tcPr>
            <w:tcW w:w="9016" w:type="dxa"/>
          </w:tcPr>
          <w:p w14:paraId="73D837B7" w14:textId="035C71D7" w:rsidR="002C3C10" w:rsidRPr="005508BE" w:rsidRDefault="002C3C10" w:rsidP="00C801F1">
            <w:pPr>
              <w:rPr>
                <w:rFonts w:ascii="Arial" w:eastAsia="Calibri" w:hAnsi="Arial" w:cs="Arial"/>
                <w:bCs/>
                <w:sz w:val="24"/>
                <w:szCs w:val="24"/>
              </w:rPr>
            </w:pPr>
            <w:r w:rsidRPr="00C801F1">
              <w:rPr>
                <w:rFonts w:ascii="Arial" w:eastAsia="Calibri" w:hAnsi="Arial" w:cs="Arial"/>
                <w:bCs/>
                <w:sz w:val="24"/>
                <w:szCs w:val="24"/>
              </w:rPr>
              <w:t>There</w:t>
            </w:r>
            <w:r w:rsidR="00E4382D">
              <w:rPr>
                <w:rFonts w:ascii="Arial" w:eastAsia="Calibri" w:hAnsi="Arial" w:cs="Arial"/>
                <w:bCs/>
                <w:sz w:val="24"/>
                <w:szCs w:val="24"/>
              </w:rPr>
              <w:t>’s</w:t>
            </w:r>
            <w:r w:rsidRPr="00C801F1">
              <w:rPr>
                <w:rFonts w:ascii="Arial" w:eastAsia="Calibri" w:hAnsi="Arial" w:cs="Arial"/>
                <w:bCs/>
                <w:sz w:val="24"/>
                <w:szCs w:val="24"/>
              </w:rPr>
              <w:t xml:space="preserve"> been an increase in the number of staff wanting to complete the practice educator programme.  </w:t>
            </w:r>
            <w:r w:rsidR="00E4382D">
              <w:rPr>
                <w:rFonts w:ascii="Arial" w:eastAsia="Calibri" w:hAnsi="Arial" w:cs="Arial"/>
                <w:bCs/>
                <w:sz w:val="24"/>
                <w:szCs w:val="24"/>
              </w:rPr>
              <w:t>Eight</w:t>
            </w:r>
            <w:r w:rsidRPr="00C801F1">
              <w:rPr>
                <w:rFonts w:ascii="Arial" w:eastAsia="Calibri" w:hAnsi="Arial" w:cs="Arial"/>
                <w:bCs/>
                <w:sz w:val="24"/>
                <w:szCs w:val="24"/>
              </w:rPr>
              <w:t xml:space="preserve"> new candidates joined the programme this year, including one candidate from the third sector.  Finding assessors for all </w:t>
            </w:r>
            <w:r w:rsidR="00E4382D">
              <w:rPr>
                <w:rFonts w:ascii="Arial" w:eastAsia="Calibri" w:hAnsi="Arial" w:cs="Arial"/>
                <w:bCs/>
                <w:sz w:val="24"/>
                <w:szCs w:val="24"/>
              </w:rPr>
              <w:t>eight</w:t>
            </w:r>
            <w:r w:rsidRPr="00C801F1">
              <w:rPr>
                <w:rFonts w:ascii="Arial" w:eastAsia="Calibri" w:hAnsi="Arial" w:cs="Arial"/>
                <w:bCs/>
                <w:sz w:val="24"/>
                <w:szCs w:val="24"/>
              </w:rPr>
              <w:t xml:space="preserve"> candidates has been difficult but has also provided development opportunities for existing experienced practice </w:t>
            </w:r>
            <w:r w:rsidR="005508BE" w:rsidRPr="00C801F1">
              <w:rPr>
                <w:rFonts w:ascii="Arial" w:eastAsia="Calibri" w:hAnsi="Arial" w:cs="Arial"/>
                <w:bCs/>
                <w:sz w:val="24"/>
                <w:szCs w:val="24"/>
              </w:rPr>
              <w:t>educators. (</w:t>
            </w:r>
            <w:r w:rsidR="00DB5AD7" w:rsidRPr="00C801F1">
              <w:rPr>
                <w:rFonts w:ascii="Arial" w:eastAsia="Calibri" w:hAnsi="Arial" w:cs="Arial"/>
                <w:bCs/>
                <w:sz w:val="24"/>
                <w:szCs w:val="24"/>
              </w:rPr>
              <w:t xml:space="preserve">Ynys Môn – </w:t>
            </w:r>
            <w:r w:rsidR="00E4382D">
              <w:rPr>
                <w:rFonts w:ascii="Arial" w:eastAsia="Calibri" w:hAnsi="Arial" w:cs="Arial"/>
                <w:bCs/>
                <w:sz w:val="24"/>
                <w:szCs w:val="24"/>
              </w:rPr>
              <w:t>n</w:t>
            </w:r>
            <w:r w:rsidR="00DB5AD7" w:rsidRPr="00C801F1">
              <w:rPr>
                <w:rFonts w:ascii="Arial" w:eastAsia="Calibri" w:hAnsi="Arial" w:cs="Arial"/>
                <w:bCs/>
                <w:sz w:val="24"/>
                <w:szCs w:val="24"/>
              </w:rPr>
              <w:t xml:space="preserve">orth Wales </w:t>
            </w:r>
            <w:r w:rsidR="00E4382D">
              <w:rPr>
                <w:rFonts w:ascii="Arial" w:eastAsia="Calibri" w:hAnsi="Arial" w:cs="Arial"/>
                <w:bCs/>
                <w:sz w:val="24"/>
                <w:szCs w:val="24"/>
              </w:rPr>
              <w:t>r</w:t>
            </w:r>
            <w:r w:rsidR="00DB5AD7" w:rsidRPr="00C801F1">
              <w:rPr>
                <w:rFonts w:ascii="Arial" w:eastAsia="Calibri" w:hAnsi="Arial" w:cs="Arial"/>
                <w:bCs/>
                <w:sz w:val="24"/>
                <w:szCs w:val="24"/>
              </w:rPr>
              <w:t>egion)</w:t>
            </w:r>
          </w:p>
        </w:tc>
      </w:tr>
    </w:tbl>
    <w:p w14:paraId="62B80F18" w14:textId="77777777" w:rsidR="002C3C10" w:rsidRPr="00C92ECE" w:rsidRDefault="002C3C10" w:rsidP="00C92ECE">
      <w:pPr>
        <w:spacing w:after="0" w:line="276" w:lineRule="auto"/>
        <w:ind w:left="567"/>
        <w:contextualSpacing/>
        <w:rPr>
          <w:rFonts w:ascii="Arial" w:eastAsia="Calibri" w:hAnsi="Arial" w:cs="Arial"/>
          <w:bCs/>
          <w:sz w:val="24"/>
          <w:szCs w:val="24"/>
        </w:rPr>
      </w:pPr>
    </w:p>
    <w:p w14:paraId="0A16B2F8" w14:textId="33673AAC" w:rsidR="005B4CD8" w:rsidRPr="005B4CD8" w:rsidRDefault="005B4CD8" w:rsidP="005B4CD8">
      <w:pPr>
        <w:spacing w:after="0" w:line="240" w:lineRule="auto"/>
        <w:rPr>
          <w:rFonts w:ascii="Arial" w:eastAsia="Calibri" w:hAnsi="Arial" w:cs="Arial"/>
          <w:sz w:val="24"/>
          <w:szCs w:val="24"/>
          <w:shd w:val="clear" w:color="auto" w:fill="FFFFFF"/>
        </w:rPr>
      </w:pPr>
    </w:p>
    <w:p w14:paraId="481B34FA" w14:textId="77777777" w:rsidR="002D1B1F" w:rsidRPr="00F47A08" w:rsidRDefault="002D1B1F" w:rsidP="000C06A7">
      <w:pPr>
        <w:pStyle w:val="Heading3"/>
      </w:pPr>
      <w:bookmarkStart w:id="36" w:name="_Toc210987774"/>
      <w:bookmarkStart w:id="37" w:name="_Toc211279627"/>
      <w:r w:rsidRPr="00F47A08">
        <w:lastRenderedPageBreak/>
        <w:t>Challenges</w:t>
      </w:r>
      <w:bookmarkEnd w:id="36"/>
      <w:bookmarkEnd w:id="37"/>
    </w:p>
    <w:p w14:paraId="0CE7DA3D" w14:textId="3C543F53" w:rsidR="00636628" w:rsidRPr="00C92ECE" w:rsidRDefault="00C80161" w:rsidP="00C92ECE">
      <w:pPr>
        <w:numPr>
          <w:ilvl w:val="0"/>
          <w:numId w:val="6"/>
        </w:numPr>
        <w:spacing w:after="0" w:line="276" w:lineRule="auto"/>
        <w:ind w:left="567" w:hanging="425"/>
        <w:contextualSpacing/>
        <w:rPr>
          <w:rFonts w:ascii="Arial" w:eastAsia="Calibri" w:hAnsi="Arial" w:cs="Arial"/>
          <w:bCs/>
          <w:sz w:val="24"/>
          <w:szCs w:val="24"/>
        </w:rPr>
      </w:pPr>
      <w:r w:rsidRPr="00B552CD">
        <w:rPr>
          <w:rFonts w:ascii="Arial" w:eastAsia="Calibri" w:hAnsi="Arial" w:cs="Arial"/>
          <w:bCs/>
          <w:sz w:val="24"/>
          <w:szCs w:val="24"/>
        </w:rPr>
        <w:t>Regions</w:t>
      </w:r>
      <w:r w:rsidR="00636628" w:rsidRPr="00C92ECE">
        <w:rPr>
          <w:rFonts w:ascii="Arial" w:eastAsia="Calibri" w:hAnsi="Arial" w:cs="Arial"/>
          <w:bCs/>
          <w:sz w:val="24"/>
          <w:szCs w:val="24"/>
        </w:rPr>
        <w:t xml:space="preserve"> </w:t>
      </w:r>
      <w:r w:rsidR="00E4382D">
        <w:rPr>
          <w:rFonts w:ascii="Arial" w:eastAsia="Calibri" w:hAnsi="Arial" w:cs="Arial"/>
          <w:bCs/>
          <w:sz w:val="24"/>
          <w:szCs w:val="24"/>
        </w:rPr>
        <w:t>are noticing fewer students enrolling in social work courses</w:t>
      </w:r>
      <w:r w:rsidR="00BA0339" w:rsidRPr="00C92ECE">
        <w:rPr>
          <w:rFonts w:ascii="Arial" w:eastAsia="Calibri" w:hAnsi="Arial" w:cs="Arial"/>
          <w:bCs/>
          <w:sz w:val="24"/>
          <w:szCs w:val="24"/>
        </w:rPr>
        <w:t xml:space="preserve"> </w:t>
      </w:r>
      <w:r w:rsidR="00BA0339">
        <w:rPr>
          <w:rFonts w:ascii="Arial" w:eastAsia="Calibri" w:hAnsi="Arial" w:cs="Arial"/>
          <w:bCs/>
          <w:sz w:val="24"/>
          <w:szCs w:val="24"/>
        </w:rPr>
        <w:t xml:space="preserve">at </w:t>
      </w:r>
      <w:r w:rsidR="00E2279A">
        <w:rPr>
          <w:rFonts w:ascii="Arial" w:eastAsia="Calibri" w:hAnsi="Arial" w:cs="Arial"/>
          <w:bCs/>
          <w:sz w:val="24"/>
          <w:szCs w:val="24"/>
        </w:rPr>
        <w:t xml:space="preserve">traditional </w:t>
      </w:r>
      <w:r w:rsidR="00636628" w:rsidRPr="00C92ECE">
        <w:rPr>
          <w:rFonts w:ascii="Arial" w:eastAsia="Calibri" w:hAnsi="Arial" w:cs="Arial"/>
          <w:bCs/>
          <w:sz w:val="24"/>
          <w:szCs w:val="24"/>
        </w:rPr>
        <w:t xml:space="preserve">HEIs, with </w:t>
      </w:r>
      <w:r w:rsidR="00E4382D">
        <w:rPr>
          <w:rFonts w:ascii="Arial" w:eastAsia="Calibri" w:hAnsi="Arial" w:cs="Arial"/>
          <w:bCs/>
          <w:sz w:val="24"/>
          <w:szCs w:val="24"/>
        </w:rPr>
        <w:t>cost often mentioned as a major reason.</w:t>
      </w:r>
      <w:r w:rsidR="00B552CD">
        <w:rPr>
          <w:rFonts w:ascii="Arial" w:eastAsia="Calibri" w:hAnsi="Arial" w:cs="Arial"/>
          <w:bCs/>
          <w:sz w:val="24"/>
          <w:szCs w:val="24"/>
        </w:rPr>
        <w:t xml:space="preserve"> </w:t>
      </w:r>
      <w:r w:rsidR="00636628" w:rsidRPr="00C92ECE">
        <w:rPr>
          <w:rFonts w:ascii="Arial" w:eastAsia="Calibri" w:hAnsi="Arial" w:cs="Arial"/>
          <w:bCs/>
          <w:sz w:val="24"/>
          <w:szCs w:val="24"/>
        </w:rPr>
        <w:t xml:space="preserve">Through ongoing engagement with the social work sector, we </w:t>
      </w:r>
      <w:r w:rsidR="00E4382D">
        <w:rPr>
          <w:rFonts w:ascii="Arial" w:eastAsia="Calibri" w:hAnsi="Arial" w:cs="Arial"/>
          <w:bCs/>
          <w:sz w:val="24"/>
          <w:szCs w:val="24"/>
        </w:rPr>
        <w:t>collect</w:t>
      </w:r>
      <w:r w:rsidR="00636628" w:rsidRPr="00C92ECE">
        <w:rPr>
          <w:rFonts w:ascii="Arial" w:eastAsia="Calibri" w:hAnsi="Arial" w:cs="Arial"/>
          <w:bCs/>
          <w:sz w:val="24"/>
          <w:szCs w:val="24"/>
        </w:rPr>
        <w:t xml:space="preserve"> and share feedback </w:t>
      </w:r>
      <w:r w:rsidR="00E4382D">
        <w:rPr>
          <w:rFonts w:ascii="Arial" w:eastAsia="Calibri" w:hAnsi="Arial" w:cs="Arial"/>
          <w:bCs/>
          <w:sz w:val="24"/>
          <w:szCs w:val="24"/>
        </w:rPr>
        <w:t xml:space="preserve">about </w:t>
      </w:r>
      <w:r w:rsidR="00636628" w:rsidRPr="00C92ECE">
        <w:rPr>
          <w:rFonts w:ascii="Arial" w:eastAsia="Calibri" w:hAnsi="Arial" w:cs="Arial"/>
          <w:bCs/>
          <w:sz w:val="24"/>
          <w:szCs w:val="24"/>
        </w:rPr>
        <w:t xml:space="preserve">bursary levels and </w:t>
      </w:r>
      <w:r w:rsidR="00E4382D">
        <w:rPr>
          <w:rFonts w:ascii="Arial" w:eastAsia="Calibri" w:hAnsi="Arial" w:cs="Arial"/>
          <w:bCs/>
          <w:sz w:val="24"/>
          <w:szCs w:val="24"/>
        </w:rPr>
        <w:t>other</w:t>
      </w:r>
      <w:r w:rsidR="00E4382D" w:rsidRPr="00C92ECE">
        <w:rPr>
          <w:rFonts w:ascii="Arial" w:eastAsia="Calibri" w:hAnsi="Arial" w:cs="Arial"/>
          <w:bCs/>
          <w:sz w:val="24"/>
          <w:szCs w:val="24"/>
        </w:rPr>
        <w:t xml:space="preserve"> </w:t>
      </w:r>
      <w:r w:rsidR="00636628" w:rsidRPr="00C92ECE">
        <w:rPr>
          <w:rFonts w:ascii="Arial" w:eastAsia="Calibri" w:hAnsi="Arial" w:cs="Arial"/>
          <w:bCs/>
          <w:sz w:val="24"/>
          <w:szCs w:val="24"/>
        </w:rPr>
        <w:t xml:space="preserve">funding issues. This includes highlighting </w:t>
      </w:r>
      <w:r w:rsidR="00E4382D">
        <w:rPr>
          <w:rFonts w:ascii="Arial" w:eastAsia="Calibri" w:hAnsi="Arial" w:cs="Arial"/>
          <w:bCs/>
          <w:sz w:val="24"/>
          <w:szCs w:val="24"/>
        </w:rPr>
        <w:t>how</w:t>
      </w:r>
      <w:r w:rsidR="00636628" w:rsidRPr="00C92ECE">
        <w:rPr>
          <w:rFonts w:ascii="Arial" w:eastAsia="Calibri" w:hAnsi="Arial" w:cs="Arial"/>
          <w:bCs/>
          <w:sz w:val="24"/>
          <w:szCs w:val="24"/>
        </w:rPr>
        <w:t xml:space="preserve"> current funding arrangements </w:t>
      </w:r>
      <w:r w:rsidR="00E4382D">
        <w:rPr>
          <w:rFonts w:ascii="Arial" w:eastAsia="Calibri" w:hAnsi="Arial" w:cs="Arial"/>
          <w:bCs/>
          <w:sz w:val="24"/>
          <w:szCs w:val="24"/>
        </w:rPr>
        <w:t xml:space="preserve">might affect </w:t>
      </w:r>
      <w:r w:rsidR="00636628" w:rsidRPr="00C92ECE">
        <w:rPr>
          <w:rFonts w:ascii="Arial" w:eastAsia="Calibri" w:hAnsi="Arial" w:cs="Arial"/>
          <w:bCs/>
          <w:sz w:val="24"/>
          <w:szCs w:val="24"/>
        </w:rPr>
        <w:t>recruitment and retention of social work students. All feedback is</w:t>
      </w:r>
      <w:r w:rsidR="00E4382D">
        <w:rPr>
          <w:rFonts w:ascii="Arial" w:eastAsia="Calibri" w:hAnsi="Arial" w:cs="Arial"/>
          <w:bCs/>
          <w:sz w:val="24"/>
          <w:szCs w:val="24"/>
        </w:rPr>
        <w:t xml:space="preserve"> shared with</w:t>
      </w:r>
      <w:r w:rsidR="00636628" w:rsidRPr="00C92ECE">
        <w:rPr>
          <w:rFonts w:ascii="Arial" w:eastAsia="Calibri" w:hAnsi="Arial" w:cs="Arial"/>
          <w:bCs/>
          <w:sz w:val="24"/>
          <w:szCs w:val="24"/>
        </w:rPr>
        <w:t xml:space="preserve"> Welsh Government to inform future policy decisions.</w:t>
      </w:r>
    </w:p>
    <w:p w14:paraId="7C6C64F8" w14:textId="77777777" w:rsidR="00B552CD" w:rsidRDefault="00B552CD" w:rsidP="00C92ECE">
      <w:pPr>
        <w:spacing w:after="0" w:line="276" w:lineRule="auto"/>
        <w:ind w:left="567"/>
        <w:contextualSpacing/>
        <w:rPr>
          <w:rFonts w:ascii="Arial" w:eastAsia="Calibri" w:hAnsi="Arial" w:cs="Arial"/>
          <w:bCs/>
          <w:sz w:val="24"/>
          <w:szCs w:val="24"/>
        </w:rPr>
      </w:pPr>
    </w:p>
    <w:p w14:paraId="7BB0EC8A" w14:textId="22558F7D" w:rsidR="00800BB3" w:rsidRPr="001679BE" w:rsidRDefault="00636628" w:rsidP="00BB0095">
      <w:pPr>
        <w:numPr>
          <w:ilvl w:val="0"/>
          <w:numId w:val="6"/>
        </w:numPr>
        <w:spacing w:after="0" w:line="276" w:lineRule="auto"/>
        <w:ind w:left="567" w:hanging="425"/>
        <w:contextualSpacing/>
        <w:rPr>
          <w:rFonts w:ascii="Arial" w:eastAsia="Calibri" w:hAnsi="Arial" w:cs="Arial"/>
          <w:bCs/>
          <w:sz w:val="24"/>
          <w:szCs w:val="24"/>
        </w:rPr>
      </w:pPr>
      <w:r w:rsidRPr="001679BE">
        <w:rPr>
          <w:rFonts w:ascii="Arial" w:eastAsia="Calibri" w:hAnsi="Arial" w:cs="Arial"/>
          <w:bCs/>
          <w:sz w:val="24"/>
          <w:szCs w:val="24"/>
        </w:rPr>
        <w:t>In recent discussions involving HEIs, Social Care Wales, and Welsh Government, concerns were raised about funding</w:t>
      </w:r>
      <w:r w:rsidR="00E4382D">
        <w:rPr>
          <w:rFonts w:ascii="Arial" w:eastAsia="Calibri" w:hAnsi="Arial" w:cs="Arial"/>
          <w:bCs/>
          <w:sz w:val="24"/>
          <w:szCs w:val="24"/>
        </w:rPr>
        <w:t xml:space="preserve">, </w:t>
      </w:r>
      <w:r w:rsidRPr="001679BE">
        <w:rPr>
          <w:rFonts w:ascii="Arial" w:eastAsia="Calibri" w:hAnsi="Arial" w:cs="Arial"/>
          <w:bCs/>
          <w:sz w:val="24"/>
          <w:szCs w:val="24"/>
        </w:rPr>
        <w:t xml:space="preserve">particularly regarding the decline in admissions to </w:t>
      </w:r>
      <w:r w:rsidR="00150D4D">
        <w:rPr>
          <w:rFonts w:ascii="Arial" w:eastAsia="Calibri" w:hAnsi="Arial" w:cs="Arial"/>
          <w:bCs/>
          <w:sz w:val="24"/>
          <w:szCs w:val="24"/>
        </w:rPr>
        <w:t xml:space="preserve">traditional </w:t>
      </w:r>
      <w:r w:rsidRPr="001679BE">
        <w:rPr>
          <w:rFonts w:ascii="Arial" w:eastAsia="Calibri" w:hAnsi="Arial" w:cs="Arial"/>
          <w:bCs/>
          <w:sz w:val="24"/>
          <w:szCs w:val="24"/>
        </w:rPr>
        <w:t xml:space="preserve">universities. </w:t>
      </w:r>
    </w:p>
    <w:p w14:paraId="51AD4F98" w14:textId="77777777" w:rsidR="001679BE" w:rsidRDefault="001679BE" w:rsidP="00BB0095">
      <w:pPr>
        <w:spacing w:after="0" w:line="276" w:lineRule="auto"/>
        <w:ind w:left="567"/>
        <w:contextualSpacing/>
        <w:rPr>
          <w:rFonts w:ascii="Arial" w:eastAsia="Calibri" w:hAnsi="Arial" w:cs="Arial"/>
          <w:bCs/>
          <w:sz w:val="24"/>
          <w:szCs w:val="24"/>
        </w:rPr>
      </w:pPr>
    </w:p>
    <w:p w14:paraId="5E04DF67" w14:textId="070E3563" w:rsidR="005D0C39" w:rsidRPr="00C92ECE" w:rsidRDefault="005D0C39" w:rsidP="00C92EC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Service pressures continue to affect the capacity of internal practice educators across Wales,</w:t>
      </w:r>
      <w:r w:rsidR="00225D88">
        <w:rPr>
          <w:rFonts w:ascii="Arial" w:eastAsia="Calibri" w:hAnsi="Arial" w:cs="Arial"/>
          <w:bCs/>
          <w:sz w:val="24"/>
          <w:szCs w:val="24"/>
        </w:rPr>
        <w:t xml:space="preserve"> so</w:t>
      </w:r>
      <w:r w:rsidRPr="00C92ECE">
        <w:rPr>
          <w:rFonts w:ascii="Arial" w:eastAsia="Calibri" w:hAnsi="Arial" w:cs="Arial"/>
          <w:bCs/>
          <w:sz w:val="24"/>
          <w:szCs w:val="24"/>
        </w:rPr>
        <w:t xml:space="preserve"> external services </w:t>
      </w:r>
      <w:r w:rsidR="00225D88">
        <w:rPr>
          <w:rFonts w:ascii="Arial" w:eastAsia="Calibri" w:hAnsi="Arial" w:cs="Arial"/>
          <w:bCs/>
          <w:sz w:val="24"/>
          <w:szCs w:val="24"/>
        </w:rPr>
        <w:t xml:space="preserve">are being used </w:t>
      </w:r>
      <w:r w:rsidRPr="00C92ECE">
        <w:rPr>
          <w:rFonts w:ascii="Arial" w:eastAsia="Calibri" w:hAnsi="Arial" w:cs="Arial"/>
          <w:bCs/>
          <w:sz w:val="24"/>
          <w:szCs w:val="24"/>
        </w:rPr>
        <w:t xml:space="preserve">to meet the growing demand for both qualifying and post-qualifying practice education. </w:t>
      </w:r>
      <w:r w:rsidR="00225D88">
        <w:rPr>
          <w:rFonts w:ascii="Arial" w:eastAsia="Calibri" w:hAnsi="Arial" w:cs="Arial"/>
          <w:bCs/>
          <w:sz w:val="24"/>
          <w:szCs w:val="24"/>
        </w:rPr>
        <w:t>Different regions have different arrangements</w:t>
      </w:r>
      <w:r w:rsidRPr="00C92ECE">
        <w:rPr>
          <w:rFonts w:ascii="Arial" w:eastAsia="Calibri" w:hAnsi="Arial" w:cs="Arial"/>
          <w:bCs/>
          <w:sz w:val="24"/>
          <w:szCs w:val="24"/>
        </w:rPr>
        <w:t xml:space="preserve">, which </w:t>
      </w:r>
      <w:r w:rsidR="00225D88">
        <w:rPr>
          <w:rFonts w:ascii="Arial" w:eastAsia="Calibri" w:hAnsi="Arial" w:cs="Arial"/>
          <w:bCs/>
          <w:sz w:val="24"/>
          <w:szCs w:val="24"/>
        </w:rPr>
        <w:t>complicates</w:t>
      </w:r>
      <w:r w:rsidRPr="00C92ECE">
        <w:rPr>
          <w:rFonts w:ascii="Arial" w:eastAsia="Calibri" w:hAnsi="Arial" w:cs="Arial"/>
          <w:bCs/>
          <w:sz w:val="24"/>
          <w:szCs w:val="24"/>
        </w:rPr>
        <w:t xml:space="preserve"> workforce planning and delivery.</w:t>
      </w:r>
      <w:r w:rsidR="00C70AFA" w:rsidRPr="00C92ECE">
        <w:rPr>
          <w:rFonts w:ascii="Arial" w:eastAsia="Calibri" w:hAnsi="Arial" w:cs="Arial"/>
          <w:bCs/>
          <w:sz w:val="24"/>
          <w:szCs w:val="24"/>
        </w:rPr>
        <w:t xml:space="preserve"> </w:t>
      </w:r>
      <w:r w:rsidRPr="00C92ECE">
        <w:rPr>
          <w:rFonts w:ascii="Arial" w:eastAsia="Calibri" w:hAnsi="Arial" w:cs="Arial"/>
          <w:bCs/>
          <w:sz w:val="24"/>
          <w:szCs w:val="24"/>
        </w:rPr>
        <w:t xml:space="preserve">To understand </w:t>
      </w:r>
      <w:r w:rsidR="00225D88">
        <w:rPr>
          <w:rFonts w:ascii="Arial" w:eastAsia="Calibri" w:hAnsi="Arial" w:cs="Arial"/>
          <w:bCs/>
          <w:sz w:val="24"/>
          <w:szCs w:val="24"/>
        </w:rPr>
        <w:t>the situation better</w:t>
      </w:r>
      <w:r w:rsidRPr="00C92ECE">
        <w:rPr>
          <w:rFonts w:ascii="Arial" w:eastAsia="Calibri" w:hAnsi="Arial" w:cs="Arial"/>
          <w:bCs/>
          <w:sz w:val="24"/>
          <w:szCs w:val="24"/>
        </w:rPr>
        <w:t>, we</w:t>
      </w:r>
      <w:r w:rsidR="00225D88">
        <w:rPr>
          <w:rFonts w:ascii="Arial" w:eastAsia="Calibri" w:hAnsi="Arial" w:cs="Arial"/>
          <w:bCs/>
          <w:sz w:val="24"/>
          <w:szCs w:val="24"/>
        </w:rPr>
        <w:t xml:space="preserve">’ll </w:t>
      </w:r>
      <w:r w:rsidRPr="00C92ECE">
        <w:rPr>
          <w:rFonts w:ascii="Arial" w:eastAsia="Calibri" w:hAnsi="Arial" w:cs="Arial"/>
          <w:bCs/>
          <w:sz w:val="24"/>
          <w:szCs w:val="24"/>
        </w:rPr>
        <w:t xml:space="preserve">be working with an external provider in 2025 to develop and </w:t>
      </w:r>
      <w:r w:rsidR="00225D88">
        <w:rPr>
          <w:rFonts w:ascii="Arial" w:eastAsia="Calibri" w:hAnsi="Arial" w:cs="Arial"/>
          <w:bCs/>
          <w:sz w:val="24"/>
          <w:szCs w:val="24"/>
        </w:rPr>
        <w:t>share</w:t>
      </w:r>
      <w:r w:rsidRPr="00C92ECE">
        <w:rPr>
          <w:rFonts w:ascii="Arial" w:eastAsia="Calibri" w:hAnsi="Arial" w:cs="Arial"/>
          <w:bCs/>
          <w:sz w:val="24"/>
          <w:szCs w:val="24"/>
        </w:rPr>
        <w:t xml:space="preserve"> a survey </w:t>
      </w:r>
      <w:r w:rsidR="00225D88">
        <w:rPr>
          <w:rFonts w:ascii="Arial" w:eastAsia="Calibri" w:hAnsi="Arial" w:cs="Arial"/>
          <w:bCs/>
          <w:sz w:val="24"/>
          <w:szCs w:val="24"/>
        </w:rPr>
        <w:t>for</w:t>
      </w:r>
      <w:r w:rsidRPr="00C92ECE">
        <w:rPr>
          <w:rFonts w:ascii="Arial" w:eastAsia="Calibri" w:hAnsi="Arial" w:cs="Arial"/>
          <w:bCs/>
          <w:sz w:val="24"/>
          <w:szCs w:val="24"/>
        </w:rPr>
        <w:t xml:space="preserve"> both practice educators and employers. The </w:t>
      </w:r>
      <w:r w:rsidR="00225D88">
        <w:rPr>
          <w:rFonts w:ascii="Arial" w:eastAsia="Calibri" w:hAnsi="Arial" w:cs="Arial"/>
          <w:bCs/>
          <w:sz w:val="24"/>
          <w:szCs w:val="24"/>
        </w:rPr>
        <w:t>results</w:t>
      </w:r>
      <w:r w:rsidRPr="00C92ECE">
        <w:rPr>
          <w:rFonts w:ascii="Arial" w:eastAsia="Calibri" w:hAnsi="Arial" w:cs="Arial"/>
          <w:bCs/>
          <w:sz w:val="24"/>
          <w:szCs w:val="24"/>
        </w:rPr>
        <w:t xml:space="preserve"> will </w:t>
      </w:r>
      <w:r w:rsidR="00225D88">
        <w:rPr>
          <w:rFonts w:ascii="Arial" w:eastAsia="Calibri" w:hAnsi="Arial" w:cs="Arial"/>
          <w:bCs/>
          <w:sz w:val="24"/>
          <w:szCs w:val="24"/>
        </w:rPr>
        <w:t>guide</w:t>
      </w:r>
      <w:r w:rsidRPr="00C92ECE">
        <w:rPr>
          <w:rFonts w:ascii="Arial" w:eastAsia="Calibri" w:hAnsi="Arial" w:cs="Arial"/>
          <w:bCs/>
          <w:sz w:val="24"/>
          <w:szCs w:val="24"/>
        </w:rPr>
        <w:t xml:space="preserve"> future planning and support, with a report </w:t>
      </w:r>
      <w:r w:rsidR="00225D88">
        <w:rPr>
          <w:rFonts w:ascii="Arial" w:eastAsia="Calibri" w:hAnsi="Arial" w:cs="Arial"/>
          <w:bCs/>
          <w:sz w:val="24"/>
          <w:szCs w:val="24"/>
        </w:rPr>
        <w:t>published</w:t>
      </w:r>
      <w:r w:rsidR="00225D88" w:rsidRPr="00C92ECE">
        <w:rPr>
          <w:rFonts w:ascii="Arial" w:eastAsia="Calibri" w:hAnsi="Arial" w:cs="Arial"/>
          <w:bCs/>
          <w:sz w:val="24"/>
          <w:szCs w:val="24"/>
        </w:rPr>
        <w:t xml:space="preserve"> </w:t>
      </w:r>
      <w:r w:rsidRPr="00C92ECE">
        <w:rPr>
          <w:rFonts w:ascii="Arial" w:eastAsia="Calibri" w:hAnsi="Arial" w:cs="Arial"/>
          <w:bCs/>
          <w:sz w:val="24"/>
          <w:szCs w:val="24"/>
        </w:rPr>
        <w:t>in early 2026.</w:t>
      </w:r>
    </w:p>
    <w:p w14:paraId="643A9CF7" w14:textId="77777777" w:rsidR="00FB2C95" w:rsidRDefault="00FB2C95" w:rsidP="00C92ECE">
      <w:pPr>
        <w:spacing w:after="200" w:line="276" w:lineRule="auto"/>
        <w:ind w:left="567"/>
        <w:contextualSpacing/>
        <w:rPr>
          <w:rFonts w:ascii="Arial" w:eastAsia="Calibri" w:hAnsi="Arial" w:cs="Arial"/>
          <w:sz w:val="24"/>
          <w:szCs w:val="24"/>
          <w:highlight w:val="yellow"/>
        </w:rPr>
      </w:pPr>
    </w:p>
    <w:p w14:paraId="28D922D5" w14:textId="74877F22" w:rsidR="00886AEB" w:rsidRDefault="00225D88" w:rsidP="00226081">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S</w:t>
      </w:r>
      <w:r w:rsidR="00226081" w:rsidRPr="00C92ECE">
        <w:rPr>
          <w:rFonts w:ascii="Arial" w:eastAsia="Calibri" w:hAnsi="Arial" w:cs="Arial"/>
          <w:sz w:val="24"/>
          <w:szCs w:val="24"/>
        </w:rPr>
        <w:t xml:space="preserve">taff consistently report </w:t>
      </w:r>
      <w:r>
        <w:rPr>
          <w:rFonts w:ascii="Arial" w:eastAsia="Calibri" w:hAnsi="Arial" w:cs="Arial"/>
          <w:sz w:val="24"/>
          <w:szCs w:val="24"/>
        </w:rPr>
        <w:t xml:space="preserve">that they’re </w:t>
      </w:r>
      <w:r w:rsidR="00226081" w:rsidRPr="00C92ECE">
        <w:rPr>
          <w:rFonts w:ascii="Arial" w:eastAsia="Calibri" w:hAnsi="Arial" w:cs="Arial"/>
          <w:sz w:val="24"/>
          <w:szCs w:val="24"/>
        </w:rPr>
        <w:t>enjoying the workshops, discussions, and practical exercises</w:t>
      </w:r>
      <w:r w:rsidR="000C4DA3">
        <w:rPr>
          <w:rFonts w:ascii="Arial" w:eastAsia="Calibri" w:hAnsi="Arial" w:cs="Arial"/>
          <w:sz w:val="24"/>
          <w:szCs w:val="24"/>
        </w:rPr>
        <w:t xml:space="preserve"> of consolidation programmes</w:t>
      </w:r>
      <w:r w:rsidR="00226081" w:rsidRPr="00C92ECE">
        <w:rPr>
          <w:rFonts w:ascii="Arial" w:eastAsia="Calibri" w:hAnsi="Arial" w:cs="Arial"/>
          <w:sz w:val="24"/>
          <w:szCs w:val="24"/>
        </w:rPr>
        <w:t xml:space="preserve">, </w:t>
      </w:r>
      <w:r>
        <w:rPr>
          <w:rFonts w:ascii="Arial" w:eastAsia="Calibri" w:hAnsi="Arial" w:cs="Arial"/>
          <w:sz w:val="24"/>
          <w:szCs w:val="24"/>
        </w:rPr>
        <w:t>but many say that having</w:t>
      </w:r>
      <w:r w:rsidR="00226081" w:rsidRPr="00C92ECE">
        <w:rPr>
          <w:rFonts w:ascii="Arial" w:eastAsia="Calibri" w:hAnsi="Arial" w:cs="Arial"/>
          <w:sz w:val="24"/>
          <w:szCs w:val="24"/>
        </w:rPr>
        <w:t xml:space="preserve"> to complete the portfolio and academic </w:t>
      </w:r>
      <w:r>
        <w:rPr>
          <w:rFonts w:ascii="Arial" w:eastAsia="Calibri" w:hAnsi="Arial" w:cs="Arial"/>
          <w:sz w:val="24"/>
          <w:szCs w:val="24"/>
        </w:rPr>
        <w:t>tasks</w:t>
      </w:r>
      <w:r w:rsidR="00226081" w:rsidRPr="00C92ECE">
        <w:rPr>
          <w:rFonts w:ascii="Arial" w:eastAsia="Calibri" w:hAnsi="Arial" w:cs="Arial"/>
          <w:sz w:val="24"/>
          <w:szCs w:val="24"/>
        </w:rPr>
        <w:t xml:space="preserve"> add</w:t>
      </w:r>
      <w:r w:rsidR="00792F11">
        <w:rPr>
          <w:rFonts w:ascii="Arial" w:eastAsia="Calibri" w:hAnsi="Arial" w:cs="Arial"/>
          <w:sz w:val="24"/>
          <w:szCs w:val="24"/>
        </w:rPr>
        <w:t>s</w:t>
      </w:r>
      <w:r w:rsidR="00226081" w:rsidRPr="00C92ECE">
        <w:rPr>
          <w:rFonts w:ascii="Arial" w:eastAsia="Calibri" w:hAnsi="Arial" w:cs="Arial"/>
          <w:sz w:val="24"/>
          <w:szCs w:val="24"/>
        </w:rPr>
        <w:t xml:space="preserve"> </w:t>
      </w:r>
      <w:r w:rsidR="00792F11">
        <w:rPr>
          <w:rFonts w:ascii="Arial" w:eastAsia="Calibri" w:hAnsi="Arial" w:cs="Arial"/>
          <w:sz w:val="24"/>
          <w:szCs w:val="24"/>
        </w:rPr>
        <w:t xml:space="preserve">extra </w:t>
      </w:r>
      <w:r w:rsidR="00226081" w:rsidRPr="00C92ECE">
        <w:rPr>
          <w:rFonts w:ascii="Arial" w:eastAsia="Calibri" w:hAnsi="Arial" w:cs="Arial"/>
          <w:sz w:val="24"/>
          <w:szCs w:val="24"/>
        </w:rPr>
        <w:t xml:space="preserve">pressure </w:t>
      </w:r>
      <w:r w:rsidR="00792F11">
        <w:rPr>
          <w:rFonts w:ascii="Arial" w:eastAsia="Calibri" w:hAnsi="Arial" w:cs="Arial"/>
          <w:sz w:val="24"/>
          <w:szCs w:val="24"/>
        </w:rPr>
        <w:t>and takes away</w:t>
      </w:r>
      <w:r w:rsidR="00226081" w:rsidRPr="00C92ECE">
        <w:rPr>
          <w:rFonts w:ascii="Arial" w:eastAsia="Calibri" w:hAnsi="Arial" w:cs="Arial"/>
          <w:sz w:val="24"/>
          <w:szCs w:val="24"/>
        </w:rPr>
        <w:t xml:space="preserve"> from their overall professional development experience.</w:t>
      </w:r>
    </w:p>
    <w:p w14:paraId="45FAE342" w14:textId="77777777" w:rsidR="00A13FFF" w:rsidRDefault="00A13FFF" w:rsidP="00A13FFF">
      <w:pPr>
        <w:spacing w:after="200" w:line="276" w:lineRule="auto"/>
        <w:contextualSpacing/>
        <w:rPr>
          <w:rFonts w:ascii="Arial" w:eastAsia="Calibri" w:hAnsi="Arial" w:cs="Arial"/>
          <w:sz w:val="24"/>
          <w:szCs w:val="24"/>
        </w:rPr>
      </w:pPr>
    </w:p>
    <w:p w14:paraId="73F1AA69" w14:textId="16479B95" w:rsidR="00A13FFF" w:rsidRPr="007B6F1A" w:rsidRDefault="00792F11" w:rsidP="00C92ECE">
      <w:pPr>
        <w:numPr>
          <w:ilvl w:val="0"/>
          <w:numId w:val="6"/>
        </w:numPr>
        <w:spacing w:after="200" w:line="276" w:lineRule="auto"/>
        <w:ind w:left="567" w:hanging="425"/>
        <w:contextualSpacing/>
        <w:rPr>
          <w:rFonts w:eastAsia="Calibri"/>
          <w:sz w:val="24"/>
          <w:szCs w:val="24"/>
        </w:rPr>
      </w:pPr>
      <w:r>
        <w:rPr>
          <w:rFonts w:ascii="Arial" w:eastAsia="Calibri" w:hAnsi="Arial" w:cs="Arial"/>
          <w:sz w:val="24"/>
          <w:szCs w:val="24"/>
        </w:rPr>
        <w:t xml:space="preserve">Regions say that </w:t>
      </w:r>
      <w:r w:rsidR="008E6AB5">
        <w:rPr>
          <w:rFonts w:ascii="Arial" w:eastAsia="Calibri" w:hAnsi="Arial" w:cs="Arial"/>
          <w:sz w:val="24"/>
          <w:szCs w:val="24"/>
        </w:rPr>
        <w:t xml:space="preserve">Best Interest Assessor training is </w:t>
      </w:r>
      <w:r>
        <w:rPr>
          <w:rFonts w:ascii="Arial" w:eastAsia="Calibri" w:hAnsi="Arial" w:cs="Arial"/>
          <w:sz w:val="24"/>
          <w:szCs w:val="24"/>
        </w:rPr>
        <w:t>still expensive and needs to be</w:t>
      </w:r>
      <w:r w:rsidR="008A224C">
        <w:rPr>
          <w:rFonts w:ascii="Arial" w:eastAsia="Calibri" w:hAnsi="Arial" w:cs="Arial"/>
          <w:sz w:val="24"/>
          <w:szCs w:val="24"/>
        </w:rPr>
        <w:t xml:space="preserve"> funded as part of the ongoing recover</w:t>
      </w:r>
      <w:r w:rsidR="00AF6C91">
        <w:rPr>
          <w:rFonts w:ascii="Arial" w:eastAsia="Calibri" w:hAnsi="Arial" w:cs="Arial"/>
          <w:sz w:val="24"/>
          <w:szCs w:val="24"/>
        </w:rPr>
        <w:t>y</w:t>
      </w:r>
      <w:r w:rsidR="008A224C">
        <w:rPr>
          <w:rFonts w:ascii="Arial" w:eastAsia="Calibri" w:hAnsi="Arial" w:cs="Arial"/>
          <w:sz w:val="24"/>
          <w:szCs w:val="24"/>
        </w:rPr>
        <w:t xml:space="preserve"> from the </w:t>
      </w:r>
      <w:r w:rsidR="00AF6C91">
        <w:rPr>
          <w:rFonts w:ascii="Arial" w:eastAsia="Calibri" w:hAnsi="Arial" w:cs="Arial"/>
          <w:sz w:val="24"/>
          <w:szCs w:val="24"/>
        </w:rPr>
        <w:t>withdrawal</w:t>
      </w:r>
      <w:r w:rsidR="008A224C">
        <w:rPr>
          <w:rFonts w:ascii="Arial" w:eastAsia="Calibri" w:hAnsi="Arial" w:cs="Arial"/>
          <w:sz w:val="24"/>
          <w:szCs w:val="24"/>
        </w:rPr>
        <w:t xml:space="preserve"> of the </w:t>
      </w:r>
      <w:r w:rsidR="00C11F34">
        <w:rPr>
          <w:rFonts w:ascii="Arial" w:eastAsia="Calibri" w:hAnsi="Arial" w:cs="Arial"/>
          <w:sz w:val="24"/>
          <w:szCs w:val="24"/>
        </w:rPr>
        <w:t xml:space="preserve">Liberty </w:t>
      </w:r>
      <w:r w:rsidR="00A13FFF" w:rsidRPr="00A13FFF">
        <w:rPr>
          <w:rFonts w:ascii="Arial" w:eastAsia="Calibri" w:hAnsi="Arial" w:cs="Arial"/>
          <w:sz w:val="24"/>
          <w:szCs w:val="24"/>
        </w:rPr>
        <w:t>Protection Safeguards (LPS).</w:t>
      </w:r>
    </w:p>
    <w:p w14:paraId="2AAF7444" w14:textId="77777777" w:rsidR="007B6F1A" w:rsidRPr="00C92ECE" w:rsidRDefault="007B6F1A" w:rsidP="007B6F1A">
      <w:pPr>
        <w:spacing w:after="200" w:line="276" w:lineRule="auto"/>
        <w:ind w:left="567"/>
        <w:contextualSpacing/>
        <w:rPr>
          <w:rFonts w:eastAsia="Calibri"/>
          <w:sz w:val="24"/>
          <w:szCs w:val="24"/>
        </w:rPr>
      </w:pPr>
    </w:p>
    <w:p w14:paraId="7977D90D" w14:textId="77777777" w:rsidR="006D4EFA" w:rsidRDefault="006D4EFA">
      <w:pPr>
        <w:rPr>
          <w:rFonts w:ascii="Arial" w:eastAsiaTheme="majorEastAsia" w:hAnsi="Arial" w:cs="Arial"/>
          <w:b/>
          <w:color w:val="11846A"/>
          <w:sz w:val="32"/>
          <w:szCs w:val="32"/>
          <w:lang w:eastAsia="en-GB"/>
        </w:rPr>
      </w:pPr>
      <w:bookmarkStart w:id="38" w:name="_Toc211279628"/>
      <w:r>
        <w:br w:type="page"/>
      </w:r>
    </w:p>
    <w:p w14:paraId="1BA9ED8F" w14:textId="3337A9BF" w:rsidR="002D1B1F" w:rsidRPr="000C06A7" w:rsidRDefault="002D1B1F" w:rsidP="00BC7EBC">
      <w:pPr>
        <w:pStyle w:val="Heading2"/>
      </w:pPr>
      <w:r w:rsidRPr="000C06A7">
        <w:lastRenderedPageBreak/>
        <w:t>Priority 4:</w:t>
      </w:r>
      <w:r w:rsidR="007F3A55" w:rsidRPr="00B568F3">
        <w:t xml:space="preserve"> </w:t>
      </w:r>
      <w:r w:rsidRPr="000C06A7">
        <w:t>Leadership and succession</w:t>
      </w:r>
      <w:bookmarkEnd w:id="38"/>
    </w:p>
    <w:p w14:paraId="610B5553" w14:textId="77777777" w:rsidR="002D1B1F" w:rsidRPr="00B568F3" w:rsidRDefault="002D1B1F" w:rsidP="002D1B1F">
      <w:pPr>
        <w:spacing w:after="0" w:line="240" w:lineRule="auto"/>
        <w:contextualSpacing/>
        <w:rPr>
          <w:rFonts w:ascii="Arial" w:eastAsia="Calibri" w:hAnsi="Arial" w:cs="Arial"/>
          <w:b/>
          <w:color w:val="FF0000"/>
          <w:sz w:val="24"/>
          <w:szCs w:val="24"/>
        </w:rPr>
      </w:pPr>
    </w:p>
    <w:p w14:paraId="0AD52AD8" w14:textId="49B04D45" w:rsidR="002D1B1F" w:rsidRPr="00B568F3" w:rsidRDefault="005B7E36" w:rsidP="002D1B1F">
      <w:pPr>
        <w:spacing w:after="0" w:line="240" w:lineRule="auto"/>
        <w:rPr>
          <w:rFonts w:ascii="Arial" w:eastAsia="Calibri" w:hAnsi="Arial" w:cs="Arial"/>
          <w:sz w:val="24"/>
          <w:szCs w:val="24"/>
        </w:rPr>
      </w:pPr>
      <w:r w:rsidRPr="00B568F3">
        <w:rPr>
          <w:rFonts w:ascii="Arial" w:eastAsia="Calibri" w:hAnsi="Arial" w:cs="Arial"/>
          <w:bCs/>
          <w:sz w:val="24"/>
          <w:szCs w:val="24"/>
        </w:rPr>
        <w:t>B</w:t>
      </w:r>
      <w:r w:rsidR="002D1B1F" w:rsidRPr="00B568F3">
        <w:rPr>
          <w:rFonts w:ascii="Arial" w:eastAsia="Calibri" w:hAnsi="Arial" w:cs="Arial"/>
          <w:bCs/>
          <w:sz w:val="24"/>
          <w:szCs w:val="24"/>
        </w:rPr>
        <w:t>y 2030</w:t>
      </w:r>
      <w:r w:rsidRPr="00B568F3">
        <w:rPr>
          <w:rFonts w:ascii="Arial" w:eastAsia="Calibri" w:hAnsi="Arial" w:cs="Arial"/>
          <w:bCs/>
          <w:sz w:val="24"/>
          <w:szCs w:val="24"/>
        </w:rPr>
        <w:t xml:space="preserve">, the </w:t>
      </w:r>
      <w:r w:rsidR="002D1B1F" w:rsidRPr="00B568F3" w:rsidDel="005B7E36">
        <w:rPr>
          <w:rFonts w:ascii="Arial" w:eastAsia="Calibri" w:hAnsi="Arial" w:cs="Arial"/>
          <w:bCs/>
          <w:sz w:val="24"/>
          <w:szCs w:val="24"/>
        </w:rPr>
        <w:t xml:space="preserve">workforce strategy </w:t>
      </w:r>
      <w:r w:rsidR="00F44155" w:rsidRPr="00B568F3">
        <w:rPr>
          <w:rFonts w:ascii="Arial" w:eastAsia="Calibri" w:hAnsi="Arial" w:cs="Arial"/>
          <w:bCs/>
          <w:sz w:val="24"/>
          <w:szCs w:val="24"/>
        </w:rPr>
        <w:t>hopes</w:t>
      </w:r>
      <w:r w:rsidR="002D1B1F" w:rsidRPr="00B568F3" w:rsidDel="00F44155">
        <w:rPr>
          <w:rFonts w:ascii="Arial" w:eastAsia="Calibri" w:hAnsi="Arial" w:cs="Arial"/>
          <w:bCs/>
          <w:sz w:val="24"/>
          <w:szCs w:val="24"/>
        </w:rPr>
        <w:t xml:space="preserve"> </w:t>
      </w:r>
      <w:r w:rsidR="002D1B1F" w:rsidRPr="00B568F3">
        <w:rPr>
          <w:rFonts w:ascii="Arial" w:eastAsia="Calibri" w:hAnsi="Arial" w:cs="Arial"/>
          <w:bCs/>
          <w:sz w:val="24"/>
          <w:szCs w:val="24"/>
        </w:rPr>
        <w:t>that le</w:t>
      </w:r>
      <w:r w:rsidR="002D1B1F" w:rsidRPr="00B568F3">
        <w:rPr>
          <w:rFonts w:ascii="Arial" w:eastAsia="Calibri" w:hAnsi="Arial" w:cs="Arial"/>
          <w:sz w:val="24"/>
          <w:szCs w:val="24"/>
        </w:rPr>
        <w:t xml:space="preserve">aders in the health and social care system will </w:t>
      </w:r>
      <w:r w:rsidRPr="00B568F3">
        <w:rPr>
          <w:rFonts w:ascii="Arial" w:eastAsia="Calibri" w:hAnsi="Arial" w:cs="Arial"/>
          <w:sz w:val="24"/>
          <w:szCs w:val="24"/>
        </w:rPr>
        <w:t xml:space="preserve">show </w:t>
      </w:r>
      <w:r w:rsidR="002D1B1F" w:rsidRPr="00B568F3">
        <w:rPr>
          <w:rFonts w:ascii="Arial" w:eastAsia="Calibri" w:hAnsi="Arial" w:cs="Arial"/>
          <w:sz w:val="24"/>
          <w:szCs w:val="24"/>
        </w:rPr>
        <w:t xml:space="preserve">collective and compassionate leadership. </w:t>
      </w:r>
    </w:p>
    <w:p w14:paraId="2ED96435" w14:textId="77777777" w:rsidR="002D1B1F" w:rsidRPr="00B568F3" w:rsidRDefault="002D1B1F" w:rsidP="002D1B1F">
      <w:pPr>
        <w:spacing w:after="0" w:line="240" w:lineRule="auto"/>
        <w:rPr>
          <w:rFonts w:ascii="Arial" w:eastAsia="Calibri" w:hAnsi="Arial" w:cs="Arial"/>
          <w:color w:val="FF0000"/>
          <w:sz w:val="24"/>
          <w:szCs w:val="24"/>
        </w:rPr>
      </w:pPr>
    </w:p>
    <w:p w14:paraId="499ED9F7" w14:textId="77777777" w:rsidR="00961708" w:rsidRDefault="00961708" w:rsidP="00961708">
      <w:pPr>
        <w:spacing w:after="0" w:line="240" w:lineRule="auto"/>
        <w:rPr>
          <w:rFonts w:ascii="Arial" w:eastAsia="Calibri" w:hAnsi="Arial" w:cs="Arial"/>
          <w:sz w:val="24"/>
          <w:szCs w:val="24"/>
        </w:rPr>
      </w:pPr>
      <w:r>
        <w:rPr>
          <w:rFonts w:ascii="Arial" w:eastAsia="Calibri" w:hAnsi="Arial" w:cs="Arial"/>
          <w:sz w:val="24"/>
          <w:szCs w:val="24"/>
        </w:rPr>
        <w:t>Common themes across the regions for this national priority in 2024 to 2025 were:</w:t>
      </w:r>
    </w:p>
    <w:p w14:paraId="1A2880A0" w14:textId="7F43BEBD" w:rsidR="00961708" w:rsidRDefault="00961708" w:rsidP="002D1B1F">
      <w:pPr>
        <w:spacing w:after="0" w:line="240" w:lineRule="auto"/>
        <w:rPr>
          <w:rFonts w:ascii="Arial" w:eastAsia="Calibri" w:hAnsi="Arial" w:cs="Arial"/>
          <w:sz w:val="24"/>
          <w:szCs w:val="24"/>
        </w:rPr>
      </w:pPr>
    </w:p>
    <w:p w14:paraId="237A13B6" w14:textId="2967374D" w:rsidR="00961708" w:rsidRPr="00BB471B" w:rsidRDefault="00961708" w:rsidP="00961708">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Leadership </w:t>
      </w:r>
      <w:r w:rsidR="00792F11" w:rsidRPr="00BB471B">
        <w:rPr>
          <w:rFonts w:ascii="Arial" w:eastAsia="Calibri" w:hAnsi="Arial" w:cs="Arial"/>
          <w:b/>
          <w:bCs/>
          <w:sz w:val="24"/>
          <w:szCs w:val="24"/>
        </w:rPr>
        <w:t>d</w:t>
      </w:r>
      <w:r w:rsidRPr="00BB471B">
        <w:rPr>
          <w:rFonts w:ascii="Arial" w:eastAsia="Calibri" w:hAnsi="Arial" w:cs="Arial"/>
          <w:b/>
          <w:bCs/>
          <w:sz w:val="24"/>
          <w:szCs w:val="24"/>
        </w:rPr>
        <w:t xml:space="preserve">evelopment </w:t>
      </w:r>
      <w:r w:rsidR="00792F11" w:rsidRPr="00BB471B">
        <w:rPr>
          <w:rFonts w:ascii="Arial" w:eastAsia="Calibri" w:hAnsi="Arial" w:cs="Arial"/>
          <w:b/>
          <w:bCs/>
          <w:sz w:val="24"/>
          <w:szCs w:val="24"/>
        </w:rPr>
        <w:t>p</w:t>
      </w:r>
      <w:r w:rsidRPr="00BB471B">
        <w:rPr>
          <w:rFonts w:ascii="Arial" w:eastAsia="Calibri" w:hAnsi="Arial" w:cs="Arial"/>
          <w:b/>
          <w:bCs/>
          <w:sz w:val="24"/>
          <w:szCs w:val="24"/>
        </w:rPr>
        <w:t>athways</w:t>
      </w:r>
    </w:p>
    <w:p w14:paraId="5B2B03DF" w14:textId="77777777" w:rsidR="003E649D" w:rsidRDefault="003E649D" w:rsidP="00C92ECE">
      <w:pPr>
        <w:spacing w:after="0" w:line="276" w:lineRule="auto"/>
        <w:ind w:left="567"/>
        <w:contextualSpacing/>
        <w:rPr>
          <w:rFonts w:ascii="Arial" w:eastAsia="Calibri" w:hAnsi="Arial" w:cs="Arial"/>
          <w:bCs/>
          <w:sz w:val="24"/>
          <w:szCs w:val="24"/>
        </w:rPr>
      </w:pPr>
    </w:p>
    <w:p w14:paraId="4132C7AA" w14:textId="77C160D5" w:rsidR="000A78F5" w:rsidRDefault="000A78F5" w:rsidP="000A78F5">
      <w:pPr>
        <w:numPr>
          <w:ilvl w:val="0"/>
          <w:numId w:val="6"/>
        </w:numPr>
        <w:spacing w:after="20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 xml:space="preserve">Leadership </w:t>
      </w:r>
      <w:r w:rsidR="003015CD" w:rsidRPr="00C92ECE">
        <w:rPr>
          <w:rFonts w:ascii="Arial" w:eastAsia="Calibri" w:hAnsi="Arial" w:cs="Arial"/>
          <w:sz w:val="24"/>
          <w:szCs w:val="24"/>
        </w:rPr>
        <w:t xml:space="preserve">development </w:t>
      </w:r>
      <w:r w:rsidR="00662090" w:rsidRPr="00C92ECE">
        <w:rPr>
          <w:rFonts w:ascii="Arial" w:eastAsia="Calibri" w:hAnsi="Arial" w:cs="Arial"/>
          <w:sz w:val="24"/>
          <w:szCs w:val="24"/>
        </w:rPr>
        <w:t xml:space="preserve">is </w:t>
      </w:r>
      <w:r w:rsidRPr="00C92ECE">
        <w:rPr>
          <w:rFonts w:ascii="Arial" w:eastAsia="Calibri" w:hAnsi="Arial" w:cs="Arial"/>
          <w:sz w:val="24"/>
          <w:szCs w:val="24"/>
        </w:rPr>
        <w:t>supported</w:t>
      </w:r>
      <w:r w:rsidR="00662090" w:rsidRPr="00C92ECE">
        <w:rPr>
          <w:rFonts w:ascii="Arial" w:eastAsia="Calibri" w:hAnsi="Arial" w:cs="Arial"/>
          <w:sz w:val="24"/>
          <w:szCs w:val="24"/>
        </w:rPr>
        <w:t xml:space="preserve"> by </w:t>
      </w:r>
      <w:r w:rsidRPr="00C92ECE">
        <w:rPr>
          <w:rFonts w:ascii="Arial" w:eastAsia="Calibri" w:hAnsi="Arial" w:cs="Arial"/>
          <w:sz w:val="24"/>
          <w:szCs w:val="24"/>
        </w:rPr>
        <w:t xml:space="preserve">all regions </w:t>
      </w:r>
      <w:r w:rsidR="00792F11">
        <w:rPr>
          <w:rFonts w:ascii="Arial" w:eastAsia="Calibri" w:hAnsi="Arial" w:cs="Arial"/>
          <w:sz w:val="24"/>
          <w:szCs w:val="24"/>
        </w:rPr>
        <w:t>by</w:t>
      </w:r>
      <w:r w:rsidR="00662090" w:rsidRPr="00C92ECE">
        <w:rPr>
          <w:rFonts w:ascii="Arial" w:eastAsia="Calibri" w:hAnsi="Arial" w:cs="Arial"/>
          <w:sz w:val="24"/>
          <w:szCs w:val="24"/>
        </w:rPr>
        <w:t xml:space="preserve"> a </w:t>
      </w:r>
      <w:r w:rsidRPr="00C92ECE">
        <w:rPr>
          <w:rFonts w:ascii="Arial" w:eastAsia="Calibri" w:hAnsi="Arial" w:cs="Arial"/>
          <w:sz w:val="24"/>
          <w:szCs w:val="24"/>
        </w:rPr>
        <w:t>blended approach that encompasses both non-accredited development programmes, which are often developed and delivered in-house, and accredited qualifications.</w:t>
      </w:r>
    </w:p>
    <w:p w14:paraId="3EEA4FF0" w14:textId="77777777" w:rsidR="0092045E" w:rsidRDefault="0092045E" w:rsidP="0092045E">
      <w:pPr>
        <w:spacing w:after="200" w:line="276" w:lineRule="auto"/>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92045E" w:rsidRPr="00D873B5" w14:paraId="2D6A06CF" w14:textId="77777777" w:rsidTr="00C92ECE">
        <w:trPr>
          <w:jc w:val="center"/>
        </w:trPr>
        <w:tc>
          <w:tcPr>
            <w:tcW w:w="9016" w:type="dxa"/>
          </w:tcPr>
          <w:p w14:paraId="4E786605" w14:textId="7EA245F7" w:rsidR="0092045E" w:rsidRPr="00C92ECE" w:rsidRDefault="0092045E" w:rsidP="0092045E">
            <w:pPr>
              <w:rPr>
                <w:rFonts w:ascii="Arial" w:eastAsia="Calibri" w:hAnsi="Arial" w:cs="Arial"/>
                <w:sz w:val="24"/>
                <w:szCs w:val="24"/>
              </w:rPr>
            </w:pPr>
            <w:r w:rsidRPr="00C92ECE">
              <w:rPr>
                <w:rFonts w:ascii="Arial" w:eastAsia="Calibri" w:hAnsi="Arial" w:cs="Arial"/>
                <w:sz w:val="24"/>
                <w:szCs w:val="24"/>
              </w:rPr>
              <w:t xml:space="preserve">The Cardiff </w:t>
            </w:r>
            <w:r w:rsidR="00792F11">
              <w:rPr>
                <w:rFonts w:ascii="Arial" w:eastAsia="Calibri" w:hAnsi="Arial" w:cs="Arial"/>
                <w:sz w:val="24"/>
                <w:szCs w:val="24"/>
              </w:rPr>
              <w:t>s</w:t>
            </w:r>
            <w:r w:rsidRPr="00C92ECE">
              <w:rPr>
                <w:rFonts w:ascii="Arial" w:eastAsia="Calibri" w:hAnsi="Arial" w:cs="Arial"/>
                <w:sz w:val="24"/>
                <w:szCs w:val="24"/>
              </w:rPr>
              <w:t xml:space="preserve">ocial </w:t>
            </w:r>
            <w:r w:rsidR="00792F11">
              <w:rPr>
                <w:rFonts w:ascii="Arial" w:eastAsia="Calibri" w:hAnsi="Arial" w:cs="Arial"/>
                <w:sz w:val="24"/>
                <w:szCs w:val="24"/>
              </w:rPr>
              <w:t>c</w:t>
            </w:r>
            <w:r w:rsidRPr="00C92ECE">
              <w:rPr>
                <w:rFonts w:ascii="Arial" w:eastAsia="Calibri" w:hAnsi="Arial" w:cs="Arial"/>
                <w:sz w:val="24"/>
                <w:szCs w:val="24"/>
              </w:rPr>
              <w:t xml:space="preserve">are </w:t>
            </w:r>
            <w:r w:rsidR="00792F11">
              <w:rPr>
                <w:rFonts w:ascii="Arial" w:eastAsia="Calibri" w:hAnsi="Arial" w:cs="Arial"/>
                <w:sz w:val="24"/>
                <w:szCs w:val="24"/>
              </w:rPr>
              <w:t>m</w:t>
            </w:r>
            <w:r w:rsidRPr="00C92ECE">
              <w:rPr>
                <w:rFonts w:ascii="Arial" w:eastAsia="Calibri" w:hAnsi="Arial" w:cs="Arial"/>
                <w:sz w:val="24"/>
                <w:szCs w:val="24"/>
              </w:rPr>
              <w:t xml:space="preserve">anagement </w:t>
            </w:r>
            <w:r w:rsidR="00792F11">
              <w:rPr>
                <w:rFonts w:ascii="Arial" w:eastAsia="Calibri" w:hAnsi="Arial" w:cs="Arial"/>
                <w:sz w:val="24"/>
                <w:szCs w:val="24"/>
              </w:rPr>
              <w:t>p</w:t>
            </w:r>
            <w:r w:rsidRPr="00C92ECE">
              <w:rPr>
                <w:rFonts w:ascii="Arial" w:eastAsia="Calibri" w:hAnsi="Arial" w:cs="Arial"/>
                <w:sz w:val="24"/>
                <w:szCs w:val="24"/>
              </w:rPr>
              <w:t xml:space="preserve">rogramme was launched in </w:t>
            </w:r>
            <w:r w:rsidR="00792F11">
              <w:rPr>
                <w:rFonts w:ascii="Arial" w:eastAsia="Calibri" w:hAnsi="Arial" w:cs="Arial"/>
                <w:sz w:val="24"/>
                <w:szCs w:val="24"/>
              </w:rPr>
              <w:t xml:space="preserve">quarter three </w:t>
            </w:r>
            <w:r w:rsidRPr="00C92ECE">
              <w:rPr>
                <w:rFonts w:ascii="Arial" w:eastAsia="Calibri" w:hAnsi="Arial" w:cs="Arial"/>
                <w:sz w:val="24"/>
                <w:szCs w:val="24"/>
              </w:rPr>
              <w:t xml:space="preserve">and delivered across </w:t>
            </w:r>
            <w:r w:rsidR="00792F11">
              <w:rPr>
                <w:rFonts w:ascii="Arial" w:eastAsia="Calibri" w:hAnsi="Arial" w:cs="Arial"/>
                <w:sz w:val="24"/>
                <w:szCs w:val="24"/>
              </w:rPr>
              <w:t>quarters three and four</w:t>
            </w:r>
            <w:r w:rsidRPr="00C92ECE">
              <w:rPr>
                <w:rFonts w:ascii="Arial" w:eastAsia="Calibri" w:hAnsi="Arial" w:cs="Arial"/>
                <w:sz w:val="24"/>
                <w:szCs w:val="24"/>
              </w:rPr>
              <w:t>. It was open to all managers across the sector, including statutory services and provider organisations. The programme followed a hybrid model, combining three face-to-face sessions with five virtual classroom sessions.</w:t>
            </w:r>
          </w:p>
          <w:p w14:paraId="4A287F3A" w14:textId="77777777" w:rsidR="00D873B5" w:rsidRDefault="00D873B5" w:rsidP="0092045E">
            <w:pPr>
              <w:rPr>
                <w:rFonts w:ascii="Arial" w:eastAsia="Calibri" w:hAnsi="Arial" w:cs="Arial"/>
                <w:sz w:val="24"/>
                <w:szCs w:val="24"/>
              </w:rPr>
            </w:pPr>
          </w:p>
          <w:p w14:paraId="7BEE9C0A" w14:textId="1D243236" w:rsidR="0092045E" w:rsidRPr="00792F11" w:rsidRDefault="0092045E" w:rsidP="0092045E">
            <w:pPr>
              <w:rPr>
                <w:rFonts w:ascii="Arial" w:eastAsia="Calibri" w:hAnsi="Arial" w:cs="Arial"/>
                <w:sz w:val="24"/>
                <w:szCs w:val="24"/>
              </w:rPr>
            </w:pPr>
            <w:r w:rsidRPr="00792F11">
              <w:rPr>
                <w:rFonts w:ascii="Arial" w:eastAsia="Calibri" w:hAnsi="Arial" w:cs="Arial"/>
                <w:sz w:val="24"/>
                <w:szCs w:val="24"/>
              </w:rPr>
              <w:t>Face-to-</w:t>
            </w:r>
            <w:r w:rsidR="00792F11">
              <w:rPr>
                <w:rFonts w:ascii="Arial" w:eastAsia="Calibri" w:hAnsi="Arial" w:cs="Arial"/>
                <w:sz w:val="24"/>
                <w:szCs w:val="24"/>
              </w:rPr>
              <w:t>f</w:t>
            </w:r>
            <w:r w:rsidRPr="00792F11">
              <w:rPr>
                <w:rFonts w:ascii="Arial" w:eastAsia="Calibri" w:hAnsi="Arial" w:cs="Arial"/>
                <w:sz w:val="24"/>
                <w:szCs w:val="24"/>
              </w:rPr>
              <w:t xml:space="preserve">ace </w:t>
            </w:r>
            <w:r w:rsidR="00792F11">
              <w:rPr>
                <w:rFonts w:ascii="Arial" w:eastAsia="Calibri" w:hAnsi="Arial" w:cs="Arial"/>
                <w:sz w:val="24"/>
                <w:szCs w:val="24"/>
              </w:rPr>
              <w:t>s</w:t>
            </w:r>
            <w:r w:rsidRPr="00792F11">
              <w:rPr>
                <w:rFonts w:ascii="Arial" w:eastAsia="Calibri" w:hAnsi="Arial" w:cs="Arial"/>
                <w:sz w:val="24"/>
                <w:szCs w:val="24"/>
              </w:rPr>
              <w:t>essions</w:t>
            </w:r>
          </w:p>
          <w:p w14:paraId="0BE51DC1" w14:textId="42256EDE" w:rsidR="0092045E" w:rsidRPr="00792F11" w:rsidRDefault="0092045E" w:rsidP="0092045E">
            <w:pPr>
              <w:numPr>
                <w:ilvl w:val="0"/>
                <w:numId w:val="116"/>
              </w:numPr>
              <w:rPr>
                <w:rFonts w:ascii="Arial" w:eastAsia="Calibri" w:hAnsi="Arial" w:cs="Arial"/>
                <w:sz w:val="24"/>
                <w:szCs w:val="24"/>
              </w:rPr>
            </w:pPr>
            <w:r w:rsidRPr="00BB471B">
              <w:rPr>
                <w:rFonts w:ascii="Arial" w:eastAsia="Calibri" w:hAnsi="Arial" w:cs="Arial"/>
                <w:sz w:val="24"/>
                <w:szCs w:val="24"/>
              </w:rPr>
              <w:t xml:space="preserve">Leadership </w:t>
            </w:r>
            <w:r w:rsidR="00792F11">
              <w:rPr>
                <w:rFonts w:ascii="Arial" w:eastAsia="Calibri" w:hAnsi="Arial" w:cs="Arial"/>
                <w:sz w:val="24"/>
                <w:szCs w:val="24"/>
              </w:rPr>
              <w:t>d</w:t>
            </w:r>
            <w:r w:rsidRPr="00BB471B">
              <w:rPr>
                <w:rFonts w:ascii="Arial" w:eastAsia="Calibri" w:hAnsi="Arial" w:cs="Arial"/>
                <w:sz w:val="24"/>
                <w:szCs w:val="24"/>
              </w:rPr>
              <w:t xml:space="preserve">ay: Understanding </w:t>
            </w:r>
            <w:r w:rsidR="00792F11">
              <w:rPr>
                <w:rFonts w:ascii="Arial" w:eastAsia="Calibri" w:hAnsi="Arial" w:cs="Arial"/>
                <w:sz w:val="24"/>
                <w:szCs w:val="24"/>
              </w:rPr>
              <w:t>l</w:t>
            </w:r>
            <w:r w:rsidRPr="00BB471B">
              <w:rPr>
                <w:rFonts w:ascii="Arial" w:eastAsia="Calibri" w:hAnsi="Arial" w:cs="Arial"/>
                <w:sz w:val="24"/>
                <w:szCs w:val="24"/>
              </w:rPr>
              <w:t xml:space="preserve">eadership and </w:t>
            </w:r>
            <w:r w:rsidR="00792F11">
              <w:rPr>
                <w:rFonts w:ascii="Arial" w:eastAsia="Calibri" w:hAnsi="Arial" w:cs="Arial"/>
                <w:sz w:val="24"/>
                <w:szCs w:val="24"/>
              </w:rPr>
              <w:t>b</w:t>
            </w:r>
            <w:r w:rsidRPr="00BB471B">
              <w:rPr>
                <w:rFonts w:ascii="Arial" w:eastAsia="Calibri" w:hAnsi="Arial" w:cs="Arial"/>
                <w:sz w:val="24"/>
                <w:szCs w:val="24"/>
              </w:rPr>
              <w:t xml:space="preserve">eing an </w:t>
            </w:r>
            <w:r w:rsidR="00792F11">
              <w:rPr>
                <w:rFonts w:ascii="Arial" w:eastAsia="Calibri" w:hAnsi="Arial" w:cs="Arial"/>
                <w:sz w:val="24"/>
                <w:szCs w:val="24"/>
              </w:rPr>
              <w:t>e</w:t>
            </w:r>
            <w:r w:rsidRPr="00BB471B">
              <w:rPr>
                <w:rFonts w:ascii="Arial" w:eastAsia="Calibri" w:hAnsi="Arial" w:cs="Arial"/>
                <w:sz w:val="24"/>
                <w:szCs w:val="24"/>
              </w:rPr>
              <w:t xml:space="preserve">ffective </w:t>
            </w:r>
            <w:r w:rsidR="00792F11">
              <w:rPr>
                <w:rFonts w:ascii="Arial" w:eastAsia="Calibri" w:hAnsi="Arial" w:cs="Arial"/>
                <w:sz w:val="24"/>
                <w:szCs w:val="24"/>
              </w:rPr>
              <w:t>l</w:t>
            </w:r>
            <w:r w:rsidRPr="00BB471B">
              <w:rPr>
                <w:rFonts w:ascii="Arial" w:eastAsia="Calibri" w:hAnsi="Arial" w:cs="Arial"/>
                <w:sz w:val="24"/>
                <w:szCs w:val="24"/>
              </w:rPr>
              <w:t>eader</w:t>
            </w:r>
            <w:r w:rsidRPr="00792F11">
              <w:rPr>
                <w:rFonts w:ascii="Arial" w:eastAsia="Calibri" w:hAnsi="Arial" w:cs="Arial"/>
                <w:sz w:val="24"/>
                <w:szCs w:val="24"/>
              </w:rPr>
              <w:t xml:space="preserve"> – 100</w:t>
            </w:r>
            <w:r w:rsidR="00792F11">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6FB31ACD" w14:textId="3CAD74B4" w:rsidR="0092045E" w:rsidRPr="00792F11" w:rsidRDefault="0092045E" w:rsidP="0092045E">
            <w:pPr>
              <w:numPr>
                <w:ilvl w:val="0"/>
                <w:numId w:val="116"/>
              </w:numPr>
              <w:rPr>
                <w:rFonts w:ascii="Arial" w:eastAsia="Calibri" w:hAnsi="Arial" w:cs="Arial"/>
                <w:sz w:val="24"/>
                <w:szCs w:val="24"/>
              </w:rPr>
            </w:pPr>
            <w:r w:rsidRPr="00BB471B">
              <w:rPr>
                <w:rFonts w:ascii="Arial" w:eastAsia="Calibri" w:hAnsi="Arial" w:cs="Arial"/>
                <w:sz w:val="24"/>
                <w:szCs w:val="24"/>
              </w:rPr>
              <w:t xml:space="preserve">Managing </w:t>
            </w:r>
            <w:r w:rsidR="00792F11">
              <w:rPr>
                <w:rFonts w:ascii="Arial" w:eastAsia="Calibri" w:hAnsi="Arial" w:cs="Arial"/>
                <w:sz w:val="24"/>
                <w:szCs w:val="24"/>
              </w:rPr>
              <w:t>d</w:t>
            </w:r>
            <w:r w:rsidRPr="00BB471B">
              <w:rPr>
                <w:rFonts w:ascii="Arial" w:eastAsia="Calibri" w:hAnsi="Arial" w:cs="Arial"/>
                <w:sz w:val="24"/>
                <w:szCs w:val="24"/>
              </w:rPr>
              <w:t xml:space="preserve">ifficult </w:t>
            </w:r>
            <w:r w:rsidR="00792F11">
              <w:rPr>
                <w:rFonts w:ascii="Arial" w:eastAsia="Calibri" w:hAnsi="Arial" w:cs="Arial"/>
                <w:sz w:val="24"/>
                <w:szCs w:val="24"/>
              </w:rPr>
              <w:t>c</w:t>
            </w:r>
            <w:r w:rsidRPr="00BB471B">
              <w:rPr>
                <w:rFonts w:ascii="Arial" w:eastAsia="Calibri" w:hAnsi="Arial" w:cs="Arial"/>
                <w:sz w:val="24"/>
                <w:szCs w:val="24"/>
              </w:rPr>
              <w:t xml:space="preserve">onversations, </w:t>
            </w:r>
            <w:r w:rsidR="00792F11">
              <w:rPr>
                <w:rFonts w:ascii="Arial" w:eastAsia="Calibri" w:hAnsi="Arial" w:cs="Arial"/>
                <w:sz w:val="24"/>
                <w:szCs w:val="24"/>
              </w:rPr>
              <w:t>c</w:t>
            </w:r>
            <w:r w:rsidRPr="00BB471B">
              <w:rPr>
                <w:rFonts w:ascii="Arial" w:eastAsia="Calibri" w:hAnsi="Arial" w:cs="Arial"/>
                <w:sz w:val="24"/>
                <w:szCs w:val="24"/>
              </w:rPr>
              <w:t xml:space="preserve">onflict </w:t>
            </w:r>
            <w:r w:rsidR="00792F11">
              <w:rPr>
                <w:rFonts w:ascii="Arial" w:eastAsia="Calibri" w:hAnsi="Arial" w:cs="Arial"/>
                <w:sz w:val="24"/>
                <w:szCs w:val="24"/>
              </w:rPr>
              <w:t>and</w:t>
            </w:r>
            <w:r w:rsidRPr="00BB471B">
              <w:rPr>
                <w:rFonts w:ascii="Arial" w:eastAsia="Calibri" w:hAnsi="Arial" w:cs="Arial"/>
                <w:sz w:val="24"/>
                <w:szCs w:val="24"/>
              </w:rPr>
              <w:t xml:space="preserve"> </w:t>
            </w:r>
            <w:r w:rsidR="00792F11">
              <w:rPr>
                <w:rFonts w:ascii="Arial" w:eastAsia="Calibri" w:hAnsi="Arial" w:cs="Arial"/>
                <w:sz w:val="24"/>
                <w:szCs w:val="24"/>
              </w:rPr>
              <w:t>p</w:t>
            </w:r>
            <w:r w:rsidRPr="00BB471B">
              <w:rPr>
                <w:rFonts w:ascii="Arial" w:eastAsia="Calibri" w:hAnsi="Arial" w:cs="Arial"/>
                <w:sz w:val="24"/>
                <w:szCs w:val="24"/>
              </w:rPr>
              <w:t xml:space="preserve">ersonal </w:t>
            </w:r>
            <w:r w:rsidR="00792F11">
              <w:rPr>
                <w:rFonts w:ascii="Arial" w:eastAsia="Calibri" w:hAnsi="Arial" w:cs="Arial"/>
                <w:sz w:val="24"/>
                <w:szCs w:val="24"/>
              </w:rPr>
              <w:t>r</w:t>
            </w:r>
            <w:r w:rsidRPr="00BB471B">
              <w:rPr>
                <w:rFonts w:ascii="Arial" w:eastAsia="Calibri" w:hAnsi="Arial" w:cs="Arial"/>
                <w:sz w:val="24"/>
                <w:szCs w:val="24"/>
              </w:rPr>
              <w:t>esilience</w:t>
            </w:r>
            <w:r w:rsidRPr="00792F11">
              <w:rPr>
                <w:rFonts w:ascii="Arial" w:eastAsia="Calibri" w:hAnsi="Arial" w:cs="Arial"/>
                <w:sz w:val="24"/>
                <w:szCs w:val="24"/>
              </w:rPr>
              <w:t xml:space="preserve"> – 75</w:t>
            </w:r>
            <w:r w:rsidR="00792F11">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45181253" w14:textId="771E2481" w:rsidR="0092045E" w:rsidRPr="00792F11" w:rsidRDefault="0092045E" w:rsidP="0092045E">
            <w:pPr>
              <w:numPr>
                <w:ilvl w:val="0"/>
                <w:numId w:val="116"/>
              </w:numPr>
              <w:rPr>
                <w:rFonts w:ascii="Arial" w:eastAsia="Calibri" w:hAnsi="Arial" w:cs="Arial"/>
                <w:sz w:val="24"/>
                <w:szCs w:val="24"/>
              </w:rPr>
            </w:pPr>
            <w:r w:rsidRPr="00BB471B">
              <w:rPr>
                <w:rFonts w:ascii="Arial" w:eastAsia="Calibri" w:hAnsi="Arial" w:cs="Arial"/>
                <w:sz w:val="24"/>
                <w:szCs w:val="24"/>
              </w:rPr>
              <w:t xml:space="preserve">Performance </w:t>
            </w:r>
            <w:r w:rsidR="00792F11">
              <w:rPr>
                <w:rFonts w:ascii="Arial" w:eastAsia="Calibri" w:hAnsi="Arial" w:cs="Arial"/>
                <w:sz w:val="24"/>
                <w:szCs w:val="24"/>
              </w:rPr>
              <w:t>m</w:t>
            </w:r>
            <w:r w:rsidRPr="00BB471B">
              <w:rPr>
                <w:rFonts w:ascii="Arial" w:eastAsia="Calibri" w:hAnsi="Arial" w:cs="Arial"/>
                <w:sz w:val="24"/>
                <w:szCs w:val="24"/>
              </w:rPr>
              <w:t xml:space="preserve">anagement, </w:t>
            </w:r>
            <w:r w:rsidR="00792F11">
              <w:rPr>
                <w:rFonts w:ascii="Arial" w:eastAsia="Calibri" w:hAnsi="Arial" w:cs="Arial"/>
                <w:sz w:val="24"/>
                <w:szCs w:val="24"/>
              </w:rPr>
              <w:t>s</w:t>
            </w:r>
            <w:r w:rsidRPr="00BB471B">
              <w:rPr>
                <w:rFonts w:ascii="Arial" w:eastAsia="Calibri" w:hAnsi="Arial" w:cs="Arial"/>
                <w:sz w:val="24"/>
                <w:szCs w:val="24"/>
              </w:rPr>
              <w:t xml:space="preserve">upervision and </w:t>
            </w:r>
            <w:r w:rsidR="00792F11">
              <w:rPr>
                <w:rFonts w:ascii="Arial" w:eastAsia="Calibri" w:hAnsi="Arial" w:cs="Arial"/>
                <w:sz w:val="24"/>
                <w:szCs w:val="24"/>
              </w:rPr>
              <w:t>m</w:t>
            </w:r>
            <w:r w:rsidRPr="00BB471B">
              <w:rPr>
                <w:rFonts w:ascii="Arial" w:eastAsia="Calibri" w:hAnsi="Arial" w:cs="Arial"/>
                <w:sz w:val="24"/>
                <w:szCs w:val="24"/>
              </w:rPr>
              <w:t>entoring</w:t>
            </w:r>
            <w:r w:rsidRPr="00792F11">
              <w:rPr>
                <w:rFonts w:ascii="Arial" w:eastAsia="Calibri" w:hAnsi="Arial" w:cs="Arial"/>
                <w:sz w:val="24"/>
                <w:szCs w:val="24"/>
              </w:rPr>
              <w:t xml:space="preserve"> – 60</w:t>
            </w:r>
            <w:r w:rsidR="00792F11">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7359863B" w14:textId="77777777" w:rsidR="00D873B5" w:rsidRPr="00792F11" w:rsidRDefault="00D873B5" w:rsidP="0092045E">
            <w:pPr>
              <w:rPr>
                <w:rFonts w:ascii="Arial" w:eastAsia="Calibri" w:hAnsi="Arial" w:cs="Arial"/>
                <w:sz w:val="24"/>
                <w:szCs w:val="24"/>
              </w:rPr>
            </w:pPr>
          </w:p>
          <w:p w14:paraId="4783CAB3" w14:textId="663FFC32" w:rsidR="0092045E" w:rsidRPr="00792F11" w:rsidRDefault="0092045E" w:rsidP="0092045E">
            <w:pPr>
              <w:rPr>
                <w:rFonts w:ascii="Arial" w:eastAsia="Calibri" w:hAnsi="Arial" w:cs="Arial"/>
                <w:sz w:val="24"/>
                <w:szCs w:val="24"/>
              </w:rPr>
            </w:pPr>
            <w:r w:rsidRPr="00792F11">
              <w:rPr>
                <w:rFonts w:ascii="Arial" w:eastAsia="Calibri" w:hAnsi="Arial" w:cs="Arial"/>
                <w:sz w:val="24"/>
                <w:szCs w:val="24"/>
              </w:rPr>
              <w:t xml:space="preserve">Virtual </w:t>
            </w:r>
            <w:r w:rsidR="00792F11">
              <w:rPr>
                <w:rFonts w:ascii="Arial" w:eastAsia="Calibri" w:hAnsi="Arial" w:cs="Arial"/>
                <w:sz w:val="24"/>
                <w:szCs w:val="24"/>
              </w:rPr>
              <w:t>c</w:t>
            </w:r>
            <w:r w:rsidRPr="00792F11">
              <w:rPr>
                <w:rFonts w:ascii="Arial" w:eastAsia="Calibri" w:hAnsi="Arial" w:cs="Arial"/>
                <w:sz w:val="24"/>
                <w:szCs w:val="24"/>
              </w:rPr>
              <w:t xml:space="preserve">lassroom </w:t>
            </w:r>
            <w:r w:rsidR="00792F11">
              <w:rPr>
                <w:rFonts w:ascii="Arial" w:eastAsia="Calibri" w:hAnsi="Arial" w:cs="Arial"/>
                <w:sz w:val="24"/>
                <w:szCs w:val="24"/>
              </w:rPr>
              <w:t>s</w:t>
            </w:r>
            <w:r w:rsidRPr="00792F11">
              <w:rPr>
                <w:rFonts w:ascii="Arial" w:eastAsia="Calibri" w:hAnsi="Arial" w:cs="Arial"/>
                <w:sz w:val="24"/>
                <w:szCs w:val="24"/>
              </w:rPr>
              <w:t>essions</w:t>
            </w:r>
          </w:p>
          <w:p w14:paraId="260418FC" w14:textId="69E9243F" w:rsidR="0092045E" w:rsidRPr="00792F11" w:rsidRDefault="0092045E" w:rsidP="0092045E">
            <w:pPr>
              <w:numPr>
                <w:ilvl w:val="0"/>
                <w:numId w:val="117"/>
              </w:numPr>
              <w:rPr>
                <w:rFonts w:ascii="Arial" w:eastAsia="Calibri" w:hAnsi="Arial" w:cs="Arial"/>
                <w:sz w:val="24"/>
                <w:szCs w:val="24"/>
              </w:rPr>
            </w:pPr>
            <w:r w:rsidRPr="00BB471B">
              <w:rPr>
                <w:rFonts w:ascii="Arial" w:eastAsia="Calibri" w:hAnsi="Arial" w:cs="Arial"/>
                <w:sz w:val="24"/>
                <w:szCs w:val="24"/>
              </w:rPr>
              <w:t xml:space="preserve">Ability to </w:t>
            </w:r>
            <w:r w:rsidR="00792F11">
              <w:rPr>
                <w:rFonts w:ascii="Arial" w:eastAsia="Calibri" w:hAnsi="Arial" w:cs="Arial"/>
                <w:sz w:val="24"/>
                <w:szCs w:val="24"/>
              </w:rPr>
              <w:t>p</w:t>
            </w:r>
            <w:r w:rsidRPr="00BB471B">
              <w:rPr>
                <w:rFonts w:ascii="Arial" w:eastAsia="Calibri" w:hAnsi="Arial" w:cs="Arial"/>
                <w:sz w:val="24"/>
                <w:szCs w:val="24"/>
              </w:rPr>
              <w:t xml:space="preserve">erform </w:t>
            </w:r>
            <w:r w:rsidR="00792F11">
              <w:rPr>
                <w:rFonts w:ascii="Arial" w:eastAsia="Calibri" w:hAnsi="Arial" w:cs="Arial"/>
                <w:sz w:val="24"/>
                <w:szCs w:val="24"/>
              </w:rPr>
              <w:t>m</w:t>
            </w:r>
            <w:r w:rsidRPr="00BB471B">
              <w:rPr>
                <w:rFonts w:ascii="Arial" w:eastAsia="Calibri" w:hAnsi="Arial" w:cs="Arial"/>
                <w:sz w:val="24"/>
                <w:szCs w:val="24"/>
              </w:rPr>
              <w:t xml:space="preserve">anagement </w:t>
            </w:r>
            <w:r w:rsidR="00792F11">
              <w:rPr>
                <w:rFonts w:ascii="Arial" w:eastAsia="Calibri" w:hAnsi="Arial" w:cs="Arial"/>
                <w:sz w:val="24"/>
                <w:szCs w:val="24"/>
              </w:rPr>
              <w:t>t</w:t>
            </w:r>
            <w:r w:rsidRPr="00BB471B">
              <w:rPr>
                <w:rFonts w:ascii="Arial" w:eastAsia="Calibri" w:hAnsi="Arial" w:cs="Arial"/>
                <w:sz w:val="24"/>
                <w:szCs w:val="24"/>
              </w:rPr>
              <w:t>asks</w:t>
            </w:r>
            <w:r w:rsidRPr="00792F11">
              <w:rPr>
                <w:rFonts w:ascii="Arial" w:eastAsia="Calibri" w:hAnsi="Arial" w:cs="Arial"/>
                <w:sz w:val="24"/>
                <w:szCs w:val="24"/>
              </w:rPr>
              <w:t xml:space="preserve"> – 31</w:t>
            </w:r>
            <w:r w:rsidR="00792F11">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063F3ADD" w14:textId="7E8686F5" w:rsidR="0092045E" w:rsidRPr="00792F11" w:rsidRDefault="0092045E" w:rsidP="0092045E">
            <w:pPr>
              <w:numPr>
                <w:ilvl w:val="0"/>
                <w:numId w:val="117"/>
              </w:numPr>
              <w:rPr>
                <w:rFonts w:ascii="Arial" w:eastAsia="Calibri" w:hAnsi="Arial" w:cs="Arial"/>
                <w:sz w:val="24"/>
                <w:szCs w:val="24"/>
              </w:rPr>
            </w:pPr>
            <w:r w:rsidRPr="00BB471B">
              <w:rPr>
                <w:rFonts w:ascii="Arial" w:eastAsia="Calibri" w:hAnsi="Arial" w:cs="Arial"/>
                <w:sz w:val="24"/>
                <w:szCs w:val="24"/>
              </w:rPr>
              <w:t xml:space="preserve">Managing </w:t>
            </w:r>
            <w:r w:rsidR="00792F11">
              <w:rPr>
                <w:rFonts w:ascii="Arial" w:eastAsia="Calibri" w:hAnsi="Arial" w:cs="Arial"/>
                <w:sz w:val="24"/>
                <w:szCs w:val="24"/>
              </w:rPr>
              <w:t>w</w:t>
            </w:r>
            <w:r w:rsidRPr="00BB471B">
              <w:rPr>
                <w:rFonts w:ascii="Arial" w:eastAsia="Calibri" w:hAnsi="Arial" w:cs="Arial"/>
                <w:sz w:val="24"/>
                <w:szCs w:val="24"/>
              </w:rPr>
              <w:t xml:space="preserve">orkload </w:t>
            </w:r>
            <w:r w:rsidR="00BB4C54">
              <w:rPr>
                <w:rFonts w:ascii="Arial" w:eastAsia="Calibri" w:hAnsi="Arial" w:cs="Arial"/>
                <w:sz w:val="24"/>
                <w:szCs w:val="24"/>
              </w:rPr>
              <w:t>p</w:t>
            </w:r>
            <w:r w:rsidRPr="00BB471B">
              <w:rPr>
                <w:rFonts w:ascii="Arial" w:eastAsia="Calibri" w:hAnsi="Arial" w:cs="Arial"/>
                <w:sz w:val="24"/>
                <w:szCs w:val="24"/>
              </w:rPr>
              <w:t>ressures</w:t>
            </w:r>
            <w:r w:rsidRPr="00792F11">
              <w:rPr>
                <w:rFonts w:ascii="Arial" w:eastAsia="Calibri" w:hAnsi="Arial" w:cs="Arial"/>
                <w:sz w:val="24"/>
                <w:szCs w:val="24"/>
              </w:rPr>
              <w:t xml:space="preserve"> – 55</w:t>
            </w:r>
            <w:r w:rsidR="00BB4C54">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42C1F66B" w14:textId="7DEB0F54" w:rsidR="0092045E" w:rsidRPr="00792F11" w:rsidRDefault="0092045E" w:rsidP="0092045E">
            <w:pPr>
              <w:numPr>
                <w:ilvl w:val="0"/>
                <w:numId w:val="117"/>
              </w:numPr>
              <w:rPr>
                <w:rFonts w:ascii="Arial" w:eastAsia="Calibri" w:hAnsi="Arial" w:cs="Arial"/>
                <w:sz w:val="24"/>
                <w:szCs w:val="24"/>
              </w:rPr>
            </w:pPr>
            <w:r w:rsidRPr="00BB471B">
              <w:rPr>
                <w:rFonts w:ascii="Arial" w:eastAsia="Calibri" w:hAnsi="Arial" w:cs="Arial"/>
                <w:sz w:val="24"/>
                <w:szCs w:val="24"/>
              </w:rPr>
              <w:t xml:space="preserve">Action </w:t>
            </w:r>
            <w:r w:rsidR="00BB4C54">
              <w:rPr>
                <w:rFonts w:ascii="Arial" w:eastAsia="Calibri" w:hAnsi="Arial" w:cs="Arial"/>
                <w:sz w:val="24"/>
                <w:szCs w:val="24"/>
              </w:rPr>
              <w:t>p</w:t>
            </w:r>
            <w:r w:rsidRPr="00BB471B">
              <w:rPr>
                <w:rFonts w:ascii="Arial" w:eastAsia="Calibri" w:hAnsi="Arial" w:cs="Arial"/>
                <w:sz w:val="24"/>
                <w:szCs w:val="24"/>
              </w:rPr>
              <w:t xml:space="preserve">lanning an </w:t>
            </w:r>
            <w:r w:rsidR="00BB4C54">
              <w:rPr>
                <w:rFonts w:ascii="Arial" w:eastAsia="Calibri" w:hAnsi="Arial" w:cs="Arial"/>
                <w:sz w:val="24"/>
                <w:szCs w:val="24"/>
              </w:rPr>
              <w:t>i</w:t>
            </w:r>
            <w:r w:rsidRPr="00BB471B">
              <w:rPr>
                <w:rFonts w:ascii="Arial" w:eastAsia="Calibri" w:hAnsi="Arial" w:cs="Arial"/>
                <w:sz w:val="24"/>
                <w:szCs w:val="24"/>
              </w:rPr>
              <w:t>ssue</w:t>
            </w:r>
            <w:r w:rsidRPr="00792F11">
              <w:rPr>
                <w:rFonts w:ascii="Arial" w:eastAsia="Calibri" w:hAnsi="Arial" w:cs="Arial"/>
                <w:sz w:val="24"/>
                <w:szCs w:val="24"/>
              </w:rPr>
              <w:t xml:space="preserve"> – 45</w:t>
            </w:r>
            <w:r w:rsidR="00BB4C54">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26174150" w14:textId="427BACB8" w:rsidR="0092045E" w:rsidRPr="00792F11" w:rsidRDefault="0092045E" w:rsidP="0092045E">
            <w:pPr>
              <w:numPr>
                <w:ilvl w:val="0"/>
                <w:numId w:val="117"/>
              </w:numPr>
              <w:rPr>
                <w:rFonts w:ascii="Arial" w:eastAsia="Calibri" w:hAnsi="Arial" w:cs="Arial"/>
                <w:sz w:val="24"/>
                <w:szCs w:val="24"/>
              </w:rPr>
            </w:pPr>
            <w:r w:rsidRPr="00BB471B">
              <w:rPr>
                <w:rFonts w:ascii="Arial" w:eastAsia="Calibri" w:hAnsi="Arial" w:cs="Arial"/>
                <w:sz w:val="24"/>
                <w:szCs w:val="24"/>
              </w:rPr>
              <w:t xml:space="preserve">Understanding </w:t>
            </w:r>
            <w:r w:rsidR="00BB4C54">
              <w:rPr>
                <w:rFonts w:ascii="Arial" w:eastAsia="Calibri" w:hAnsi="Arial" w:cs="Arial"/>
                <w:sz w:val="24"/>
                <w:szCs w:val="24"/>
              </w:rPr>
              <w:t>h</w:t>
            </w:r>
            <w:r w:rsidRPr="00BB471B">
              <w:rPr>
                <w:rFonts w:ascii="Arial" w:eastAsia="Calibri" w:hAnsi="Arial" w:cs="Arial"/>
                <w:sz w:val="24"/>
                <w:szCs w:val="24"/>
              </w:rPr>
              <w:t xml:space="preserve">ow to </w:t>
            </w:r>
            <w:r w:rsidR="00BB4C54">
              <w:rPr>
                <w:rFonts w:ascii="Arial" w:eastAsia="Calibri" w:hAnsi="Arial" w:cs="Arial"/>
                <w:sz w:val="24"/>
                <w:szCs w:val="24"/>
              </w:rPr>
              <w:t>o</w:t>
            </w:r>
            <w:r w:rsidRPr="00BB471B">
              <w:rPr>
                <w:rFonts w:ascii="Arial" w:eastAsia="Calibri" w:hAnsi="Arial" w:cs="Arial"/>
                <w:sz w:val="24"/>
                <w:szCs w:val="24"/>
              </w:rPr>
              <w:t xml:space="preserve">rganise and </w:t>
            </w:r>
            <w:r w:rsidR="00BB4C54">
              <w:rPr>
                <w:rFonts w:ascii="Arial" w:eastAsia="Calibri" w:hAnsi="Arial" w:cs="Arial"/>
                <w:sz w:val="24"/>
                <w:szCs w:val="24"/>
              </w:rPr>
              <w:t>d</w:t>
            </w:r>
            <w:r w:rsidRPr="00BB471B">
              <w:rPr>
                <w:rFonts w:ascii="Arial" w:eastAsia="Calibri" w:hAnsi="Arial" w:cs="Arial"/>
                <w:sz w:val="24"/>
                <w:szCs w:val="24"/>
              </w:rPr>
              <w:t>elegate</w:t>
            </w:r>
            <w:r w:rsidRPr="00792F11">
              <w:rPr>
                <w:rFonts w:ascii="Arial" w:eastAsia="Calibri" w:hAnsi="Arial" w:cs="Arial"/>
                <w:sz w:val="24"/>
                <w:szCs w:val="24"/>
              </w:rPr>
              <w:t xml:space="preserve"> – 44</w:t>
            </w:r>
            <w:r w:rsidR="00BB4C54">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653156C1" w14:textId="50139ACE" w:rsidR="0092045E" w:rsidRPr="00792F11" w:rsidRDefault="0092045E" w:rsidP="0092045E">
            <w:pPr>
              <w:numPr>
                <w:ilvl w:val="0"/>
                <w:numId w:val="117"/>
              </w:numPr>
              <w:rPr>
                <w:rFonts w:ascii="Arial" w:eastAsia="Calibri" w:hAnsi="Arial" w:cs="Arial"/>
                <w:sz w:val="24"/>
                <w:szCs w:val="24"/>
              </w:rPr>
            </w:pPr>
            <w:r w:rsidRPr="00BB471B">
              <w:rPr>
                <w:rFonts w:ascii="Arial" w:eastAsia="Calibri" w:hAnsi="Arial" w:cs="Arial"/>
                <w:sz w:val="24"/>
                <w:szCs w:val="24"/>
              </w:rPr>
              <w:t xml:space="preserve">Chairing </w:t>
            </w:r>
            <w:r w:rsidR="00BB4C54">
              <w:rPr>
                <w:rFonts w:ascii="Arial" w:eastAsia="Calibri" w:hAnsi="Arial" w:cs="Arial"/>
                <w:sz w:val="24"/>
                <w:szCs w:val="24"/>
              </w:rPr>
              <w:t>m</w:t>
            </w:r>
            <w:r w:rsidRPr="00BB471B">
              <w:rPr>
                <w:rFonts w:ascii="Arial" w:eastAsia="Calibri" w:hAnsi="Arial" w:cs="Arial"/>
                <w:sz w:val="24"/>
                <w:szCs w:val="24"/>
              </w:rPr>
              <w:t>eetings</w:t>
            </w:r>
            <w:r w:rsidRPr="00792F11">
              <w:rPr>
                <w:rFonts w:ascii="Arial" w:eastAsia="Calibri" w:hAnsi="Arial" w:cs="Arial"/>
                <w:sz w:val="24"/>
                <w:szCs w:val="24"/>
              </w:rPr>
              <w:t xml:space="preserve"> – 36</w:t>
            </w:r>
            <w:r w:rsidR="00BB4C54">
              <w:rPr>
                <w:rFonts w:ascii="Arial" w:eastAsia="Calibri" w:hAnsi="Arial" w:cs="Arial"/>
                <w:sz w:val="24"/>
                <w:szCs w:val="24"/>
              </w:rPr>
              <w:t xml:space="preserve"> per cent</w:t>
            </w:r>
            <w:r w:rsidRPr="00792F11">
              <w:rPr>
                <w:rFonts w:ascii="Arial" w:eastAsia="Calibri" w:hAnsi="Arial" w:cs="Arial"/>
                <w:sz w:val="24"/>
                <w:szCs w:val="24"/>
              </w:rPr>
              <w:t xml:space="preserve"> attendance</w:t>
            </w:r>
          </w:p>
          <w:p w14:paraId="6799971D" w14:textId="77777777" w:rsidR="00D873B5" w:rsidRDefault="00D873B5" w:rsidP="0092045E">
            <w:pPr>
              <w:rPr>
                <w:rFonts w:ascii="Arial" w:eastAsia="Calibri" w:hAnsi="Arial" w:cs="Arial"/>
                <w:sz w:val="24"/>
                <w:szCs w:val="24"/>
              </w:rPr>
            </w:pPr>
          </w:p>
          <w:p w14:paraId="30DA08E6" w14:textId="339FB558" w:rsidR="0092045E" w:rsidRPr="00C92ECE" w:rsidRDefault="0092045E" w:rsidP="0092045E">
            <w:pPr>
              <w:rPr>
                <w:rFonts w:ascii="Arial" w:eastAsia="Calibri" w:hAnsi="Arial" w:cs="Arial"/>
                <w:sz w:val="24"/>
                <w:szCs w:val="24"/>
              </w:rPr>
            </w:pPr>
            <w:r w:rsidRPr="00C92ECE">
              <w:rPr>
                <w:rFonts w:ascii="Arial" w:eastAsia="Calibri" w:hAnsi="Arial" w:cs="Arial"/>
                <w:sz w:val="24"/>
                <w:szCs w:val="24"/>
              </w:rPr>
              <w:t>Based on participant feedback, the 2025</w:t>
            </w:r>
            <w:r w:rsidR="00BB4C54">
              <w:rPr>
                <w:rFonts w:ascii="Arial" w:eastAsia="Calibri" w:hAnsi="Arial" w:cs="Arial"/>
                <w:sz w:val="24"/>
                <w:szCs w:val="24"/>
              </w:rPr>
              <w:t xml:space="preserve"> to 20</w:t>
            </w:r>
            <w:r w:rsidRPr="00C92ECE">
              <w:rPr>
                <w:rFonts w:ascii="Arial" w:eastAsia="Calibri" w:hAnsi="Arial" w:cs="Arial"/>
                <w:sz w:val="24"/>
                <w:szCs w:val="24"/>
              </w:rPr>
              <w:t xml:space="preserve">26 programme will be delivered fully virtually, as many managers reported difficulties attending face-to-face sessions. The content has been streamlined, with less popular topics reduced or removed. </w:t>
            </w:r>
            <w:r w:rsidR="00D873B5" w:rsidRPr="00C92ECE">
              <w:rPr>
                <w:rFonts w:ascii="Arial" w:eastAsia="Calibri" w:hAnsi="Arial" w:cs="Arial"/>
                <w:sz w:val="24"/>
                <w:szCs w:val="24"/>
              </w:rPr>
              <w:t xml:space="preserve">(Cardiff – Cardiff and the Vale </w:t>
            </w:r>
            <w:r w:rsidR="00BB4C54">
              <w:rPr>
                <w:rFonts w:ascii="Arial" w:eastAsia="Calibri" w:hAnsi="Arial" w:cs="Arial"/>
                <w:sz w:val="24"/>
                <w:szCs w:val="24"/>
              </w:rPr>
              <w:t>r</w:t>
            </w:r>
            <w:r w:rsidR="00D873B5" w:rsidRPr="00C92ECE">
              <w:rPr>
                <w:rFonts w:ascii="Arial" w:eastAsia="Calibri" w:hAnsi="Arial" w:cs="Arial"/>
                <w:sz w:val="24"/>
                <w:szCs w:val="24"/>
              </w:rPr>
              <w:t>egion)</w:t>
            </w:r>
          </w:p>
          <w:p w14:paraId="220B7A92" w14:textId="42E139E2" w:rsidR="0092045E" w:rsidRPr="00D873B5" w:rsidRDefault="00D873B5" w:rsidP="0092045E">
            <w:pPr>
              <w:spacing w:after="200" w:line="276" w:lineRule="auto"/>
              <w:contextualSpacing/>
              <w:rPr>
                <w:rFonts w:ascii="Arial" w:eastAsia="Calibri" w:hAnsi="Arial" w:cs="Arial"/>
                <w:sz w:val="24"/>
                <w:szCs w:val="24"/>
              </w:rPr>
            </w:pPr>
            <w:r w:rsidRPr="00D873B5">
              <w:rPr>
                <w:rFonts w:ascii="Arial" w:eastAsia="Calibri" w:hAnsi="Arial" w:cs="Arial"/>
                <w:sz w:val="24"/>
                <w:szCs w:val="24"/>
              </w:rPr>
              <w:t xml:space="preserve"> </w:t>
            </w:r>
          </w:p>
        </w:tc>
      </w:tr>
    </w:tbl>
    <w:p w14:paraId="3F5D6EA1" w14:textId="77777777" w:rsidR="0092045E" w:rsidRPr="00C92ECE" w:rsidRDefault="0092045E" w:rsidP="00C92ECE">
      <w:pPr>
        <w:spacing w:after="200" w:line="276" w:lineRule="auto"/>
        <w:contextualSpacing/>
        <w:rPr>
          <w:rFonts w:ascii="Arial" w:eastAsia="Calibri" w:hAnsi="Arial" w:cs="Arial"/>
          <w:sz w:val="24"/>
          <w:szCs w:val="24"/>
        </w:rPr>
      </w:pPr>
    </w:p>
    <w:p w14:paraId="54228F9C" w14:textId="77777777" w:rsidR="000A78F5" w:rsidRPr="00B73730" w:rsidRDefault="000A78F5" w:rsidP="000A78F5">
      <w:pPr>
        <w:spacing w:after="200" w:line="276" w:lineRule="auto"/>
        <w:ind w:left="567"/>
        <w:contextualSpacing/>
        <w:rPr>
          <w:rFonts w:ascii="Arial" w:eastAsia="Calibri" w:hAnsi="Arial" w:cs="Arial"/>
          <w:bCs/>
          <w:sz w:val="24"/>
          <w:szCs w:val="24"/>
          <w:highlight w:val="yellow"/>
        </w:rPr>
      </w:pPr>
    </w:p>
    <w:p w14:paraId="1D52EB63" w14:textId="012F38B7" w:rsidR="00961708" w:rsidRPr="00C92ECE" w:rsidRDefault="006342F0" w:rsidP="00C92ECE">
      <w:pPr>
        <w:numPr>
          <w:ilvl w:val="0"/>
          <w:numId w:val="6"/>
        </w:numPr>
        <w:spacing w:after="0" w:line="276" w:lineRule="auto"/>
        <w:ind w:left="567" w:hanging="425"/>
        <w:contextualSpacing/>
        <w:rPr>
          <w:rFonts w:ascii="Arial" w:eastAsia="Calibri" w:hAnsi="Arial" w:cs="Arial"/>
          <w:bCs/>
          <w:sz w:val="24"/>
          <w:szCs w:val="24"/>
        </w:rPr>
      </w:pPr>
      <w:r>
        <w:rPr>
          <w:rFonts w:ascii="Arial" w:eastAsia="Calibri" w:hAnsi="Arial" w:cs="Arial"/>
          <w:bCs/>
          <w:sz w:val="24"/>
          <w:szCs w:val="24"/>
        </w:rPr>
        <w:t xml:space="preserve">The national </w:t>
      </w:r>
      <w:r w:rsidR="00961708" w:rsidRPr="00C92ECE">
        <w:rPr>
          <w:rFonts w:ascii="Arial" w:eastAsia="Calibri" w:hAnsi="Arial" w:cs="Arial"/>
          <w:bCs/>
          <w:sz w:val="24"/>
          <w:szCs w:val="24"/>
        </w:rPr>
        <w:t>Team Manager Development Programme (TMDP) and Middle Manager Development Programme (MMDP) are widely promoted and accessed</w:t>
      </w:r>
      <w:r w:rsidR="0077686C">
        <w:rPr>
          <w:rFonts w:ascii="Arial" w:eastAsia="Calibri" w:hAnsi="Arial" w:cs="Arial"/>
          <w:bCs/>
          <w:sz w:val="24"/>
          <w:szCs w:val="24"/>
        </w:rPr>
        <w:t xml:space="preserve">, </w:t>
      </w:r>
      <w:r w:rsidR="00E96EC1" w:rsidRPr="00E96EC1">
        <w:rPr>
          <w:rFonts w:ascii="Arial" w:eastAsia="Calibri" w:hAnsi="Arial" w:cs="Arial"/>
          <w:bCs/>
          <w:sz w:val="24"/>
          <w:szCs w:val="24"/>
        </w:rPr>
        <w:t>though some regions report challenges like low uptake or withdrawals</w:t>
      </w:r>
      <w:r w:rsidR="00BB4C54">
        <w:rPr>
          <w:rFonts w:ascii="Arial" w:eastAsia="Calibri" w:hAnsi="Arial" w:cs="Arial"/>
          <w:bCs/>
          <w:sz w:val="24"/>
          <w:szCs w:val="24"/>
        </w:rPr>
        <w:t>.</w:t>
      </w:r>
    </w:p>
    <w:p w14:paraId="33A67F62" w14:textId="77777777" w:rsidR="00785062" w:rsidRDefault="00785062" w:rsidP="00C92ECE">
      <w:pPr>
        <w:spacing w:after="0" w:line="276" w:lineRule="auto"/>
        <w:ind w:left="567"/>
        <w:contextualSpacing/>
        <w:rPr>
          <w:rFonts w:ascii="Arial" w:eastAsia="Calibri" w:hAnsi="Arial" w:cs="Arial"/>
          <w:bCs/>
          <w:sz w:val="24"/>
          <w:szCs w:val="24"/>
        </w:rPr>
      </w:pPr>
    </w:p>
    <w:p w14:paraId="19F5BEEC" w14:textId="7B57A345" w:rsidR="003E649D" w:rsidRPr="00093DB7" w:rsidRDefault="00961708" w:rsidP="00847CC3">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Aspiring Manager Programmes are used to build early leadership interest.</w:t>
      </w:r>
    </w:p>
    <w:p w14:paraId="1CBAAC7A" w14:textId="596BCFFA" w:rsidR="00961708" w:rsidRPr="00C801F1" w:rsidRDefault="00961708" w:rsidP="00C92ECE">
      <w:pPr>
        <w:numPr>
          <w:ilvl w:val="0"/>
          <w:numId w:val="6"/>
        </w:numPr>
        <w:spacing w:after="0" w:line="276" w:lineRule="auto"/>
        <w:ind w:left="567" w:hanging="425"/>
        <w:contextualSpacing/>
        <w:rPr>
          <w:rFonts w:asciiTheme="minorBidi" w:eastAsia="Calibri" w:hAnsiTheme="minorBidi"/>
          <w:bCs/>
          <w:sz w:val="24"/>
          <w:szCs w:val="24"/>
        </w:rPr>
      </w:pPr>
      <w:r w:rsidRPr="00C801F1">
        <w:rPr>
          <w:rFonts w:asciiTheme="minorBidi" w:eastAsia="Calibri" w:hAnsiTheme="minorBidi"/>
          <w:bCs/>
          <w:sz w:val="24"/>
          <w:szCs w:val="24"/>
        </w:rPr>
        <w:lastRenderedPageBreak/>
        <w:t>I</w:t>
      </w:r>
      <w:r w:rsidR="00BB4C54">
        <w:rPr>
          <w:rFonts w:asciiTheme="minorBidi" w:eastAsia="Calibri" w:hAnsiTheme="minorBidi"/>
          <w:bCs/>
          <w:sz w:val="24"/>
          <w:szCs w:val="24"/>
        </w:rPr>
        <w:t>nstitute of Leadership and Management (ILM)</w:t>
      </w:r>
      <w:r w:rsidRPr="00C801F1">
        <w:rPr>
          <w:rFonts w:asciiTheme="minorBidi" w:eastAsia="Calibri" w:hAnsiTheme="minorBidi"/>
          <w:bCs/>
          <w:sz w:val="24"/>
          <w:szCs w:val="24"/>
        </w:rPr>
        <w:t xml:space="preserve"> </w:t>
      </w:r>
      <w:r w:rsidR="00BB4C54">
        <w:rPr>
          <w:rFonts w:asciiTheme="minorBidi" w:eastAsia="Calibri" w:hAnsiTheme="minorBidi"/>
          <w:bCs/>
          <w:sz w:val="24"/>
          <w:szCs w:val="24"/>
        </w:rPr>
        <w:t>q</w:t>
      </w:r>
      <w:r w:rsidRPr="00C801F1">
        <w:rPr>
          <w:rFonts w:asciiTheme="minorBidi" w:eastAsia="Calibri" w:hAnsiTheme="minorBidi"/>
          <w:bCs/>
          <w:sz w:val="24"/>
          <w:szCs w:val="24"/>
        </w:rPr>
        <w:t>ualifications (Levels 3</w:t>
      </w:r>
      <w:r w:rsidR="00BB4C54">
        <w:rPr>
          <w:rFonts w:asciiTheme="minorBidi" w:eastAsia="Calibri" w:hAnsiTheme="minorBidi"/>
          <w:bCs/>
          <w:sz w:val="24"/>
          <w:szCs w:val="24"/>
        </w:rPr>
        <w:t xml:space="preserve"> to </w:t>
      </w:r>
      <w:r w:rsidRPr="00C801F1">
        <w:rPr>
          <w:rFonts w:asciiTheme="minorBidi" w:eastAsia="Calibri" w:hAnsiTheme="minorBidi"/>
          <w:bCs/>
          <w:sz w:val="24"/>
          <w:szCs w:val="24"/>
        </w:rPr>
        <w:t>7) are consistently offered to formali</w:t>
      </w:r>
      <w:r w:rsidR="00201163">
        <w:rPr>
          <w:rFonts w:asciiTheme="minorBidi" w:eastAsia="Calibri" w:hAnsiTheme="minorBidi"/>
          <w:bCs/>
          <w:sz w:val="24"/>
          <w:szCs w:val="24"/>
        </w:rPr>
        <w:t>s</w:t>
      </w:r>
      <w:r w:rsidRPr="00C801F1">
        <w:rPr>
          <w:rFonts w:asciiTheme="minorBidi" w:eastAsia="Calibri" w:hAnsiTheme="minorBidi"/>
          <w:bCs/>
          <w:sz w:val="24"/>
          <w:szCs w:val="24"/>
        </w:rPr>
        <w:t>e leadership skills</w:t>
      </w:r>
      <w:r w:rsidR="00BB4C54">
        <w:rPr>
          <w:rFonts w:asciiTheme="minorBidi" w:eastAsia="Calibri" w:hAnsiTheme="minorBidi"/>
          <w:bCs/>
          <w:sz w:val="24"/>
          <w:szCs w:val="24"/>
        </w:rPr>
        <w:t xml:space="preserve">. </w:t>
      </w:r>
      <w:r w:rsidR="00E51435">
        <w:rPr>
          <w:rFonts w:asciiTheme="minorBidi" w:eastAsia="Calibri" w:hAnsiTheme="minorBidi"/>
          <w:bCs/>
          <w:sz w:val="24"/>
          <w:szCs w:val="24"/>
        </w:rPr>
        <w:t xml:space="preserve"> S</w:t>
      </w:r>
      <w:r w:rsidR="00B05257" w:rsidRPr="00C801F1">
        <w:rPr>
          <w:rFonts w:asciiTheme="minorBidi" w:eastAsia="Calibri" w:hAnsiTheme="minorBidi"/>
          <w:bCs/>
          <w:sz w:val="24"/>
          <w:szCs w:val="24"/>
        </w:rPr>
        <w:t xml:space="preserve">ome regions also </w:t>
      </w:r>
      <w:r w:rsidR="00E51435">
        <w:rPr>
          <w:rFonts w:asciiTheme="minorBidi" w:eastAsia="Calibri" w:hAnsiTheme="minorBidi"/>
          <w:bCs/>
          <w:sz w:val="24"/>
          <w:szCs w:val="24"/>
        </w:rPr>
        <w:t>use</w:t>
      </w:r>
      <w:r w:rsidR="00B05257" w:rsidRPr="00C801F1">
        <w:rPr>
          <w:rFonts w:asciiTheme="minorBidi" w:eastAsia="Calibri" w:hAnsiTheme="minorBidi"/>
          <w:bCs/>
          <w:sz w:val="24"/>
          <w:szCs w:val="24"/>
        </w:rPr>
        <w:t xml:space="preserve"> other leadership programmes such as the </w:t>
      </w:r>
      <w:hyperlink r:id="rId32" w:history="1">
        <w:r w:rsidR="00C07F64" w:rsidRPr="00C801F1">
          <w:rPr>
            <w:rStyle w:val="Hyperlink"/>
            <w:rFonts w:asciiTheme="minorBidi" w:hAnsiTheme="minorBidi"/>
            <w:sz w:val="24"/>
            <w:szCs w:val="24"/>
          </w:rPr>
          <w:t>Dragon’s Heart Institute CLIMB programme</w:t>
        </w:r>
      </w:hyperlink>
      <w:r w:rsidR="00E51435">
        <w:t>.</w:t>
      </w:r>
    </w:p>
    <w:p w14:paraId="40777BC4" w14:textId="21FA7DD1" w:rsidR="00961708" w:rsidRPr="00961708" w:rsidRDefault="00961708" w:rsidP="00961708">
      <w:pPr>
        <w:spacing w:after="0" w:line="240" w:lineRule="auto"/>
        <w:rPr>
          <w:rFonts w:ascii="Arial" w:eastAsia="Calibri" w:hAnsi="Arial" w:cs="Arial"/>
          <w:sz w:val="24"/>
          <w:szCs w:val="24"/>
        </w:rPr>
      </w:pPr>
    </w:p>
    <w:p w14:paraId="42D3F7ED" w14:textId="0DEE88CF" w:rsidR="00961708" w:rsidRPr="00BB471B" w:rsidRDefault="00961708" w:rsidP="00961708">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Succession </w:t>
      </w:r>
      <w:r w:rsidR="00E51435" w:rsidRPr="00BB471B">
        <w:rPr>
          <w:rFonts w:ascii="Arial" w:eastAsia="Calibri" w:hAnsi="Arial" w:cs="Arial"/>
          <w:b/>
          <w:bCs/>
          <w:sz w:val="24"/>
          <w:szCs w:val="24"/>
        </w:rPr>
        <w:t>p</w:t>
      </w:r>
      <w:r w:rsidRPr="00BB471B">
        <w:rPr>
          <w:rFonts w:ascii="Arial" w:eastAsia="Calibri" w:hAnsi="Arial" w:cs="Arial"/>
          <w:b/>
          <w:bCs/>
          <w:sz w:val="24"/>
          <w:szCs w:val="24"/>
        </w:rPr>
        <w:t xml:space="preserve">lanning and </w:t>
      </w:r>
      <w:r w:rsidR="00E51435" w:rsidRPr="00BB471B">
        <w:rPr>
          <w:rFonts w:ascii="Arial" w:eastAsia="Calibri" w:hAnsi="Arial" w:cs="Arial"/>
          <w:b/>
          <w:bCs/>
          <w:sz w:val="24"/>
          <w:szCs w:val="24"/>
        </w:rPr>
        <w:t>t</w:t>
      </w:r>
      <w:r w:rsidRPr="00BB471B">
        <w:rPr>
          <w:rFonts w:ascii="Arial" w:eastAsia="Calibri" w:hAnsi="Arial" w:cs="Arial"/>
          <w:b/>
          <w:bCs/>
          <w:sz w:val="24"/>
          <w:szCs w:val="24"/>
        </w:rPr>
        <w:t xml:space="preserve">alent </w:t>
      </w:r>
      <w:r w:rsidR="00E51435" w:rsidRPr="00BB471B">
        <w:rPr>
          <w:rFonts w:ascii="Arial" w:eastAsia="Calibri" w:hAnsi="Arial" w:cs="Arial"/>
          <w:b/>
          <w:bCs/>
          <w:sz w:val="24"/>
          <w:szCs w:val="24"/>
        </w:rPr>
        <w:t>p</w:t>
      </w:r>
      <w:r w:rsidRPr="00BB471B">
        <w:rPr>
          <w:rFonts w:ascii="Arial" w:eastAsia="Calibri" w:hAnsi="Arial" w:cs="Arial"/>
          <w:b/>
          <w:bCs/>
          <w:sz w:val="24"/>
          <w:szCs w:val="24"/>
        </w:rPr>
        <w:t>ipelines</w:t>
      </w:r>
    </w:p>
    <w:p w14:paraId="58DB2440" w14:textId="3FDEB5F5" w:rsidR="00961708" w:rsidRPr="00C92ECE" w:rsidRDefault="00961708" w:rsidP="00C92ECE">
      <w:pPr>
        <w:spacing w:after="0" w:line="276" w:lineRule="auto"/>
        <w:ind w:left="567"/>
        <w:contextualSpacing/>
        <w:rPr>
          <w:rFonts w:ascii="Arial" w:eastAsia="Calibri" w:hAnsi="Arial" w:cs="Arial"/>
          <w:bCs/>
          <w:sz w:val="24"/>
          <w:szCs w:val="24"/>
        </w:rPr>
      </w:pPr>
    </w:p>
    <w:p w14:paraId="6A0A8D54" w14:textId="4AE57D5A" w:rsidR="00961708" w:rsidRPr="00C92ECE" w:rsidRDefault="00961708" w:rsidP="00C92EC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 xml:space="preserve">Regions are </w:t>
      </w:r>
      <w:r w:rsidR="003B64AF">
        <w:rPr>
          <w:rFonts w:ascii="Arial" w:eastAsia="Calibri" w:hAnsi="Arial" w:cs="Arial"/>
          <w:bCs/>
          <w:sz w:val="24"/>
          <w:szCs w:val="24"/>
        </w:rPr>
        <w:t>building</w:t>
      </w:r>
      <w:r w:rsidRPr="00C92ECE">
        <w:rPr>
          <w:rFonts w:ascii="Arial" w:eastAsia="Calibri" w:hAnsi="Arial" w:cs="Arial"/>
          <w:bCs/>
          <w:sz w:val="24"/>
          <w:szCs w:val="24"/>
        </w:rPr>
        <w:t xml:space="preserve"> succession planning into workforce strategies to</w:t>
      </w:r>
      <w:r w:rsidR="009E5E04">
        <w:rPr>
          <w:rFonts w:ascii="Arial" w:eastAsia="Calibri" w:hAnsi="Arial" w:cs="Arial"/>
          <w:bCs/>
          <w:sz w:val="24"/>
          <w:szCs w:val="24"/>
        </w:rPr>
        <w:t xml:space="preserve"> keep staff and maintain </w:t>
      </w:r>
      <w:r w:rsidRPr="00C92ECE">
        <w:rPr>
          <w:rFonts w:ascii="Arial" w:eastAsia="Calibri" w:hAnsi="Arial" w:cs="Arial"/>
          <w:bCs/>
          <w:sz w:val="24"/>
          <w:szCs w:val="24"/>
        </w:rPr>
        <w:t>continuity</w:t>
      </w:r>
      <w:r w:rsidR="009E5E04">
        <w:rPr>
          <w:rFonts w:ascii="Arial" w:eastAsia="Calibri" w:hAnsi="Arial" w:cs="Arial"/>
          <w:bCs/>
          <w:sz w:val="24"/>
          <w:szCs w:val="24"/>
        </w:rPr>
        <w:t>. They’re using</w:t>
      </w:r>
      <w:r w:rsidR="00BD6D5A">
        <w:rPr>
          <w:rFonts w:ascii="Arial" w:eastAsia="Calibri" w:hAnsi="Arial" w:cs="Arial"/>
          <w:bCs/>
          <w:sz w:val="24"/>
          <w:szCs w:val="24"/>
        </w:rPr>
        <w:t xml:space="preserve"> s</w:t>
      </w:r>
      <w:r w:rsidR="00BD6D5A" w:rsidRPr="001D0C31">
        <w:rPr>
          <w:rFonts w:ascii="Arial" w:eastAsia="Calibri" w:hAnsi="Arial" w:cs="Arial"/>
          <w:bCs/>
          <w:sz w:val="24"/>
          <w:szCs w:val="24"/>
        </w:rPr>
        <w:t xml:space="preserve">tructured programmes and coaching initiatives to identify and </w:t>
      </w:r>
      <w:r w:rsidR="00906F19">
        <w:rPr>
          <w:rFonts w:ascii="Arial" w:eastAsia="Calibri" w:hAnsi="Arial" w:cs="Arial"/>
          <w:bCs/>
          <w:sz w:val="24"/>
          <w:szCs w:val="24"/>
        </w:rPr>
        <w:t xml:space="preserve">develop </w:t>
      </w:r>
      <w:r w:rsidR="00BD6D5A" w:rsidRPr="001D0C31">
        <w:rPr>
          <w:rFonts w:ascii="Arial" w:eastAsia="Calibri" w:hAnsi="Arial" w:cs="Arial"/>
          <w:bCs/>
          <w:sz w:val="24"/>
          <w:szCs w:val="24"/>
        </w:rPr>
        <w:t>future leaders</w:t>
      </w:r>
      <w:r w:rsidR="00906F19">
        <w:rPr>
          <w:rFonts w:ascii="Arial" w:eastAsia="Calibri" w:hAnsi="Arial" w:cs="Arial"/>
          <w:bCs/>
          <w:sz w:val="24"/>
          <w:szCs w:val="24"/>
        </w:rPr>
        <w:t>.</w:t>
      </w:r>
    </w:p>
    <w:p w14:paraId="31DCC6CD" w14:textId="7DC0CD1A" w:rsidR="00961708" w:rsidRPr="00961708" w:rsidRDefault="00961708" w:rsidP="00961708">
      <w:pPr>
        <w:spacing w:after="0" w:line="240" w:lineRule="auto"/>
        <w:rPr>
          <w:rFonts w:ascii="Arial" w:eastAsia="Calibri" w:hAnsi="Arial" w:cs="Arial"/>
          <w:sz w:val="24"/>
          <w:szCs w:val="24"/>
        </w:rPr>
      </w:pPr>
    </w:p>
    <w:p w14:paraId="7DC386E7" w14:textId="37525DC4" w:rsidR="00961708" w:rsidRPr="00BB471B" w:rsidRDefault="00961708" w:rsidP="00961708">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Coaching, </w:t>
      </w:r>
      <w:r w:rsidR="00906F19" w:rsidRPr="00BB471B">
        <w:rPr>
          <w:rFonts w:ascii="Arial" w:eastAsia="Calibri" w:hAnsi="Arial" w:cs="Arial"/>
          <w:b/>
          <w:bCs/>
          <w:sz w:val="24"/>
          <w:szCs w:val="24"/>
        </w:rPr>
        <w:t>m</w:t>
      </w:r>
      <w:r w:rsidRPr="00BB471B">
        <w:rPr>
          <w:rFonts w:ascii="Arial" w:eastAsia="Calibri" w:hAnsi="Arial" w:cs="Arial"/>
          <w:b/>
          <w:bCs/>
          <w:sz w:val="24"/>
          <w:szCs w:val="24"/>
        </w:rPr>
        <w:t xml:space="preserve">entoring, and </w:t>
      </w:r>
      <w:r w:rsidR="00906F19" w:rsidRPr="00BB471B">
        <w:rPr>
          <w:rFonts w:ascii="Arial" w:eastAsia="Calibri" w:hAnsi="Arial" w:cs="Arial"/>
          <w:b/>
          <w:bCs/>
          <w:sz w:val="24"/>
          <w:szCs w:val="24"/>
        </w:rPr>
        <w:t>p</w:t>
      </w:r>
      <w:r w:rsidRPr="00BB471B">
        <w:rPr>
          <w:rFonts w:ascii="Arial" w:eastAsia="Calibri" w:hAnsi="Arial" w:cs="Arial"/>
          <w:b/>
          <w:bCs/>
          <w:sz w:val="24"/>
          <w:szCs w:val="24"/>
        </w:rPr>
        <w:t xml:space="preserve">eer </w:t>
      </w:r>
      <w:r w:rsidR="00906F19" w:rsidRPr="00BB471B">
        <w:rPr>
          <w:rFonts w:ascii="Arial" w:eastAsia="Calibri" w:hAnsi="Arial" w:cs="Arial"/>
          <w:b/>
          <w:bCs/>
          <w:sz w:val="24"/>
          <w:szCs w:val="24"/>
        </w:rPr>
        <w:t>s</w:t>
      </w:r>
      <w:r w:rsidRPr="00BB471B">
        <w:rPr>
          <w:rFonts w:ascii="Arial" w:eastAsia="Calibri" w:hAnsi="Arial" w:cs="Arial"/>
          <w:b/>
          <w:bCs/>
          <w:sz w:val="24"/>
          <w:szCs w:val="24"/>
        </w:rPr>
        <w:t>upport</w:t>
      </w:r>
    </w:p>
    <w:p w14:paraId="71BD27DA" w14:textId="77777777" w:rsidR="00896294" w:rsidRPr="00961708" w:rsidRDefault="00896294" w:rsidP="00961708">
      <w:pPr>
        <w:spacing w:after="0" w:line="240" w:lineRule="auto"/>
        <w:rPr>
          <w:rFonts w:ascii="Arial" w:eastAsia="Calibri" w:hAnsi="Arial" w:cs="Arial"/>
          <w:b/>
          <w:bCs/>
          <w:sz w:val="24"/>
          <w:szCs w:val="24"/>
        </w:rPr>
      </w:pPr>
    </w:p>
    <w:p w14:paraId="511B435A" w14:textId="74FEE8CB" w:rsidR="00961708" w:rsidRDefault="00896294" w:rsidP="00FB317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Coaching</w:t>
      </w:r>
      <w:r w:rsidR="00FB317E" w:rsidRPr="00C92ECE">
        <w:rPr>
          <w:rFonts w:ascii="Arial" w:eastAsia="Calibri" w:hAnsi="Arial" w:cs="Arial"/>
          <w:bCs/>
          <w:sz w:val="24"/>
          <w:szCs w:val="24"/>
        </w:rPr>
        <w:t xml:space="preserve">, </w:t>
      </w:r>
      <w:r w:rsidRPr="00C92ECE">
        <w:rPr>
          <w:rFonts w:ascii="Arial" w:eastAsia="Calibri" w:hAnsi="Arial" w:cs="Arial"/>
          <w:bCs/>
          <w:sz w:val="24"/>
          <w:szCs w:val="24"/>
        </w:rPr>
        <w:t>mentoring</w:t>
      </w:r>
      <w:r w:rsidR="00FB317E" w:rsidRPr="00C92ECE">
        <w:rPr>
          <w:rFonts w:ascii="Arial" w:eastAsia="Calibri" w:hAnsi="Arial" w:cs="Arial"/>
          <w:bCs/>
          <w:sz w:val="24"/>
          <w:szCs w:val="24"/>
        </w:rPr>
        <w:t xml:space="preserve"> and peer support is a key theme</w:t>
      </w:r>
      <w:r w:rsidR="00A100B0">
        <w:rPr>
          <w:rFonts w:ascii="Arial" w:eastAsia="Calibri" w:hAnsi="Arial" w:cs="Arial"/>
          <w:bCs/>
          <w:sz w:val="24"/>
          <w:szCs w:val="24"/>
        </w:rPr>
        <w:t xml:space="preserve">. </w:t>
      </w:r>
      <w:r w:rsidR="000A45A8">
        <w:rPr>
          <w:rFonts w:ascii="Arial" w:eastAsia="Calibri" w:hAnsi="Arial" w:cs="Arial"/>
          <w:bCs/>
          <w:sz w:val="24"/>
          <w:szCs w:val="24"/>
        </w:rPr>
        <w:t>Regions are creating and growing</w:t>
      </w:r>
      <w:r w:rsidR="00FB317E" w:rsidRPr="00C92ECE">
        <w:rPr>
          <w:rFonts w:ascii="Arial" w:eastAsia="Calibri" w:hAnsi="Arial" w:cs="Arial"/>
          <w:bCs/>
          <w:sz w:val="24"/>
          <w:szCs w:val="24"/>
        </w:rPr>
        <w:t xml:space="preserve"> </w:t>
      </w:r>
      <w:r w:rsidR="00FB317E" w:rsidRPr="00686649">
        <w:rPr>
          <w:rFonts w:ascii="Arial" w:eastAsia="Calibri" w:hAnsi="Arial" w:cs="Arial"/>
          <w:bCs/>
          <w:sz w:val="24"/>
          <w:szCs w:val="24"/>
        </w:rPr>
        <w:t>c</w:t>
      </w:r>
      <w:r w:rsidR="00961708" w:rsidRPr="00C92ECE">
        <w:rPr>
          <w:rFonts w:ascii="Arial" w:eastAsia="Calibri" w:hAnsi="Arial" w:cs="Arial"/>
          <w:bCs/>
          <w:sz w:val="24"/>
          <w:szCs w:val="24"/>
        </w:rPr>
        <w:t>oaching networks and mentoring schemes</w:t>
      </w:r>
      <w:r w:rsidR="000A45A8">
        <w:rPr>
          <w:rFonts w:ascii="Arial" w:eastAsia="Calibri" w:hAnsi="Arial" w:cs="Arial"/>
          <w:bCs/>
          <w:sz w:val="24"/>
          <w:szCs w:val="24"/>
        </w:rPr>
        <w:t>.</w:t>
      </w:r>
    </w:p>
    <w:p w14:paraId="112CB798" w14:textId="77777777" w:rsidR="002877F8" w:rsidRDefault="002877F8" w:rsidP="002877F8">
      <w:pPr>
        <w:spacing w:after="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2877F8" w:rsidRPr="00D873B5" w14:paraId="5F259C0F" w14:textId="77777777" w:rsidTr="002877F8">
        <w:tc>
          <w:tcPr>
            <w:tcW w:w="9016" w:type="dxa"/>
          </w:tcPr>
          <w:p w14:paraId="03C607CB" w14:textId="4C8CD88C" w:rsidR="002877F8" w:rsidRPr="00D873B5" w:rsidRDefault="00AD7CF6" w:rsidP="00C92ECE">
            <w:pPr>
              <w:spacing w:line="276" w:lineRule="auto"/>
              <w:rPr>
                <w:rFonts w:ascii="Arial" w:eastAsia="Calibri" w:hAnsi="Arial" w:cs="Arial"/>
                <w:bCs/>
                <w:sz w:val="24"/>
                <w:szCs w:val="24"/>
              </w:rPr>
            </w:pPr>
            <w:r>
              <w:rPr>
                <w:rFonts w:ascii="Arial" w:eastAsia="Calibri" w:hAnsi="Arial" w:cs="Arial"/>
                <w:bCs/>
                <w:sz w:val="24"/>
                <w:szCs w:val="24"/>
              </w:rPr>
              <w:t xml:space="preserve">We’re working with </w:t>
            </w:r>
            <w:r w:rsidR="00CE47C1">
              <w:rPr>
                <w:rFonts w:ascii="Arial" w:eastAsia="Calibri" w:hAnsi="Arial" w:cs="Arial"/>
                <w:bCs/>
                <w:sz w:val="24"/>
                <w:szCs w:val="24"/>
              </w:rPr>
              <w:t>regional local authorities and health colleagues</w:t>
            </w:r>
            <w:r w:rsidR="00802AA9" w:rsidRPr="00C92ECE">
              <w:rPr>
                <w:rFonts w:ascii="Arial" w:eastAsia="Calibri" w:hAnsi="Arial" w:cs="Arial"/>
                <w:bCs/>
                <w:sz w:val="24"/>
                <w:szCs w:val="24"/>
              </w:rPr>
              <w:t xml:space="preserve"> to </w:t>
            </w:r>
            <w:r w:rsidR="00C22A27">
              <w:rPr>
                <w:rFonts w:ascii="Arial" w:eastAsia="Calibri" w:hAnsi="Arial" w:cs="Arial"/>
                <w:bCs/>
                <w:sz w:val="24"/>
                <w:szCs w:val="24"/>
              </w:rPr>
              <w:t>set up</w:t>
            </w:r>
            <w:r w:rsidR="0017145C">
              <w:rPr>
                <w:rFonts w:ascii="Arial" w:eastAsia="Calibri" w:hAnsi="Arial" w:cs="Arial"/>
                <w:bCs/>
                <w:sz w:val="24"/>
                <w:szCs w:val="24"/>
              </w:rPr>
              <w:t xml:space="preserve"> </w:t>
            </w:r>
            <w:r w:rsidR="00802AA9" w:rsidRPr="00C92ECE">
              <w:rPr>
                <w:rFonts w:ascii="Arial" w:eastAsia="Calibri" w:hAnsi="Arial" w:cs="Arial"/>
                <w:bCs/>
                <w:sz w:val="24"/>
                <w:szCs w:val="24"/>
              </w:rPr>
              <w:t xml:space="preserve">a Regional Coaching scheme. A regional </w:t>
            </w:r>
            <w:r w:rsidR="0017145C">
              <w:rPr>
                <w:rFonts w:ascii="Arial" w:eastAsia="Calibri" w:hAnsi="Arial" w:cs="Arial"/>
                <w:bCs/>
                <w:sz w:val="24"/>
                <w:szCs w:val="24"/>
              </w:rPr>
              <w:t>c</w:t>
            </w:r>
            <w:r w:rsidR="00802AA9" w:rsidRPr="00C92ECE">
              <w:rPr>
                <w:rFonts w:ascii="Arial" w:eastAsia="Calibri" w:hAnsi="Arial" w:cs="Arial"/>
                <w:bCs/>
                <w:sz w:val="24"/>
                <w:szCs w:val="24"/>
              </w:rPr>
              <w:t>oaching network has also been successfully established. (</w:t>
            </w:r>
            <w:r w:rsidR="000A45A8">
              <w:rPr>
                <w:rFonts w:ascii="Arial" w:eastAsia="Calibri" w:hAnsi="Arial" w:cs="Arial"/>
                <w:bCs/>
                <w:sz w:val="24"/>
                <w:szCs w:val="24"/>
              </w:rPr>
              <w:t>w</w:t>
            </w:r>
            <w:r w:rsidR="00802AA9" w:rsidRPr="00C92ECE">
              <w:rPr>
                <w:rFonts w:ascii="Arial" w:eastAsia="Calibri" w:hAnsi="Arial" w:cs="Arial"/>
                <w:bCs/>
                <w:sz w:val="24"/>
                <w:szCs w:val="24"/>
              </w:rPr>
              <w:t xml:space="preserve">est Wales </w:t>
            </w:r>
            <w:r w:rsidR="000A45A8">
              <w:rPr>
                <w:rFonts w:ascii="Arial" w:eastAsia="Calibri" w:hAnsi="Arial" w:cs="Arial"/>
                <w:bCs/>
                <w:sz w:val="24"/>
                <w:szCs w:val="24"/>
              </w:rPr>
              <w:t>r</w:t>
            </w:r>
            <w:r w:rsidR="00802AA9" w:rsidRPr="00C92ECE">
              <w:rPr>
                <w:rFonts w:ascii="Arial" w:eastAsia="Calibri" w:hAnsi="Arial" w:cs="Arial"/>
                <w:bCs/>
                <w:sz w:val="24"/>
                <w:szCs w:val="24"/>
              </w:rPr>
              <w:t>egion)</w:t>
            </w:r>
          </w:p>
        </w:tc>
      </w:tr>
    </w:tbl>
    <w:p w14:paraId="490A651D" w14:textId="77777777" w:rsidR="002877F8" w:rsidRPr="00686649" w:rsidRDefault="002877F8" w:rsidP="00C92ECE">
      <w:pPr>
        <w:spacing w:after="0" w:line="276" w:lineRule="auto"/>
        <w:contextualSpacing/>
        <w:rPr>
          <w:rFonts w:ascii="Arial" w:eastAsia="Calibri" w:hAnsi="Arial" w:cs="Arial"/>
          <w:bCs/>
          <w:sz w:val="24"/>
          <w:szCs w:val="24"/>
        </w:rPr>
      </w:pPr>
    </w:p>
    <w:p w14:paraId="1DF3C238" w14:textId="6903F730" w:rsidR="00961708" w:rsidRPr="00C92ECE" w:rsidRDefault="00961708" w:rsidP="00C92ECE">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 xml:space="preserve">One-on-one coaching and peer learning </w:t>
      </w:r>
      <w:r w:rsidR="00893A2D">
        <w:rPr>
          <w:rFonts w:ascii="Arial" w:eastAsia="Calibri" w:hAnsi="Arial" w:cs="Arial"/>
          <w:bCs/>
          <w:sz w:val="24"/>
          <w:szCs w:val="24"/>
        </w:rPr>
        <w:t xml:space="preserve">is also </w:t>
      </w:r>
      <w:r w:rsidRPr="00C92ECE">
        <w:rPr>
          <w:rFonts w:ascii="Arial" w:eastAsia="Calibri" w:hAnsi="Arial" w:cs="Arial"/>
          <w:bCs/>
          <w:sz w:val="24"/>
          <w:szCs w:val="24"/>
        </w:rPr>
        <w:t>used to support new and existing managers.</w:t>
      </w:r>
    </w:p>
    <w:p w14:paraId="2B6E8EC0" w14:textId="1741B1A8" w:rsidR="00961708" w:rsidRPr="00961708" w:rsidRDefault="00961708" w:rsidP="00961708">
      <w:pPr>
        <w:spacing w:after="0" w:line="240" w:lineRule="auto"/>
        <w:rPr>
          <w:rFonts w:ascii="Arial" w:eastAsia="Calibri" w:hAnsi="Arial" w:cs="Arial"/>
          <w:sz w:val="24"/>
          <w:szCs w:val="24"/>
        </w:rPr>
      </w:pPr>
    </w:p>
    <w:p w14:paraId="4B671C43" w14:textId="39536812" w:rsidR="00961708" w:rsidRPr="00BB471B" w:rsidRDefault="00961708" w:rsidP="00961708">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Compassionate and </w:t>
      </w:r>
      <w:r w:rsidR="0017145C" w:rsidRPr="00BB471B">
        <w:rPr>
          <w:rFonts w:ascii="Arial" w:eastAsia="Calibri" w:hAnsi="Arial" w:cs="Arial"/>
          <w:b/>
          <w:bCs/>
          <w:sz w:val="24"/>
          <w:szCs w:val="24"/>
        </w:rPr>
        <w:t>i</w:t>
      </w:r>
      <w:r w:rsidRPr="00BB471B">
        <w:rPr>
          <w:rFonts w:ascii="Arial" w:eastAsia="Calibri" w:hAnsi="Arial" w:cs="Arial"/>
          <w:b/>
          <w:bCs/>
          <w:sz w:val="24"/>
          <w:szCs w:val="24"/>
        </w:rPr>
        <w:t xml:space="preserve">nclusive </w:t>
      </w:r>
      <w:r w:rsidR="0017145C" w:rsidRPr="00BB471B">
        <w:rPr>
          <w:rFonts w:ascii="Arial" w:eastAsia="Calibri" w:hAnsi="Arial" w:cs="Arial"/>
          <w:b/>
          <w:bCs/>
          <w:sz w:val="24"/>
          <w:szCs w:val="24"/>
        </w:rPr>
        <w:t>l</w:t>
      </w:r>
      <w:r w:rsidRPr="00BB471B">
        <w:rPr>
          <w:rFonts w:ascii="Arial" w:eastAsia="Calibri" w:hAnsi="Arial" w:cs="Arial"/>
          <w:b/>
          <w:bCs/>
          <w:sz w:val="24"/>
          <w:szCs w:val="24"/>
        </w:rPr>
        <w:t>eadership</w:t>
      </w:r>
    </w:p>
    <w:p w14:paraId="4495D03B" w14:textId="77777777" w:rsidR="00686649" w:rsidRPr="00961708" w:rsidRDefault="00686649" w:rsidP="00961708">
      <w:pPr>
        <w:spacing w:after="0" w:line="240" w:lineRule="auto"/>
        <w:rPr>
          <w:rFonts w:ascii="Arial" w:eastAsia="Calibri" w:hAnsi="Arial" w:cs="Arial"/>
          <w:b/>
          <w:bCs/>
          <w:sz w:val="24"/>
          <w:szCs w:val="24"/>
        </w:rPr>
      </w:pPr>
    </w:p>
    <w:p w14:paraId="4DB41F3D" w14:textId="4FCC58A6" w:rsidR="00961708" w:rsidRDefault="00961708" w:rsidP="00FB5123">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 xml:space="preserve">Compassionate </w:t>
      </w:r>
      <w:r w:rsidR="00A960BA">
        <w:rPr>
          <w:rFonts w:ascii="Arial" w:eastAsia="Calibri" w:hAnsi="Arial" w:cs="Arial"/>
          <w:bCs/>
          <w:sz w:val="24"/>
          <w:szCs w:val="24"/>
        </w:rPr>
        <w:t>l</w:t>
      </w:r>
      <w:r w:rsidRPr="00C92ECE">
        <w:rPr>
          <w:rFonts w:ascii="Arial" w:eastAsia="Calibri" w:hAnsi="Arial" w:cs="Arial"/>
          <w:bCs/>
          <w:sz w:val="24"/>
          <w:szCs w:val="24"/>
        </w:rPr>
        <w:t>eadership is a recurring theme, with training delivered both virtually and in-person.</w:t>
      </w:r>
    </w:p>
    <w:p w14:paraId="1589CB2A" w14:textId="77777777" w:rsidR="00435E11" w:rsidRDefault="00435E11" w:rsidP="00435E11">
      <w:pPr>
        <w:spacing w:after="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435E11" w:rsidRPr="00D873B5" w14:paraId="03E4A726" w14:textId="77777777" w:rsidTr="00435E11">
        <w:tc>
          <w:tcPr>
            <w:tcW w:w="9016" w:type="dxa"/>
          </w:tcPr>
          <w:p w14:paraId="28655E0E" w14:textId="41BD0841" w:rsidR="003512E4" w:rsidRPr="00C92ECE" w:rsidRDefault="003512E4" w:rsidP="003512E4">
            <w:pPr>
              <w:rPr>
                <w:rFonts w:ascii="Arial" w:eastAsia="Calibri" w:hAnsi="Arial" w:cs="Arial"/>
                <w:bCs/>
                <w:sz w:val="24"/>
                <w:szCs w:val="24"/>
              </w:rPr>
            </w:pPr>
            <w:r w:rsidRPr="00C92ECE">
              <w:rPr>
                <w:rFonts w:ascii="Arial" w:eastAsia="Calibri" w:hAnsi="Arial" w:cs="Arial"/>
                <w:bCs/>
                <w:sz w:val="24"/>
                <w:szCs w:val="24"/>
              </w:rPr>
              <w:t xml:space="preserve">The </w:t>
            </w:r>
            <w:r w:rsidR="00CC1A4B">
              <w:rPr>
                <w:rFonts w:ascii="Arial" w:eastAsia="Calibri" w:hAnsi="Arial" w:cs="Arial"/>
                <w:bCs/>
                <w:sz w:val="24"/>
                <w:szCs w:val="24"/>
              </w:rPr>
              <w:t>s</w:t>
            </w:r>
            <w:r w:rsidRPr="00C92ECE">
              <w:rPr>
                <w:rFonts w:ascii="Arial" w:eastAsia="Calibri" w:hAnsi="Arial" w:cs="Arial"/>
                <w:bCs/>
                <w:sz w:val="24"/>
                <w:szCs w:val="24"/>
              </w:rPr>
              <w:t xml:space="preserve">ervice has been supporting the Academy by promoting the </w:t>
            </w:r>
            <w:r w:rsidR="00CC1A4B">
              <w:rPr>
                <w:rFonts w:ascii="Arial" w:eastAsia="Calibri" w:hAnsi="Arial" w:cs="Arial"/>
                <w:bCs/>
                <w:sz w:val="24"/>
                <w:szCs w:val="24"/>
              </w:rPr>
              <w:t>c</w:t>
            </w:r>
            <w:r w:rsidRPr="00C92ECE">
              <w:rPr>
                <w:rFonts w:ascii="Arial" w:eastAsia="Calibri" w:hAnsi="Arial" w:cs="Arial"/>
                <w:bCs/>
                <w:sz w:val="24"/>
                <w:szCs w:val="24"/>
              </w:rPr>
              <w:t xml:space="preserve">ompassionate leadership programme module </w:t>
            </w:r>
            <w:r w:rsidR="00CC1A4B">
              <w:rPr>
                <w:rFonts w:ascii="Arial" w:eastAsia="Calibri" w:hAnsi="Arial" w:cs="Arial"/>
                <w:bCs/>
                <w:sz w:val="24"/>
                <w:szCs w:val="24"/>
              </w:rPr>
              <w:t>one and two</w:t>
            </w:r>
            <w:r w:rsidRPr="00C92ECE">
              <w:rPr>
                <w:rFonts w:ascii="Arial" w:eastAsia="Calibri" w:hAnsi="Arial" w:cs="Arial"/>
                <w:bCs/>
                <w:sz w:val="24"/>
                <w:szCs w:val="24"/>
              </w:rPr>
              <w:t xml:space="preserve"> and the Introduction to Compassionate Leadership </w:t>
            </w:r>
            <w:r w:rsidR="00CC1A4B">
              <w:rPr>
                <w:rFonts w:ascii="Arial" w:eastAsia="Calibri" w:hAnsi="Arial" w:cs="Arial"/>
                <w:bCs/>
                <w:sz w:val="24"/>
                <w:szCs w:val="24"/>
              </w:rPr>
              <w:t>c</w:t>
            </w:r>
            <w:r w:rsidRPr="00C92ECE">
              <w:rPr>
                <w:rFonts w:ascii="Arial" w:eastAsia="Calibri" w:hAnsi="Arial" w:cs="Arial"/>
                <w:bCs/>
                <w:sz w:val="24"/>
                <w:szCs w:val="24"/>
              </w:rPr>
              <w:t xml:space="preserve">ourse. These are </w:t>
            </w:r>
            <w:r w:rsidR="00CC1A4B">
              <w:rPr>
                <w:rFonts w:ascii="Arial" w:eastAsia="Calibri" w:hAnsi="Arial" w:cs="Arial"/>
                <w:bCs/>
                <w:sz w:val="24"/>
                <w:szCs w:val="24"/>
              </w:rPr>
              <w:t>m</w:t>
            </w:r>
            <w:r w:rsidRPr="00C92ECE">
              <w:rPr>
                <w:rFonts w:ascii="Arial" w:eastAsia="Calibri" w:hAnsi="Arial" w:cs="Arial"/>
                <w:bCs/>
                <w:sz w:val="24"/>
                <w:szCs w:val="24"/>
              </w:rPr>
              <w:t>ulti-agency courses delivered to staff across the sector. (Powys region)</w:t>
            </w:r>
          </w:p>
          <w:p w14:paraId="5D0E2D17" w14:textId="77777777" w:rsidR="00435E11" w:rsidRPr="00D873B5" w:rsidRDefault="00435E11" w:rsidP="00435E11">
            <w:pPr>
              <w:spacing w:line="276" w:lineRule="auto"/>
              <w:contextualSpacing/>
              <w:rPr>
                <w:rFonts w:ascii="Arial" w:eastAsia="Calibri" w:hAnsi="Arial" w:cs="Arial"/>
                <w:bCs/>
                <w:sz w:val="24"/>
                <w:szCs w:val="24"/>
              </w:rPr>
            </w:pPr>
          </w:p>
        </w:tc>
      </w:tr>
    </w:tbl>
    <w:p w14:paraId="1C17BE94" w14:textId="77777777" w:rsidR="00435E11" w:rsidRDefault="00435E11" w:rsidP="00C92ECE">
      <w:pPr>
        <w:spacing w:after="0" w:line="276" w:lineRule="auto"/>
        <w:contextualSpacing/>
        <w:rPr>
          <w:rFonts w:ascii="Arial" w:eastAsia="Calibri" w:hAnsi="Arial" w:cs="Arial"/>
          <w:bCs/>
          <w:sz w:val="24"/>
          <w:szCs w:val="24"/>
        </w:rPr>
      </w:pPr>
    </w:p>
    <w:p w14:paraId="1C9BE1A3" w14:textId="16F25DB8" w:rsidR="009550F3" w:rsidRPr="00C25CDF" w:rsidRDefault="009550F3" w:rsidP="00FB5123">
      <w:pPr>
        <w:numPr>
          <w:ilvl w:val="0"/>
          <w:numId w:val="6"/>
        </w:numPr>
        <w:spacing w:after="0" w:line="276" w:lineRule="auto"/>
        <w:ind w:left="567" w:hanging="425"/>
        <w:contextualSpacing/>
        <w:rPr>
          <w:rFonts w:ascii="Arial" w:eastAsia="Calibri" w:hAnsi="Arial" w:cs="Arial"/>
          <w:bCs/>
          <w:sz w:val="24"/>
          <w:szCs w:val="24"/>
        </w:rPr>
      </w:pPr>
      <w:r w:rsidRPr="00C25CDF">
        <w:rPr>
          <w:rFonts w:ascii="Arial" w:eastAsia="Calibri" w:hAnsi="Arial" w:cs="Arial"/>
          <w:bCs/>
          <w:sz w:val="24"/>
          <w:szCs w:val="24"/>
        </w:rPr>
        <w:t xml:space="preserve">There is </w:t>
      </w:r>
      <w:r w:rsidR="00A765AC" w:rsidRPr="00C25CDF">
        <w:rPr>
          <w:rFonts w:ascii="Arial" w:eastAsia="Calibri" w:hAnsi="Arial" w:cs="Arial"/>
          <w:bCs/>
          <w:sz w:val="24"/>
          <w:szCs w:val="24"/>
        </w:rPr>
        <w:t>extensive</w:t>
      </w:r>
      <w:r w:rsidRPr="00C25CDF">
        <w:rPr>
          <w:rFonts w:ascii="Arial" w:eastAsia="Calibri" w:hAnsi="Arial" w:cs="Arial"/>
          <w:bCs/>
          <w:sz w:val="24"/>
          <w:szCs w:val="24"/>
        </w:rPr>
        <w:t xml:space="preserve"> use and take up of our </w:t>
      </w:r>
      <w:r w:rsidR="00E70B4A">
        <w:rPr>
          <w:rFonts w:ascii="Arial" w:eastAsia="Calibri" w:hAnsi="Arial" w:cs="Arial"/>
          <w:bCs/>
          <w:sz w:val="24"/>
          <w:szCs w:val="24"/>
        </w:rPr>
        <w:t>c</w:t>
      </w:r>
      <w:r w:rsidRPr="00C25CDF">
        <w:rPr>
          <w:rFonts w:ascii="Arial" w:eastAsia="Calibri" w:hAnsi="Arial" w:cs="Arial"/>
          <w:bCs/>
          <w:sz w:val="24"/>
          <w:szCs w:val="24"/>
        </w:rPr>
        <w:t xml:space="preserve">ompassionate </w:t>
      </w:r>
      <w:r w:rsidR="00E70B4A">
        <w:rPr>
          <w:rFonts w:ascii="Arial" w:eastAsia="Calibri" w:hAnsi="Arial" w:cs="Arial"/>
          <w:bCs/>
          <w:sz w:val="24"/>
          <w:szCs w:val="24"/>
        </w:rPr>
        <w:t>l</w:t>
      </w:r>
      <w:r w:rsidRPr="00C25CDF">
        <w:rPr>
          <w:rFonts w:ascii="Arial" w:eastAsia="Calibri" w:hAnsi="Arial" w:cs="Arial"/>
          <w:bCs/>
          <w:sz w:val="24"/>
          <w:szCs w:val="24"/>
        </w:rPr>
        <w:t xml:space="preserve">eadership offer </w:t>
      </w:r>
      <w:r w:rsidR="00E70B4A">
        <w:rPr>
          <w:rFonts w:ascii="Arial" w:eastAsia="Calibri" w:hAnsi="Arial" w:cs="Arial"/>
          <w:bCs/>
          <w:sz w:val="24"/>
          <w:szCs w:val="24"/>
        </w:rPr>
        <w:t>with</w:t>
      </w:r>
      <w:r w:rsidRPr="00C25CDF">
        <w:rPr>
          <w:rFonts w:ascii="Arial" w:eastAsia="Calibri" w:hAnsi="Arial" w:cs="Arial"/>
          <w:bCs/>
          <w:sz w:val="24"/>
          <w:szCs w:val="24"/>
        </w:rPr>
        <w:t xml:space="preserve"> support alongside the </w:t>
      </w:r>
      <w:hyperlink r:id="rId33" w:history="1">
        <w:proofErr w:type="spellStart"/>
        <w:r w:rsidRPr="00046C84">
          <w:rPr>
            <w:rStyle w:val="Hyperlink"/>
            <w:rFonts w:ascii="Arial" w:eastAsia="Calibri" w:hAnsi="Arial" w:cs="Arial"/>
            <w:bCs/>
            <w:sz w:val="24"/>
            <w:szCs w:val="24"/>
          </w:rPr>
          <w:t>Gwella</w:t>
        </w:r>
        <w:proofErr w:type="spellEnd"/>
      </w:hyperlink>
      <w:r w:rsidRPr="00C25CDF">
        <w:rPr>
          <w:rFonts w:ascii="Arial" w:eastAsia="Calibri" w:hAnsi="Arial" w:cs="Arial"/>
          <w:bCs/>
          <w:sz w:val="24"/>
          <w:szCs w:val="24"/>
        </w:rPr>
        <w:t xml:space="preserve"> website</w:t>
      </w:r>
      <w:r w:rsidR="00201163">
        <w:rPr>
          <w:rFonts w:ascii="Arial" w:eastAsia="Calibri" w:hAnsi="Arial" w:cs="Arial"/>
          <w:bCs/>
          <w:sz w:val="24"/>
          <w:szCs w:val="24"/>
        </w:rPr>
        <w:t xml:space="preserve"> run by HEIW</w:t>
      </w:r>
      <w:r w:rsidRPr="00C25CDF">
        <w:rPr>
          <w:rFonts w:ascii="Arial" w:eastAsia="Calibri" w:hAnsi="Arial" w:cs="Arial"/>
          <w:bCs/>
          <w:sz w:val="24"/>
          <w:szCs w:val="24"/>
        </w:rPr>
        <w:t>.</w:t>
      </w:r>
    </w:p>
    <w:p w14:paraId="6B7A79F0" w14:textId="25CBD201" w:rsidR="00961708" w:rsidRPr="00961708" w:rsidRDefault="00961708" w:rsidP="00961708">
      <w:pPr>
        <w:spacing w:after="0" w:line="240" w:lineRule="auto"/>
        <w:rPr>
          <w:rFonts w:ascii="Arial" w:eastAsia="Calibri" w:hAnsi="Arial" w:cs="Arial"/>
          <w:sz w:val="24"/>
          <w:szCs w:val="24"/>
        </w:rPr>
      </w:pPr>
    </w:p>
    <w:p w14:paraId="54A4CCC5" w14:textId="790E22FA" w:rsidR="00961708" w:rsidRPr="00BB471B" w:rsidRDefault="00961708" w:rsidP="00961708">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Practical </w:t>
      </w:r>
      <w:r w:rsidR="00E70B4A" w:rsidRPr="00BB471B">
        <w:rPr>
          <w:rFonts w:ascii="Arial" w:eastAsia="Calibri" w:hAnsi="Arial" w:cs="Arial"/>
          <w:b/>
          <w:bCs/>
          <w:sz w:val="24"/>
          <w:szCs w:val="24"/>
        </w:rPr>
        <w:t>r</w:t>
      </w:r>
      <w:r w:rsidRPr="00BB471B">
        <w:rPr>
          <w:rFonts w:ascii="Arial" w:eastAsia="Calibri" w:hAnsi="Arial" w:cs="Arial"/>
          <w:b/>
          <w:bCs/>
          <w:sz w:val="24"/>
          <w:szCs w:val="24"/>
        </w:rPr>
        <w:t xml:space="preserve">esources and </w:t>
      </w:r>
      <w:r w:rsidR="00E70B4A" w:rsidRPr="00BB471B">
        <w:rPr>
          <w:rFonts w:ascii="Arial" w:eastAsia="Calibri" w:hAnsi="Arial" w:cs="Arial"/>
          <w:b/>
          <w:bCs/>
          <w:sz w:val="24"/>
          <w:szCs w:val="24"/>
        </w:rPr>
        <w:t>i</w:t>
      </w:r>
      <w:r w:rsidRPr="00BB471B">
        <w:rPr>
          <w:rFonts w:ascii="Arial" w:eastAsia="Calibri" w:hAnsi="Arial" w:cs="Arial"/>
          <w:b/>
          <w:bCs/>
          <w:sz w:val="24"/>
          <w:szCs w:val="24"/>
        </w:rPr>
        <w:t xml:space="preserve">nduction </w:t>
      </w:r>
      <w:r w:rsidR="00E70B4A" w:rsidRPr="00BB471B">
        <w:rPr>
          <w:rFonts w:ascii="Arial" w:eastAsia="Calibri" w:hAnsi="Arial" w:cs="Arial"/>
          <w:b/>
          <w:bCs/>
          <w:sz w:val="24"/>
          <w:szCs w:val="24"/>
        </w:rPr>
        <w:t>s</w:t>
      </w:r>
      <w:r w:rsidRPr="00BB471B">
        <w:rPr>
          <w:rFonts w:ascii="Arial" w:eastAsia="Calibri" w:hAnsi="Arial" w:cs="Arial"/>
          <w:b/>
          <w:bCs/>
          <w:sz w:val="24"/>
          <w:szCs w:val="24"/>
        </w:rPr>
        <w:t>upport</w:t>
      </w:r>
    </w:p>
    <w:p w14:paraId="76E53457" w14:textId="77777777" w:rsidR="00B641F9" w:rsidRPr="00961708" w:rsidRDefault="00B641F9" w:rsidP="00961708">
      <w:pPr>
        <w:spacing w:after="0" w:line="240" w:lineRule="auto"/>
        <w:rPr>
          <w:rFonts w:ascii="Arial" w:eastAsia="Calibri" w:hAnsi="Arial" w:cs="Arial"/>
          <w:b/>
          <w:bCs/>
          <w:sz w:val="24"/>
          <w:szCs w:val="24"/>
        </w:rPr>
      </w:pPr>
    </w:p>
    <w:p w14:paraId="18644D67" w14:textId="7C3CA696" w:rsidR="00961708" w:rsidRDefault="000B66A7" w:rsidP="00507D5B">
      <w:pPr>
        <w:numPr>
          <w:ilvl w:val="0"/>
          <w:numId w:val="6"/>
        </w:numPr>
        <w:spacing w:after="0" w:line="276" w:lineRule="auto"/>
        <w:ind w:left="567" w:hanging="425"/>
        <w:contextualSpacing/>
        <w:rPr>
          <w:rFonts w:ascii="Arial" w:eastAsia="Calibri" w:hAnsi="Arial" w:cs="Arial"/>
          <w:bCs/>
          <w:sz w:val="24"/>
          <w:szCs w:val="24"/>
        </w:rPr>
      </w:pPr>
      <w:r w:rsidRPr="00B641F9">
        <w:rPr>
          <w:rFonts w:ascii="Arial" w:eastAsia="Calibri" w:hAnsi="Arial" w:cs="Arial"/>
          <w:bCs/>
          <w:sz w:val="24"/>
          <w:szCs w:val="24"/>
        </w:rPr>
        <w:t>Practical</w:t>
      </w:r>
      <w:r w:rsidR="00726AA2" w:rsidRPr="00B641F9">
        <w:rPr>
          <w:rFonts w:ascii="Arial" w:eastAsia="Calibri" w:hAnsi="Arial" w:cs="Arial"/>
          <w:bCs/>
          <w:sz w:val="24"/>
          <w:szCs w:val="24"/>
        </w:rPr>
        <w:t xml:space="preserve"> resources to support </w:t>
      </w:r>
      <w:r w:rsidRPr="00B641F9">
        <w:rPr>
          <w:rFonts w:ascii="Arial" w:eastAsia="Calibri" w:hAnsi="Arial" w:cs="Arial"/>
          <w:bCs/>
          <w:sz w:val="24"/>
          <w:szCs w:val="24"/>
        </w:rPr>
        <w:t>new managers includes the d</w:t>
      </w:r>
      <w:r w:rsidR="00961708" w:rsidRPr="00C92ECE">
        <w:rPr>
          <w:rFonts w:ascii="Arial" w:eastAsia="Calibri" w:hAnsi="Arial" w:cs="Arial"/>
          <w:bCs/>
          <w:sz w:val="24"/>
          <w:szCs w:val="24"/>
        </w:rPr>
        <w:t>evelopment of eBooks, resource files and induction frameworks</w:t>
      </w:r>
      <w:r w:rsidR="00B641F9" w:rsidRPr="00B641F9">
        <w:rPr>
          <w:rFonts w:ascii="Arial" w:eastAsia="Calibri" w:hAnsi="Arial" w:cs="Arial"/>
          <w:bCs/>
          <w:sz w:val="24"/>
          <w:szCs w:val="24"/>
        </w:rPr>
        <w:t xml:space="preserve"> alongside w</w:t>
      </w:r>
      <w:r w:rsidR="00961708" w:rsidRPr="00C92ECE">
        <w:rPr>
          <w:rFonts w:ascii="Arial" w:eastAsia="Calibri" w:hAnsi="Arial" w:cs="Arial"/>
          <w:bCs/>
          <w:sz w:val="24"/>
          <w:szCs w:val="24"/>
        </w:rPr>
        <w:t>orkshops and e-learning modules cover</w:t>
      </w:r>
      <w:r w:rsidR="00B641F9" w:rsidRPr="00B641F9">
        <w:rPr>
          <w:rFonts w:ascii="Arial" w:eastAsia="Calibri" w:hAnsi="Arial" w:cs="Arial"/>
          <w:bCs/>
          <w:sz w:val="24"/>
          <w:szCs w:val="24"/>
        </w:rPr>
        <w:t>ing</w:t>
      </w:r>
      <w:r w:rsidR="00961708" w:rsidRPr="00C92ECE">
        <w:rPr>
          <w:rFonts w:ascii="Arial" w:eastAsia="Calibri" w:hAnsi="Arial" w:cs="Arial"/>
          <w:bCs/>
          <w:sz w:val="24"/>
          <w:szCs w:val="24"/>
        </w:rPr>
        <w:t xml:space="preserve"> core management skills.</w:t>
      </w:r>
    </w:p>
    <w:p w14:paraId="371510AC" w14:textId="77777777" w:rsidR="00444A48" w:rsidRDefault="00444A48" w:rsidP="00444A48">
      <w:pPr>
        <w:spacing w:after="0" w:line="276" w:lineRule="auto"/>
        <w:contextualSpacing/>
        <w:rPr>
          <w:rFonts w:ascii="Arial" w:eastAsia="Calibri" w:hAnsi="Arial" w:cs="Arial"/>
          <w:bCs/>
          <w:sz w:val="24"/>
          <w:szCs w:val="24"/>
        </w:rPr>
      </w:pPr>
    </w:p>
    <w:p w14:paraId="6B0C1061" w14:textId="77777777" w:rsidR="00785062" w:rsidRDefault="00785062" w:rsidP="00444A48">
      <w:pPr>
        <w:spacing w:after="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444A48" w14:paraId="7082C989" w14:textId="77777777" w:rsidTr="00444A48">
        <w:tc>
          <w:tcPr>
            <w:tcW w:w="9016" w:type="dxa"/>
          </w:tcPr>
          <w:p w14:paraId="5EC383B8" w14:textId="31B89AE0" w:rsidR="00942882" w:rsidRPr="00C92ECE" w:rsidRDefault="00942882" w:rsidP="00C25CDF">
            <w:pPr>
              <w:rPr>
                <w:rFonts w:ascii="Arial" w:eastAsia="Calibri" w:hAnsi="Arial" w:cs="Arial"/>
                <w:bCs/>
                <w:sz w:val="24"/>
                <w:szCs w:val="24"/>
              </w:rPr>
            </w:pPr>
            <w:r w:rsidRPr="00C92ECE">
              <w:rPr>
                <w:rFonts w:ascii="Arial" w:eastAsia="Calibri" w:hAnsi="Arial" w:cs="Arial"/>
                <w:bCs/>
                <w:sz w:val="24"/>
                <w:szCs w:val="24"/>
              </w:rPr>
              <w:lastRenderedPageBreak/>
              <w:t>We</w:t>
            </w:r>
            <w:r w:rsidR="00A17D79">
              <w:rPr>
                <w:rFonts w:ascii="Arial" w:eastAsia="Calibri" w:hAnsi="Arial" w:cs="Arial"/>
                <w:bCs/>
                <w:sz w:val="24"/>
                <w:szCs w:val="24"/>
              </w:rPr>
              <w:t>’ve</w:t>
            </w:r>
            <w:r w:rsidRPr="00C92ECE">
              <w:rPr>
                <w:rFonts w:ascii="Arial" w:eastAsia="Calibri" w:hAnsi="Arial" w:cs="Arial"/>
                <w:bCs/>
                <w:sz w:val="24"/>
                <w:szCs w:val="24"/>
              </w:rPr>
              <w:t xml:space="preserve"> developed a</w:t>
            </w:r>
            <w:r w:rsidR="00C25CDF" w:rsidRPr="00C92ECE">
              <w:rPr>
                <w:rFonts w:ascii="Arial" w:eastAsia="Calibri" w:hAnsi="Arial" w:cs="Arial"/>
                <w:bCs/>
                <w:sz w:val="24"/>
                <w:szCs w:val="24"/>
              </w:rPr>
              <w:t xml:space="preserve"> </w:t>
            </w:r>
            <w:r w:rsidRPr="00C92ECE">
              <w:rPr>
                <w:rFonts w:ascii="Arial" w:eastAsia="Calibri" w:hAnsi="Arial" w:cs="Arial"/>
                <w:bCs/>
                <w:sz w:val="24"/>
                <w:szCs w:val="24"/>
              </w:rPr>
              <w:t xml:space="preserve">comprehensive induction </w:t>
            </w:r>
            <w:r w:rsidR="00046C84" w:rsidRPr="00C92ECE">
              <w:rPr>
                <w:rFonts w:ascii="Arial" w:eastAsia="Calibri" w:hAnsi="Arial" w:cs="Arial"/>
                <w:bCs/>
                <w:sz w:val="24"/>
                <w:szCs w:val="24"/>
              </w:rPr>
              <w:t>eBook</w:t>
            </w:r>
            <w:r w:rsidRPr="00C92ECE">
              <w:rPr>
                <w:rFonts w:ascii="Arial" w:eastAsia="Calibri" w:hAnsi="Arial" w:cs="Arial"/>
                <w:bCs/>
                <w:sz w:val="24"/>
                <w:szCs w:val="24"/>
              </w:rPr>
              <w:t xml:space="preserve"> tailored for new managers in </w:t>
            </w:r>
            <w:r w:rsidR="00A17D79">
              <w:rPr>
                <w:rFonts w:ascii="Arial" w:eastAsia="Calibri" w:hAnsi="Arial" w:cs="Arial"/>
                <w:bCs/>
                <w:sz w:val="24"/>
                <w:szCs w:val="24"/>
              </w:rPr>
              <w:t>a</w:t>
            </w:r>
            <w:r w:rsidRPr="00C92ECE">
              <w:rPr>
                <w:rFonts w:ascii="Arial" w:eastAsia="Calibri" w:hAnsi="Arial" w:cs="Arial"/>
                <w:bCs/>
                <w:sz w:val="24"/>
                <w:szCs w:val="24"/>
              </w:rPr>
              <w:t xml:space="preserve">dult </w:t>
            </w:r>
            <w:r w:rsidR="00A17D79">
              <w:rPr>
                <w:rFonts w:ascii="Arial" w:eastAsia="Calibri" w:hAnsi="Arial" w:cs="Arial"/>
                <w:bCs/>
                <w:sz w:val="24"/>
                <w:szCs w:val="24"/>
              </w:rPr>
              <w:t>s</w:t>
            </w:r>
            <w:r w:rsidRPr="00C92ECE">
              <w:rPr>
                <w:rFonts w:ascii="Arial" w:eastAsia="Calibri" w:hAnsi="Arial" w:cs="Arial"/>
                <w:bCs/>
                <w:sz w:val="24"/>
                <w:szCs w:val="24"/>
              </w:rPr>
              <w:t xml:space="preserve">ocial </w:t>
            </w:r>
            <w:r w:rsidR="00A17D79">
              <w:rPr>
                <w:rFonts w:ascii="Arial" w:eastAsia="Calibri" w:hAnsi="Arial" w:cs="Arial"/>
                <w:bCs/>
                <w:sz w:val="24"/>
                <w:szCs w:val="24"/>
              </w:rPr>
              <w:t>c</w:t>
            </w:r>
            <w:r w:rsidRPr="00C92ECE">
              <w:rPr>
                <w:rFonts w:ascii="Arial" w:eastAsia="Calibri" w:hAnsi="Arial" w:cs="Arial"/>
                <w:bCs/>
                <w:sz w:val="24"/>
                <w:szCs w:val="24"/>
              </w:rPr>
              <w:t xml:space="preserve">are. This interactive guide is designed to </w:t>
            </w:r>
            <w:r w:rsidR="00D435BD">
              <w:rPr>
                <w:rFonts w:ascii="Arial" w:eastAsia="Calibri" w:hAnsi="Arial" w:cs="Arial"/>
                <w:bCs/>
                <w:sz w:val="24"/>
                <w:szCs w:val="24"/>
              </w:rPr>
              <w:t>give</w:t>
            </w:r>
            <w:r w:rsidRPr="00C92ECE">
              <w:rPr>
                <w:rFonts w:ascii="Arial" w:eastAsia="Calibri" w:hAnsi="Arial" w:cs="Arial"/>
                <w:bCs/>
                <w:sz w:val="24"/>
                <w:szCs w:val="24"/>
              </w:rPr>
              <w:t xml:space="preserve"> the key information and resources needed to excel in their role. It define</w:t>
            </w:r>
            <w:r w:rsidR="00967DEC">
              <w:rPr>
                <w:rFonts w:ascii="Arial" w:eastAsia="Calibri" w:hAnsi="Arial" w:cs="Arial"/>
                <w:bCs/>
                <w:sz w:val="24"/>
                <w:szCs w:val="24"/>
              </w:rPr>
              <w:t>s</w:t>
            </w:r>
            <w:r w:rsidRPr="00C92ECE">
              <w:rPr>
                <w:rFonts w:ascii="Arial" w:eastAsia="Calibri" w:hAnsi="Arial" w:cs="Arial"/>
                <w:bCs/>
                <w:sz w:val="24"/>
                <w:szCs w:val="24"/>
              </w:rPr>
              <w:t xml:space="preserve"> their responsibilities as a manager, their training requirements and </w:t>
            </w:r>
            <w:r w:rsidR="00967DEC">
              <w:rPr>
                <w:rFonts w:ascii="Arial" w:eastAsia="Calibri" w:hAnsi="Arial" w:cs="Arial"/>
                <w:bCs/>
                <w:sz w:val="24"/>
                <w:szCs w:val="24"/>
              </w:rPr>
              <w:t xml:space="preserve">gives them </w:t>
            </w:r>
            <w:r w:rsidRPr="00C92ECE">
              <w:rPr>
                <w:rFonts w:ascii="Arial" w:eastAsia="Calibri" w:hAnsi="Arial" w:cs="Arial"/>
                <w:bCs/>
                <w:sz w:val="24"/>
                <w:szCs w:val="24"/>
              </w:rPr>
              <w:t>access to policies and procedures that will support them. It</w:t>
            </w:r>
            <w:r w:rsidR="00967DEC">
              <w:rPr>
                <w:rFonts w:ascii="Arial" w:eastAsia="Calibri" w:hAnsi="Arial" w:cs="Arial"/>
                <w:bCs/>
                <w:sz w:val="24"/>
                <w:szCs w:val="24"/>
              </w:rPr>
              <w:t xml:space="preserve">’s also a </w:t>
            </w:r>
            <w:r w:rsidRPr="00C92ECE">
              <w:rPr>
                <w:rFonts w:ascii="Arial" w:eastAsia="Calibri" w:hAnsi="Arial" w:cs="Arial"/>
                <w:bCs/>
                <w:sz w:val="24"/>
                <w:szCs w:val="24"/>
              </w:rPr>
              <w:t xml:space="preserve">great resource for aspiring managers and </w:t>
            </w:r>
            <w:r w:rsidR="00AA33C8">
              <w:rPr>
                <w:rFonts w:ascii="Arial" w:eastAsia="Calibri" w:hAnsi="Arial" w:cs="Arial"/>
                <w:bCs/>
                <w:sz w:val="24"/>
                <w:szCs w:val="24"/>
              </w:rPr>
              <w:t>serves</w:t>
            </w:r>
            <w:r w:rsidRPr="00C92ECE">
              <w:rPr>
                <w:rFonts w:ascii="Arial" w:eastAsia="Calibri" w:hAnsi="Arial" w:cs="Arial"/>
                <w:bCs/>
                <w:sz w:val="24"/>
                <w:szCs w:val="24"/>
              </w:rPr>
              <w:t xml:space="preserve"> as a valuable reference tool for existing managers to keep </w:t>
            </w:r>
            <w:proofErr w:type="gramStart"/>
            <w:r w:rsidRPr="00C92ECE">
              <w:rPr>
                <w:rFonts w:ascii="Arial" w:eastAsia="Calibri" w:hAnsi="Arial" w:cs="Arial"/>
                <w:bCs/>
                <w:sz w:val="24"/>
                <w:szCs w:val="24"/>
              </w:rPr>
              <w:t>up-to-date</w:t>
            </w:r>
            <w:proofErr w:type="gramEnd"/>
            <w:r w:rsidRPr="00C92ECE">
              <w:rPr>
                <w:rFonts w:ascii="Arial" w:eastAsia="Calibri" w:hAnsi="Arial" w:cs="Arial"/>
                <w:bCs/>
                <w:sz w:val="24"/>
                <w:szCs w:val="24"/>
              </w:rPr>
              <w:t xml:space="preserve"> with essential links and information. (Powys </w:t>
            </w:r>
            <w:r w:rsidR="00C2141A">
              <w:rPr>
                <w:rFonts w:ascii="Arial" w:eastAsia="Calibri" w:hAnsi="Arial" w:cs="Arial"/>
                <w:bCs/>
                <w:sz w:val="24"/>
                <w:szCs w:val="24"/>
              </w:rPr>
              <w:t>r</w:t>
            </w:r>
            <w:r w:rsidRPr="00C92ECE">
              <w:rPr>
                <w:rFonts w:ascii="Arial" w:eastAsia="Calibri" w:hAnsi="Arial" w:cs="Arial"/>
                <w:bCs/>
                <w:sz w:val="24"/>
                <w:szCs w:val="24"/>
              </w:rPr>
              <w:t>egion)</w:t>
            </w:r>
          </w:p>
          <w:p w14:paraId="24FF483B" w14:textId="77777777" w:rsidR="00444A48" w:rsidRDefault="00444A48" w:rsidP="00444A48">
            <w:pPr>
              <w:spacing w:line="276" w:lineRule="auto"/>
              <w:contextualSpacing/>
              <w:rPr>
                <w:rFonts w:ascii="Arial" w:eastAsia="Calibri" w:hAnsi="Arial" w:cs="Arial"/>
                <w:bCs/>
                <w:sz w:val="24"/>
                <w:szCs w:val="24"/>
              </w:rPr>
            </w:pPr>
          </w:p>
        </w:tc>
      </w:tr>
    </w:tbl>
    <w:p w14:paraId="277B0438" w14:textId="77777777" w:rsidR="00B938A3" w:rsidRDefault="00B938A3" w:rsidP="00BC7EBC">
      <w:pPr>
        <w:pStyle w:val="Heading2"/>
      </w:pPr>
    </w:p>
    <w:p w14:paraId="0A5105FD" w14:textId="7CF03DAD" w:rsidR="002D1B1F" w:rsidRPr="000C06A7" w:rsidRDefault="002D1B1F" w:rsidP="00BC7EBC">
      <w:pPr>
        <w:pStyle w:val="Heading2"/>
      </w:pPr>
      <w:bookmarkStart w:id="39" w:name="_Toc211279629"/>
      <w:r w:rsidRPr="000C06A7">
        <w:t>Priority 5:</w:t>
      </w:r>
      <w:r w:rsidR="002F2AE5" w:rsidRPr="00B568F3">
        <w:t xml:space="preserve"> </w:t>
      </w:r>
      <w:r w:rsidRPr="000C06A7">
        <w:t>Workforce shape and supply</w:t>
      </w:r>
      <w:bookmarkEnd w:id="39"/>
      <w:r w:rsidRPr="000C06A7">
        <w:t xml:space="preserve"> </w:t>
      </w:r>
    </w:p>
    <w:p w14:paraId="615F7E45" w14:textId="77777777" w:rsidR="002D1B1F" w:rsidRPr="00B568F3" w:rsidRDefault="002D1B1F" w:rsidP="002D1B1F">
      <w:pPr>
        <w:spacing w:after="0" w:line="240" w:lineRule="auto"/>
        <w:rPr>
          <w:rFonts w:ascii="Arial" w:eastAsia="Calibri" w:hAnsi="Arial" w:cs="Arial"/>
          <w:sz w:val="24"/>
          <w:szCs w:val="24"/>
        </w:rPr>
      </w:pPr>
    </w:p>
    <w:p w14:paraId="277C0239" w14:textId="37EBF2CA" w:rsidR="002D1B1F" w:rsidRPr="00B568F3" w:rsidRDefault="002F2AE5" w:rsidP="002D1B1F">
      <w:pPr>
        <w:spacing w:after="0" w:line="240" w:lineRule="auto"/>
        <w:rPr>
          <w:rFonts w:ascii="Arial" w:eastAsia="Calibri" w:hAnsi="Arial" w:cs="Arial"/>
          <w:sz w:val="24"/>
          <w:szCs w:val="24"/>
        </w:rPr>
      </w:pPr>
      <w:r w:rsidRPr="00B568F3">
        <w:rPr>
          <w:rFonts w:ascii="Arial" w:eastAsia="Calibri" w:hAnsi="Arial" w:cs="Arial"/>
          <w:sz w:val="24"/>
          <w:szCs w:val="24"/>
        </w:rPr>
        <w:t>By</w:t>
      </w:r>
      <w:r w:rsidR="002D1B1F" w:rsidRPr="00B568F3">
        <w:rPr>
          <w:rFonts w:ascii="Arial" w:eastAsia="Calibri" w:hAnsi="Arial" w:cs="Arial"/>
          <w:sz w:val="24"/>
          <w:szCs w:val="24"/>
        </w:rPr>
        <w:t xml:space="preserve"> 2030</w:t>
      </w:r>
      <w:r w:rsidRPr="00B568F3">
        <w:rPr>
          <w:rFonts w:ascii="Arial" w:eastAsia="Calibri" w:hAnsi="Arial" w:cs="Arial"/>
          <w:sz w:val="24"/>
          <w:szCs w:val="24"/>
        </w:rPr>
        <w:t xml:space="preserve">, the workforce strategy </w:t>
      </w:r>
      <w:r w:rsidR="00393DCF" w:rsidRPr="00B568F3">
        <w:rPr>
          <w:rFonts w:ascii="Arial" w:eastAsia="Calibri" w:hAnsi="Arial" w:cs="Arial"/>
          <w:sz w:val="24"/>
          <w:szCs w:val="24"/>
        </w:rPr>
        <w:t>hopes</w:t>
      </w:r>
      <w:r w:rsidR="002A45FF" w:rsidRPr="00B568F3">
        <w:rPr>
          <w:rFonts w:ascii="Arial" w:eastAsia="Calibri" w:hAnsi="Arial" w:cs="Arial"/>
          <w:sz w:val="24"/>
          <w:szCs w:val="24"/>
        </w:rPr>
        <w:t xml:space="preserve"> to have</w:t>
      </w:r>
      <w:r w:rsidR="002D1B1F" w:rsidRPr="00B568F3">
        <w:rPr>
          <w:rFonts w:ascii="Arial" w:eastAsia="Calibri" w:hAnsi="Arial" w:cs="Arial"/>
          <w:sz w:val="24"/>
          <w:szCs w:val="24"/>
        </w:rPr>
        <w:t xml:space="preserve"> a sustainable workforce </w:t>
      </w:r>
      <w:r w:rsidR="006026A2" w:rsidRPr="00B568F3">
        <w:rPr>
          <w:rFonts w:ascii="Arial" w:eastAsia="Calibri" w:hAnsi="Arial" w:cs="Arial"/>
          <w:sz w:val="24"/>
          <w:szCs w:val="24"/>
        </w:rPr>
        <w:t>with enough</w:t>
      </w:r>
      <w:r w:rsidR="002D1B1F" w:rsidRPr="00B568F3">
        <w:rPr>
          <w:rFonts w:ascii="Arial" w:eastAsia="Calibri" w:hAnsi="Arial" w:cs="Arial"/>
          <w:sz w:val="24"/>
          <w:szCs w:val="24"/>
        </w:rPr>
        <w:t xml:space="preserve"> numbers to meet the health and social care needs of our population</w:t>
      </w:r>
      <w:r w:rsidR="7BDBFB2D" w:rsidRPr="00B568F3">
        <w:rPr>
          <w:rFonts w:ascii="Arial" w:eastAsia="Calibri" w:hAnsi="Arial" w:cs="Arial"/>
          <w:sz w:val="24"/>
          <w:szCs w:val="24"/>
        </w:rPr>
        <w:t xml:space="preserve">. </w:t>
      </w:r>
    </w:p>
    <w:p w14:paraId="5B6E006C" w14:textId="77777777" w:rsidR="002D1B1F" w:rsidRPr="00B568F3" w:rsidRDefault="002D1B1F" w:rsidP="002D1B1F">
      <w:pPr>
        <w:spacing w:after="0" w:line="240" w:lineRule="auto"/>
        <w:rPr>
          <w:rFonts w:ascii="Arial" w:eastAsia="Calibri" w:hAnsi="Arial" w:cs="Arial"/>
          <w:sz w:val="24"/>
          <w:szCs w:val="24"/>
        </w:rPr>
      </w:pPr>
    </w:p>
    <w:p w14:paraId="26132686" w14:textId="31849045" w:rsidR="002D1B1F" w:rsidRDefault="002D1B1F" w:rsidP="002D1B1F">
      <w:pPr>
        <w:spacing w:after="0" w:line="240" w:lineRule="auto"/>
        <w:rPr>
          <w:rFonts w:ascii="Arial" w:eastAsia="Calibri" w:hAnsi="Arial" w:cs="Arial"/>
          <w:sz w:val="24"/>
          <w:szCs w:val="24"/>
        </w:rPr>
      </w:pPr>
      <w:r w:rsidRPr="00B568F3">
        <w:rPr>
          <w:rFonts w:ascii="Arial" w:eastAsia="Calibri" w:hAnsi="Arial" w:cs="Arial"/>
          <w:sz w:val="24"/>
          <w:szCs w:val="24"/>
        </w:rPr>
        <w:t xml:space="preserve">SCWWDP in </w:t>
      </w:r>
      <w:r w:rsidR="00141D11" w:rsidRPr="00B568F3">
        <w:rPr>
          <w:rFonts w:ascii="Arial" w:eastAsia="Calibri" w:hAnsi="Arial" w:cs="Arial"/>
          <w:sz w:val="24"/>
          <w:szCs w:val="24"/>
        </w:rPr>
        <w:t>202</w:t>
      </w:r>
      <w:r w:rsidR="00141D11">
        <w:rPr>
          <w:rFonts w:ascii="Arial" w:eastAsia="Calibri" w:hAnsi="Arial" w:cs="Arial"/>
          <w:sz w:val="24"/>
          <w:szCs w:val="24"/>
        </w:rPr>
        <w:t>4</w:t>
      </w:r>
      <w:r w:rsidR="00141D11" w:rsidRPr="00B568F3">
        <w:rPr>
          <w:rFonts w:ascii="Arial" w:eastAsia="Calibri" w:hAnsi="Arial" w:cs="Arial"/>
          <w:sz w:val="24"/>
          <w:szCs w:val="24"/>
        </w:rPr>
        <w:t xml:space="preserve"> </w:t>
      </w:r>
      <w:r w:rsidR="00D82795" w:rsidRPr="00B568F3">
        <w:rPr>
          <w:rFonts w:ascii="Arial" w:eastAsia="Calibri" w:hAnsi="Arial" w:cs="Arial"/>
          <w:sz w:val="24"/>
          <w:szCs w:val="24"/>
        </w:rPr>
        <w:t xml:space="preserve">to </w:t>
      </w:r>
      <w:r w:rsidR="00141D11" w:rsidRPr="00B568F3">
        <w:rPr>
          <w:rFonts w:ascii="Arial" w:eastAsia="Calibri" w:hAnsi="Arial" w:cs="Arial"/>
          <w:sz w:val="24"/>
          <w:szCs w:val="24"/>
        </w:rPr>
        <w:t>202</w:t>
      </w:r>
      <w:r w:rsidR="00141D11">
        <w:rPr>
          <w:rFonts w:ascii="Arial" w:eastAsia="Calibri" w:hAnsi="Arial" w:cs="Arial"/>
          <w:sz w:val="24"/>
          <w:szCs w:val="24"/>
        </w:rPr>
        <w:t>5</w:t>
      </w:r>
      <w:r w:rsidR="00141D11" w:rsidRPr="00B568F3">
        <w:rPr>
          <w:rFonts w:ascii="Arial" w:eastAsia="Calibri" w:hAnsi="Arial" w:cs="Arial"/>
          <w:sz w:val="24"/>
          <w:szCs w:val="24"/>
        </w:rPr>
        <w:t xml:space="preserve"> </w:t>
      </w:r>
      <w:r w:rsidRPr="00B568F3">
        <w:rPr>
          <w:rFonts w:ascii="Arial" w:eastAsia="Calibri" w:hAnsi="Arial" w:cs="Arial"/>
          <w:sz w:val="24"/>
          <w:szCs w:val="24"/>
        </w:rPr>
        <w:t>has contributed the following:</w:t>
      </w:r>
    </w:p>
    <w:p w14:paraId="40074FAA" w14:textId="77777777" w:rsidR="00205D69" w:rsidRDefault="00205D69" w:rsidP="002D1B1F">
      <w:pPr>
        <w:spacing w:after="0" w:line="240" w:lineRule="auto"/>
        <w:rPr>
          <w:rFonts w:ascii="Arial" w:eastAsia="Calibri" w:hAnsi="Arial" w:cs="Arial"/>
          <w:sz w:val="24"/>
          <w:szCs w:val="24"/>
        </w:rPr>
      </w:pPr>
    </w:p>
    <w:p w14:paraId="37F15A32" w14:textId="160714B8" w:rsidR="00BC6809" w:rsidRPr="00BB471B" w:rsidRDefault="00BC6809" w:rsidP="00BC6809">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Strengthening </w:t>
      </w:r>
      <w:r w:rsidR="00AD248C" w:rsidRPr="00BB471B">
        <w:rPr>
          <w:rFonts w:ascii="Arial" w:eastAsia="Calibri" w:hAnsi="Arial" w:cs="Arial"/>
          <w:b/>
          <w:bCs/>
          <w:sz w:val="24"/>
          <w:szCs w:val="24"/>
        </w:rPr>
        <w:t>r</w:t>
      </w:r>
      <w:r w:rsidRPr="00BB471B">
        <w:rPr>
          <w:rFonts w:ascii="Arial" w:eastAsia="Calibri" w:hAnsi="Arial" w:cs="Arial"/>
          <w:b/>
          <w:bCs/>
          <w:sz w:val="24"/>
          <w:szCs w:val="24"/>
        </w:rPr>
        <w:t xml:space="preserve">ecruitment </w:t>
      </w:r>
      <w:r w:rsidR="00AD248C" w:rsidRPr="00BB471B">
        <w:rPr>
          <w:rFonts w:ascii="Arial" w:eastAsia="Calibri" w:hAnsi="Arial" w:cs="Arial"/>
          <w:b/>
          <w:bCs/>
          <w:sz w:val="24"/>
          <w:szCs w:val="24"/>
        </w:rPr>
        <w:t>p</w:t>
      </w:r>
      <w:r w:rsidRPr="00BB471B">
        <w:rPr>
          <w:rFonts w:ascii="Arial" w:eastAsia="Calibri" w:hAnsi="Arial" w:cs="Arial"/>
          <w:b/>
          <w:bCs/>
          <w:sz w:val="24"/>
          <w:szCs w:val="24"/>
        </w:rPr>
        <w:t>ipelines</w:t>
      </w:r>
    </w:p>
    <w:p w14:paraId="0581EF0D" w14:textId="77777777" w:rsidR="00FC2048" w:rsidRPr="00BC6809" w:rsidRDefault="00FC2048" w:rsidP="00BC6809">
      <w:pPr>
        <w:spacing w:after="0" w:line="240" w:lineRule="auto"/>
        <w:rPr>
          <w:rFonts w:ascii="Arial" w:eastAsia="Calibri" w:hAnsi="Arial" w:cs="Arial"/>
          <w:b/>
          <w:bCs/>
          <w:sz w:val="24"/>
          <w:szCs w:val="24"/>
          <w:highlight w:val="yellow"/>
        </w:rPr>
      </w:pPr>
    </w:p>
    <w:p w14:paraId="0A0747C9" w14:textId="639BB352" w:rsidR="00D15480" w:rsidRDefault="00BC6809" w:rsidP="00BC6809">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bCs/>
          <w:sz w:val="24"/>
          <w:szCs w:val="24"/>
        </w:rPr>
        <w:t>Most regions have developed or expanded career academies</w:t>
      </w:r>
      <w:r w:rsidR="00D15480" w:rsidRPr="00AF2D1B">
        <w:rPr>
          <w:rFonts w:ascii="Arial" w:eastAsia="Calibri" w:hAnsi="Arial" w:cs="Arial"/>
          <w:bCs/>
          <w:sz w:val="24"/>
          <w:szCs w:val="24"/>
        </w:rPr>
        <w:t xml:space="preserve"> and/or</w:t>
      </w:r>
      <w:r w:rsidRPr="00C92ECE">
        <w:rPr>
          <w:rFonts w:ascii="Arial" w:eastAsia="Calibri" w:hAnsi="Arial" w:cs="Arial"/>
          <w:bCs/>
          <w:sz w:val="24"/>
          <w:szCs w:val="24"/>
        </w:rPr>
        <w:t xml:space="preserve"> fast-track programmes</w:t>
      </w:r>
      <w:r w:rsidR="00D15480" w:rsidRPr="00AF2D1B">
        <w:rPr>
          <w:rFonts w:ascii="Arial" w:eastAsia="Calibri" w:hAnsi="Arial" w:cs="Arial"/>
          <w:bCs/>
          <w:sz w:val="24"/>
          <w:szCs w:val="24"/>
        </w:rPr>
        <w:t xml:space="preserve"> </w:t>
      </w:r>
      <w:r w:rsidR="00AF2D1B" w:rsidRPr="00AF2D1B">
        <w:rPr>
          <w:rFonts w:ascii="Arial" w:eastAsia="Calibri" w:hAnsi="Arial" w:cs="Arial"/>
          <w:bCs/>
          <w:sz w:val="24"/>
          <w:szCs w:val="24"/>
        </w:rPr>
        <w:t>(</w:t>
      </w:r>
      <w:r w:rsidR="00AF2D1B" w:rsidRPr="00C92ECE">
        <w:rPr>
          <w:rFonts w:ascii="Arial" w:eastAsia="Calibri" w:hAnsi="Arial" w:cs="Arial"/>
          <w:sz w:val="24"/>
          <w:szCs w:val="24"/>
        </w:rPr>
        <w:t>their own unique ‘Introduction to Social Care’ programmes</w:t>
      </w:r>
      <w:r w:rsidR="00AF2D1B" w:rsidRPr="00AF2D1B">
        <w:rPr>
          <w:rFonts w:ascii="Arial" w:eastAsia="Calibri" w:hAnsi="Arial" w:cs="Arial"/>
          <w:sz w:val="24"/>
          <w:szCs w:val="24"/>
        </w:rPr>
        <w:t>)</w:t>
      </w:r>
      <w:r w:rsidR="00AF2D1B" w:rsidRPr="00AF2D1B">
        <w:rPr>
          <w:rFonts w:ascii="Arial" w:eastAsia="Calibri" w:hAnsi="Arial" w:cs="Arial"/>
          <w:bCs/>
          <w:sz w:val="24"/>
          <w:szCs w:val="24"/>
        </w:rPr>
        <w:t xml:space="preserve"> </w:t>
      </w:r>
      <w:r w:rsidR="00D15480" w:rsidRPr="00AF2D1B">
        <w:rPr>
          <w:rFonts w:ascii="Arial" w:eastAsia="Calibri" w:hAnsi="Arial" w:cs="Arial"/>
          <w:bCs/>
          <w:sz w:val="24"/>
          <w:szCs w:val="24"/>
        </w:rPr>
        <w:t>to attract new entrants and support recruitment.</w:t>
      </w:r>
    </w:p>
    <w:p w14:paraId="179A6FF5" w14:textId="77777777" w:rsidR="00EE5B03" w:rsidRDefault="00EE5B03" w:rsidP="00EE5B03">
      <w:pPr>
        <w:spacing w:after="0" w:line="276" w:lineRule="auto"/>
        <w:contextualSpacing/>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EE5B03" w14:paraId="1A45EBF2" w14:textId="77777777" w:rsidTr="00EE5B03">
        <w:tc>
          <w:tcPr>
            <w:tcW w:w="9016" w:type="dxa"/>
          </w:tcPr>
          <w:p w14:paraId="0EC18113" w14:textId="0DE769C1" w:rsidR="00EE5B03" w:rsidRPr="00C92ECE" w:rsidRDefault="00EE5B03" w:rsidP="00EE5B03">
            <w:pPr>
              <w:rPr>
                <w:rFonts w:ascii="Arial" w:eastAsia="Calibri" w:hAnsi="Arial" w:cs="Arial"/>
                <w:sz w:val="24"/>
                <w:szCs w:val="24"/>
              </w:rPr>
            </w:pPr>
            <w:r w:rsidRPr="00C92ECE">
              <w:rPr>
                <w:rFonts w:ascii="Arial" w:eastAsia="Calibri" w:hAnsi="Arial" w:cs="Arial"/>
                <w:sz w:val="24"/>
                <w:szCs w:val="24"/>
              </w:rPr>
              <w:t>Vale Fast Track 2 Care</w:t>
            </w:r>
            <w:r w:rsidR="00DE7001">
              <w:rPr>
                <w:rFonts w:ascii="Arial" w:eastAsia="Calibri" w:hAnsi="Arial" w:cs="Arial"/>
                <w:sz w:val="24"/>
                <w:szCs w:val="24"/>
              </w:rPr>
              <w:t xml:space="preserve"> programme</w:t>
            </w:r>
            <w:r w:rsidRPr="00C92ECE">
              <w:rPr>
                <w:rFonts w:ascii="Arial" w:eastAsia="Calibri" w:hAnsi="Arial" w:cs="Arial"/>
                <w:sz w:val="24"/>
                <w:szCs w:val="24"/>
              </w:rPr>
              <w:t xml:space="preserve">: One cohort of 17 candidates started the programme in January </w:t>
            </w:r>
            <w:r w:rsidR="00785062" w:rsidRPr="00C92ECE">
              <w:rPr>
                <w:rFonts w:ascii="Arial" w:eastAsia="Calibri" w:hAnsi="Arial" w:cs="Arial"/>
                <w:sz w:val="24"/>
                <w:szCs w:val="24"/>
              </w:rPr>
              <w:t xml:space="preserve">2025 </w:t>
            </w:r>
            <w:proofErr w:type="gramStart"/>
            <w:r w:rsidR="00785062">
              <w:rPr>
                <w:rFonts w:ascii="Arial" w:eastAsia="Calibri" w:hAnsi="Arial" w:cs="Arial"/>
                <w:sz w:val="24"/>
                <w:szCs w:val="24"/>
              </w:rPr>
              <w:t>and</w:t>
            </w:r>
            <w:r w:rsidR="00520AD6">
              <w:rPr>
                <w:rFonts w:ascii="Arial" w:eastAsia="Calibri" w:hAnsi="Arial" w:cs="Arial"/>
                <w:sz w:val="24"/>
                <w:szCs w:val="24"/>
              </w:rPr>
              <w:t xml:space="preserve"> </w:t>
            </w:r>
            <w:r w:rsidRPr="00C92ECE">
              <w:rPr>
                <w:rFonts w:ascii="Arial" w:eastAsia="Calibri" w:hAnsi="Arial" w:cs="Arial"/>
                <w:sz w:val="24"/>
                <w:szCs w:val="24"/>
              </w:rPr>
              <w:t xml:space="preserve"> 17</w:t>
            </w:r>
            <w:proofErr w:type="gramEnd"/>
            <w:r w:rsidRPr="00C92ECE">
              <w:rPr>
                <w:rFonts w:ascii="Arial" w:eastAsia="Calibri" w:hAnsi="Arial" w:cs="Arial"/>
                <w:sz w:val="24"/>
                <w:szCs w:val="24"/>
              </w:rPr>
              <w:t xml:space="preserve"> completed.  </w:t>
            </w:r>
          </w:p>
          <w:p w14:paraId="30815E84" w14:textId="77777777" w:rsidR="00EE5B03" w:rsidRPr="00C92ECE" w:rsidRDefault="00EE5B03" w:rsidP="00EE5B03">
            <w:pPr>
              <w:rPr>
                <w:rFonts w:ascii="Arial" w:eastAsia="Calibri" w:hAnsi="Arial" w:cs="Arial"/>
                <w:sz w:val="24"/>
                <w:szCs w:val="24"/>
              </w:rPr>
            </w:pPr>
            <w:r w:rsidRPr="00C92ECE">
              <w:rPr>
                <w:rFonts w:ascii="Arial" w:eastAsia="Calibri" w:hAnsi="Arial" w:cs="Arial"/>
                <w:sz w:val="24"/>
                <w:szCs w:val="24"/>
              </w:rPr>
              <w:t xml:space="preserve"> </w:t>
            </w:r>
          </w:p>
          <w:p w14:paraId="0DA115BE" w14:textId="4E85E117" w:rsidR="00EE5B03" w:rsidRPr="00C92ECE" w:rsidRDefault="00EE5B03" w:rsidP="00EE5B03">
            <w:pPr>
              <w:rPr>
                <w:rFonts w:ascii="Arial" w:eastAsia="Calibri" w:hAnsi="Arial" w:cs="Arial"/>
                <w:sz w:val="24"/>
                <w:szCs w:val="24"/>
              </w:rPr>
            </w:pPr>
            <w:r w:rsidRPr="00C92ECE">
              <w:rPr>
                <w:rFonts w:ascii="Arial" w:eastAsia="Calibri" w:hAnsi="Arial" w:cs="Arial"/>
                <w:sz w:val="24"/>
                <w:szCs w:val="24"/>
              </w:rPr>
              <w:t xml:space="preserve">In quarter </w:t>
            </w:r>
            <w:r w:rsidR="00DA5B18">
              <w:rPr>
                <w:rFonts w:ascii="Arial" w:eastAsia="Calibri" w:hAnsi="Arial" w:cs="Arial"/>
                <w:sz w:val="24"/>
                <w:szCs w:val="24"/>
              </w:rPr>
              <w:t>four</w:t>
            </w:r>
            <w:r w:rsidRPr="00C92ECE">
              <w:rPr>
                <w:rFonts w:ascii="Arial" w:eastAsia="Calibri" w:hAnsi="Arial" w:cs="Arial"/>
                <w:sz w:val="24"/>
                <w:szCs w:val="24"/>
              </w:rPr>
              <w:t xml:space="preserve">, we </w:t>
            </w:r>
            <w:r w:rsidR="005E1910">
              <w:rPr>
                <w:rFonts w:ascii="Arial" w:eastAsia="Calibri" w:hAnsi="Arial" w:cs="Arial"/>
                <w:sz w:val="24"/>
                <w:szCs w:val="24"/>
              </w:rPr>
              <w:t>updated</w:t>
            </w:r>
            <w:r w:rsidRPr="00C92ECE">
              <w:rPr>
                <w:rFonts w:ascii="Arial" w:eastAsia="Calibri" w:hAnsi="Arial" w:cs="Arial"/>
                <w:sz w:val="24"/>
                <w:szCs w:val="24"/>
              </w:rPr>
              <w:t xml:space="preserve"> the programme and </w:t>
            </w:r>
            <w:r w:rsidR="005E1910">
              <w:rPr>
                <w:rFonts w:ascii="Arial" w:eastAsia="Calibri" w:hAnsi="Arial" w:cs="Arial"/>
                <w:sz w:val="24"/>
                <w:szCs w:val="24"/>
              </w:rPr>
              <w:t>ran</w:t>
            </w:r>
            <w:r w:rsidRPr="00C92ECE">
              <w:rPr>
                <w:rFonts w:ascii="Arial" w:eastAsia="Calibri" w:hAnsi="Arial" w:cs="Arial"/>
                <w:sz w:val="24"/>
                <w:szCs w:val="24"/>
              </w:rPr>
              <w:t xml:space="preserve"> a regional pilot </w:t>
            </w:r>
            <w:r w:rsidR="00D53B4F">
              <w:rPr>
                <w:rFonts w:ascii="Arial" w:eastAsia="Calibri" w:hAnsi="Arial" w:cs="Arial"/>
                <w:sz w:val="24"/>
                <w:szCs w:val="24"/>
              </w:rPr>
              <w:t>that included</w:t>
            </w:r>
            <w:r w:rsidRPr="00C92ECE">
              <w:rPr>
                <w:rFonts w:ascii="Arial" w:eastAsia="Calibri" w:hAnsi="Arial" w:cs="Arial"/>
                <w:sz w:val="24"/>
                <w:szCs w:val="24"/>
              </w:rPr>
              <w:t xml:space="preserve"> the WeCare Wales Introduction to Social Care course and signposting back to Vale Fast Track to Care and Cardiff Care Academy, </w:t>
            </w:r>
            <w:r w:rsidR="00D53B4F">
              <w:rPr>
                <w:rFonts w:ascii="Arial" w:eastAsia="Calibri" w:hAnsi="Arial" w:cs="Arial"/>
                <w:sz w:val="24"/>
                <w:szCs w:val="24"/>
              </w:rPr>
              <w:t>plus extra</w:t>
            </w:r>
            <w:r w:rsidRPr="00C92ECE">
              <w:rPr>
                <w:rFonts w:ascii="Arial" w:eastAsia="Calibri" w:hAnsi="Arial" w:cs="Arial"/>
                <w:sz w:val="24"/>
                <w:szCs w:val="24"/>
              </w:rPr>
              <w:t xml:space="preserve"> local support </w:t>
            </w:r>
            <w:r w:rsidR="00D53B4F">
              <w:rPr>
                <w:rFonts w:ascii="Arial" w:eastAsia="Calibri" w:hAnsi="Arial" w:cs="Arial"/>
                <w:sz w:val="24"/>
                <w:szCs w:val="24"/>
              </w:rPr>
              <w:t>and</w:t>
            </w:r>
            <w:r w:rsidRPr="00C92ECE">
              <w:rPr>
                <w:rFonts w:ascii="Arial" w:eastAsia="Calibri" w:hAnsi="Arial" w:cs="Arial"/>
                <w:sz w:val="24"/>
                <w:szCs w:val="24"/>
              </w:rPr>
              <w:t xml:space="preserve"> training on offer </w:t>
            </w:r>
            <w:r w:rsidR="00870B9A">
              <w:rPr>
                <w:rFonts w:ascii="Arial" w:eastAsia="Calibri" w:hAnsi="Arial" w:cs="Arial"/>
                <w:sz w:val="24"/>
                <w:szCs w:val="24"/>
              </w:rPr>
              <w:t xml:space="preserve">after </w:t>
            </w:r>
            <w:r w:rsidRPr="00C92ECE">
              <w:rPr>
                <w:rFonts w:ascii="Arial" w:eastAsia="Calibri" w:hAnsi="Arial" w:cs="Arial"/>
                <w:sz w:val="24"/>
                <w:szCs w:val="24"/>
              </w:rPr>
              <w:t xml:space="preserve">completion. We </w:t>
            </w:r>
            <w:r w:rsidR="00870B9A">
              <w:rPr>
                <w:rFonts w:ascii="Arial" w:eastAsia="Calibri" w:hAnsi="Arial" w:cs="Arial"/>
                <w:sz w:val="24"/>
                <w:szCs w:val="24"/>
              </w:rPr>
              <w:t>promoted</w:t>
            </w:r>
            <w:r w:rsidRPr="00C92ECE">
              <w:rPr>
                <w:rFonts w:ascii="Arial" w:eastAsia="Calibri" w:hAnsi="Arial" w:cs="Arial"/>
                <w:sz w:val="24"/>
                <w:szCs w:val="24"/>
              </w:rPr>
              <w:t xml:space="preserve"> the programme more </w:t>
            </w:r>
            <w:r w:rsidR="008723FB">
              <w:rPr>
                <w:rFonts w:ascii="Arial" w:eastAsia="Calibri" w:hAnsi="Arial" w:cs="Arial"/>
                <w:sz w:val="24"/>
                <w:szCs w:val="24"/>
              </w:rPr>
              <w:t xml:space="preserve">widely </w:t>
            </w:r>
            <w:r w:rsidR="00785062">
              <w:rPr>
                <w:rFonts w:ascii="Arial" w:eastAsia="Calibri" w:hAnsi="Arial" w:cs="Arial"/>
                <w:sz w:val="24"/>
                <w:szCs w:val="24"/>
              </w:rPr>
              <w:t xml:space="preserve">using </w:t>
            </w:r>
            <w:r w:rsidR="00785062" w:rsidRPr="00C92ECE">
              <w:rPr>
                <w:rFonts w:ascii="Arial" w:eastAsia="Calibri" w:hAnsi="Arial" w:cs="Arial"/>
                <w:sz w:val="24"/>
                <w:szCs w:val="24"/>
              </w:rPr>
              <w:t>external</w:t>
            </w:r>
            <w:r w:rsidRPr="00C92ECE">
              <w:rPr>
                <w:rFonts w:ascii="Arial" w:eastAsia="Calibri" w:hAnsi="Arial" w:cs="Arial"/>
                <w:sz w:val="24"/>
                <w:szCs w:val="24"/>
              </w:rPr>
              <w:t xml:space="preserve"> channels. </w:t>
            </w:r>
            <w:r w:rsidR="008723FB">
              <w:rPr>
                <w:rFonts w:ascii="Arial" w:eastAsia="Calibri" w:hAnsi="Arial" w:cs="Arial"/>
                <w:sz w:val="24"/>
                <w:szCs w:val="24"/>
              </w:rPr>
              <w:t>The p</w:t>
            </w:r>
            <w:r w:rsidR="0055767A">
              <w:rPr>
                <w:rFonts w:ascii="Arial" w:eastAsia="Calibri" w:hAnsi="Arial" w:cs="Arial"/>
                <w:sz w:val="24"/>
                <w:szCs w:val="24"/>
              </w:rPr>
              <w:t>rogramme</w:t>
            </w:r>
            <w:r w:rsidR="008723FB">
              <w:rPr>
                <w:rFonts w:ascii="Arial" w:eastAsia="Calibri" w:hAnsi="Arial" w:cs="Arial"/>
                <w:sz w:val="24"/>
                <w:szCs w:val="24"/>
              </w:rPr>
              <w:t xml:space="preserve"> was</w:t>
            </w:r>
            <w:r w:rsidRPr="00C92ECE">
              <w:rPr>
                <w:rFonts w:ascii="Arial" w:eastAsia="Calibri" w:hAnsi="Arial" w:cs="Arial"/>
                <w:sz w:val="24"/>
                <w:szCs w:val="24"/>
              </w:rPr>
              <w:t xml:space="preserve"> successful</w:t>
            </w:r>
            <w:r w:rsidR="0055767A">
              <w:rPr>
                <w:rFonts w:ascii="Arial" w:eastAsia="Calibri" w:hAnsi="Arial" w:cs="Arial"/>
                <w:sz w:val="24"/>
                <w:szCs w:val="24"/>
              </w:rPr>
              <w:t>,</w:t>
            </w:r>
            <w:r w:rsidRPr="00C92ECE">
              <w:rPr>
                <w:rFonts w:ascii="Arial" w:eastAsia="Calibri" w:hAnsi="Arial" w:cs="Arial"/>
                <w:sz w:val="24"/>
                <w:szCs w:val="24"/>
              </w:rPr>
              <w:t xml:space="preserve"> with 60</w:t>
            </w:r>
            <w:r w:rsidR="0055767A">
              <w:rPr>
                <w:rFonts w:ascii="Arial" w:eastAsia="Calibri" w:hAnsi="Arial" w:cs="Arial"/>
                <w:sz w:val="24"/>
                <w:szCs w:val="24"/>
              </w:rPr>
              <w:t xml:space="preserve"> per cent</w:t>
            </w:r>
            <w:r w:rsidRPr="00C92ECE">
              <w:rPr>
                <w:rFonts w:ascii="Arial" w:eastAsia="Calibri" w:hAnsi="Arial" w:cs="Arial"/>
                <w:sz w:val="24"/>
                <w:szCs w:val="24"/>
              </w:rPr>
              <w:t xml:space="preserve"> of surveyed candidates rating their experience as ‘</w:t>
            </w:r>
            <w:r w:rsidR="00785062">
              <w:rPr>
                <w:rFonts w:ascii="Arial" w:eastAsia="Calibri" w:hAnsi="Arial" w:cs="Arial"/>
                <w:sz w:val="24"/>
                <w:szCs w:val="24"/>
              </w:rPr>
              <w:t>e</w:t>
            </w:r>
            <w:r w:rsidR="00785062" w:rsidRPr="00C92ECE">
              <w:rPr>
                <w:rFonts w:ascii="Arial" w:eastAsia="Calibri" w:hAnsi="Arial" w:cs="Arial"/>
                <w:sz w:val="24"/>
                <w:szCs w:val="24"/>
              </w:rPr>
              <w:t>xcellent’</w:t>
            </w:r>
            <w:r w:rsidR="00785062">
              <w:rPr>
                <w:rFonts w:ascii="Arial" w:eastAsia="Calibri" w:hAnsi="Arial" w:cs="Arial"/>
                <w:sz w:val="24"/>
                <w:szCs w:val="24"/>
              </w:rPr>
              <w:t>. We’re</w:t>
            </w:r>
            <w:r w:rsidR="00D659F4">
              <w:rPr>
                <w:rFonts w:ascii="Arial" w:eastAsia="Calibri" w:hAnsi="Arial" w:cs="Arial"/>
                <w:sz w:val="24"/>
                <w:szCs w:val="24"/>
              </w:rPr>
              <w:t xml:space="preserve"> now</w:t>
            </w:r>
            <w:r w:rsidRPr="00C92ECE">
              <w:rPr>
                <w:rFonts w:ascii="Arial" w:eastAsia="Calibri" w:hAnsi="Arial" w:cs="Arial"/>
                <w:sz w:val="24"/>
                <w:szCs w:val="24"/>
              </w:rPr>
              <w:t xml:space="preserve"> reviewing the outputs of the pilot to consider capacity and need. In the meantime, the programmes proceed without using candidate cohorts. We</w:t>
            </w:r>
            <w:r w:rsidR="006D12AF">
              <w:rPr>
                <w:rFonts w:ascii="Arial" w:eastAsia="Calibri" w:hAnsi="Arial" w:cs="Arial"/>
                <w:sz w:val="24"/>
                <w:szCs w:val="24"/>
              </w:rPr>
              <w:t xml:space="preserve">’ll keep </w:t>
            </w:r>
            <w:r w:rsidRPr="00C92ECE">
              <w:rPr>
                <w:rFonts w:ascii="Arial" w:eastAsia="Calibri" w:hAnsi="Arial" w:cs="Arial"/>
                <w:sz w:val="24"/>
                <w:szCs w:val="24"/>
              </w:rPr>
              <w:t>promot</w:t>
            </w:r>
            <w:r w:rsidR="006D12AF">
              <w:rPr>
                <w:rFonts w:ascii="Arial" w:eastAsia="Calibri" w:hAnsi="Arial" w:cs="Arial"/>
                <w:sz w:val="24"/>
                <w:szCs w:val="24"/>
              </w:rPr>
              <w:t>ing</w:t>
            </w:r>
            <w:r w:rsidRPr="00C92ECE">
              <w:rPr>
                <w:rFonts w:ascii="Arial" w:eastAsia="Calibri" w:hAnsi="Arial" w:cs="Arial"/>
                <w:sz w:val="24"/>
                <w:szCs w:val="24"/>
              </w:rPr>
              <w:t xml:space="preserve"> the programme and refer candidates to the Introduction to Social Care course (unless we have enough to make a full cohort for WeCare Wales), with the offer of additional </w:t>
            </w:r>
            <w:r w:rsidR="00034843">
              <w:rPr>
                <w:rFonts w:ascii="Arial" w:eastAsia="Calibri" w:hAnsi="Arial" w:cs="Arial"/>
                <w:sz w:val="24"/>
                <w:szCs w:val="24"/>
              </w:rPr>
              <w:t>tailored</w:t>
            </w:r>
            <w:r w:rsidRPr="00C92ECE">
              <w:rPr>
                <w:rFonts w:ascii="Arial" w:eastAsia="Calibri" w:hAnsi="Arial" w:cs="Arial"/>
                <w:sz w:val="24"/>
                <w:szCs w:val="24"/>
              </w:rPr>
              <w:t xml:space="preserve"> support </w:t>
            </w:r>
            <w:r w:rsidR="00034843">
              <w:rPr>
                <w:rFonts w:ascii="Arial" w:eastAsia="Calibri" w:hAnsi="Arial" w:cs="Arial"/>
                <w:sz w:val="24"/>
                <w:szCs w:val="24"/>
              </w:rPr>
              <w:t xml:space="preserve">after </w:t>
            </w:r>
            <w:r w:rsidRPr="00C92ECE">
              <w:rPr>
                <w:rFonts w:ascii="Arial" w:eastAsia="Calibri" w:hAnsi="Arial" w:cs="Arial"/>
                <w:sz w:val="24"/>
                <w:szCs w:val="24"/>
              </w:rPr>
              <w:t xml:space="preserve">completion. (Vale of Glamorgan – Cardiff and the Vale </w:t>
            </w:r>
            <w:r w:rsidR="00034843">
              <w:rPr>
                <w:rFonts w:ascii="Arial" w:eastAsia="Calibri" w:hAnsi="Arial" w:cs="Arial"/>
                <w:sz w:val="24"/>
                <w:szCs w:val="24"/>
              </w:rPr>
              <w:t>r</w:t>
            </w:r>
            <w:r w:rsidRPr="00C92ECE">
              <w:rPr>
                <w:rFonts w:ascii="Arial" w:eastAsia="Calibri" w:hAnsi="Arial" w:cs="Arial"/>
                <w:sz w:val="24"/>
                <w:szCs w:val="24"/>
              </w:rPr>
              <w:t>egion</w:t>
            </w:r>
          </w:p>
          <w:p w14:paraId="4D8C4BD4" w14:textId="77777777" w:rsidR="00EE5B03" w:rsidRDefault="00EE5B03" w:rsidP="00EE5B03">
            <w:pPr>
              <w:spacing w:line="276" w:lineRule="auto"/>
              <w:contextualSpacing/>
              <w:rPr>
                <w:rFonts w:ascii="Arial" w:eastAsia="Calibri" w:hAnsi="Arial" w:cs="Arial"/>
                <w:bCs/>
                <w:sz w:val="24"/>
                <w:szCs w:val="24"/>
              </w:rPr>
            </w:pPr>
          </w:p>
        </w:tc>
      </w:tr>
    </w:tbl>
    <w:p w14:paraId="02F73CEC" w14:textId="77777777" w:rsidR="00D15480" w:rsidRDefault="00D15480" w:rsidP="00C92ECE">
      <w:pPr>
        <w:spacing w:after="0" w:line="276" w:lineRule="auto"/>
        <w:ind w:left="567"/>
        <w:contextualSpacing/>
        <w:rPr>
          <w:rFonts w:ascii="Arial" w:eastAsia="Calibri" w:hAnsi="Arial" w:cs="Arial"/>
          <w:bCs/>
          <w:sz w:val="24"/>
          <w:szCs w:val="24"/>
        </w:rPr>
      </w:pPr>
    </w:p>
    <w:p w14:paraId="411E0283" w14:textId="3B233693" w:rsidR="00BC6809" w:rsidRDefault="00D15480" w:rsidP="00507D5B">
      <w:pPr>
        <w:numPr>
          <w:ilvl w:val="0"/>
          <w:numId w:val="6"/>
        </w:numPr>
        <w:spacing w:after="0" w:line="276" w:lineRule="auto"/>
        <w:ind w:left="567" w:hanging="425"/>
        <w:contextualSpacing/>
        <w:rPr>
          <w:rFonts w:ascii="Arial" w:eastAsia="Calibri" w:hAnsi="Arial" w:cs="Arial"/>
          <w:bCs/>
          <w:sz w:val="24"/>
          <w:szCs w:val="24"/>
        </w:rPr>
      </w:pPr>
      <w:r w:rsidRPr="00AA382E">
        <w:rPr>
          <w:rFonts w:ascii="Arial" w:eastAsia="Calibri" w:hAnsi="Arial" w:cs="Arial"/>
          <w:bCs/>
          <w:sz w:val="24"/>
          <w:szCs w:val="24"/>
        </w:rPr>
        <w:t>There are also dedicated posts</w:t>
      </w:r>
      <w:r w:rsidR="00AA24AB">
        <w:rPr>
          <w:rFonts w:ascii="Arial" w:eastAsia="Calibri" w:hAnsi="Arial" w:cs="Arial"/>
          <w:bCs/>
          <w:sz w:val="24"/>
          <w:szCs w:val="24"/>
        </w:rPr>
        <w:t xml:space="preserve">, </w:t>
      </w:r>
      <w:r w:rsidR="00034843">
        <w:rPr>
          <w:rFonts w:ascii="Arial" w:eastAsia="Calibri" w:hAnsi="Arial" w:cs="Arial"/>
          <w:bCs/>
          <w:sz w:val="24"/>
          <w:szCs w:val="24"/>
        </w:rPr>
        <w:t xml:space="preserve">for </w:t>
      </w:r>
      <w:r w:rsidR="00785062">
        <w:rPr>
          <w:rFonts w:ascii="Arial" w:eastAsia="Calibri" w:hAnsi="Arial" w:cs="Arial"/>
          <w:bCs/>
          <w:sz w:val="24"/>
          <w:szCs w:val="24"/>
        </w:rPr>
        <w:t>example,</w:t>
      </w:r>
      <w:r w:rsidR="00AA382E">
        <w:rPr>
          <w:rFonts w:ascii="Arial" w:eastAsia="Calibri" w:hAnsi="Arial" w:cs="Arial"/>
          <w:bCs/>
          <w:sz w:val="24"/>
          <w:szCs w:val="24"/>
        </w:rPr>
        <w:t xml:space="preserve"> </w:t>
      </w:r>
      <w:r w:rsidR="00BC6809" w:rsidRPr="00C92ECE">
        <w:rPr>
          <w:rFonts w:ascii="Arial" w:eastAsia="Calibri" w:hAnsi="Arial" w:cs="Arial"/>
          <w:bCs/>
          <w:sz w:val="24"/>
          <w:szCs w:val="24"/>
        </w:rPr>
        <w:t>Care Career Connector</w:t>
      </w:r>
      <w:r w:rsidR="00AA24AB">
        <w:rPr>
          <w:rFonts w:ascii="Arial" w:eastAsia="Calibri" w:hAnsi="Arial" w:cs="Arial"/>
          <w:bCs/>
          <w:sz w:val="24"/>
          <w:szCs w:val="24"/>
        </w:rPr>
        <w:t>,</w:t>
      </w:r>
      <w:r w:rsidR="00BC6809" w:rsidRPr="00C92ECE">
        <w:rPr>
          <w:rFonts w:ascii="Arial" w:eastAsia="Calibri" w:hAnsi="Arial" w:cs="Arial"/>
          <w:bCs/>
          <w:sz w:val="24"/>
          <w:szCs w:val="24"/>
        </w:rPr>
        <w:t xml:space="preserve"> </w:t>
      </w:r>
      <w:r w:rsidR="002101F5">
        <w:rPr>
          <w:rFonts w:ascii="Arial" w:eastAsia="Calibri" w:hAnsi="Arial" w:cs="Arial"/>
          <w:bCs/>
          <w:sz w:val="24"/>
          <w:szCs w:val="24"/>
        </w:rPr>
        <w:t>that support recruitment and local recruitment activities</w:t>
      </w:r>
      <w:r w:rsidR="00AA24AB">
        <w:rPr>
          <w:rFonts w:ascii="Arial" w:eastAsia="Calibri" w:hAnsi="Arial" w:cs="Arial"/>
          <w:bCs/>
          <w:sz w:val="24"/>
          <w:szCs w:val="24"/>
        </w:rPr>
        <w:t>,</w:t>
      </w:r>
      <w:r w:rsidR="00552EC4">
        <w:rPr>
          <w:rFonts w:ascii="Arial" w:eastAsia="Calibri" w:hAnsi="Arial" w:cs="Arial"/>
          <w:bCs/>
          <w:sz w:val="24"/>
          <w:szCs w:val="24"/>
        </w:rPr>
        <w:t xml:space="preserve"> includ</w:t>
      </w:r>
      <w:r w:rsidR="00775490">
        <w:rPr>
          <w:rFonts w:ascii="Arial" w:eastAsia="Calibri" w:hAnsi="Arial" w:cs="Arial"/>
          <w:bCs/>
          <w:sz w:val="24"/>
          <w:szCs w:val="24"/>
        </w:rPr>
        <w:t>ing</w:t>
      </w:r>
      <w:r w:rsidR="00552EC4">
        <w:rPr>
          <w:rFonts w:ascii="Arial" w:eastAsia="Calibri" w:hAnsi="Arial" w:cs="Arial"/>
          <w:bCs/>
          <w:sz w:val="24"/>
          <w:szCs w:val="24"/>
        </w:rPr>
        <w:t xml:space="preserve"> engagement with schools, colleges and job centres.</w:t>
      </w:r>
    </w:p>
    <w:p w14:paraId="173E27D2" w14:textId="77777777" w:rsidR="00EB43D9" w:rsidRPr="00C25CDF" w:rsidRDefault="00EB43D9" w:rsidP="00EB43D9">
      <w:pPr>
        <w:rPr>
          <w:rFonts w:ascii="Arial" w:eastAsia="Calibri" w:hAnsi="Arial" w:cs="Arial"/>
          <w:bCs/>
          <w:sz w:val="24"/>
          <w:szCs w:val="24"/>
        </w:rPr>
      </w:pPr>
    </w:p>
    <w:tbl>
      <w:tblPr>
        <w:tblStyle w:val="TableGrid"/>
        <w:tblW w:w="0" w:type="auto"/>
        <w:tblLook w:val="04A0" w:firstRow="1" w:lastRow="0" w:firstColumn="1" w:lastColumn="0" w:noHBand="0" w:noVBand="1"/>
      </w:tblPr>
      <w:tblGrid>
        <w:gridCol w:w="9016"/>
      </w:tblGrid>
      <w:tr w:rsidR="00EB43D9" w:rsidRPr="00C25CDF" w14:paraId="1948A6DB" w14:textId="77777777" w:rsidTr="00EB43D9">
        <w:tc>
          <w:tcPr>
            <w:tcW w:w="9016" w:type="dxa"/>
          </w:tcPr>
          <w:p w14:paraId="44D0413C" w14:textId="3C3937BF" w:rsidR="005038A6" w:rsidRPr="00C92ECE" w:rsidRDefault="005038A6" w:rsidP="005038A6">
            <w:pPr>
              <w:rPr>
                <w:rFonts w:ascii="Arial" w:eastAsia="Calibri" w:hAnsi="Arial" w:cs="Arial"/>
                <w:bCs/>
                <w:sz w:val="24"/>
                <w:szCs w:val="24"/>
              </w:rPr>
            </w:pPr>
            <w:r w:rsidRPr="00C92ECE">
              <w:rPr>
                <w:rFonts w:ascii="Arial" w:eastAsia="Calibri" w:hAnsi="Arial" w:cs="Arial"/>
                <w:bCs/>
                <w:sz w:val="24"/>
                <w:szCs w:val="24"/>
              </w:rPr>
              <w:t xml:space="preserve">Workforce </w:t>
            </w:r>
            <w:r w:rsidR="00775490">
              <w:rPr>
                <w:rFonts w:ascii="Arial" w:eastAsia="Calibri" w:hAnsi="Arial" w:cs="Arial"/>
                <w:bCs/>
                <w:sz w:val="24"/>
                <w:szCs w:val="24"/>
              </w:rPr>
              <w:t>d</w:t>
            </w:r>
            <w:r w:rsidRPr="00C92ECE">
              <w:rPr>
                <w:rFonts w:ascii="Arial" w:eastAsia="Calibri" w:hAnsi="Arial" w:cs="Arial"/>
                <w:bCs/>
                <w:sz w:val="24"/>
                <w:szCs w:val="24"/>
              </w:rPr>
              <w:t xml:space="preserve">evelopment </w:t>
            </w:r>
            <w:r w:rsidR="00775490">
              <w:rPr>
                <w:rFonts w:ascii="Arial" w:eastAsia="Calibri" w:hAnsi="Arial" w:cs="Arial"/>
                <w:bCs/>
                <w:sz w:val="24"/>
                <w:szCs w:val="24"/>
              </w:rPr>
              <w:t>t</w:t>
            </w:r>
            <w:r w:rsidRPr="00C92ECE">
              <w:rPr>
                <w:rFonts w:ascii="Arial" w:eastAsia="Calibri" w:hAnsi="Arial" w:cs="Arial"/>
                <w:bCs/>
                <w:sz w:val="24"/>
                <w:szCs w:val="24"/>
              </w:rPr>
              <w:t xml:space="preserve">eam staff have established excellent links with Careers Wales. </w:t>
            </w:r>
          </w:p>
          <w:p w14:paraId="04637816" w14:textId="77777777" w:rsidR="005038A6" w:rsidRPr="00C92ECE" w:rsidRDefault="005038A6" w:rsidP="005038A6">
            <w:pPr>
              <w:rPr>
                <w:rFonts w:ascii="Arial" w:eastAsia="Calibri" w:hAnsi="Arial" w:cs="Arial"/>
                <w:bCs/>
                <w:sz w:val="24"/>
                <w:szCs w:val="24"/>
              </w:rPr>
            </w:pPr>
          </w:p>
          <w:p w14:paraId="77029CEF" w14:textId="48D1D32F" w:rsidR="005038A6" w:rsidRPr="00C92ECE" w:rsidRDefault="005038A6" w:rsidP="005038A6">
            <w:pPr>
              <w:rPr>
                <w:rFonts w:ascii="Arial" w:eastAsia="Calibri" w:hAnsi="Arial" w:cs="Arial"/>
                <w:bCs/>
                <w:sz w:val="24"/>
                <w:szCs w:val="24"/>
              </w:rPr>
            </w:pPr>
            <w:r w:rsidRPr="00C92ECE">
              <w:rPr>
                <w:rFonts w:ascii="Arial" w:eastAsia="Calibri" w:hAnsi="Arial" w:cs="Arial"/>
                <w:bCs/>
                <w:sz w:val="24"/>
                <w:szCs w:val="24"/>
              </w:rPr>
              <w:lastRenderedPageBreak/>
              <w:t>Staff alongside colleagues and our social care ambassadors have attended various events across all secondary schools within B</w:t>
            </w:r>
            <w:r w:rsidR="00DC1333">
              <w:rPr>
                <w:rFonts w:ascii="Arial" w:eastAsia="Calibri" w:hAnsi="Arial" w:cs="Arial"/>
                <w:bCs/>
                <w:sz w:val="24"/>
                <w:szCs w:val="24"/>
              </w:rPr>
              <w:t xml:space="preserve">ridgend </w:t>
            </w:r>
            <w:r w:rsidRPr="00C92ECE">
              <w:rPr>
                <w:rFonts w:ascii="Arial" w:eastAsia="Calibri" w:hAnsi="Arial" w:cs="Arial"/>
                <w:bCs/>
                <w:sz w:val="24"/>
                <w:szCs w:val="24"/>
              </w:rPr>
              <w:t>C</w:t>
            </w:r>
            <w:r w:rsidR="00DC1333">
              <w:rPr>
                <w:rFonts w:ascii="Arial" w:eastAsia="Calibri" w:hAnsi="Arial" w:cs="Arial"/>
                <w:bCs/>
                <w:sz w:val="24"/>
                <w:szCs w:val="24"/>
              </w:rPr>
              <w:t xml:space="preserve">ounty </w:t>
            </w:r>
            <w:r w:rsidRPr="00C92ECE">
              <w:rPr>
                <w:rFonts w:ascii="Arial" w:eastAsia="Calibri" w:hAnsi="Arial" w:cs="Arial"/>
                <w:bCs/>
                <w:sz w:val="24"/>
                <w:szCs w:val="24"/>
              </w:rPr>
              <w:t>B</w:t>
            </w:r>
            <w:r w:rsidR="00DC1333">
              <w:rPr>
                <w:rFonts w:ascii="Arial" w:eastAsia="Calibri" w:hAnsi="Arial" w:cs="Arial"/>
                <w:bCs/>
                <w:sz w:val="24"/>
                <w:szCs w:val="24"/>
              </w:rPr>
              <w:t xml:space="preserve">orough </w:t>
            </w:r>
            <w:r w:rsidRPr="00C92ECE">
              <w:rPr>
                <w:rFonts w:ascii="Arial" w:eastAsia="Calibri" w:hAnsi="Arial" w:cs="Arial"/>
                <w:bCs/>
                <w:sz w:val="24"/>
                <w:szCs w:val="24"/>
              </w:rPr>
              <w:t>C</w:t>
            </w:r>
            <w:r w:rsidR="00DC1333">
              <w:rPr>
                <w:rFonts w:ascii="Arial" w:eastAsia="Calibri" w:hAnsi="Arial" w:cs="Arial"/>
                <w:bCs/>
                <w:sz w:val="24"/>
                <w:szCs w:val="24"/>
              </w:rPr>
              <w:t>ouncil</w:t>
            </w:r>
            <w:r w:rsidRPr="00C92ECE">
              <w:rPr>
                <w:rFonts w:ascii="Arial" w:eastAsia="Calibri" w:hAnsi="Arial" w:cs="Arial"/>
                <w:bCs/>
                <w:sz w:val="24"/>
                <w:szCs w:val="24"/>
              </w:rPr>
              <w:t>. With continuing interest from schools, and dates for engagement planned for spring and summer terms</w:t>
            </w:r>
            <w:r w:rsidR="00BA503D">
              <w:rPr>
                <w:rFonts w:ascii="Arial" w:eastAsia="Calibri" w:hAnsi="Arial" w:cs="Arial"/>
                <w:bCs/>
                <w:sz w:val="24"/>
                <w:szCs w:val="24"/>
              </w:rPr>
              <w:t xml:space="preserve"> in</w:t>
            </w:r>
            <w:r w:rsidRPr="00C92ECE">
              <w:rPr>
                <w:rFonts w:ascii="Arial" w:eastAsia="Calibri" w:hAnsi="Arial" w:cs="Arial"/>
                <w:bCs/>
                <w:sz w:val="24"/>
                <w:szCs w:val="24"/>
              </w:rPr>
              <w:t xml:space="preserve"> 2025.</w:t>
            </w:r>
          </w:p>
          <w:p w14:paraId="3A4B7ED3" w14:textId="77777777" w:rsidR="005038A6" w:rsidRPr="00C92ECE" w:rsidRDefault="005038A6" w:rsidP="005038A6">
            <w:pPr>
              <w:rPr>
                <w:rFonts w:ascii="Arial" w:eastAsia="Calibri" w:hAnsi="Arial" w:cs="Arial"/>
                <w:bCs/>
                <w:sz w:val="24"/>
                <w:szCs w:val="24"/>
              </w:rPr>
            </w:pPr>
          </w:p>
          <w:p w14:paraId="59D69CC2" w14:textId="4045AE74" w:rsidR="00EB43D9" w:rsidRPr="00C25CDF" w:rsidRDefault="005038A6" w:rsidP="00EB43D9">
            <w:pPr>
              <w:rPr>
                <w:rFonts w:ascii="Arial" w:eastAsia="Calibri" w:hAnsi="Arial" w:cs="Arial"/>
                <w:bCs/>
                <w:sz w:val="24"/>
                <w:szCs w:val="24"/>
              </w:rPr>
            </w:pPr>
            <w:r w:rsidRPr="00C92ECE">
              <w:rPr>
                <w:rFonts w:ascii="Arial" w:eastAsia="Calibri" w:hAnsi="Arial" w:cs="Arial"/>
                <w:bCs/>
                <w:sz w:val="24"/>
                <w:szCs w:val="24"/>
              </w:rPr>
              <w:t xml:space="preserve">Social </w:t>
            </w:r>
            <w:r w:rsidR="00872386">
              <w:rPr>
                <w:rFonts w:ascii="Arial" w:eastAsia="Calibri" w:hAnsi="Arial" w:cs="Arial"/>
                <w:bCs/>
                <w:sz w:val="24"/>
                <w:szCs w:val="24"/>
              </w:rPr>
              <w:t>c</w:t>
            </w:r>
            <w:r w:rsidRPr="00C92ECE">
              <w:rPr>
                <w:rFonts w:ascii="Arial" w:eastAsia="Calibri" w:hAnsi="Arial" w:cs="Arial"/>
                <w:bCs/>
                <w:sz w:val="24"/>
                <w:szCs w:val="24"/>
              </w:rPr>
              <w:t xml:space="preserve">are </w:t>
            </w:r>
            <w:r w:rsidR="00872386">
              <w:rPr>
                <w:rFonts w:ascii="Arial" w:eastAsia="Calibri" w:hAnsi="Arial" w:cs="Arial"/>
                <w:bCs/>
                <w:sz w:val="24"/>
                <w:szCs w:val="24"/>
              </w:rPr>
              <w:t>w</w:t>
            </w:r>
            <w:r w:rsidRPr="00C92ECE">
              <w:rPr>
                <w:rFonts w:ascii="Arial" w:eastAsia="Calibri" w:hAnsi="Arial" w:cs="Arial"/>
                <w:bCs/>
                <w:sz w:val="24"/>
                <w:szCs w:val="24"/>
              </w:rPr>
              <w:t xml:space="preserve">orkforce staff have been meeting with teachers in schools to discuss the curriculum and plans </w:t>
            </w:r>
            <w:r w:rsidR="00132C23">
              <w:rPr>
                <w:rFonts w:ascii="Arial" w:eastAsia="Calibri" w:hAnsi="Arial" w:cs="Arial"/>
                <w:bCs/>
                <w:sz w:val="24"/>
                <w:szCs w:val="24"/>
              </w:rPr>
              <w:t>to take part</w:t>
            </w:r>
            <w:r w:rsidRPr="00C92ECE">
              <w:rPr>
                <w:rFonts w:ascii="Arial" w:eastAsia="Calibri" w:hAnsi="Arial" w:cs="Arial"/>
                <w:bCs/>
                <w:sz w:val="24"/>
                <w:szCs w:val="24"/>
              </w:rPr>
              <w:t xml:space="preserve"> in health and social care classes.</w:t>
            </w:r>
            <w:r w:rsidR="00132C23">
              <w:rPr>
                <w:rFonts w:ascii="Arial" w:eastAsia="Calibri" w:hAnsi="Arial" w:cs="Arial"/>
                <w:bCs/>
                <w:sz w:val="24"/>
                <w:szCs w:val="24"/>
              </w:rPr>
              <w:t xml:space="preserve"> </w:t>
            </w:r>
            <w:r w:rsidRPr="00C25CDF">
              <w:rPr>
                <w:rFonts w:ascii="Arial" w:eastAsia="Calibri" w:hAnsi="Arial" w:cs="Arial"/>
                <w:bCs/>
                <w:sz w:val="24"/>
                <w:szCs w:val="24"/>
              </w:rPr>
              <w:t>(Cwm Taf Morgannwg)</w:t>
            </w:r>
          </w:p>
        </w:tc>
      </w:tr>
    </w:tbl>
    <w:p w14:paraId="4B706F34" w14:textId="77777777" w:rsidR="00EB43D9" w:rsidRPr="00C92ECE" w:rsidRDefault="00EB43D9" w:rsidP="00C92ECE">
      <w:pPr>
        <w:rPr>
          <w:rFonts w:ascii="Arial" w:eastAsia="Calibri" w:hAnsi="Arial" w:cs="Arial"/>
          <w:bCs/>
          <w:sz w:val="24"/>
          <w:szCs w:val="24"/>
        </w:rPr>
      </w:pPr>
    </w:p>
    <w:p w14:paraId="375326F8" w14:textId="4C425E7F" w:rsidR="00BC6809" w:rsidRPr="00C92ECE" w:rsidRDefault="00BC6809" w:rsidP="00FC2048">
      <w:pPr>
        <w:numPr>
          <w:ilvl w:val="0"/>
          <w:numId w:val="6"/>
        </w:numPr>
        <w:spacing w:after="0" w:line="276" w:lineRule="auto"/>
        <w:ind w:left="567" w:hanging="425"/>
        <w:contextualSpacing/>
        <w:rPr>
          <w:rFonts w:ascii="Arial" w:eastAsia="Calibri" w:hAnsi="Arial" w:cs="Arial"/>
          <w:bCs/>
          <w:sz w:val="24"/>
          <w:szCs w:val="24"/>
        </w:rPr>
      </w:pPr>
      <w:r w:rsidRPr="00C92ECE">
        <w:rPr>
          <w:rFonts w:ascii="Arial" w:eastAsia="Calibri" w:hAnsi="Arial" w:cs="Arial"/>
          <w:sz w:val="24"/>
          <w:szCs w:val="24"/>
        </w:rPr>
        <w:t xml:space="preserve">Regular events, outreach, and partnerships with education providers are </w:t>
      </w:r>
      <w:r w:rsidR="00CE599E">
        <w:rPr>
          <w:rFonts w:ascii="Arial" w:eastAsia="Calibri" w:hAnsi="Arial" w:cs="Arial"/>
          <w:sz w:val="24"/>
          <w:szCs w:val="24"/>
        </w:rPr>
        <w:t>common</w:t>
      </w:r>
      <w:r w:rsidRPr="00C92ECE">
        <w:rPr>
          <w:rFonts w:ascii="Arial" w:eastAsia="Calibri" w:hAnsi="Arial" w:cs="Arial"/>
          <w:sz w:val="24"/>
          <w:szCs w:val="24"/>
        </w:rPr>
        <w:t xml:space="preserve"> to promote social care careers.</w:t>
      </w:r>
    </w:p>
    <w:p w14:paraId="6F2ABDBD" w14:textId="77777777" w:rsidR="00FC2048" w:rsidRPr="00057AA4" w:rsidRDefault="00FC2048" w:rsidP="00C92ECE">
      <w:pPr>
        <w:pStyle w:val="ListParagraph"/>
        <w:rPr>
          <w:rFonts w:ascii="Arial" w:eastAsia="Calibri" w:hAnsi="Arial" w:cs="Arial"/>
          <w:sz w:val="24"/>
          <w:szCs w:val="24"/>
        </w:rPr>
      </w:pPr>
    </w:p>
    <w:p w14:paraId="0C0AC799" w14:textId="27F49DAE" w:rsidR="00BC6809" w:rsidRPr="00BB471B" w:rsidRDefault="00BC6809" w:rsidP="00BC6809">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Support for </w:t>
      </w:r>
      <w:r w:rsidR="0036144C" w:rsidRPr="00BB471B">
        <w:rPr>
          <w:rFonts w:ascii="Arial" w:eastAsia="Calibri" w:hAnsi="Arial" w:cs="Arial"/>
          <w:b/>
          <w:bCs/>
          <w:sz w:val="24"/>
          <w:szCs w:val="24"/>
        </w:rPr>
        <w:t>l</w:t>
      </w:r>
      <w:r w:rsidRPr="00BB471B">
        <w:rPr>
          <w:rFonts w:ascii="Arial" w:eastAsia="Calibri" w:hAnsi="Arial" w:cs="Arial"/>
          <w:b/>
          <w:bCs/>
          <w:sz w:val="24"/>
          <w:szCs w:val="24"/>
        </w:rPr>
        <w:t xml:space="preserve">earning, </w:t>
      </w:r>
      <w:r w:rsidR="0036144C" w:rsidRPr="00BB471B">
        <w:rPr>
          <w:rFonts w:ascii="Arial" w:eastAsia="Calibri" w:hAnsi="Arial" w:cs="Arial"/>
          <w:b/>
          <w:bCs/>
          <w:sz w:val="24"/>
          <w:szCs w:val="24"/>
        </w:rPr>
        <w:t>q</w:t>
      </w:r>
      <w:r w:rsidRPr="00BB471B">
        <w:rPr>
          <w:rFonts w:ascii="Arial" w:eastAsia="Calibri" w:hAnsi="Arial" w:cs="Arial"/>
          <w:b/>
          <w:bCs/>
          <w:sz w:val="24"/>
          <w:szCs w:val="24"/>
        </w:rPr>
        <w:t xml:space="preserve">ualifications, and </w:t>
      </w:r>
      <w:r w:rsidR="0036144C" w:rsidRPr="00BB471B">
        <w:rPr>
          <w:rFonts w:ascii="Arial" w:eastAsia="Calibri" w:hAnsi="Arial" w:cs="Arial"/>
          <w:b/>
          <w:bCs/>
          <w:sz w:val="24"/>
          <w:szCs w:val="24"/>
        </w:rPr>
        <w:t>c</w:t>
      </w:r>
      <w:r w:rsidRPr="00BB471B">
        <w:rPr>
          <w:rFonts w:ascii="Arial" w:eastAsia="Calibri" w:hAnsi="Arial" w:cs="Arial"/>
          <w:b/>
          <w:bCs/>
          <w:sz w:val="24"/>
          <w:szCs w:val="24"/>
        </w:rPr>
        <w:t xml:space="preserve">areer </w:t>
      </w:r>
      <w:r w:rsidR="0036144C" w:rsidRPr="00BB471B">
        <w:rPr>
          <w:rFonts w:ascii="Arial" w:eastAsia="Calibri" w:hAnsi="Arial" w:cs="Arial"/>
          <w:b/>
          <w:bCs/>
          <w:sz w:val="24"/>
          <w:szCs w:val="24"/>
        </w:rPr>
        <w:t>p</w:t>
      </w:r>
      <w:r w:rsidRPr="00BB471B">
        <w:rPr>
          <w:rFonts w:ascii="Arial" w:eastAsia="Calibri" w:hAnsi="Arial" w:cs="Arial"/>
          <w:b/>
          <w:bCs/>
          <w:sz w:val="24"/>
          <w:szCs w:val="24"/>
        </w:rPr>
        <w:t>rogression</w:t>
      </w:r>
    </w:p>
    <w:p w14:paraId="3CE09940" w14:textId="77777777" w:rsidR="00585814" w:rsidRDefault="00585814" w:rsidP="00C92ECE">
      <w:pPr>
        <w:spacing w:after="0" w:line="276" w:lineRule="auto"/>
        <w:ind w:left="567"/>
        <w:contextualSpacing/>
        <w:rPr>
          <w:rFonts w:ascii="Arial" w:eastAsia="Calibri" w:hAnsi="Arial" w:cs="Arial"/>
          <w:sz w:val="24"/>
          <w:szCs w:val="24"/>
        </w:rPr>
      </w:pPr>
    </w:p>
    <w:p w14:paraId="089FFCF6" w14:textId="6E51DAB3" w:rsidR="00B22F53" w:rsidRDefault="00B22F53" w:rsidP="00B22F53">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There</w:t>
      </w:r>
      <w:r w:rsidR="0036144C">
        <w:rPr>
          <w:rFonts w:ascii="Arial" w:eastAsia="Calibri" w:hAnsi="Arial" w:cs="Arial"/>
          <w:sz w:val="24"/>
          <w:szCs w:val="24"/>
        </w:rPr>
        <w:t>’s</w:t>
      </w:r>
      <w:r>
        <w:rPr>
          <w:rFonts w:ascii="Arial" w:eastAsia="Calibri" w:hAnsi="Arial" w:cs="Arial"/>
          <w:sz w:val="24"/>
          <w:szCs w:val="24"/>
        </w:rPr>
        <w:t xml:space="preserve"> c</w:t>
      </w:r>
      <w:r w:rsidRPr="005F0496">
        <w:rPr>
          <w:rFonts w:ascii="Arial" w:eastAsia="Calibri" w:hAnsi="Arial" w:cs="Arial"/>
          <w:sz w:val="24"/>
          <w:szCs w:val="24"/>
        </w:rPr>
        <w:t>onsistent delivery of induction frameworks and support for staff registration.</w:t>
      </w:r>
    </w:p>
    <w:p w14:paraId="1BFB2A8D" w14:textId="77777777" w:rsidR="00B22F53" w:rsidRDefault="00B22F53" w:rsidP="00C92ECE">
      <w:pPr>
        <w:spacing w:after="0" w:line="276" w:lineRule="auto"/>
        <w:ind w:left="567"/>
        <w:contextualSpacing/>
        <w:rPr>
          <w:rFonts w:ascii="Arial" w:eastAsia="Calibri" w:hAnsi="Arial" w:cs="Arial"/>
          <w:sz w:val="24"/>
          <w:szCs w:val="24"/>
        </w:rPr>
      </w:pPr>
    </w:p>
    <w:p w14:paraId="1497E159" w14:textId="6EBB2158" w:rsidR="00BC6809" w:rsidRDefault="00BC6809" w:rsidP="00735BCB">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All regions offer structured apprenticeship and trainee schemes</w:t>
      </w:r>
      <w:r w:rsidR="00A946F9">
        <w:rPr>
          <w:rFonts w:ascii="Arial" w:eastAsia="Calibri" w:hAnsi="Arial" w:cs="Arial"/>
          <w:sz w:val="24"/>
          <w:szCs w:val="24"/>
        </w:rPr>
        <w:t xml:space="preserve"> </w:t>
      </w:r>
      <w:r w:rsidRPr="00C92ECE">
        <w:rPr>
          <w:rFonts w:ascii="Arial" w:eastAsia="Calibri" w:hAnsi="Arial" w:cs="Arial"/>
          <w:sz w:val="24"/>
          <w:szCs w:val="24"/>
        </w:rPr>
        <w:t>with progression routes and support for qualification completion.</w:t>
      </w:r>
    </w:p>
    <w:p w14:paraId="417E484B" w14:textId="77777777" w:rsidR="00E10088" w:rsidRDefault="00E10088" w:rsidP="00E10088">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6A6CE5" w:rsidRPr="00C92ECE" w14:paraId="5CE91B96" w14:textId="77777777" w:rsidTr="00C92ECE">
        <w:trPr>
          <w:jc w:val="center"/>
        </w:trPr>
        <w:tc>
          <w:tcPr>
            <w:tcW w:w="9016" w:type="dxa"/>
          </w:tcPr>
          <w:p w14:paraId="403F7144" w14:textId="11245C11" w:rsidR="006A6CE5" w:rsidRPr="00E4291A" w:rsidRDefault="00E4291A" w:rsidP="00585814">
            <w:pPr>
              <w:spacing w:line="276" w:lineRule="auto"/>
              <w:contextualSpacing/>
              <w:rPr>
                <w:rFonts w:ascii="Arial" w:eastAsia="Calibri" w:hAnsi="Arial" w:cs="Arial"/>
                <w:sz w:val="24"/>
                <w:szCs w:val="24"/>
              </w:rPr>
            </w:pPr>
            <w:r>
              <w:rPr>
                <w:rFonts w:ascii="Arial" w:eastAsia="Arial" w:hAnsi="Arial" w:cs="Arial"/>
                <w:sz w:val="24"/>
                <w:szCs w:val="24"/>
              </w:rPr>
              <w:t>A</w:t>
            </w:r>
            <w:r w:rsidR="006A6CE5" w:rsidRPr="00C92ECE">
              <w:rPr>
                <w:rFonts w:ascii="Arial" w:eastAsia="Arial" w:hAnsi="Arial" w:cs="Arial"/>
                <w:sz w:val="24"/>
                <w:szCs w:val="24"/>
              </w:rPr>
              <w:t xml:space="preserve">ll apprentices have been successful in gaining permanent employment within the social care services in which they were placed. </w:t>
            </w:r>
            <w:r w:rsidR="00A3684D">
              <w:rPr>
                <w:rFonts w:ascii="Arial" w:eastAsia="Arial" w:hAnsi="Arial" w:cs="Arial"/>
                <w:sz w:val="24"/>
                <w:szCs w:val="24"/>
              </w:rPr>
              <w:t>Three</w:t>
            </w:r>
            <w:r w:rsidR="006A6CE5" w:rsidRPr="00C92ECE">
              <w:rPr>
                <w:rFonts w:ascii="Arial" w:eastAsia="Arial" w:hAnsi="Arial" w:cs="Arial"/>
                <w:sz w:val="24"/>
                <w:szCs w:val="24"/>
              </w:rPr>
              <w:t xml:space="preserve"> remain on their qualification journey. (Cwm Taf Morgannwg </w:t>
            </w:r>
            <w:r w:rsidR="008F07E9">
              <w:rPr>
                <w:rFonts w:ascii="Arial" w:eastAsia="Arial" w:hAnsi="Arial" w:cs="Arial"/>
                <w:sz w:val="24"/>
                <w:szCs w:val="24"/>
              </w:rPr>
              <w:t>r</w:t>
            </w:r>
            <w:r w:rsidR="006A6CE5" w:rsidRPr="00C92ECE">
              <w:rPr>
                <w:rFonts w:ascii="Arial" w:eastAsia="Arial" w:hAnsi="Arial" w:cs="Arial"/>
                <w:sz w:val="24"/>
                <w:szCs w:val="24"/>
              </w:rPr>
              <w:t>egion)</w:t>
            </w:r>
          </w:p>
        </w:tc>
      </w:tr>
    </w:tbl>
    <w:p w14:paraId="14051E9A" w14:textId="77777777" w:rsidR="00B22F53" w:rsidRDefault="00B22F53" w:rsidP="00C92ECE">
      <w:pPr>
        <w:spacing w:after="0" w:line="276" w:lineRule="auto"/>
        <w:ind w:left="567"/>
        <w:contextualSpacing/>
        <w:rPr>
          <w:rFonts w:ascii="Arial" w:eastAsia="Calibri" w:hAnsi="Arial" w:cs="Arial"/>
          <w:sz w:val="24"/>
          <w:szCs w:val="24"/>
        </w:rPr>
      </w:pPr>
    </w:p>
    <w:p w14:paraId="21ACBF9E" w14:textId="2650C285" w:rsidR="00BC6809" w:rsidRDefault="00BC6809" w:rsidP="00735BCB">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Delivery of Level 4</w:t>
      </w:r>
      <w:r w:rsidR="00A3684D">
        <w:rPr>
          <w:rFonts w:ascii="Arial" w:eastAsia="Calibri" w:hAnsi="Arial" w:cs="Arial"/>
          <w:sz w:val="24"/>
          <w:szCs w:val="24"/>
        </w:rPr>
        <w:t xml:space="preserve"> and </w:t>
      </w:r>
      <w:r w:rsidRPr="00C92ECE">
        <w:rPr>
          <w:rFonts w:ascii="Arial" w:eastAsia="Calibri" w:hAnsi="Arial" w:cs="Arial"/>
          <w:sz w:val="24"/>
          <w:szCs w:val="24"/>
        </w:rPr>
        <w:t xml:space="preserve">5 qualifications and management awards is common, </w:t>
      </w:r>
      <w:r w:rsidR="003D3AEF">
        <w:rPr>
          <w:rFonts w:ascii="Arial" w:eastAsia="Calibri" w:hAnsi="Arial" w:cs="Arial"/>
          <w:sz w:val="24"/>
          <w:szCs w:val="24"/>
        </w:rPr>
        <w:t xml:space="preserve">helping </w:t>
      </w:r>
      <w:r w:rsidRPr="00C92ECE">
        <w:rPr>
          <w:rFonts w:ascii="Arial" w:eastAsia="Calibri" w:hAnsi="Arial" w:cs="Arial"/>
          <w:sz w:val="24"/>
          <w:szCs w:val="24"/>
        </w:rPr>
        <w:t xml:space="preserve">career progression and </w:t>
      </w:r>
      <w:r w:rsidR="004E4059">
        <w:rPr>
          <w:rFonts w:ascii="Arial" w:eastAsia="Calibri" w:hAnsi="Arial" w:cs="Arial"/>
          <w:sz w:val="24"/>
          <w:szCs w:val="24"/>
        </w:rPr>
        <w:t xml:space="preserve">supporting </w:t>
      </w:r>
      <w:r w:rsidRPr="00C92ECE">
        <w:rPr>
          <w:rFonts w:ascii="Arial" w:eastAsia="Calibri" w:hAnsi="Arial" w:cs="Arial"/>
          <w:sz w:val="24"/>
          <w:szCs w:val="24"/>
        </w:rPr>
        <w:t>succession planning.</w:t>
      </w:r>
    </w:p>
    <w:p w14:paraId="3DA617D6" w14:textId="77777777" w:rsidR="00B22F53" w:rsidRPr="00C92ECE" w:rsidRDefault="00B22F53" w:rsidP="00C92ECE">
      <w:pPr>
        <w:spacing w:after="0" w:line="276" w:lineRule="auto"/>
        <w:contextualSpacing/>
        <w:rPr>
          <w:rFonts w:ascii="Arial" w:eastAsia="Calibri" w:hAnsi="Arial" w:cs="Arial"/>
          <w:sz w:val="24"/>
          <w:szCs w:val="24"/>
        </w:rPr>
      </w:pPr>
    </w:p>
    <w:p w14:paraId="142879E7" w14:textId="77777777" w:rsidR="009B21F4" w:rsidRPr="00C92ECE" w:rsidRDefault="009B21F4" w:rsidP="00BC6809">
      <w:pPr>
        <w:spacing w:after="0" w:line="240" w:lineRule="auto"/>
        <w:rPr>
          <w:rFonts w:ascii="Arial" w:eastAsia="Calibri" w:hAnsi="Arial" w:cs="Arial"/>
          <w:b/>
          <w:bCs/>
          <w:sz w:val="24"/>
          <w:szCs w:val="24"/>
        </w:rPr>
      </w:pPr>
    </w:p>
    <w:p w14:paraId="5A4CC2E5" w14:textId="10241574" w:rsidR="00BC6809" w:rsidRPr="00BB471B" w:rsidRDefault="00BC6809" w:rsidP="00BC6809">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Inclusion and </w:t>
      </w:r>
      <w:r w:rsidR="004E4059" w:rsidRPr="00BB471B">
        <w:rPr>
          <w:rFonts w:ascii="Arial" w:eastAsia="Calibri" w:hAnsi="Arial" w:cs="Arial"/>
          <w:b/>
          <w:bCs/>
          <w:sz w:val="24"/>
          <w:szCs w:val="24"/>
        </w:rPr>
        <w:t>s</w:t>
      </w:r>
      <w:r w:rsidRPr="00BB471B">
        <w:rPr>
          <w:rFonts w:ascii="Arial" w:eastAsia="Calibri" w:hAnsi="Arial" w:cs="Arial"/>
          <w:b/>
          <w:bCs/>
          <w:sz w:val="24"/>
          <w:szCs w:val="24"/>
        </w:rPr>
        <w:t xml:space="preserve">upport for </w:t>
      </w:r>
      <w:r w:rsidR="00867152">
        <w:rPr>
          <w:rFonts w:ascii="Arial" w:eastAsia="Calibri" w:hAnsi="Arial" w:cs="Arial"/>
          <w:b/>
          <w:bCs/>
          <w:sz w:val="24"/>
          <w:szCs w:val="24"/>
        </w:rPr>
        <w:t>u</w:t>
      </w:r>
      <w:r w:rsidRPr="00BB471B">
        <w:rPr>
          <w:rFonts w:ascii="Arial" w:eastAsia="Calibri" w:hAnsi="Arial" w:cs="Arial"/>
          <w:b/>
          <w:bCs/>
          <w:sz w:val="24"/>
          <w:szCs w:val="24"/>
        </w:rPr>
        <w:t>nder</w:t>
      </w:r>
      <w:r w:rsidR="004E4059" w:rsidRPr="00BB471B">
        <w:rPr>
          <w:rFonts w:ascii="Arial" w:eastAsia="Calibri" w:hAnsi="Arial" w:cs="Arial"/>
          <w:b/>
          <w:bCs/>
          <w:sz w:val="24"/>
          <w:szCs w:val="24"/>
        </w:rPr>
        <w:t>-</w:t>
      </w:r>
      <w:r w:rsidRPr="00BB471B">
        <w:rPr>
          <w:rFonts w:ascii="Arial" w:eastAsia="Calibri" w:hAnsi="Arial" w:cs="Arial"/>
          <w:b/>
          <w:bCs/>
          <w:sz w:val="24"/>
          <w:szCs w:val="24"/>
        </w:rPr>
        <w:t xml:space="preserve">represented </w:t>
      </w:r>
      <w:r w:rsidR="004E4059" w:rsidRPr="00BB471B">
        <w:rPr>
          <w:rFonts w:ascii="Arial" w:eastAsia="Calibri" w:hAnsi="Arial" w:cs="Arial"/>
          <w:b/>
          <w:bCs/>
          <w:sz w:val="24"/>
          <w:szCs w:val="24"/>
        </w:rPr>
        <w:t>g</w:t>
      </w:r>
      <w:r w:rsidRPr="00BB471B">
        <w:rPr>
          <w:rFonts w:ascii="Arial" w:eastAsia="Calibri" w:hAnsi="Arial" w:cs="Arial"/>
          <w:b/>
          <w:bCs/>
          <w:sz w:val="24"/>
          <w:szCs w:val="24"/>
        </w:rPr>
        <w:t>roups</w:t>
      </w:r>
    </w:p>
    <w:p w14:paraId="58EF5815" w14:textId="77777777" w:rsidR="00585814" w:rsidRDefault="00585814" w:rsidP="00C92ECE">
      <w:pPr>
        <w:spacing w:after="0" w:line="276" w:lineRule="auto"/>
        <w:ind w:left="567"/>
        <w:contextualSpacing/>
        <w:rPr>
          <w:rFonts w:ascii="Arial" w:eastAsia="Calibri" w:hAnsi="Arial" w:cs="Arial"/>
          <w:sz w:val="24"/>
          <w:szCs w:val="24"/>
        </w:rPr>
      </w:pPr>
    </w:p>
    <w:p w14:paraId="4DDDC240" w14:textId="4639EBD3" w:rsidR="00BC6809" w:rsidRDefault="00BC6809" w:rsidP="00735BCB">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Targeted programmes and resources to support international recruits.</w:t>
      </w:r>
    </w:p>
    <w:p w14:paraId="31F1AA0C" w14:textId="77777777" w:rsidR="00277DF6" w:rsidRDefault="00277DF6" w:rsidP="00277DF6">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277DF6" w:rsidRPr="00FA0BA5" w14:paraId="3A7334FA" w14:textId="77777777" w:rsidTr="00277DF6">
        <w:tc>
          <w:tcPr>
            <w:tcW w:w="9016" w:type="dxa"/>
          </w:tcPr>
          <w:p w14:paraId="65FD1588" w14:textId="3E1F8829" w:rsidR="003717CC" w:rsidRPr="00C92ECE" w:rsidRDefault="003717CC" w:rsidP="003717CC">
            <w:pPr>
              <w:jc w:val="both"/>
              <w:rPr>
                <w:rFonts w:ascii="Arial" w:eastAsia="Calibri" w:hAnsi="Arial" w:cs="Arial"/>
                <w:sz w:val="24"/>
                <w:szCs w:val="24"/>
              </w:rPr>
            </w:pPr>
            <w:r w:rsidRPr="00C92ECE">
              <w:rPr>
                <w:rFonts w:ascii="Arial" w:eastAsia="Calibri" w:hAnsi="Arial" w:cs="Arial"/>
                <w:sz w:val="24"/>
                <w:szCs w:val="24"/>
              </w:rPr>
              <w:t xml:space="preserve">The newly developed multilingual social care app designed to support migrant care workers is currently being piloted with </w:t>
            </w:r>
            <w:r w:rsidR="00D53B7C">
              <w:rPr>
                <w:rFonts w:ascii="Arial" w:eastAsia="Calibri" w:hAnsi="Arial" w:cs="Arial"/>
                <w:sz w:val="24"/>
                <w:szCs w:val="24"/>
              </w:rPr>
              <w:t>the hope to be</w:t>
            </w:r>
            <w:r w:rsidRPr="00C92ECE">
              <w:rPr>
                <w:rFonts w:ascii="Arial" w:eastAsia="Calibri" w:hAnsi="Arial" w:cs="Arial"/>
                <w:sz w:val="24"/>
                <w:szCs w:val="24"/>
              </w:rPr>
              <w:t xml:space="preserve"> rolled out to the region in 2025</w:t>
            </w:r>
            <w:r w:rsidR="00D53B7C">
              <w:rPr>
                <w:rFonts w:ascii="Arial" w:eastAsia="Calibri" w:hAnsi="Arial" w:cs="Arial"/>
                <w:sz w:val="24"/>
                <w:szCs w:val="24"/>
              </w:rPr>
              <w:t xml:space="preserve"> to 20</w:t>
            </w:r>
            <w:r w:rsidRPr="00C92ECE">
              <w:rPr>
                <w:rFonts w:ascii="Arial" w:eastAsia="Calibri" w:hAnsi="Arial" w:cs="Arial"/>
                <w:sz w:val="24"/>
                <w:szCs w:val="24"/>
              </w:rPr>
              <w:t xml:space="preserve">26. The app </w:t>
            </w:r>
            <w:r w:rsidR="00CE2624">
              <w:rPr>
                <w:rFonts w:ascii="Arial" w:eastAsia="Calibri" w:hAnsi="Arial" w:cs="Arial"/>
                <w:sz w:val="24"/>
                <w:szCs w:val="24"/>
              </w:rPr>
              <w:t>gives</w:t>
            </w:r>
            <w:r w:rsidRPr="00C92ECE">
              <w:rPr>
                <w:rFonts w:ascii="Arial" w:eastAsia="Calibri" w:hAnsi="Arial" w:cs="Arial"/>
                <w:sz w:val="24"/>
                <w:szCs w:val="24"/>
              </w:rPr>
              <w:t xml:space="preserve"> access to training materials, community information, practical signposting for guidance for settling in Wales, and links to key external resources. </w:t>
            </w:r>
          </w:p>
          <w:p w14:paraId="392FE1A4" w14:textId="77777777" w:rsidR="003717CC" w:rsidRPr="00C92ECE" w:rsidRDefault="003717CC" w:rsidP="003717CC">
            <w:pPr>
              <w:jc w:val="both"/>
              <w:rPr>
                <w:rFonts w:ascii="Arial" w:eastAsia="Calibri" w:hAnsi="Arial" w:cs="Arial"/>
                <w:sz w:val="24"/>
                <w:szCs w:val="24"/>
              </w:rPr>
            </w:pPr>
          </w:p>
          <w:p w14:paraId="41914F81" w14:textId="46242C0B" w:rsidR="003717CC" w:rsidRPr="00046C84" w:rsidRDefault="003717CC" w:rsidP="00E00471">
            <w:pPr>
              <w:jc w:val="both"/>
              <w:rPr>
                <w:rFonts w:asciiTheme="minorBidi" w:hAnsiTheme="minorBidi"/>
                <w:sz w:val="24"/>
                <w:szCs w:val="24"/>
              </w:rPr>
            </w:pPr>
            <w:r w:rsidRPr="00046C84">
              <w:rPr>
                <w:rFonts w:asciiTheme="minorBidi" w:eastAsia="Calibri" w:hAnsiTheme="minorBidi"/>
                <w:sz w:val="24"/>
                <w:szCs w:val="24"/>
              </w:rPr>
              <w:t>Across the region</w:t>
            </w:r>
            <w:r w:rsidR="00CE2624">
              <w:rPr>
                <w:rFonts w:asciiTheme="minorBidi" w:eastAsia="Calibri" w:hAnsiTheme="minorBidi"/>
                <w:sz w:val="24"/>
                <w:szCs w:val="24"/>
              </w:rPr>
              <w:t>,</w:t>
            </w:r>
            <w:r w:rsidRPr="00046C84">
              <w:rPr>
                <w:rFonts w:asciiTheme="minorBidi" w:eastAsia="Calibri" w:hAnsiTheme="minorBidi"/>
                <w:sz w:val="24"/>
                <w:szCs w:val="24"/>
              </w:rPr>
              <w:t xml:space="preserve"> we delivered an ‘</w:t>
            </w:r>
            <w:hyperlink r:id="rId34" w:history="1">
              <w:r w:rsidR="00644D0E">
                <w:rPr>
                  <w:rStyle w:val="Hyperlink"/>
                  <w:rFonts w:asciiTheme="minorBidi" w:hAnsiTheme="minorBidi"/>
                  <w:sz w:val="24"/>
                  <w:szCs w:val="24"/>
                </w:rPr>
                <w:t>u</w:t>
              </w:r>
              <w:r w:rsidRPr="00046C84">
                <w:rPr>
                  <w:rStyle w:val="Hyperlink"/>
                  <w:rFonts w:asciiTheme="minorBidi" w:hAnsiTheme="minorBidi"/>
                  <w:sz w:val="24"/>
                  <w:szCs w:val="24"/>
                </w:rPr>
                <w:t xml:space="preserve">nderstanding </w:t>
              </w:r>
              <w:r w:rsidR="00644D0E">
                <w:rPr>
                  <w:rStyle w:val="Hyperlink"/>
                  <w:rFonts w:asciiTheme="minorBidi" w:hAnsiTheme="minorBidi"/>
                  <w:sz w:val="24"/>
                  <w:szCs w:val="24"/>
                </w:rPr>
                <w:t>s</w:t>
              </w:r>
              <w:r w:rsidRPr="00046C84">
                <w:rPr>
                  <w:rStyle w:val="Hyperlink"/>
                  <w:rFonts w:asciiTheme="minorBidi" w:hAnsiTheme="minorBidi"/>
                  <w:sz w:val="24"/>
                  <w:szCs w:val="24"/>
                </w:rPr>
                <w:t>ponsorship’</w:t>
              </w:r>
            </w:hyperlink>
            <w:r w:rsidRPr="00046C84">
              <w:rPr>
                <w:rFonts w:asciiTheme="minorBidi" w:eastAsia="Calibri" w:hAnsiTheme="minorBidi"/>
                <w:sz w:val="24"/>
                <w:szCs w:val="24"/>
              </w:rPr>
              <w:t xml:space="preserve"> webinar, presented by area specialists from Capital Law. </w:t>
            </w:r>
          </w:p>
          <w:p w14:paraId="7EA3E991" w14:textId="77777777" w:rsidR="003717CC" w:rsidRPr="00C92ECE" w:rsidRDefault="003717CC" w:rsidP="003717CC">
            <w:pPr>
              <w:rPr>
                <w:rFonts w:ascii="Arial" w:eastAsia="Calibri" w:hAnsi="Arial" w:cs="Arial"/>
                <w:b/>
                <w:color w:val="FF0000"/>
                <w:sz w:val="24"/>
                <w:szCs w:val="24"/>
              </w:rPr>
            </w:pPr>
          </w:p>
          <w:p w14:paraId="71445A7B" w14:textId="5AD0D47D" w:rsidR="003717CC" w:rsidRPr="00C92ECE" w:rsidRDefault="003717CC" w:rsidP="003717CC">
            <w:pPr>
              <w:rPr>
                <w:rFonts w:ascii="Arial" w:eastAsia="Calibri" w:hAnsi="Arial" w:cs="Arial"/>
                <w:sz w:val="24"/>
                <w:szCs w:val="24"/>
              </w:rPr>
            </w:pPr>
            <w:r w:rsidRPr="00C92ECE">
              <w:rPr>
                <w:rFonts w:ascii="Arial" w:eastAsia="Calibri" w:hAnsi="Arial" w:cs="Arial"/>
                <w:sz w:val="24"/>
                <w:szCs w:val="24"/>
              </w:rPr>
              <w:t>We</w:t>
            </w:r>
            <w:r w:rsidR="00644D0E">
              <w:rPr>
                <w:rFonts w:ascii="Arial" w:eastAsia="Calibri" w:hAnsi="Arial" w:cs="Arial"/>
                <w:sz w:val="24"/>
                <w:szCs w:val="24"/>
              </w:rPr>
              <w:t>’ve</w:t>
            </w:r>
            <w:r w:rsidRPr="00C92ECE">
              <w:rPr>
                <w:rFonts w:ascii="Arial" w:eastAsia="Calibri" w:hAnsi="Arial" w:cs="Arial"/>
                <w:sz w:val="24"/>
                <w:szCs w:val="24"/>
              </w:rPr>
              <w:t xml:space="preserve"> also developed a regional forum </w:t>
            </w:r>
            <w:r w:rsidR="00642BCE">
              <w:rPr>
                <w:rFonts w:ascii="Arial" w:eastAsia="Calibri" w:hAnsi="Arial" w:cs="Arial"/>
                <w:sz w:val="24"/>
                <w:szCs w:val="24"/>
              </w:rPr>
              <w:t>with</w:t>
            </w:r>
            <w:r w:rsidRPr="00C92ECE">
              <w:rPr>
                <w:rFonts w:ascii="Arial" w:eastAsia="Calibri" w:hAnsi="Arial" w:cs="Arial"/>
                <w:sz w:val="24"/>
                <w:szCs w:val="24"/>
              </w:rPr>
              <w:t xml:space="preserve"> representatives from both </w:t>
            </w:r>
            <w:r w:rsidR="00644D0E">
              <w:rPr>
                <w:rFonts w:ascii="Arial" w:eastAsia="Calibri" w:hAnsi="Arial" w:cs="Arial"/>
                <w:sz w:val="24"/>
                <w:szCs w:val="24"/>
              </w:rPr>
              <w:t>local author</w:t>
            </w:r>
            <w:r w:rsidR="00B87270">
              <w:rPr>
                <w:rFonts w:ascii="Arial" w:eastAsia="Calibri" w:hAnsi="Arial" w:cs="Arial"/>
                <w:sz w:val="24"/>
                <w:szCs w:val="24"/>
              </w:rPr>
              <w:t>ities</w:t>
            </w:r>
            <w:r w:rsidRPr="00C92ECE">
              <w:rPr>
                <w:rFonts w:ascii="Arial" w:eastAsia="Calibri" w:hAnsi="Arial" w:cs="Arial"/>
                <w:sz w:val="24"/>
                <w:szCs w:val="24"/>
              </w:rPr>
              <w:t xml:space="preserve"> </w:t>
            </w:r>
            <w:r w:rsidR="00231398">
              <w:rPr>
                <w:rFonts w:ascii="Arial" w:eastAsia="Calibri" w:hAnsi="Arial" w:cs="Arial"/>
                <w:sz w:val="24"/>
                <w:szCs w:val="24"/>
              </w:rPr>
              <w:t>to look at how to</w:t>
            </w:r>
            <w:r w:rsidRPr="00C92ECE">
              <w:rPr>
                <w:rFonts w:ascii="Arial" w:eastAsia="Calibri" w:hAnsi="Arial" w:cs="Arial"/>
                <w:sz w:val="24"/>
                <w:szCs w:val="24"/>
              </w:rPr>
              <w:t xml:space="preserve"> </w:t>
            </w:r>
            <w:r w:rsidR="00785062" w:rsidRPr="00C92ECE">
              <w:rPr>
                <w:rFonts w:ascii="Arial" w:eastAsia="Calibri" w:hAnsi="Arial" w:cs="Arial"/>
                <w:sz w:val="24"/>
                <w:szCs w:val="24"/>
              </w:rPr>
              <w:t>support migrant</w:t>
            </w:r>
            <w:r w:rsidRPr="00C92ECE">
              <w:rPr>
                <w:rFonts w:ascii="Arial" w:eastAsia="Calibri" w:hAnsi="Arial" w:cs="Arial"/>
                <w:sz w:val="24"/>
                <w:szCs w:val="24"/>
              </w:rPr>
              <w:t xml:space="preserve"> workers</w:t>
            </w:r>
            <w:r w:rsidR="0065562F">
              <w:rPr>
                <w:rFonts w:ascii="Arial" w:eastAsia="Calibri" w:hAnsi="Arial" w:cs="Arial"/>
                <w:sz w:val="24"/>
                <w:szCs w:val="24"/>
              </w:rPr>
              <w:t>, with input from unions</w:t>
            </w:r>
            <w:r w:rsidRPr="00C92ECE">
              <w:rPr>
                <w:rFonts w:ascii="Arial" w:eastAsia="Calibri" w:hAnsi="Arial" w:cs="Arial"/>
                <w:sz w:val="24"/>
                <w:szCs w:val="24"/>
              </w:rPr>
              <w:t xml:space="preserve">. Migrant worker training development and support is a key action of this group.  </w:t>
            </w:r>
            <w:r w:rsidR="00263D2F">
              <w:rPr>
                <w:rFonts w:ascii="Arial" w:eastAsia="Calibri" w:hAnsi="Arial" w:cs="Arial"/>
                <w:sz w:val="24"/>
                <w:szCs w:val="24"/>
              </w:rPr>
              <w:lastRenderedPageBreak/>
              <w:t>A</w:t>
            </w:r>
            <w:r w:rsidRPr="00C92ECE">
              <w:rPr>
                <w:rFonts w:ascii="Arial" w:eastAsia="Calibri" w:hAnsi="Arial" w:cs="Arial"/>
                <w:sz w:val="24"/>
                <w:szCs w:val="24"/>
              </w:rPr>
              <w:t xml:space="preserve">wareness sessions on modern slavery and human trafficking </w:t>
            </w:r>
            <w:r w:rsidR="00263D2F">
              <w:rPr>
                <w:rFonts w:ascii="Arial" w:eastAsia="Calibri" w:hAnsi="Arial" w:cs="Arial"/>
                <w:sz w:val="24"/>
                <w:szCs w:val="24"/>
              </w:rPr>
              <w:t>have also</w:t>
            </w:r>
            <w:r w:rsidRPr="00C92ECE">
              <w:rPr>
                <w:rFonts w:ascii="Arial" w:eastAsia="Calibri" w:hAnsi="Arial" w:cs="Arial"/>
                <w:sz w:val="24"/>
                <w:szCs w:val="24"/>
              </w:rPr>
              <w:t xml:space="preserve"> complemented </w:t>
            </w:r>
            <w:bookmarkStart w:id="40" w:name="_Int_vRmpFR3v"/>
            <w:r w:rsidRPr="00C92ECE">
              <w:rPr>
                <w:rFonts w:ascii="Arial" w:eastAsia="Calibri" w:hAnsi="Arial" w:cs="Arial"/>
                <w:sz w:val="24"/>
                <w:szCs w:val="24"/>
              </w:rPr>
              <w:t>this forum</w:t>
            </w:r>
            <w:r w:rsidR="00D960C1">
              <w:rPr>
                <w:rFonts w:ascii="Arial" w:eastAsia="Calibri" w:hAnsi="Arial" w:cs="Arial"/>
                <w:sz w:val="24"/>
                <w:szCs w:val="24"/>
              </w:rPr>
              <w:t>’</w:t>
            </w:r>
            <w:r w:rsidRPr="00C92ECE">
              <w:rPr>
                <w:rFonts w:ascii="Arial" w:eastAsia="Calibri" w:hAnsi="Arial" w:cs="Arial"/>
                <w:sz w:val="24"/>
                <w:szCs w:val="24"/>
              </w:rPr>
              <w:t>s</w:t>
            </w:r>
            <w:bookmarkEnd w:id="40"/>
            <w:r w:rsidRPr="00C92ECE">
              <w:rPr>
                <w:rFonts w:ascii="Arial" w:eastAsia="Calibri" w:hAnsi="Arial" w:cs="Arial"/>
                <w:sz w:val="24"/>
                <w:szCs w:val="24"/>
              </w:rPr>
              <w:t xml:space="preserve"> focus of work</w:t>
            </w:r>
            <w:r w:rsidR="00444AB9">
              <w:rPr>
                <w:rFonts w:ascii="Arial" w:eastAsia="Calibri" w:hAnsi="Arial" w:cs="Arial"/>
                <w:sz w:val="24"/>
                <w:szCs w:val="24"/>
              </w:rPr>
              <w:t>.</w:t>
            </w:r>
            <w:r w:rsidRPr="00C92ECE">
              <w:rPr>
                <w:rFonts w:ascii="Arial" w:eastAsia="Calibri" w:hAnsi="Arial" w:cs="Arial"/>
                <w:sz w:val="24"/>
                <w:szCs w:val="24"/>
              </w:rPr>
              <w:t xml:space="preserve"> </w:t>
            </w:r>
            <w:r w:rsidR="00FA0BA5" w:rsidRPr="00C92ECE">
              <w:rPr>
                <w:rFonts w:ascii="Arial" w:eastAsia="Calibri" w:hAnsi="Arial" w:cs="Arial"/>
                <w:sz w:val="24"/>
                <w:szCs w:val="24"/>
              </w:rPr>
              <w:t xml:space="preserve">(Cardiff and the Vale </w:t>
            </w:r>
            <w:r w:rsidR="00351FB1">
              <w:rPr>
                <w:rFonts w:ascii="Arial" w:eastAsia="Calibri" w:hAnsi="Arial" w:cs="Arial"/>
                <w:sz w:val="24"/>
                <w:szCs w:val="24"/>
              </w:rPr>
              <w:t>r</w:t>
            </w:r>
            <w:r w:rsidR="00FA0BA5" w:rsidRPr="00C92ECE">
              <w:rPr>
                <w:rFonts w:ascii="Arial" w:eastAsia="Calibri" w:hAnsi="Arial" w:cs="Arial"/>
                <w:sz w:val="24"/>
                <w:szCs w:val="24"/>
              </w:rPr>
              <w:t>egion)</w:t>
            </w:r>
          </w:p>
          <w:p w14:paraId="622EDA22" w14:textId="24A9C706" w:rsidR="00277DF6" w:rsidRPr="00C92ECE" w:rsidRDefault="00277DF6" w:rsidP="00C92ECE">
            <w:pPr>
              <w:rPr>
                <w:rFonts w:ascii="Arial" w:eastAsia="Calibri" w:hAnsi="Arial" w:cs="Arial"/>
                <w:bCs/>
                <w:color w:val="FFC000"/>
                <w:sz w:val="24"/>
                <w:szCs w:val="24"/>
              </w:rPr>
            </w:pPr>
          </w:p>
        </w:tc>
      </w:tr>
    </w:tbl>
    <w:p w14:paraId="4F38D867" w14:textId="77777777" w:rsidR="00277DF6" w:rsidRDefault="00277DF6" w:rsidP="00277DF6">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DC7009" w:rsidRPr="00132BF4" w14:paraId="5A314FC5" w14:textId="77777777" w:rsidTr="00DC7009">
        <w:tc>
          <w:tcPr>
            <w:tcW w:w="9016" w:type="dxa"/>
          </w:tcPr>
          <w:p w14:paraId="4175AB16" w14:textId="584923F8" w:rsidR="00DC7009" w:rsidRPr="00C92ECE" w:rsidRDefault="00DC7009" w:rsidP="00C92ECE">
            <w:pPr>
              <w:rPr>
                <w:rFonts w:ascii="Arial" w:eastAsia="Arial" w:hAnsi="Arial" w:cs="Arial"/>
                <w:b/>
                <w:bCs/>
                <w:color w:val="000000"/>
                <w:sz w:val="24"/>
                <w:szCs w:val="24"/>
              </w:rPr>
            </w:pPr>
            <w:r w:rsidRPr="00C92ECE">
              <w:rPr>
                <w:rFonts w:ascii="Arial" w:eastAsia="Arial" w:hAnsi="Arial" w:cs="Arial"/>
                <w:color w:val="000000"/>
                <w:sz w:val="24"/>
                <w:szCs w:val="24"/>
              </w:rPr>
              <w:t>B</w:t>
            </w:r>
            <w:r w:rsidR="00082997">
              <w:rPr>
                <w:rFonts w:ascii="Arial" w:eastAsia="Arial" w:hAnsi="Arial" w:cs="Arial"/>
                <w:color w:val="000000"/>
                <w:sz w:val="24"/>
                <w:szCs w:val="24"/>
              </w:rPr>
              <w:t xml:space="preserve">ridgend </w:t>
            </w:r>
            <w:r w:rsidRPr="00C92ECE">
              <w:rPr>
                <w:rFonts w:ascii="Arial" w:eastAsia="Arial" w:hAnsi="Arial" w:cs="Arial"/>
                <w:color w:val="000000"/>
                <w:sz w:val="24"/>
                <w:szCs w:val="24"/>
              </w:rPr>
              <w:t>C</w:t>
            </w:r>
            <w:r w:rsidR="00082997">
              <w:rPr>
                <w:rFonts w:ascii="Arial" w:eastAsia="Arial" w:hAnsi="Arial" w:cs="Arial"/>
                <w:color w:val="000000"/>
                <w:sz w:val="24"/>
                <w:szCs w:val="24"/>
              </w:rPr>
              <w:t xml:space="preserve">ounty </w:t>
            </w:r>
            <w:r w:rsidRPr="00C92ECE">
              <w:rPr>
                <w:rFonts w:ascii="Arial" w:eastAsia="Arial" w:hAnsi="Arial" w:cs="Arial"/>
                <w:color w:val="000000"/>
                <w:sz w:val="24"/>
                <w:szCs w:val="24"/>
              </w:rPr>
              <w:t>B</w:t>
            </w:r>
            <w:r w:rsidR="00082997">
              <w:rPr>
                <w:rFonts w:ascii="Arial" w:eastAsia="Arial" w:hAnsi="Arial" w:cs="Arial"/>
                <w:color w:val="000000"/>
                <w:sz w:val="24"/>
                <w:szCs w:val="24"/>
              </w:rPr>
              <w:t xml:space="preserve">orough </w:t>
            </w:r>
            <w:r w:rsidRPr="00C92ECE">
              <w:rPr>
                <w:rFonts w:ascii="Arial" w:eastAsia="Arial" w:hAnsi="Arial" w:cs="Arial"/>
                <w:color w:val="000000"/>
                <w:sz w:val="24"/>
                <w:szCs w:val="24"/>
              </w:rPr>
              <w:t>C</w:t>
            </w:r>
            <w:r w:rsidR="00082997">
              <w:rPr>
                <w:rFonts w:ascii="Arial" w:eastAsia="Arial" w:hAnsi="Arial" w:cs="Arial"/>
                <w:color w:val="000000"/>
                <w:sz w:val="24"/>
                <w:szCs w:val="24"/>
              </w:rPr>
              <w:t>ouncil is continuing its</w:t>
            </w:r>
            <w:r w:rsidRPr="00C92ECE">
              <w:rPr>
                <w:rFonts w:ascii="Arial" w:eastAsia="Arial" w:hAnsi="Arial" w:cs="Arial"/>
                <w:color w:val="000000"/>
                <w:sz w:val="24"/>
                <w:szCs w:val="24"/>
              </w:rPr>
              <w:t xml:space="preserve"> International Social Work Recruitment </w:t>
            </w:r>
            <w:r w:rsidR="00082997">
              <w:rPr>
                <w:rFonts w:ascii="Arial" w:eastAsia="Arial" w:hAnsi="Arial" w:cs="Arial"/>
                <w:color w:val="000000"/>
                <w:sz w:val="24"/>
                <w:szCs w:val="24"/>
              </w:rPr>
              <w:t>p</w:t>
            </w:r>
            <w:r w:rsidRPr="00C92ECE">
              <w:rPr>
                <w:rFonts w:ascii="Arial" w:eastAsia="Arial" w:hAnsi="Arial" w:cs="Arial"/>
                <w:color w:val="000000"/>
                <w:sz w:val="24"/>
                <w:szCs w:val="24"/>
              </w:rPr>
              <w:t>rogramme</w:t>
            </w:r>
            <w:r w:rsidR="0095289A">
              <w:rPr>
                <w:rFonts w:ascii="Arial" w:eastAsia="Arial" w:hAnsi="Arial" w:cs="Arial"/>
                <w:color w:val="000000"/>
                <w:sz w:val="24"/>
                <w:szCs w:val="24"/>
              </w:rPr>
              <w:t xml:space="preserve">, working with </w:t>
            </w:r>
            <w:r w:rsidR="00785062">
              <w:rPr>
                <w:rFonts w:ascii="Arial" w:eastAsia="Arial" w:hAnsi="Arial" w:cs="Arial"/>
                <w:color w:val="000000"/>
                <w:sz w:val="24"/>
                <w:szCs w:val="24"/>
              </w:rPr>
              <w:t>a recruitment</w:t>
            </w:r>
            <w:r w:rsidRPr="00C92ECE">
              <w:rPr>
                <w:rFonts w:ascii="Arial" w:eastAsia="Arial" w:hAnsi="Arial" w:cs="Arial"/>
                <w:color w:val="000000"/>
                <w:sz w:val="24"/>
                <w:szCs w:val="24"/>
              </w:rPr>
              <w:t xml:space="preserve"> agency </w:t>
            </w:r>
            <w:r w:rsidR="0095289A">
              <w:rPr>
                <w:rFonts w:ascii="Arial" w:eastAsia="Arial" w:hAnsi="Arial" w:cs="Arial"/>
                <w:color w:val="000000"/>
                <w:sz w:val="24"/>
                <w:szCs w:val="24"/>
              </w:rPr>
              <w:t>to ensure</w:t>
            </w:r>
            <w:r w:rsidR="00A74C20">
              <w:rPr>
                <w:rFonts w:ascii="Arial" w:eastAsia="Arial" w:hAnsi="Arial" w:cs="Arial"/>
                <w:color w:val="000000"/>
                <w:sz w:val="24"/>
                <w:szCs w:val="24"/>
              </w:rPr>
              <w:t xml:space="preserve"> </w:t>
            </w:r>
            <w:r w:rsidRPr="00C92ECE">
              <w:rPr>
                <w:rFonts w:ascii="Arial" w:eastAsia="Arial" w:hAnsi="Arial" w:cs="Arial"/>
                <w:color w:val="000000"/>
                <w:sz w:val="24"/>
                <w:szCs w:val="24"/>
              </w:rPr>
              <w:t>ethical</w:t>
            </w:r>
            <w:r w:rsidR="00A74C20">
              <w:rPr>
                <w:rFonts w:ascii="Arial" w:eastAsia="Arial" w:hAnsi="Arial" w:cs="Arial"/>
                <w:color w:val="000000"/>
                <w:sz w:val="24"/>
                <w:szCs w:val="24"/>
              </w:rPr>
              <w:t xml:space="preserve"> hiring</w:t>
            </w:r>
            <w:r w:rsidRPr="00C92ECE">
              <w:rPr>
                <w:rFonts w:ascii="Arial" w:eastAsia="Arial" w:hAnsi="Arial" w:cs="Arial"/>
                <w:color w:val="000000"/>
                <w:sz w:val="24"/>
                <w:szCs w:val="24"/>
              </w:rPr>
              <w:t>.</w:t>
            </w:r>
            <w:r w:rsidR="00F11C7D" w:rsidRPr="00C92ECE">
              <w:rPr>
                <w:rFonts w:ascii="Arial" w:eastAsia="Arial" w:hAnsi="Arial" w:cs="Arial"/>
                <w:color w:val="000000"/>
                <w:sz w:val="24"/>
                <w:szCs w:val="24"/>
              </w:rPr>
              <w:t xml:space="preserve"> </w:t>
            </w:r>
            <w:r w:rsidR="00F11C7D" w:rsidRPr="00C92ECE">
              <w:rPr>
                <w:rFonts w:ascii="Arial" w:eastAsia="Calibri" w:hAnsi="Arial" w:cs="Arial"/>
                <w:bCs/>
                <w:sz w:val="24"/>
                <w:szCs w:val="24"/>
              </w:rPr>
              <w:t xml:space="preserve">All internationally recruited social workers </w:t>
            </w:r>
            <w:r w:rsidR="00A74C20">
              <w:rPr>
                <w:rFonts w:ascii="Arial" w:eastAsia="Calibri" w:hAnsi="Arial" w:cs="Arial"/>
                <w:bCs/>
                <w:sz w:val="24"/>
                <w:szCs w:val="24"/>
              </w:rPr>
              <w:t>are still</w:t>
            </w:r>
            <w:r w:rsidR="00F11C7D" w:rsidRPr="00C92ECE">
              <w:rPr>
                <w:rFonts w:ascii="Arial" w:eastAsia="Calibri" w:hAnsi="Arial" w:cs="Arial"/>
                <w:bCs/>
                <w:sz w:val="24"/>
                <w:szCs w:val="24"/>
              </w:rPr>
              <w:t xml:space="preserve"> employ</w:t>
            </w:r>
            <w:r w:rsidR="00A74C20">
              <w:rPr>
                <w:rFonts w:ascii="Arial" w:eastAsia="Calibri" w:hAnsi="Arial" w:cs="Arial"/>
                <w:bCs/>
                <w:sz w:val="24"/>
                <w:szCs w:val="24"/>
              </w:rPr>
              <w:t>ed</w:t>
            </w:r>
            <w:r w:rsidR="00F11C7D" w:rsidRPr="00C92ECE">
              <w:rPr>
                <w:rFonts w:ascii="Arial" w:eastAsia="Calibri" w:hAnsi="Arial" w:cs="Arial"/>
                <w:bCs/>
                <w:sz w:val="24"/>
                <w:szCs w:val="24"/>
              </w:rPr>
              <w:t xml:space="preserve"> </w:t>
            </w:r>
            <w:r w:rsidR="00A74C20">
              <w:rPr>
                <w:rFonts w:ascii="Arial" w:eastAsia="Calibri" w:hAnsi="Arial" w:cs="Arial"/>
                <w:bCs/>
                <w:sz w:val="24"/>
                <w:szCs w:val="24"/>
              </w:rPr>
              <w:t xml:space="preserve">by </w:t>
            </w:r>
            <w:r w:rsidR="00F11C7D" w:rsidRPr="00C92ECE">
              <w:rPr>
                <w:rFonts w:ascii="Arial" w:eastAsia="Calibri" w:hAnsi="Arial" w:cs="Arial"/>
                <w:bCs/>
                <w:sz w:val="24"/>
                <w:szCs w:val="24"/>
              </w:rPr>
              <w:t xml:space="preserve">the </w:t>
            </w:r>
            <w:r w:rsidR="00A74C20">
              <w:rPr>
                <w:rFonts w:ascii="Arial" w:eastAsia="Calibri" w:hAnsi="Arial" w:cs="Arial"/>
                <w:bCs/>
                <w:sz w:val="24"/>
                <w:szCs w:val="24"/>
              </w:rPr>
              <w:t>l</w:t>
            </w:r>
            <w:r w:rsidR="00F11C7D" w:rsidRPr="00C92ECE">
              <w:rPr>
                <w:rFonts w:ascii="Arial" w:eastAsia="Calibri" w:hAnsi="Arial" w:cs="Arial"/>
                <w:bCs/>
                <w:sz w:val="24"/>
                <w:szCs w:val="24"/>
              </w:rPr>
              <w:t xml:space="preserve">ocal </w:t>
            </w:r>
            <w:r w:rsidR="00A74C20">
              <w:rPr>
                <w:rFonts w:ascii="Arial" w:eastAsia="Calibri" w:hAnsi="Arial" w:cs="Arial"/>
                <w:bCs/>
                <w:sz w:val="24"/>
                <w:szCs w:val="24"/>
              </w:rPr>
              <w:t>a</w:t>
            </w:r>
            <w:r w:rsidR="00F11C7D" w:rsidRPr="00C92ECE">
              <w:rPr>
                <w:rFonts w:ascii="Arial" w:eastAsia="Calibri" w:hAnsi="Arial" w:cs="Arial"/>
                <w:bCs/>
                <w:sz w:val="24"/>
                <w:szCs w:val="24"/>
              </w:rPr>
              <w:t xml:space="preserve">uthority.  The </w:t>
            </w:r>
            <w:r w:rsidR="00A74C20">
              <w:rPr>
                <w:rFonts w:ascii="Arial" w:eastAsia="Calibri" w:hAnsi="Arial" w:cs="Arial"/>
                <w:bCs/>
                <w:sz w:val="24"/>
                <w:szCs w:val="24"/>
              </w:rPr>
              <w:t>p</w:t>
            </w:r>
            <w:r w:rsidR="00F11C7D" w:rsidRPr="00C92ECE">
              <w:rPr>
                <w:rFonts w:ascii="Arial" w:eastAsia="Calibri" w:hAnsi="Arial" w:cs="Arial"/>
                <w:bCs/>
                <w:sz w:val="24"/>
                <w:szCs w:val="24"/>
              </w:rPr>
              <w:t xml:space="preserve">roject was chosen as a finalist for the 2025 Social Care </w:t>
            </w:r>
            <w:r w:rsidR="00A74C20">
              <w:rPr>
                <w:rFonts w:ascii="Arial" w:eastAsia="Calibri" w:hAnsi="Arial" w:cs="Arial"/>
                <w:bCs/>
                <w:sz w:val="24"/>
                <w:szCs w:val="24"/>
              </w:rPr>
              <w:t xml:space="preserve">Wales </w:t>
            </w:r>
            <w:r w:rsidR="00F11C7D" w:rsidRPr="00C92ECE">
              <w:rPr>
                <w:rFonts w:ascii="Arial" w:eastAsia="Calibri" w:hAnsi="Arial" w:cs="Arial"/>
                <w:bCs/>
                <w:sz w:val="24"/>
                <w:szCs w:val="24"/>
              </w:rPr>
              <w:t xml:space="preserve">Accolades in the </w:t>
            </w:r>
            <w:r w:rsidR="00412096">
              <w:rPr>
                <w:rFonts w:ascii="Arial" w:eastAsia="Calibri" w:hAnsi="Arial" w:cs="Arial"/>
                <w:bCs/>
                <w:sz w:val="24"/>
                <w:szCs w:val="24"/>
              </w:rPr>
              <w:t>‘</w:t>
            </w:r>
            <w:r w:rsidR="00F11C7D" w:rsidRPr="00C92ECE">
              <w:rPr>
                <w:rFonts w:ascii="Arial" w:eastAsia="Calibri" w:hAnsi="Arial" w:cs="Arial"/>
                <w:bCs/>
                <w:sz w:val="24"/>
                <w:szCs w:val="24"/>
              </w:rPr>
              <w:t xml:space="preserve">Developing and </w:t>
            </w:r>
            <w:r w:rsidR="00412096">
              <w:rPr>
                <w:rFonts w:ascii="Arial" w:eastAsia="Calibri" w:hAnsi="Arial" w:cs="Arial"/>
                <w:bCs/>
                <w:sz w:val="24"/>
                <w:szCs w:val="24"/>
              </w:rPr>
              <w:t>i</w:t>
            </w:r>
            <w:r w:rsidR="00F11C7D" w:rsidRPr="00C92ECE">
              <w:rPr>
                <w:rFonts w:ascii="Arial" w:eastAsia="Calibri" w:hAnsi="Arial" w:cs="Arial"/>
                <w:bCs/>
                <w:sz w:val="24"/>
                <w:szCs w:val="24"/>
              </w:rPr>
              <w:t xml:space="preserve">nspiring the </w:t>
            </w:r>
            <w:r w:rsidR="00412096">
              <w:rPr>
                <w:rFonts w:ascii="Arial" w:eastAsia="Calibri" w:hAnsi="Arial" w:cs="Arial"/>
                <w:bCs/>
                <w:sz w:val="24"/>
                <w:szCs w:val="24"/>
              </w:rPr>
              <w:t>w</w:t>
            </w:r>
            <w:r w:rsidR="00F11C7D" w:rsidRPr="00C92ECE">
              <w:rPr>
                <w:rFonts w:ascii="Arial" w:eastAsia="Calibri" w:hAnsi="Arial" w:cs="Arial"/>
                <w:bCs/>
                <w:sz w:val="24"/>
                <w:szCs w:val="24"/>
              </w:rPr>
              <w:t>orkforce</w:t>
            </w:r>
            <w:r w:rsidR="00412096">
              <w:rPr>
                <w:rFonts w:ascii="Arial" w:eastAsia="Calibri" w:hAnsi="Arial" w:cs="Arial"/>
                <w:bCs/>
                <w:sz w:val="24"/>
                <w:szCs w:val="24"/>
              </w:rPr>
              <w:t>’</w:t>
            </w:r>
            <w:r w:rsidR="00F11C7D" w:rsidRPr="00C92ECE">
              <w:rPr>
                <w:rFonts w:ascii="Arial" w:eastAsia="Calibri" w:hAnsi="Arial" w:cs="Arial"/>
                <w:bCs/>
                <w:sz w:val="24"/>
                <w:szCs w:val="24"/>
              </w:rPr>
              <w:t xml:space="preserve"> category. (Cwm Taf Morgannwg </w:t>
            </w:r>
            <w:r w:rsidR="00412096">
              <w:rPr>
                <w:rFonts w:ascii="Arial" w:eastAsia="Calibri" w:hAnsi="Arial" w:cs="Arial"/>
                <w:bCs/>
                <w:sz w:val="24"/>
                <w:szCs w:val="24"/>
              </w:rPr>
              <w:t>r</w:t>
            </w:r>
            <w:r w:rsidR="00F11C7D" w:rsidRPr="00C92ECE">
              <w:rPr>
                <w:rFonts w:ascii="Arial" w:eastAsia="Calibri" w:hAnsi="Arial" w:cs="Arial"/>
                <w:bCs/>
                <w:sz w:val="24"/>
                <w:szCs w:val="24"/>
              </w:rPr>
              <w:t>egion)</w:t>
            </w:r>
          </w:p>
        </w:tc>
      </w:tr>
    </w:tbl>
    <w:p w14:paraId="73C93537" w14:textId="77777777" w:rsidR="00DC7009" w:rsidRDefault="00DC7009" w:rsidP="00C92ECE">
      <w:pPr>
        <w:spacing w:after="0" w:line="276" w:lineRule="auto"/>
        <w:contextualSpacing/>
        <w:rPr>
          <w:rFonts w:ascii="Arial" w:eastAsia="Calibri" w:hAnsi="Arial" w:cs="Arial"/>
          <w:sz w:val="24"/>
          <w:szCs w:val="24"/>
        </w:rPr>
      </w:pPr>
    </w:p>
    <w:p w14:paraId="4F720324" w14:textId="31421700" w:rsidR="00BC6809" w:rsidRDefault="00BC6809" w:rsidP="00735BCB">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Strong emphasis on promoting Welsh language skills, bilingual learning, and the Active Offer across all regions.</w:t>
      </w:r>
    </w:p>
    <w:p w14:paraId="0C738D5D" w14:textId="77777777" w:rsidR="00585814" w:rsidRPr="00C92ECE" w:rsidRDefault="00585814" w:rsidP="00C92ECE">
      <w:pPr>
        <w:spacing w:after="0" w:line="276" w:lineRule="auto"/>
        <w:ind w:left="567"/>
        <w:contextualSpacing/>
        <w:rPr>
          <w:rFonts w:ascii="Arial" w:eastAsia="Calibri" w:hAnsi="Arial" w:cs="Arial"/>
          <w:sz w:val="24"/>
          <w:szCs w:val="24"/>
        </w:rPr>
      </w:pPr>
    </w:p>
    <w:p w14:paraId="63EF5983" w14:textId="11E3FB44" w:rsidR="00BC6809" w:rsidRDefault="00BC6809" w:rsidP="00735BCB">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 xml:space="preserve">Training, </w:t>
      </w:r>
      <w:r w:rsidR="00B545FD">
        <w:rPr>
          <w:rFonts w:ascii="Arial" w:eastAsia="Calibri" w:hAnsi="Arial" w:cs="Arial"/>
          <w:sz w:val="24"/>
          <w:szCs w:val="24"/>
        </w:rPr>
        <w:t>tailored</w:t>
      </w:r>
      <w:r w:rsidR="00B545FD" w:rsidRPr="00C92ECE">
        <w:rPr>
          <w:rFonts w:ascii="Arial" w:eastAsia="Calibri" w:hAnsi="Arial" w:cs="Arial"/>
          <w:sz w:val="24"/>
          <w:szCs w:val="24"/>
        </w:rPr>
        <w:t xml:space="preserve"> </w:t>
      </w:r>
      <w:r w:rsidRPr="00C92ECE">
        <w:rPr>
          <w:rFonts w:ascii="Arial" w:eastAsia="Calibri" w:hAnsi="Arial" w:cs="Arial"/>
          <w:sz w:val="24"/>
          <w:szCs w:val="24"/>
        </w:rPr>
        <w:t xml:space="preserve">support, and engagement initiatives </w:t>
      </w:r>
      <w:r w:rsidR="00B545FD">
        <w:rPr>
          <w:rFonts w:ascii="Arial" w:eastAsia="Calibri" w:hAnsi="Arial" w:cs="Arial"/>
          <w:sz w:val="24"/>
          <w:szCs w:val="24"/>
        </w:rPr>
        <w:t xml:space="preserve">are </w:t>
      </w:r>
      <w:r w:rsidR="00735BCB" w:rsidRPr="00C92ECE">
        <w:rPr>
          <w:rFonts w:ascii="Arial" w:eastAsia="Calibri" w:hAnsi="Arial" w:cs="Arial"/>
          <w:sz w:val="24"/>
          <w:szCs w:val="24"/>
        </w:rPr>
        <w:t>available for</w:t>
      </w:r>
      <w:r w:rsidRPr="00C92ECE">
        <w:rPr>
          <w:rFonts w:ascii="Arial" w:eastAsia="Calibri" w:hAnsi="Arial" w:cs="Arial"/>
          <w:sz w:val="24"/>
          <w:szCs w:val="24"/>
        </w:rPr>
        <w:t xml:space="preserve"> unpaid carers, personal assistants, and </w:t>
      </w:r>
      <w:r w:rsidR="00893004">
        <w:rPr>
          <w:rFonts w:ascii="Arial" w:eastAsia="Calibri" w:hAnsi="Arial" w:cs="Arial"/>
          <w:sz w:val="24"/>
          <w:szCs w:val="24"/>
        </w:rPr>
        <w:t>small care businesses</w:t>
      </w:r>
      <w:r w:rsidRPr="00C92ECE">
        <w:rPr>
          <w:rFonts w:ascii="Arial" w:eastAsia="Calibri" w:hAnsi="Arial" w:cs="Arial"/>
          <w:sz w:val="24"/>
          <w:szCs w:val="24"/>
        </w:rPr>
        <w:t>.</w:t>
      </w:r>
    </w:p>
    <w:p w14:paraId="3B081767" w14:textId="77777777" w:rsidR="00FF6B08" w:rsidRDefault="00FF6B08" w:rsidP="00C92ECE">
      <w:pPr>
        <w:pStyle w:val="ListParagraph"/>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FF6B08" w:rsidRPr="00132BF4" w14:paraId="46A961C2" w14:textId="77777777" w:rsidTr="00C92ECE">
        <w:trPr>
          <w:jc w:val="center"/>
        </w:trPr>
        <w:tc>
          <w:tcPr>
            <w:tcW w:w="9016" w:type="dxa"/>
          </w:tcPr>
          <w:p w14:paraId="08D74CC9" w14:textId="6CA79BC1" w:rsidR="00FF6B08" w:rsidRPr="00132BF4" w:rsidRDefault="00FF6B08" w:rsidP="00C92ECE">
            <w:pPr>
              <w:spacing w:line="276" w:lineRule="auto"/>
              <w:rPr>
                <w:rFonts w:ascii="Arial" w:eastAsia="Calibri" w:hAnsi="Arial" w:cs="Arial"/>
                <w:sz w:val="24"/>
                <w:szCs w:val="24"/>
              </w:rPr>
            </w:pPr>
            <w:r w:rsidRPr="00C92ECE">
              <w:rPr>
                <w:rFonts w:ascii="Arial" w:eastAsia="Calibri" w:hAnsi="Arial" w:cs="Arial"/>
                <w:bCs/>
                <w:sz w:val="24"/>
                <w:szCs w:val="24"/>
              </w:rPr>
              <w:t xml:space="preserve">In Ceredigion the offer of training to support unpaid carers and </w:t>
            </w:r>
            <w:r w:rsidR="00893004">
              <w:rPr>
                <w:rFonts w:ascii="Arial" w:eastAsia="Calibri" w:hAnsi="Arial" w:cs="Arial"/>
                <w:bCs/>
                <w:sz w:val="24"/>
                <w:szCs w:val="24"/>
              </w:rPr>
              <w:t xml:space="preserve">personal </w:t>
            </w:r>
            <w:r w:rsidR="00C65340">
              <w:rPr>
                <w:rFonts w:ascii="Arial" w:eastAsia="Calibri" w:hAnsi="Arial" w:cs="Arial"/>
                <w:bCs/>
                <w:sz w:val="24"/>
                <w:szCs w:val="24"/>
              </w:rPr>
              <w:t>assistants</w:t>
            </w:r>
            <w:r w:rsidRPr="00C92ECE">
              <w:rPr>
                <w:rFonts w:ascii="Arial" w:eastAsia="Calibri" w:hAnsi="Arial" w:cs="Arial"/>
                <w:bCs/>
                <w:sz w:val="24"/>
                <w:szCs w:val="24"/>
              </w:rPr>
              <w:t xml:space="preserve"> has been expanded to include </w:t>
            </w:r>
            <w:r w:rsidR="00893004">
              <w:rPr>
                <w:rFonts w:ascii="Arial" w:eastAsia="Calibri" w:hAnsi="Arial" w:cs="Arial"/>
                <w:bCs/>
                <w:sz w:val="24"/>
                <w:szCs w:val="24"/>
              </w:rPr>
              <w:t>tailored</w:t>
            </w:r>
            <w:r w:rsidRPr="00C92ECE">
              <w:rPr>
                <w:rFonts w:ascii="Arial" w:eastAsia="Calibri" w:hAnsi="Arial" w:cs="Arial"/>
                <w:bCs/>
                <w:sz w:val="24"/>
                <w:szCs w:val="24"/>
              </w:rPr>
              <w:t xml:space="preserve"> moving and handling support.</w:t>
            </w:r>
            <w:r w:rsidR="00132BF4">
              <w:rPr>
                <w:rFonts w:ascii="Arial" w:eastAsia="Calibri" w:hAnsi="Arial" w:cs="Arial"/>
                <w:bCs/>
                <w:sz w:val="24"/>
                <w:szCs w:val="24"/>
              </w:rPr>
              <w:t xml:space="preserve"> </w:t>
            </w:r>
            <w:r w:rsidRPr="00C92ECE">
              <w:rPr>
                <w:rFonts w:ascii="Arial" w:eastAsia="Calibri" w:hAnsi="Arial" w:cs="Arial"/>
                <w:bCs/>
                <w:sz w:val="24"/>
                <w:szCs w:val="24"/>
              </w:rPr>
              <w:t xml:space="preserve">Additional SCWWDP funding enabled a project to capture the experiences of unpaid </w:t>
            </w:r>
            <w:r w:rsidR="00703C30">
              <w:rPr>
                <w:rFonts w:ascii="Arial" w:eastAsia="Calibri" w:hAnsi="Arial" w:cs="Arial"/>
                <w:bCs/>
                <w:sz w:val="24"/>
                <w:szCs w:val="24"/>
              </w:rPr>
              <w:t>c</w:t>
            </w:r>
            <w:r w:rsidRPr="00C92ECE">
              <w:rPr>
                <w:rFonts w:ascii="Arial" w:eastAsia="Calibri" w:hAnsi="Arial" w:cs="Arial"/>
                <w:bCs/>
                <w:sz w:val="24"/>
                <w:szCs w:val="24"/>
              </w:rPr>
              <w:t>arers on film. These will be u</w:t>
            </w:r>
            <w:r w:rsidR="00703C30">
              <w:rPr>
                <w:rFonts w:ascii="Arial" w:eastAsia="Calibri" w:hAnsi="Arial" w:cs="Arial"/>
                <w:bCs/>
                <w:sz w:val="24"/>
                <w:szCs w:val="24"/>
              </w:rPr>
              <w:t>sed</w:t>
            </w:r>
            <w:r w:rsidRPr="00C92ECE">
              <w:rPr>
                <w:rFonts w:ascii="Arial" w:eastAsia="Calibri" w:hAnsi="Arial" w:cs="Arial"/>
                <w:bCs/>
                <w:sz w:val="24"/>
                <w:szCs w:val="24"/>
              </w:rPr>
              <w:t xml:space="preserve"> in future training on </w:t>
            </w:r>
            <w:r w:rsidR="00703C30">
              <w:rPr>
                <w:rFonts w:ascii="Arial" w:eastAsia="Calibri" w:hAnsi="Arial" w:cs="Arial"/>
                <w:bCs/>
                <w:sz w:val="24"/>
                <w:szCs w:val="24"/>
              </w:rPr>
              <w:t>c</w:t>
            </w:r>
            <w:r w:rsidRPr="00C92ECE">
              <w:rPr>
                <w:rFonts w:ascii="Arial" w:eastAsia="Calibri" w:hAnsi="Arial" w:cs="Arial"/>
                <w:bCs/>
                <w:sz w:val="24"/>
                <w:szCs w:val="24"/>
              </w:rPr>
              <w:t xml:space="preserve">arers </w:t>
            </w:r>
            <w:r w:rsidR="00703C30">
              <w:rPr>
                <w:rFonts w:ascii="Arial" w:eastAsia="Calibri" w:hAnsi="Arial" w:cs="Arial"/>
                <w:bCs/>
                <w:sz w:val="24"/>
                <w:szCs w:val="24"/>
              </w:rPr>
              <w:t>n</w:t>
            </w:r>
            <w:r w:rsidRPr="00C92ECE">
              <w:rPr>
                <w:rFonts w:ascii="Arial" w:eastAsia="Calibri" w:hAnsi="Arial" w:cs="Arial"/>
                <w:bCs/>
                <w:sz w:val="24"/>
                <w:szCs w:val="24"/>
              </w:rPr>
              <w:t xml:space="preserve">eeds </w:t>
            </w:r>
            <w:r w:rsidR="00703C30">
              <w:rPr>
                <w:rFonts w:ascii="Arial" w:eastAsia="Calibri" w:hAnsi="Arial" w:cs="Arial"/>
                <w:bCs/>
                <w:sz w:val="24"/>
                <w:szCs w:val="24"/>
              </w:rPr>
              <w:t>a</w:t>
            </w:r>
            <w:r w:rsidRPr="00C92ECE">
              <w:rPr>
                <w:rFonts w:ascii="Arial" w:eastAsia="Calibri" w:hAnsi="Arial" w:cs="Arial"/>
                <w:bCs/>
                <w:sz w:val="24"/>
                <w:szCs w:val="24"/>
              </w:rPr>
              <w:t>ssessments and have also been shared with the Open University for curriculum content.</w:t>
            </w:r>
            <w:r w:rsidR="00D04158" w:rsidRPr="00C92ECE">
              <w:rPr>
                <w:rFonts w:ascii="Arial" w:eastAsia="Calibri" w:hAnsi="Arial" w:cs="Arial"/>
                <w:bCs/>
                <w:sz w:val="24"/>
                <w:szCs w:val="24"/>
              </w:rPr>
              <w:t xml:space="preserve"> (Ceredigion – </w:t>
            </w:r>
            <w:r w:rsidR="00703C30">
              <w:rPr>
                <w:rFonts w:ascii="Arial" w:eastAsia="Calibri" w:hAnsi="Arial" w:cs="Arial"/>
                <w:bCs/>
                <w:sz w:val="24"/>
                <w:szCs w:val="24"/>
              </w:rPr>
              <w:t>w</w:t>
            </w:r>
            <w:r w:rsidR="00D04158" w:rsidRPr="00C92ECE">
              <w:rPr>
                <w:rFonts w:ascii="Arial" w:eastAsia="Calibri" w:hAnsi="Arial" w:cs="Arial"/>
                <w:bCs/>
                <w:sz w:val="24"/>
                <w:szCs w:val="24"/>
              </w:rPr>
              <w:t xml:space="preserve">est Wales </w:t>
            </w:r>
            <w:r w:rsidR="00703C30">
              <w:rPr>
                <w:rFonts w:ascii="Arial" w:eastAsia="Calibri" w:hAnsi="Arial" w:cs="Arial"/>
                <w:bCs/>
                <w:sz w:val="24"/>
                <w:szCs w:val="24"/>
              </w:rPr>
              <w:t>r</w:t>
            </w:r>
            <w:r w:rsidR="00D04158" w:rsidRPr="00C92ECE">
              <w:rPr>
                <w:rFonts w:ascii="Arial" w:eastAsia="Calibri" w:hAnsi="Arial" w:cs="Arial"/>
                <w:bCs/>
                <w:sz w:val="24"/>
                <w:szCs w:val="24"/>
              </w:rPr>
              <w:t>egion)</w:t>
            </w:r>
          </w:p>
        </w:tc>
      </w:tr>
    </w:tbl>
    <w:p w14:paraId="31748AE9" w14:textId="77777777" w:rsidR="00B315AD" w:rsidRDefault="00B315AD" w:rsidP="00BC6809">
      <w:pPr>
        <w:spacing w:after="0" w:line="240" w:lineRule="auto"/>
        <w:rPr>
          <w:rFonts w:ascii="Arial" w:eastAsia="Calibri" w:hAnsi="Arial" w:cs="Arial"/>
          <w:b/>
          <w:bCs/>
          <w:sz w:val="24"/>
          <w:szCs w:val="24"/>
          <w:highlight w:val="yellow"/>
        </w:rPr>
      </w:pPr>
    </w:p>
    <w:tbl>
      <w:tblPr>
        <w:tblStyle w:val="TableGrid"/>
        <w:tblW w:w="0" w:type="auto"/>
        <w:tblLook w:val="04A0" w:firstRow="1" w:lastRow="0" w:firstColumn="1" w:lastColumn="0" w:noHBand="0" w:noVBand="1"/>
      </w:tblPr>
      <w:tblGrid>
        <w:gridCol w:w="9016"/>
      </w:tblGrid>
      <w:tr w:rsidR="009125BE" w:rsidRPr="00C04759" w14:paraId="052FFC4A" w14:textId="77777777" w:rsidTr="009125BE">
        <w:tc>
          <w:tcPr>
            <w:tcW w:w="9016" w:type="dxa"/>
          </w:tcPr>
          <w:p w14:paraId="42844BEB" w14:textId="57C340F7" w:rsidR="00D91A2F" w:rsidRPr="00046C84" w:rsidRDefault="0051620B" w:rsidP="00C92ECE">
            <w:pPr>
              <w:pStyle w:val="TableParagraph"/>
              <w:ind w:right="66"/>
              <w:rPr>
                <w:iCs/>
                <w:sz w:val="24"/>
                <w:szCs w:val="24"/>
              </w:rPr>
            </w:pPr>
            <w:r>
              <w:rPr>
                <w:rFonts w:eastAsia="Calibri"/>
                <w:iCs/>
                <w:sz w:val="24"/>
                <w:szCs w:val="24"/>
              </w:rPr>
              <w:t>We regularly share i</w:t>
            </w:r>
            <w:r w:rsidR="00D91A2F" w:rsidRPr="00046C84">
              <w:rPr>
                <w:iCs/>
                <w:sz w:val="24"/>
                <w:szCs w:val="24"/>
              </w:rPr>
              <w:t xml:space="preserve">nformation about the training available </w:t>
            </w:r>
            <w:r>
              <w:rPr>
                <w:iCs/>
                <w:sz w:val="24"/>
                <w:szCs w:val="24"/>
              </w:rPr>
              <w:t xml:space="preserve">for unpaid carers and the third sector </w:t>
            </w:r>
            <w:r w:rsidR="00D91A2F" w:rsidRPr="00046C84">
              <w:rPr>
                <w:iCs/>
                <w:sz w:val="24"/>
                <w:szCs w:val="24"/>
              </w:rPr>
              <w:t>on our website</w:t>
            </w:r>
            <w:r>
              <w:rPr>
                <w:iCs/>
                <w:sz w:val="24"/>
                <w:szCs w:val="24"/>
              </w:rPr>
              <w:t xml:space="preserve"> and on our social </w:t>
            </w:r>
            <w:r w:rsidR="00785062">
              <w:rPr>
                <w:iCs/>
                <w:sz w:val="24"/>
                <w:szCs w:val="24"/>
              </w:rPr>
              <w:t>media.</w:t>
            </w:r>
            <w:r w:rsidR="00D91A2F" w:rsidRPr="00046C84">
              <w:rPr>
                <w:iCs/>
                <w:sz w:val="24"/>
                <w:szCs w:val="24"/>
              </w:rPr>
              <w:t xml:space="preserve"> E-</w:t>
            </w:r>
            <w:r>
              <w:rPr>
                <w:iCs/>
                <w:sz w:val="24"/>
                <w:szCs w:val="24"/>
              </w:rPr>
              <w:t>l</w:t>
            </w:r>
            <w:r w:rsidR="00D91A2F" w:rsidRPr="00046C84">
              <w:rPr>
                <w:iCs/>
                <w:sz w:val="24"/>
                <w:szCs w:val="24"/>
              </w:rPr>
              <w:t xml:space="preserve">earning is made accessible </w:t>
            </w:r>
            <w:r>
              <w:rPr>
                <w:iCs/>
                <w:sz w:val="24"/>
                <w:szCs w:val="24"/>
              </w:rPr>
              <w:t>through a l</w:t>
            </w:r>
            <w:r w:rsidR="00D91A2F" w:rsidRPr="00046C84">
              <w:rPr>
                <w:iCs/>
                <w:sz w:val="24"/>
                <w:szCs w:val="24"/>
              </w:rPr>
              <w:t xml:space="preserve">earning </w:t>
            </w:r>
            <w:r>
              <w:rPr>
                <w:iCs/>
                <w:sz w:val="24"/>
                <w:szCs w:val="24"/>
              </w:rPr>
              <w:t>p</w:t>
            </w:r>
            <w:r w:rsidR="00D91A2F" w:rsidRPr="00046C84">
              <w:rPr>
                <w:iCs/>
                <w:sz w:val="24"/>
                <w:szCs w:val="24"/>
              </w:rPr>
              <w:t xml:space="preserve">ool account to all who enquire. Representatives from the workforce team meet regularly with agencies </w:t>
            </w:r>
            <w:r>
              <w:rPr>
                <w:iCs/>
                <w:sz w:val="24"/>
                <w:szCs w:val="24"/>
              </w:rPr>
              <w:t>through the new</w:t>
            </w:r>
            <w:r w:rsidR="00D91A2F" w:rsidRPr="00046C84">
              <w:rPr>
                <w:iCs/>
                <w:sz w:val="24"/>
                <w:szCs w:val="24"/>
              </w:rPr>
              <w:t xml:space="preserve"> Carers Strategy and Dementia Strategy Group</w:t>
            </w:r>
            <w:r>
              <w:rPr>
                <w:iCs/>
                <w:sz w:val="24"/>
                <w:szCs w:val="24"/>
              </w:rPr>
              <w:t>,</w:t>
            </w:r>
            <w:r w:rsidR="00D91A2F" w:rsidRPr="00046C84">
              <w:rPr>
                <w:iCs/>
                <w:sz w:val="24"/>
                <w:szCs w:val="24"/>
              </w:rPr>
              <w:t xml:space="preserve"> to discuss </w:t>
            </w:r>
            <w:r>
              <w:rPr>
                <w:iCs/>
                <w:sz w:val="24"/>
                <w:szCs w:val="24"/>
              </w:rPr>
              <w:t>unpaid carers’</w:t>
            </w:r>
            <w:r w:rsidR="00D91A2F" w:rsidRPr="00046C84">
              <w:rPr>
                <w:iCs/>
                <w:sz w:val="24"/>
                <w:szCs w:val="24"/>
              </w:rPr>
              <w:t xml:space="preserve"> training needs </w:t>
            </w:r>
            <w:r>
              <w:rPr>
                <w:iCs/>
                <w:sz w:val="24"/>
                <w:szCs w:val="24"/>
              </w:rPr>
              <w:t>and</w:t>
            </w:r>
            <w:r w:rsidR="00D91A2F" w:rsidRPr="00046C84">
              <w:rPr>
                <w:iCs/>
                <w:sz w:val="24"/>
                <w:szCs w:val="24"/>
              </w:rPr>
              <w:t xml:space="preserve"> opportunities. (Ynys Môn – </w:t>
            </w:r>
            <w:r w:rsidR="00B06835">
              <w:rPr>
                <w:iCs/>
                <w:sz w:val="24"/>
                <w:szCs w:val="24"/>
              </w:rPr>
              <w:t>n</w:t>
            </w:r>
            <w:r w:rsidR="00D91A2F" w:rsidRPr="00046C84">
              <w:rPr>
                <w:iCs/>
                <w:sz w:val="24"/>
                <w:szCs w:val="24"/>
              </w:rPr>
              <w:t xml:space="preserve">orth Wales </w:t>
            </w:r>
            <w:r w:rsidR="00B06835">
              <w:rPr>
                <w:iCs/>
                <w:sz w:val="24"/>
                <w:szCs w:val="24"/>
              </w:rPr>
              <w:t>r</w:t>
            </w:r>
            <w:r w:rsidR="00D91A2F" w:rsidRPr="00046C84">
              <w:rPr>
                <w:iCs/>
                <w:sz w:val="24"/>
                <w:szCs w:val="24"/>
              </w:rPr>
              <w:t>egion)</w:t>
            </w:r>
          </w:p>
          <w:p w14:paraId="58711498" w14:textId="77777777" w:rsidR="009125BE" w:rsidRPr="00C04759" w:rsidRDefault="009125BE" w:rsidP="00BC6809">
            <w:pPr>
              <w:rPr>
                <w:rFonts w:ascii="Arial" w:eastAsia="Calibri" w:hAnsi="Arial" w:cs="Arial"/>
                <w:b/>
                <w:bCs/>
                <w:sz w:val="24"/>
                <w:szCs w:val="24"/>
                <w:highlight w:val="yellow"/>
              </w:rPr>
            </w:pPr>
          </w:p>
        </w:tc>
      </w:tr>
    </w:tbl>
    <w:p w14:paraId="47D8EAB3" w14:textId="77777777" w:rsidR="009125BE" w:rsidRPr="00C04759" w:rsidRDefault="009125BE" w:rsidP="00BC6809">
      <w:pPr>
        <w:spacing w:after="0" w:line="240" w:lineRule="auto"/>
        <w:rPr>
          <w:rFonts w:ascii="Arial" w:eastAsia="Calibri" w:hAnsi="Arial" w:cs="Arial"/>
          <w:b/>
          <w:bCs/>
          <w:sz w:val="24"/>
          <w:szCs w:val="24"/>
          <w:highlight w:val="yellow"/>
        </w:rPr>
      </w:pPr>
    </w:p>
    <w:tbl>
      <w:tblPr>
        <w:tblStyle w:val="TableGrid"/>
        <w:tblW w:w="0" w:type="auto"/>
        <w:tblLook w:val="04A0" w:firstRow="1" w:lastRow="0" w:firstColumn="1" w:lastColumn="0" w:noHBand="0" w:noVBand="1"/>
      </w:tblPr>
      <w:tblGrid>
        <w:gridCol w:w="9016"/>
      </w:tblGrid>
      <w:tr w:rsidR="00C04759" w:rsidRPr="00C04759" w14:paraId="2CBBB07B" w14:textId="77777777" w:rsidTr="00BC7A1C">
        <w:tc>
          <w:tcPr>
            <w:tcW w:w="9016" w:type="dxa"/>
          </w:tcPr>
          <w:p w14:paraId="6134839E" w14:textId="6F6E50CE" w:rsidR="00BC7A1C" w:rsidRPr="00046C84" w:rsidRDefault="00BC7A1C" w:rsidP="00BC7A1C">
            <w:pPr>
              <w:rPr>
                <w:rFonts w:ascii="Arial" w:eastAsia="Calibri" w:hAnsi="Arial" w:cs="Arial"/>
                <w:sz w:val="24"/>
                <w:szCs w:val="24"/>
              </w:rPr>
            </w:pPr>
            <w:r w:rsidRPr="00046C84">
              <w:rPr>
                <w:rFonts w:ascii="Arial" w:eastAsia="Calibri" w:hAnsi="Arial" w:cs="Arial"/>
                <w:sz w:val="24"/>
                <w:szCs w:val="24"/>
              </w:rPr>
              <w:t xml:space="preserve">Denbighshire </w:t>
            </w:r>
            <w:r w:rsidR="009E4D68">
              <w:rPr>
                <w:rFonts w:ascii="Arial" w:eastAsia="Calibri" w:hAnsi="Arial" w:cs="Arial"/>
                <w:sz w:val="24"/>
                <w:szCs w:val="24"/>
              </w:rPr>
              <w:t>is taking part</w:t>
            </w:r>
            <w:r w:rsidR="00076EB2">
              <w:rPr>
                <w:rFonts w:ascii="Arial" w:eastAsia="Calibri" w:hAnsi="Arial" w:cs="Arial"/>
                <w:sz w:val="24"/>
                <w:szCs w:val="24"/>
              </w:rPr>
              <w:t xml:space="preserve"> in</w:t>
            </w:r>
            <w:r w:rsidRPr="00046C84">
              <w:rPr>
                <w:rFonts w:ascii="Arial" w:eastAsia="Calibri" w:hAnsi="Arial" w:cs="Arial"/>
                <w:sz w:val="24"/>
                <w:szCs w:val="24"/>
              </w:rPr>
              <w:t xml:space="preserve"> Change Group </w:t>
            </w:r>
            <w:r w:rsidR="00076EB2">
              <w:rPr>
                <w:rFonts w:ascii="Arial" w:eastAsia="Calibri" w:hAnsi="Arial" w:cs="Arial"/>
                <w:sz w:val="24"/>
                <w:szCs w:val="24"/>
              </w:rPr>
              <w:t>m</w:t>
            </w:r>
            <w:r w:rsidRPr="00046C84">
              <w:rPr>
                <w:rFonts w:ascii="Arial" w:eastAsia="Calibri" w:hAnsi="Arial" w:cs="Arial"/>
                <w:sz w:val="24"/>
                <w:szCs w:val="24"/>
              </w:rPr>
              <w:t xml:space="preserve">eetings </w:t>
            </w:r>
            <w:r w:rsidR="00A547B8" w:rsidRPr="00046C84">
              <w:rPr>
                <w:rFonts w:ascii="Arial" w:eastAsia="Calibri" w:hAnsi="Arial" w:cs="Arial"/>
                <w:sz w:val="24"/>
                <w:szCs w:val="24"/>
              </w:rPr>
              <w:t xml:space="preserve">with the Edge of Care Team </w:t>
            </w:r>
            <w:r w:rsidRPr="00046C84">
              <w:rPr>
                <w:rFonts w:ascii="Arial" w:eastAsia="Calibri" w:hAnsi="Arial" w:cs="Arial"/>
                <w:sz w:val="24"/>
                <w:szCs w:val="24"/>
              </w:rPr>
              <w:t xml:space="preserve">to discuss the need and impact of </w:t>
            </w:r>
            <w:r w:rsidR="00076EB2">
              <w:rPr>
                <w:rFonts w:ascii="Arial" w:eastAsia="Calibri" w:hAnsi="Arial" w:cs="Arial"/>
                <w:sz w:val="24"/>
                <w:szCs w:val="24"/>
              </w:rPr>
              <w:t>m</w:t>
            </w:r>
            <w:r w:rsidRPr="00046C84">
              <w:rPr>
                <w:rFonts w:ascii="Arial" w:eastAsia="Calibri" w:hAnsi="Arial" w:cs="Arial"/>
                <w:sz w:val="24"/>
                <w:szCs w:val="24"/>
              </w:rPr>
              <w:t xml:space="preserve">icro-providers, </w:t>
            </w:r>
            <w:r w:rsidR="00076EB2">
              <w:rPr>
                <w:rFonts w:ascii="Arial" w:eastAsia="Calibri" w:hAnsi="Arial" w:cs="Arial"/>
                <w:sz w:val="24"/>
                <w:szCs w:val="24"/>
              </w:rPr>
              <w:t>personal assistants</w:t>
            </w:r>
            <w:r w:rsidRPr="00046C84">
              <w:rPr>
                <w:rFonts w:ascii="Arial" w:eastAsia="Calibri" w:hAnsi="Arial" w:cs="Arial"/>
                <w:sz w:val="24"/>
                <w:szCs w:val="24"/>
              </w:rPr>
              <w:t xml:space="preserve"> and volunteers. All e</w:t>
            </w:r>
            <w:r w:rsidR="003060BC">
              <w:rPr>
                <w:rFonts w:ascii="Arial" w:eastAsia="Calibri" w:hAnsi="Arial" w:cs="Arial"/>
                <w:sz w:val="24"/>
                <w:szCs w:val="24"/>
              </w:rPr>
              <w:t>-</w:t>
            </w:r>
            <w:r w:rsidR="00A547B8">
              <w:rPr>
                <w:rFonts w:ascii="Arial" w:eastAsia="Calibri" w:hAnsi="Arial" w:cs="Arial"/>
                <w:sz w:val="24"/>
                <w:szCs w:val="24"/>
              </w:rPr>
              <w:t>l</w:t>
            </w:r>
            <w:r w:rsidRPr="00046C84">
              <w:rPr>
                <w:rFonts w:ascii="Arial" w:eastAsia="Calibri" w:hAnsi="Arial" w:cs="Arial"/>
                <w:sz w:val="24"/>
                <w:szCs w:val="24"/>
              </w:rPr>
              <w:t xml:space="preserve">earning content is made available along with face-to-face </w:t>
            </w:r>
            <w:r w:rsidR="003060BC">
              <w:rPr>
                <w:rFonts w:ascii="Arial" w:eastAsia="Calibri" w:hAnsi="Arial" w:cs="Arial"/>
                <w:sz w:val="24"/>
                <w:szCs w:val="24"/>
              </w:rPr>
              <w:t xml:space="preserve">training </w:t>
            </w:r>
            <w:r w:rsidRPr="00046C84">
              <w:rPr>
                <w:rFonts w:ascii="Arial" w:eastAsia="Calibri" w:hAnsi="Arial" w:cs="Arial"/>
                <w:sz w:val="24"/>
                <w:szCs w:val="24"/>
              </w:rPr>
              <w:t xml:space="preserve">where available. (Denbighshire – </w:t>
            </w:r>
            <w:r w:rsidR="0051620B">
              <w:rPr>
                <w:rFonts w:ascii="Arial" w:eastAsia="Calibri" w:hAnsi="Arial" w:cs="Arial"/>
                <w:sz w:val="24"/>
                <w:szCs w:val="24"/>
              </w:rPr>
              <w:t>n</w:t>
            </w:r>
            <w:r w:rsidRPr="00046C84">
              <w:rPr>
                <w:rFonts w:ascii="Arial" w:eastAsia="Calibri" w:hAnsi="Arial" w:cs="Arial"/>
                <w:sz w:val="24"/>
                <w:szCs w:val="24"/>
              </w:rPr>
              <w:t xml:space="preserve">orth Wales </w:t>
            </w:r>
            <w:r w:rsidR="0051620B">
              <w:rPr>
                <w:rFonts w:ascii="Arial" w:eastAsia="Calibri" w:hAnsi="Arial" w:cs="Arial"/>
                <w:sz w:val="24"/>
                <w:szCs w:val="24"/>
              </w:rPr>
              <w:t>r</w:t>
            </w:r>
            <w:r w:rsidRPr="00046C84">
              <w:rPr>
                <w:rFonts w:ascii="Arial" w:eastAsia="Calibri" w:hAnsi="Arial" w:cs="Arial"/>
                <w:sz w:val="24"/>
                <w:szCs w:val="24"/>
              </w:rPr>
              <w:t>egion)</w:t>
            </w:r>
          </w:p>
          <w:p w14:paraId="07B458B4" w14:textId="77777777" w:rsidR="00BC7A1C" w:rsidRPr="00C04759" w:rsidRDefault="00BC7A1C" w:rsidP="00BC6809">
            <w:pPr>
              <w:rPr>
                <w:rFonts w:ascii="Arial" w:eastAsia="Calibri" w:hAnsi="Arial" w:cs="Arial"/>
                <w:b/>
                <w:bCs/>
                <w:sz w:val="24"/>
                <w:szCs w:val="24"/>
                <w:highlight w:val="yellow"/>
              </w:rPr>
            </w:pPr>
          </w:p>
        </w:tc>
      </w:tr>
    </w:tbl>
    <w:p w14:paraId="639A8264" w14:textId="77777777" w:rsidR="009125BE" w:rsidRDefault="009125BE" w:rsidP="00BC6809">
      <w:pPr>
        <w:spacing w:after="0" w:line="240" w:lineRule="auto"/>
        <w:rPr>
          <w:rFonts w:ascii="Arial" w:eastAsia="Calibri" w:hAnsi="Arial" w:cs="Arial"/>
          <w:b/>
          <w:bCs/>
          <w:sz w:val="24"/>
          <w:szCs w:val="24"/>
          <w:highlight w:val="yellow"/>
        </w:rPr>
      </w:pPr>
    </w:p>
    <w:p w14:paraId="73DE228C" w14:textId="77777777" w:rsidR="00BB0095" w:rsidRDefault="00BB0095" w:rsidP="00BC6809">
      <w:pPr>
        <w:spacing w:after="0" w:line="240" w:lineRule="auto"/>
        <w:rPr>
          <w:rFonts w:ascii="Arial" w:eastAsia="Calibri" w:hAnsi="Arial" w:cs="Arial"/>
          <w:b/>
          <w:bCs/>
          <w:sz w:val="24"/>
          <w:szCs w:val="24"/>
          <w:highlight w:val="yellow"/>
        </w:rPr>
      </w:pPr>
    </w:p>
    <w:p w14:paraId="7049E3D5" w14:textId="1BE1E317" w:rsidR="00BC6809" w:rsidRPr="00BB471B" w:rsidRDefault="00BC6809" w:rsidP="00BC6809">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Workforce </w:t>
      </w:r>
      <w:r w:rsidR="003060BC" w:rsidRPr="00BB471B">
        <w:rPr>
          <w:rFonts w:ascii="Arial" w:eastAsia="Calibri" w:hAnsi="Arial" w:cs="Arial"/>
          <w:b/>
          <w:bCs/>
          <w:sz w:val="24"/>
          <w:szCs w:val="24"/>
        </w:rPr>
        <w:t>d</w:t>
      </w:r>
      <w:r w:rsidRPr="00BB471B">
        <w:rPr>
          <w:rFonts w:ascii="Arial" w:eastAsia="Calibri" w:hAnsi="Arial" w:cs="Arial"/>
          <w:b/>
          <w:bCs/>
          <w:sz w:val="24"/>
          <w:szCs w:val="24"/>
        </w:rPr>
        <w:t xml:space="preserve">ata and </w:t>
      </w:r>
      <w:r w:rsidR="003060BC" w:rsidRPr="00BB471B">
        <w:rPr>
          <w:rFonts w:ascii="Arial" w:eastAsia="Calibri" w:hAnsi="Arial" w:cs="Arial"/>
          <w:b/>
          <w:bCs/>
          <w:sz w:val="24"/>
          <w:szCs w:val="24"/>
        </w:rPr>
        <w:t>p</w:t>
      </w:r>
      <w:r w:rsidRPr="00BB471B">
        <w:rPr>
          <w:rFonts w:ascii="Arial" w:eastAsia="Calibri" w:hAnsi="Arial" w:cs="Arial"/>
          <w:b/>
          <w:bCs/>
          <w:sz w:val="24"/>
          <w:szCs w:val="24"/>
        </w:rPr>
        <w:t>lanning</w:t>
      </w:r>
    </w:p>
    <w:p w14:paraId="6875CC65" w14:textId="77777777" w:rsidR="00B315AD" w:rsidRPr="00C92ECE" w:rsidRDefault="00B315AD" w:rsidP="00BC6809">
      <w:pPr>
        <w:spacing w:after="0" w:line="240" w:lineRule="auto"/>
        <w:rPr>
          <w:rFonts w:ascii="Arial" w:eastAsia="Calibri" w:hAnsi="Arial" w:cs="Arial"/>
          <w:b/>
          <w:bCs/>
          <w:sz w:val="24"/>
          <w:szCs w:val="24"/>
        </w:rPr>
      </w:pPr>
    </w:p>
    <w:p w14:paraId="5DB65C23" w14:textId="50425DE6" w:rsidR="00BC6809" w:rsidRPr="00C92ECE" w:rsidRDefault="000217C0" w:rsidP="00C92ECE">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 xml:space="preserve"> Work is</w:t>
      </w:r>
      <w:r w:rsidR="006653D9" w:rsidRPr="00C92ECE">
        <w:rPr>
          <w:rFonts w:ascii="Arial" w:eastAsia="Calibri" w:hAnsi="Arial" w:cs="Arial"/>
          <w:sz w:val="24"/>
          <w:szCs w:val="24"/>
        </w:rPr>
        <w:t xml:space="preserve"> o</w:t>
      </w:r>
      <w:r w:rsidR="00BC6809" w:rsidRPr="00C92ECE">
        <w:rPr>
          <w:rFonts w:ascii="Arial" w:eastAsia="Calibri" w:hAnsi="Arial" w:cs="Arial"/>
          <w:sz w:val="24"/>
          <w:szCs w:val="24"/>
        </w:rPr>
        <w:t xml:space="preserve">ngoing to </w:t>
      </w:r>
      <w:r>
        <w:rPr>
          <w:rFonts w:ascii="Arial" w:eastAsia="Calibri" w:hAnsi="Arial" w:cs="Arial"/>
          <w:sz w:val="24"/>
          <w:szCs w:val="24"/>
        </w:rPr>
        <w:t>improve</w:t>
      </w:r>
      <w:r w:rsidR="00BC6809" w:rsidRPr="00C92ECE">
        <w:rPr>
          <w:rFonts w:ascii="Arial" w:eastAsia="Calibri" w:hAnsi="Arial" w:cs="Arial"/>
          <w:sz w:val="24"/>
          <w:szCs w:val="24"/>
        </w:rPr>
        <w:t xml:space="preserve"> workforce data collection, automate reporting, and use data for strategic planning.</w:t>
      </w:r>
    </w:p>
    <w:p w14:paraId="423BC13D" w14:textId="77777777" w:rsidR="00B315AD" w:rsidRPr="00C92ECE" w:rsidRDefault="00B315AD" w:rsidP="00C92ECE">
      <w:pPr>
        <w:spacing w:after="0" w:line="276" w:lineRule="auto"/>
        <w:ind w:left="567"/>
        <w:contextualSpacing/>
        <w:rPr>
          <w:rFonts w:ascii="Arial" w:eastAsia="Calibri" w:hAnsi="Arial" w:cs="Arial"/>
          <w:sz w:val="24"/>
          <w:szCs w:val="24"/>
        </w:rPr>
      </w:pPr>
    </w:p>
    <w:p w14:paraId="37F98B00" w14:textId="511C3576" w:rsidR="00BC6809" w:rsidRDefault="00BC6809" w:rsidP="00C92ECE">
      <w:pPr>
        <w:numPr>
          <w:ilvl w:val="0"/>
          <w:numId w:val="6"/>
        </w:numPr>
        <w:spacing w:after="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 xml:space="preserve">Many regions are working closely with internal </w:t>
      </w:r>
      <w:r w:rsidR="00B315AD" w:rsidRPr="00C92ECE">
        <w:rPr>
          <w:rFonts w:ascii="Arial" w:eastAsia="Calibri" w:hAnsi="Arial" w:cs="Arial"/>
          <w:sz w:val="24"/>
          <w:szCs w:val="24"/>
        </w:rPr>
        <w:t xml:space="preserve">business intelligence and HR </w:t>
      </w:r>
      <w:r w:rsidRPr="00C92ECE">
        <w:rPr>
          <w:rFonts w:ascii="Arial" w:eastAsia="Calibri" w:hAnsi="Arial" w:cs="Arial"/>
          <w:sz w:val="24"/>
          <w:szCs w:val="24"/>
        </w:rPr>
        <w:t>teams</w:t>
      </w:r>
      <w:r w:rsidR="00B315AD" w:rsidRPr="00C92ECE">
        <w:rPr>
          <w:rFonts w:ascii="Arial" w:eastAsia="Calibri" w:hAnsi="Arial" w:cs="Arial"/>
          <w:sz w:val="24"/>
          <w:szCs w:val="24"/>
        </w:rPr>
        <w:t xml:space="preserve"> </w:t>
      </w:r>
      <w:r w:rsidRPr="00C92ECE">
        <w:rPr>
          <w:rFonts w:ascii="Arial" w:eastAsia="Calibri" w:hAnsi="Arial" w:cs="Arial"/>
          <w:sz w:val="24"/>
          <w:szCs w:val="24"/>
        </w:rPr>
        <w:t>to improve data reliability and inform workforce planning.</w:t>
      </w:r>
    </w:p>
    <w:tbl>
      <w:tblPr>
        <w:tblStyle w:val="TableGrid"/>
        <w:tblW w:w="0" w:type="auto"/>
        <w:jc w:val="center"/>
        <w:tblLook w:val="04A0" w:firstRow="1" w:lastRow="0" w:firstColumn="1" w:lastColumn="0" w:noHBand="0" w:noVBand="1"/>
      </w:tblPr>
      <w:tblGrid>
        <w:gridCol w:w="9016"/>
      </w:tblGrid>
      <w:tr w:rsidR="006B563E" w:rsidRPr="00C92ECE" w14:paraId="6D76ABE2" w14:textId="77777777" w:rsidTr="00C92ECE">
        <w:trPr>
          <w:jc w:val="center"/>
        </w:trPr>
        <w:tc>
          <w:tcPr>
            <w:tcW w:w="9016" w:type="dxa"/>
          </w:tcPr>
          <w:p w14:paraId="27A23312" w14:textId="3604E8E3" w:rsidR="00156831" w:rsidRPr="00C92ECE" w:rsidRDefault="00156831" w:rsidP="00156831">
            <w:pPr>
              <w:rPr>
                <w:rFonts w:ascii="Arial" w:eastAsia="Calibri" w:hAnsi="Arial" w:cs="Arial"/>
                <w:bCs/>
                <w:sz w:val="24"/>
                <w:szCs w:val="24"/>
              </w:rPr>
            </w:pPr>
            <w:r w:rsidRPr="00C92ECE">
              <w:rPr>
                <w:rFonts w:ascii="Arial" w:eastAsia="Calibri" w:hAnsi="Arial" w:cs="Arial"/>
                <w:bCs/>
                <w:sz w:val="24"/>
                <w:szCs w:val="24"/>
              </w:rPr>
              <w:lastRenderedPageBreak/>
              <w:t>After review</w:t>
            </w:r>
            <w:r w:rsidR="009623ED">
              <w:rPr>
                <w:rFonts w:ascii="Arial" w:eastAsia="Calibri" w:hAnsi="Arial" w:cs="Arial"/>
                <w:bCs/>
                <w:sz w:val="24"/>
                <w:szCs w:val="24"/>
              </w:rPr>
              <w:t xml:space="preserve">ing </w:t>
            </w:r>
            <w:r w:rsidRPr="00C92ECE">
              <w:rPr>
                <w:rFonts w:ascii="Arial" w:eastAsia="Calibri" w:hAnsi="Arial" w:cs="Arial"/>
                <w:bCs/>
                <w:sz w:val="24"/>
                <w:szCs w:val="24"/>
              </w:rPr>
              <w:t>the data, we</w:t>
            </w:r>
            <w:r w:rsidR="002005D6">
              <w:rPr>
                <w:rFonts w:ascii="Arial" w:eastAsia="Calibri" w:hAnsi="Arial" w:cs="Arial"/>
                <w:bCs/>
                <w:sz w:val="24"/>
                <w:szCs w:val="24"/>
              </w:rPr>
              <w:t>’ve</w:t>
            </w:r>
            <w:r w:rsidRPr="00C92ECE">
              <w:rPr>
                <w:rFonts w:ascii="Arial" w:eastAsia="Calibri" w:hAnsi="Arial" w:cs="Arial"/>
                <w:bCs/>
                <w:sz w:val="24"/>
                <w:szCs w:val="24"/>
              </w:rPr>
              <w:t xml:space="preserve"> worked closely with our </w:t>
            </w:r>
            <w:r w:rsidR="002005D6">
              <w:rPr>
                <w:rFonts w:ascii="Arial" w:eastAsia="Calibri" w:hAnsi="Arial" w:cs="Arial"/>
                <w:bCs/>
                <w:sz w:val="24"/>
                <w:szCs w:val="24"/>
              </w:rPr>
              <w:t>b</w:t>
            </w:r>
            <w:r w:rsidRPr="00C92ECE">
              <w:rPr>
                <w:rFonts w:ascii="Arial" w:eastAsia="Calibri" w:hAnsi="Arial" w:cs="Arial"/>
                <w:bCs/>
                <w:sz w:val="24"/>
                <w:szCs w:val="24"/>
              </w:rPr>
              <w:t xml:space="preserve">usiness </w:t>
            </w:r>
            <w:r w:rsidR="002005D6">
              <w:rPr>
                <w:rFonts w:ascii="Arial" w:eastAsia="Calibri" w:hAnsi="Arial" w:cs="Arial"/>
                <w:bCs/>
                <w:sz w:val="24"/>
                <w:szCs w:val="24"/>
              </w:rPr>
              <w:t>i</w:t>
            </w:r>
            <w:r w:rsidRPr="00C92ECE">
              <w:rPr>
                <w:rFonts w:ascii="Arial" w:eastAsia="Calibri" w:hAnsi="Arial" w:cs="Arial"/>
                <w:bCs/>
                <w:sz w:val="24"/>
                <w:szCs w:val="24"/>
              </w:rPr>
              <w:t xml:space="preserve">ntelligence and HR colleagues to </w:t>
            </w:r>
            <w:r w:rsidR="009623ED">
              <w:rPr>
                <w:rFonts w:ascii="Arial" w:eastAsia="Calibri" w:hAnsi="Arial" w:cs="Arial"/>
                <w:bCs/>
                <w:sz w:val="24"/>
                <w:szCs w:val="24"/>
              </w:rPr>
              <w:t xml:space="preserve">fill in any </w:t>
            </w:r>
            <w:r w:rsidR="00785062">
              <w:rPr>
                <w:rFonts w:ascii="Arial" w:eastAsia="Calibri" w:hAnsi="Arial" w:cs="Arial"/>
                <w:bCs/>
                <w:sz w:val="24"/>
                <w:szCs w:val="24"/>
              </w:rPr>
              <w:t>gaps.</w:t>
            </w:r>
            <w:r w:rsidRPr="00C92ECE">
              <w:rPr>
                <w:rFonts w:ascii="Arial" w:eastAsia="Calibri" w:hAnsi="Arial" w:cs="Arial"/>
                <w:bCs/>
                <w:sz w:val="24"/>
                <w:szCs w:val="24"/>
              </w:rPr>
              <w:t xml:space="preserve"> Recent communications to staff across the service areas have been sent to encourage updating sensitive information on our HR system </w:t>
            </w:r>
            <w:r w:rsidR="00DA2E96">
              <w:rPr>
                <w:rFonts w:ascii="Arial" w:eastAsia="Calibri" w:hAnsi="Arial" w:cs="Arial"/>
                <w:bCs/>
                <w:sz w:val="24"/>
                <w:szCs w:val="24"/>
              </w:rPr>
              <w:t>as</w:t>
            </w:r>
            <w:r w:rsidR="00DA2E96" w:rsidRPr="00C92ECE">
              <w:rPr>
                <w:rFonts w:ascii="Arial" w:eastAsia="Calibri" w:hAnsi="Arial" w:cs="Arial"/>
                <w:bCs/>
                <w:sz w:val="24"/>
                <w:szCs w:val="24"/>
              </w:rPr>
              <w:t xml:space="preserve"> </w:t>
            </w:r>
            <w:r w:rsidRPr="00C92ECE">
              <w:rPr>
                <w:rFonts w:ascii="Arial" w:eastAsia="Calibri" w:hAnsi="Arial" w:cs="Arial"/>
                <w:bCs/>
                <w:sz w:val="24"/>
                <w:szCs w:val="24"/>
              </w:rPr>
              <w:t>are part of the data collection.</w:t>
            </w:r>
          </w:p>
          <w:p w14:paraId="148E13FB" w14:textId="77777777" w:rsidR="00156831" w:rsidRPr="00C92ECE" w:rsidRDefault="00156831" w:rsidP="00156831">
            <w:pPr>
              <w:rPr>
                <w:rFonts w:ascii="Arial" w:eastAsia="Calibri" w:hAnsi="Arial" w:cs="Arial"/>
                <w:bCs/>
                <w:sz w:val="24"/>
                <w:szCs w:val="24"/>
              </w:rPr>
            </w:pPr>
          </w:p>
          <w:p w14:paraId="29A140E1" w14:textId="5D5EA365" w:rsidR="00156831" w:rsidRPr="00C92ECE" w:rsidRDefault="00156831" w:rsidP="00156831">
            <w:pPr>
              <w:rPr>
                <w:rFonts w:ascii="Arial" w:eastAsia="Calibri" w:hAnsi="Arial" w:cs="Arial"/>
                <w:bCs/>
                <w:sz w:val="24"/>
                <w:szCs w:val="24"/>
              </w:rPr>
            </w:pPr>
            <w:r w:rsidRPr="00C92ECE">
              <w:rPr>
                <w:rFonts w:ascii="Arial" w:eastAsia="Calibri" w:hAnsi="Arial" w:cs="Arial"/>
                <w:bCs/>
                <w:sz w:val="24"/>
                <w:szCs w:val="24"/>
              </w:rPr>
              <w:t>The department continues to develop automated reports from the HR TRENT system and will be creating an excel spreadsheet for bulk upload for this year</w:t>
            </w:r>
            <w:r w:rsidR="00A4425E">
              <w:rPr>
                <w:rFonts w:ascii="Arial" w:eastAsia="Calibri" w:hAnsi="Arial" w:cs="Arial"/>
                <w:bCs/>
                <w:sz w:val="24"/>
                <w:szCs w:val="24"/>
              </w:rPr>
              <w:t>’</w:t>
            </w:r>
            <w:r w:rsidRPr="00C92ECE">
              <w:rPr>
                <w:rFonts w:ascii="Arial" w:eastAsia="Calibri" w:hAnsi="Arial" w:cs="Arial"/>
                <w:bCs/>
                <w:sz w:val="24"/>
                <w:szCs w:val="24"/>
              </w:rPr>
              <w:t xml:space="preserve">s data submission. (Powys </w:t>
            </w:r>
            <w:r w:rsidR="00FF0BAE">
              <w:rPr>
                <w:rFonts w:ascii="Arial" w:eastAsia="Calibri" w:hAnsi="Arial" w:cs="Arial"/>
                <w:bCs/>
                <w:sz w:val="24"/>
                <w:szCs w:val="24"/>
              </w:rPr>
              <w:t>r</w:t>
            </w:r>
            <w:r w:rsidRPr="00C92ECE">
              <w:rPr>
                <w:rFonts w:ascii="Arial" w:eastAsia="Calibri" w:hAnsi="Arial" w:cs="Arial"/>
                <w:bCs/>
                <w:sz w:val="24"/>
                <w:szCs w:val="24"/>
              </w:rPr>
              <w:t>egion)</w:t>
            </w:r>
          </w:p>
          <w:p w14:paraId="18B4DC5D" w14:textId="77777777" w:rsidR="006B563E" w:rsidRPr="00E4291A" w:rsidRDefault="006B563E" w:rsidP="006B563E">
            <w:pPr>
              <w:rPr>
                <w:rFonts w:ascii="Arial" w:eastAsia="Calibri" w:hAnsi="Arial" w:cs="Arial"/>
                <w:sz w:val="24"/>
                <w:szCs w:val="24"/>
              </w:rPr>
            </w:pPr>
          </w:p>
        </w:tc>
      </w:tr>
    </w:tbl>
    <w:p w14:paraId="38F77B17" w14:textId="77777777" w:rsidR="006B563E" w:rsidRPr="00C92ECE" w:rsidRDefault="006B563E" w:rsidP="00C92ECE">
      <w:pPr>
        <w:spacing w:after="0" w:line="240" w:lineRule="auto"/>
        <w:ind w:left="720"/>
        <w:rPr>
          <w:rFonts w:ascii="Arial" w:eastAsia="Calibri" w:hAnsi="Arial" w:cs="Arial"/>
          <w:sz w:val="24"/>
          <w:szCs w:val="24"/>
        </w:rPr>
      </w:pPr>
    </w:p>
    <w:p w14:paraId="0E2CECE1" w14:textId="34A2AC80" w:rsidR="00EF43C3" w:rsidRPr="00636115" w:rsidRDefault="00EF43C3" w:rsidP="00EF43C3">
      <w:pPr>
        <w:numPr>
          <w:ilvl w:val="0"/>
          <w:numId w:val="6"/>
        </w:numPr>
        <w:spacing w:after="200" w:line="276" w:lineRule="auto"/>
        <w:ind w:left="567" w:hanging="425"/>
        <w:contextualSpacing/>
        <w:rPr>
          <w:rFonts w:asciiTheme="minorBidi" w:eastAsia="Calibri" w:hAnsiTheme="minorBidi"/>
          <w:bCs/>
          <w:sz w:val="24"/>
          <w:szCs w:val="24"/>
        </w:rPr>
      </w:pPr>
      <w:r w:rsidRPr="00636115">
        <w:rPr>
          <w:rFonts w:asciiTheme="minorBidi" w:eastAsia="Calibri" w:hAnsiTheme="minorBidi"/>
          <w:bCs/>
          <w:sz w:val="24"/>
          <w:szCs w:val="24"/>
        </w:rPr>
        <w:t xml:space="preserve">Some local authorities reported that they’d taken part in our </w:t>
      </w:r>
      <w:r w:rsidR="007E46EB" w:rsidRPr="00636115">
        <w:rPr>
          <w:rFonts w:asciiTheme="minorBidi" w:eastAsia="Calibri" w:hAnsiTheme="minorBidi"/>
          <w:bCs/>
          <w:sz w:val="24"/>
          <w:szCs w:val="24"/>
        </w:rPr>
        <w:t>programme of workforce planning support during 2024 to 2025</w:t>
      </w:r>
      <w:r w:rsidRPr="00636115">
        <w:rPr>
          <w:rFonts w:asciiTheme="minorBidi" w:eastAsia="Times New Roman" w:hAnsiTheme="minorBidi"/>
          <w:sz w:val="24"/>
          <w:szCs w:val="24"/>
          <w:lang w:eastAsia="en-GB"/>
        </w:rPr>
        <w:t xml:space="preserve">. </w:t>
      </w:r>
    </w:p>
    <w:p w14:paraId="18214F8C" w14:textId="77777777" w:rsidR="00B315AD" w:rsidRDefault="00B315AD" w:rsidP="00EF0AA9">
      <w:pPr>
        <w:spacing w:after="0" w:line="240" w:lineRule="auto"/>
        <w:rPr>
          <w:rFonts w:ascii="Arial" w:eastAsia="Calibri" w:hAnsi="Arial" w:cs="Arial"/>
          <w:sz w:val="24"/>
          <w:szCs w:val="24"/>
          <w:highlight w:val="yellow"/>
        </w:rPr>
      </w:pPr>
    </w:p>
    <w:tbl>
      <w:tblPr>
        <w:tblStyle w:val="TableGrid"/>
        <w:tblW w:w="0" w:type="auto"/>
        <w:tblLook w:val="04A0" w:firstRow="1" w:lastRow="0" w:firstColumn="1" w:lastColumn="0" w:noHBand="0" w:noVBand="1"/>
      </w:tblPr>
      <w:tblGrid>
        <w:gridCol w:w="9016"/>
      </w:tblGrid>
      <w:tr w:rsidR="00EF0AA9" w:rsidRPr="00EE5B03" w14:paraId="7F8AAAD4" w14:textId="77777777" w:rsidTr="00EF0AA9">
        <w:tc>
          <w:tcPr>
            <w:tcW w:w="9016" w:type="dxa"/>
          </w:tcPr>
          <w:p w14:paraId="0BA2870A" w14:textId="113B9775" w:rsidR="00082694" w:rsidRPr="00046C84" w:rsidRDefault="006C7F04" w:rsidP="00082694">
            <w:pPr>
              <w:rPr>
                <w:rFonts w:ascii="Arial" w:eastAsia="Calibri" w:hAnsi="Arial" w:cs="Arial"/>
                <w:bCs/>
                <w:sz w:val="24"/>
                <w:szCs w:val="24"/>
              </w:rPr>
            </w:pPr>
            <w:r>
              <w:rPr>
                <w:rFonts w:ascii="Arial" w:eastAsia="Calibri" w:hAnsi="Arial" w:cs="Arial"/>
                <w:bCs/>
                <w:sz w:val="24"/>
                <w:szCs w:val="24"/>
              </w:rPr>
              <w:t xml:space="preserve">We’ve </w:t>
            </w:r>
            <w:r w:rsidR="00082694" w:rsidRPr="00046C84">
              <w:rPr>
                <w:rFonts w:ascii="Arial" w:eastAsia="Calibri" w:hAnsi="Arial" w:cs="Arial"/>
                <w:bCs/>
                <w:sz w:val="24"/>
                <w:szCs w:val="24"/>
              </w:rPr>
              <w:t>been part of the WLGA</w:t>
            </w:r>
            <w:r>
              <w:rPr>
                <w:rFonts w:ascii="Arial" w:eastAsia="Calibri" w:hAnsi="Arial" w:cs="Arial"/>
                <w:bCs/>
                <w:sz w:val="24"/>
                <w:szCs w:val="24"/>
              </w:rPr>
              <w:t xml:space="preserve"> and Social Care Wales</w:t>
            </w:r>
            <w:r w:rsidR="00082694" w:rsidRPr="00046C84">
              <w:rPr>
                <w:rFonts w:ascii="Arial" w:eastAsia="Calibri" w:hAnsi="Arial" w:cs="Arial"/>
                <w:bCs/>
                <w:sz w:val="24"/>
                <w:szCs w:val="24"/>
              </w:rPr>
              <w:t xml:space="preserve"> </w:t>
            </w:r>
            <w:r>
              <w:rPr>
                <w:rFonts w:ascii="Arial" w:eastAsia="Calibri" w:hAnsi="Arial" w:cs="Arial"/>
                <w:bCs/>
                <w:sz w:val="24"/>
                <w:szCs w:val="24"/>
              </w:rPr>
              <w:t>w</w:t>
            </w:r>
            <w:r w:rsidR="00082694" w:rsidRPr="00046C84">
              <w:rPr>
                <w:rFonts w:ascii="Arial" w:eastAsia="Calibri" w:hAnsi="Arial" w:cs="Arial"/>
                <w:bCs/>
                <w:sz w:val="24"/>
                <w:szCs w:val="24"/>
              </w:rPr>
              <w:t xml:space="preserve">orkforce planning offer which has been excellent. Our HR team is undertaking a data analysis process, and we plan to implement many of the WLGA recommendations for planning when that process has been completed. (Gwynedd – </w:t>
            </w:r>
            <w:r>
              <w:rPr>
                <w:rFonts w:ascii="Arial" w:eastAsia="Calibri" w:hAnsi="Arial" w:cs="Arial"/>
                <w:bCs/>
                <w:sz w:val="24"/>
                <w:szCs w:val="24"/>
              </w:rPr>
              <w:t>n</w:t>
            </w:r>
            <w:r w:rsidR="00082694" w:rsidRPr="00046C84">
              <w:rPr>
                <w:rFonts w:ascii="Arial" w:eastAsia="Calibri" w:hAnsi="Arial" w:cs="Arial"/>
                <w:bCs/>
                <w:sz w:val="24"/>
                <w:szCs w:val="24"/>
              </w:rPr>
              <w:t xml:space="preserve">orth Wales </w:t>
            </w:r>
            <w:r>
              <w:rPr>
                <w:rFonts w:ascii="Arial" w:eastAsia="Calibri" w:hAnsi="Arial" w:cs="Arial"/>
                <w:bCs/>
                <w:sz w:val="24"/>
                <w:szCs w:val="24"/>
              </w:rPr>
              <w:t>r</w:t>
            </w:r>
            <w:r w:rsidR="00082694" w:rsidRPr="00046C84">
              <w:rPr>
                <w:rFonts w:ascii="Arial" w:eastAsia="Calibri" w:hAnsi="Arial" w:cs="Arial"/>
                <w:bCs/>
                <w:sz w:val="24"/>
                <w:szCs w:val="24"/>
              </w:rPr>
              <w:t>egion)</w:t>
            </w:r>
          </w:p>
          <w:p w14:paraId="3C6165C9" w14:textId="77777777" w:rsidR="00EF0AA9" w:rsidRPr="00EE5B03" w:rsidRDefault="00EF0AA9" w:rsidP="00EF0AA9">
            <w:pPr>
              <w:rPr>
                <w:rFonts w:ascii="Arial" w:eastAsia="Calibri" w:hAnsi="Arial" w:cs="Arial"/>
                <w:sz w:val="24"/>
                <w:szCs w:val="24"/>
                <w:highlight w:val="yellow"/>
              </w:rPr>
            </w:pPr>
          </w:p>
        </w:tc>
      </w:tr>
    </w:tbl>
    <w:p w14:paraId="08BD9C52" w14:textId="77777777" w:rsidR="00EF0AA9" w:rsidRDefault="00EF0AA9" w:rsidP="00EF0AA9">
      <w:pPr>
        <w:spacing w:after="0" w:line="240" w:lineRule="auto"/>
        <w:rPr>
          <w:rFonts w:ascii="Arial" w:eastAsia="Calibri" w:hAnsi="Arial" w:cs="Arial"/>
          <w:sz w:val="24"/>
          <w:szCs w:val="24"/>
          <w:highlight w:val="yellow"/>
        </w:rPr>
      </w:pPr>
    </w:p>
    <w:p w14:paraId="35028BC6" w14:textId="77777777" w:rsidR="00EF0AA9" w:rsidRDefault="00EF0AA9" w:rsidP="00EF0AA9">
      <w:pPr>
        <w:spacing w:after="0" w:line="240" w:lineRule="auto"/>
        <w:rPr>
          <w:rFonts w:ascii="Arial" w:eastAsia="Calibri" w:hAnsi="Arial" w:cs="Arial"/>
          <w:sz w:val="24"/>
          <w:szCs w:val="24"/>
          <w:highlight w:val="yellow"/>
        </w:rPr>
      </w:pPr>
    </w:p>
    <w:p w14:paraId="1A29E23C" w14:textId="1F6B616C" w:rsidR="00BC6809" w:rsidRPr="00BB471B" w:rsidRDefault="00BC6809" w:rsidP="00F64A6A">
      <w:pPr>
        <w:spacing w:after="0" w:line="240" w:lineRule="auto"/>
        <w:rPr>
          <w:rFonts w:ascii="Arial" w:eastAsia="Calibri" w:hAnsi="Arial" w:cs="Arial"/>
          <w:b/>
          <w:bCs/>
          <w:sz w:val="24"/>
          <w:szCs w:val="24"/>
        </w:rPr>
      </w:pPr>
      <w:r w:rsidRPr="00BB471B">
        <w:rPr>
          <w:rFonts w:ascii="Arial" w:eastAsia="Calibri" w:hAnsi="Arial" w:cs="Arial"/>
          <w:b/>
          <w:bCs/>
          <w:sz w:val="24"/>
          <w:szCs w:val="24"/>
        </w:rPr>
        <w:t xml:space="preserve">Innovation in </w:t>
      </w:r>
      <w:r w:rsidR="006C7F04" w:rsidRPr="00BB471B">
        <w:rPr>
          <w:rFonts w:ascii="Arial" w:eastAsia="Calibri" w:hAnsi="Arial" w:cs="Arial"/>
          <w:b/>
          <w:bCs/>
          <w:sz w:val="24"/>
          <w:szCs w:val="24"/>
        </w:rPr>
        <w:t>r</w:t>
      </w:r>
      <w:r w:rsidRPr="00BB471B">
        <w:rPr>
          <w:rFonts w:ascii="Arial" w:eastAsia="Calibri" w:hAnsi="Arial" w:cs="Arial"/>
          <w:b/>
          <w:bCs/>
          <w:sz w:val="24"/>
          <w:szCs w:val="24"/>
        </w:rPr>
        <w:t xml:space="preserve">ecruitment and </w:t>
      </w:r>
      <w:r w:rsidR="006C7F04" w:rsidRPr="00BB471B">
        <w:rPr>
          <w:rFonts w:ascii="Arial" w:eastAsia="Calibri" w:hAnsi="Arial" w:cs="Arial"/>
          <w:b/>
          <w:bCs/>
          <w:sz w:val="24"/>
          <w:szCs w:val="24"/>
        </w:rPr>
        <w:t>t</w:t>
      </w:r>
      <w:r w:rsidRPr="00BB471B">
        <w:rPr>
          <w:rFonts w:ascii="Arial" w:eastAsia="Calibri" w:hAnsi="Arial" w:cs="Arial"/>
          <w:b/>
          <w:bCs/>
          <w:sz w:val="24"/>
          <w:szCs w:val="24"/>
        </w:rPr>
        <w:t>raining</w:t>
      </w:r>
    </w:p>
    <w:p w14:paraId="34087551" w14:textId="77777777" w:rsidR="00AF2D1B" w:rsidRPr="00F64A6A" w:rsidRDefault="00AF2D1B" w:rsidP="00F64A6A">
      <w:pPr>
        <w:spacing w:after="0" w:line="240" w:lineRule="auto"/>
        <w:rPr>
          <w:rFonts w:ascii="Arial" w:eastAsia="Calibri" w:hAnsi="Arial" w:cs="Arial"/>
          <w:b/>
          <w:bCs/>
          <w:sz w:val="24"/>
          <w:szCs w:val="24"/>
          <w:highlight w:val="yellow"/>
        </w:rPr>
      </w:pPr>
    </w:p>
    <w:p w14:paraId="53D8D84F" w14:textId="75852254" w:rsidR="00BC6809" w:rsidRDefault="00BC6809" w:rsidP="00EB6C0B">
      <w:pPr>
        <w:numPr>
          <w:ilvl w:val="0"/>
          <w:numId w:val="107"/>
        </w:numPr>
        <w:spacing w:after="0" w:line="240" w:lineRule="auto"/>
        <w:rPr>
          <w:rFonts w:ascii="Arial" w:eastAsia="Calibri" w:hAnsi="Arial" w:cs="Arial"/>
          <w:sz w:val="24"/>
          <w:szCs w:val="24"/>
        </w:rPr>
      </w:pPr>
      <w:r w:rsidRPr="00C92ECE">
        <w:rPr>
          <w:rFonts w:ascii="Arial" w:eastAsia="Calibri" w:hAnsi="Arial" w:cs="Arial"/>
          <w:sz w:val="24"/>
          <w:szCs w:val="24"/>
        </w:rPr>
        <w:t xml:space="preserve">Development of apps, multimedia resources, and VR-enabled training to enhance learning and attract younger </w:t>
      </w:r>
      <w:r w:rsidR="00ED2448">
        <w:rPr>
          <w:rFonts w:ascii="Arial" w:eastAsia="Calibri" w:hAnsi="Arial" w:cs="Arial"/>
          <w:sz w:val="24"/>
          <w:szCs w:val="24"/>
        </w:rPr>
        <w:t>people</w:t>
      </w:r>
      <w:r w:rsidRPr="00C92ECE">
        <w:rPr>
          <w:rFonts w:ascii="Arial" w:eastAsia="Calibri" w:hAnsi="Arial" w:cs="Arial"/>
          <w:sz w:val="24"/>
          <w:szCs w:val="24"/>
        </w:rPr>
        <w:t>.</w:t>
      </w:r>
    </w:p>
    <w:p w14:paraId="26008700" w14:textId="77777777" w:rsidR="008F56E2" w:rsidRDefault="008F56E2" w:rsidP="008F56E2">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8F56E2" w:rsidRPr="00EE5B03" w14:paraId="574D6822" w14:textId="77777777" w:rsidTr="008F56E2">
        <w:tc>
          <w:tcPr>
            <w:tcW w:w="9016" w:type="dxa"/>
          </w:tcPr>
          <w:p w14:paraId="6B827F83" w14:textId="71CA354F" w:rsidR="008B2064" w:rsidRPr="00C92ECE" w:rsidRDefault="008B2064" w:rsidP="008B2064">
            <w:pPr>
              <w:spacing w:line="276" w:lineRule="auto"/>
              <w:rPr>
                <w:rFonts w:ascii="Arial" w:eastAsia="Calibri" w:hAnsi="Arial" w:cs="Arial"/>
                <w:bCs/>
                <w:sz w:val="24"/>
                <w:szCs w:val="24"/>
              </w:rPr>
            </w:pPr>
            <w:r w:rsidRPr="00C92ECE">
              <w:rPr>
                <w:rFonts w:ascii="Arial" w:eastAsia="Calibri" w:hAnsi="Arial" w:cs="Arial"/>
                <w:bCs/>
                <w:sz w:val="24"/>
                <w:szCs w:val="24"/>
              </w:rPr>
              <w:t xml:space="preserve">Shared </w:t>
            </w:r>
            <w:r w:rsidR="006147F8">
              <w:rPr>
                <w:rFonts w:ascii="Arial" w:eastAsia="Calibri" w:hAnsi="Arial" w:cs="Arial"/>
                <w:bCs/>
                <w:sz w:val="24"/>
                <w:szCs w:val="24"/>
              </w:rPr>
              <w:t>p</w:t>
            </w:r>
            <w:r w:rsidRPr="00C92ECE">
              <w:rPr>
                <w:rFonts w:ascii="Arial" w:eastAsia="Calibri" w:hAnsi="Arial" w:cs="Arial"/>
                <w:bCs/>
                <w:sz w:val="24"/>
                <w:szCs w:val="24"/>
              </w:rPr>
              <w:t xml:space="preserve">rosperity </w:t>
            </w:r>
            <w:r w:rsidR="006147F8">
              <w:rPr>
                <w:rFonts w:ascii="Arial" w:eastAsia="Calibri" w:hAnsi="Arial" w:cs="Arial"/>
                <w:bCs/>
                <w:sz w:val="24"/>
                <w:szCs w:val="24"/>
              </w:rPr>
              <w:t>f</w:t>
            </w:r>
            <w:r w:rsidRPr="00C92ECE">
              <w:rPr>
                <w:rFonts w:ascii="Arial" w:eastAsia="Calibri" w:hAnsi="Arial" w:cs="Arial"/>
                <w:bCs/>
                <w:sz w:val="24"/>
                <w:szCs w:val="24"/>
              </w:rPr>
              <w:t xml:space="preserve">unding has allowed Ceredigion </w:t>
            </w:r>
            <w:r w:rsidR="006147F8">
              <w:rPr>
                <w:rFonts w:ascii="Arial" w:eastAsia="Calibri" w:hAnsi="Arial" w:cs="Arial"/>
                <w:bCs/>
                <w:sz w:val="24"/>
                <w:szCs w:val="24"/>
              </w:rPr>
              <w:t xml:space="preserve">local authority to develop </w:t>
            </w:r>
            <w:r w:rsidRPr="00C92ECE">
              <w:rPr>
                <w:rFonts w:ascii="Arial" w:eastAsia="Calibri" w:hAnsi="Arial" w:cs="Arial"/>
                <w:bCs/>
                <w:sz w:val="24"/>
                <w:szCs w:val="24"/>
              </w:rPr>
              <w:t>a new multi-media library of resources to support further apprenticeship</w:t>
            </w:r>
            <w:r w:rsidR="00463846">
              <w:rPr>
                <w:rFonts w:ascii="Arial" w:eastAsia="Calibri" w:hAnsi="Arial" w:cs="Arial"/>
                <w:bCs/>
                <w:sz w:val="24"/>
                <w:szCs w:val="24"/>
              </w:rPr>
              <w:t xml:space="preserve"> or </w:t>
            </w:r>
            <w:r w:rsidRPr="00C92ECE">
              <w:rPr>
                <w:rFonts w:ascii="Arial" w:eastAsia="Calibri" w:hAnsi="Arial" w:cs="Arial"/>
                <w:bCs/>
                <w:sz w:val="24"/>
                <w:szCs w:val="24"/>
              </w:rPr>
              <w:t>careers recruitment</w:t>
            </w:r>
            <w:r w:rsidR="00587518">
              <w:rPr>
                <w:rFonts w:ascii="Arial" w:eastAsia="Calibri" w:hAnsi="Arial" w:cs="Arial"/>
                <w:bCs/>
                <w:sz w:val="24"/>
                <w:szCs w:val="24"/>
              </w:rPr>
              <w:t>. This includes</w:t>
            </w:r>
            <w:r w:rsidRPr="00C92ECE">
              <w:rPr>
                <w:rFonts w:ascii="Arial" w:eastAsia="Calibri" w:hAnsi="Arial" w:cs="Arial"/>
                <w:bCs/>
                <w:sz w:val="24"/>
                <w:szCs w:val="24"/>
              </w:rPr>
              <w:t xml:space="preserve"> an interactive careers map which will be u</w:t>
            </w:r>
            <w:r w:rsidR="00463846">
              <w:rPr>
                <w:rFonts w:ascii="Arial" w:eastAsia="Calibri" w:hAnsi="Arial" w:cs="Arial"/>
                <w:bCs/>
                <w:sz w:val="24"/>
                <w:szCs w:val="24"/>
              </w:rPr>
              <w:t>sed c</w:t>
            </w:r>
            <w:r w:rsidRPr="00C92ECE">
              <w:rPr>
                <w:rFonts w:ascii="Arial" w:eastAsia="Calibri" w:hAnsi="Arial" w:cs="Arial"/>
                <w:bCs/>
                <w:sz w:val="24"/>
                <w:szCs w:val="24"/>
              </w:rPr>
              <w:t xml:space="preserve">areers </w:t>
            </w:r>
            <w:r w:rsidR="00463846">
              <w:rPr>
                <w:rFonts w:ascii="Arial" w:eastAsia="Calibri" w:hAnsi="Arial" w:cs="Arial"/>
                <w:bCs/>
                <w:sz w:val="24"/>
                <w:szCs w:val="24"/>
              </w:rPr>
              <w:t>f</w:t>
            </w:r>
            <w:r w:rsidRPr="00C92ECE">
              <w:rPr>
                <w:rFonts w:ascii="Arial" w:eastAsia="Calibri" w:hAnsi="Arial" w:cs="Arial"/>
                <w:bCs/>
                <w:sz w:val="24"/>
                <w:szCs w:val="24"/>
              </w:rPr>
              <w:t xml:space="preserve">airs </w:t>
            </w:r>
            <w:r w:rsidR="00463846">
              <w:rPr>
                <w:rFonts w:ascii="Arial" w:eastAsia="Calibri" w:hAnsi="Arial" w:cs="Arial"/>
                <w:bCs/>
                <w:sz w:val="24"/>
                <w:szCs w:val="24"/>
              </w:rPr>
              <w:t>and</w:t>
            </w:r>
            <w:r w:rsidRPr="00C92ECE">
              <w:rPr>
                <w:rFonts w:ascii="Arial" w:eastAsia="Calibri" w:hAnsi="Arial" w:cs="Arial"/>
                <w:bCs/>
                <w:sz w:val="24"/>
                <w:szCs w:val="24"/>
              </w:rPr>
              <w:t xml:space="preserve"> schools. (Ceredigion – </w:t>
            </w:r>
            <w:r w:rsidR="00587518">
              <w:rPr>
                <w:rFonts w:ascii="Arial" w:eastAsia="Calibri" w:hAnsi="Arial" w:cs="Arial"/>
                <w:bCs/>
                <w:sz w:val="24"/>
                <w:szCs w:val="24"/>
              </w:rPr>
              <w:t>w</w:t>
            </w:r>
            <w:r w:rsidRPr="00C92ECE">
              <w:rPr>
                <w:rFonts w:ascii="Arial" w:eastAsia="Calibri" w:hAnsi="Arial" w:cs="Arial"/>
                <w:bCs/>
                <w:sz w:val="24"/>
                <w:szCs w:val="24"/>
              </w:rPr>
              <w:t xml:space="preserve">est Wales </w:t>
            </w:r>
            <w:r w:rsidR="00587518">
              <w:rPr>
                <w:rFonts w:ascii="Arial" w:eastAsia="Calibri" w:hAnsi="Arial" w:cs="Arial"/>
                <w:bCs/>
                <w:sz w:val="24"/>
                <w:szCs w:val="24"/>
              </w:rPr>
              <w:t>r</w:t>
            </w:r>
            <w:r w:rsidRPr="00C92ECE">
              <w:rPr>
                <w:rFonts w:ascii="Arial" w:eastAsia="Calibri" w:hAnsi="Arial" w:cs="Arial"/>
                <w:bCs/>
                <w:sz w:val="24"/>
                <w:szCs w:val="24"/>
              </w:rPr>
              <w:t>egion)</w:t>
            </w:r>
          </w:p>
          <w:p w14:paraId="43A2CADD" w14:textId="77777777" w:rsidR="008F56E2" w:rsidRPr="00EE5B03" w:rsidRDefault="008F56E2" w:rsidP="008F56E2">
            <w:pPr>
              <w:rPr>
                <w:rFonts w:ascii="Arial" w:eastAsia="Calibri" w:hAnsi="Arial" w:cs="Arial"/>
                <w:sz w:val="24"/>
                <w:szCs w:val="24"/>
              </w:rPr>
            </w:pPr>
          </w:p>
        </w:tc>
      </w:tr>
    </w:tbl>
    <w:p w14:paraId="014CE599" w14:textId="77777777" w:rsidR="008F56E2" w:rsidRDefault="008F56E2" w:rsidP="0087187E">
      <w:pPr>
        <w:spacing w:after="0" w:line="240" w:lineRule="auto"/>
        <w:rPr>
          <w:rFonts w:ascii="Arial" w:eastAsia="Calibri" w:hAnsi="Arial" w:cs="Arial"/>
          <w:sz w:val="24"/>
          <w:szCs w:val="24"/>
        </w:rPr>
      </w:pPr>
    </w:p>
    <w:p w14:paraId="40EF3799" w14:textId="645EADC9" w:rsidR="00BC6809" w:rsidRPr="0087187E" w:rsidRDefault="00D82B7F" w:rsidP="0019368B">
      <w:pPr>
        <w:numPr>
          <w:ilvl w:val="0"/>
          <w:numId w:val="107"/>
        </w:numPr>
        <w:spacing w:after="0" w:line="276" w:lineRule="auto"/>
        <w:ind w:left="714" w:hanging="357"/>
        <w:rPr>
          <w:rFonts w:ascii="Arial" w:eastAsia="Calibri" w:hAnsi="Arial" w:cs="Arial"/>
          <w:sz w:val="24"/>
          <w:szCs w:val="24"/>
        </w:rPr>
      </w:pPr>
      <w:r>
        <w:rPr>
          <w:rFonts w:ascii="Arial" w:eastAsia="Calibri" w:hAnsi="Arial" w:cs="Arial"/>
          <w:sz w:val="24"/>
          <w:szCs w:val="24"/>
        </w:rPr>
        <w:t>Use of c</w:t>
      </w:r>
      <w:r w:rsidR="00BC6809" w:rsidRPr="0087187E">
        <w:rPr>
          <w:rFonts w:ascii="Arial" w:eastAsia="Calibri" w:hAnsi="Arial" w:cs="Arial"/>
          <w:sz w:val="24"/>
          <w:szCs w:val="24"/>
        </w:rPr>
        <w:t xml:space="preserve">reative </w:t>
      </w:r>
      <w:r>
        <w:rPr>
          <w:rFonts w:ascii="Arial" w:eastAsia="Calibri" w:hAnsi="Arial" w:cs="Arial"/>
          <w:sz w:val="24"/>
          <w:szCs w:val="24"/>
        </w:rPr>
        <w:t>e</w:t>
      </w:r>
      <w:r w:rsidR="00BC6809" w:rsidRPr="0087187E">
        <w:rPr>
          <w:rFonts w:ascii="Arial" w:eastAsia="Calibri" w:hAnsi="Arial" w:cs="Arial"/>
          <w:sz w:val="24"/>
          <w:szCs w:val="24"/>
        </w:rPr>
        <w:t>ngagement</w:t>
      </w:r>
      <w:r>
        <w:rPr>
          <w:rFonts w:ascii="Arial" w:eastAsia="Calibri" w:hAnsi="Arial" w:cs="Arial"/>
          <w:sz w:val="24"/>
          <w:szCs w:val="24"/>
        </w:rPr>
        <w:t xml:space="preserve"> through s</w:t>
      </w:r>
      <w:r w:rsidR="00BC6809" w:rsidRPr="0087187E">
        <w:rPr>
          <w:rFonts w:ascii="Arial" w:eastAsia="Calibri" w:hAnsi="Arial" w:cs="Arial"/>
          <w:sz w:val="24"/>
          <w:szCs w:val="24"/>
        </w:rPr>
        <w:t>torytelling, film projects, and ambassador programmes to promote careers and share success stories.</w:t>
      </w:r>
    </w:p>
    <w:p w14:paraId="20F427CC" w14:textId="77777777" w:rsidR="002B0C68" w:rsidRPr="0087187E" w:rsidRDefault="002B0C68" w:rsidP="0019368B">
      <w:pPr>
        <w:spacing w:after="0" w:line="240" w:lineRule="auto"/>
        <w:ind w:left="720"/>
        <w:rPr>
          <w:rFonts w:ascii="Arial" w:eastAsia="Calibri" w:hAnsi="Arial" w:cs="Arial"/>
          <w:sz w:val="24"/>
          <w:szCs w:val="24"/>
        </w:rPr>
      </w:pPr>
    </w:p>
    <w:p w14:paraId="5EFFCC1D" w14:textId="77777777" w:rsidR="002D1B1F" w:rsidRPr="000C06A7" w:rsidRDefault="002D1B1F" w:rsidP="000C06A7">
      <w:pPr>
        <w:pStyle w:val="Heading3"/>
        <w:rPr>
          <w:lang w:eastAsia="en-GB"/>
        </w:rPr>
      </w:pPr>
      <w:bookmarkStart w:id="41" w:name="_Toc210987777"/>
      <w:bookmarkStart w:id="42" w:name="_Toc211279630"/>
      <w:r w:rsidRPr="000C06A7">
        <w:rPr>
          <w:lang w:eastAsia="en-GB"/>
        </w:rPr>
        <w:t>Challenges</w:t>
      </w:r>
      <w:bookmarkEnd w:id="41"/>
      <w:bookmarkEnd w:id="42"/>
    </w:p>
    <w:p w14:paraId="4231D923" w14:textId="3C6388E4" w:rsidR="006557B6" w:rsidRDefault="003F64D5" w:rsidP="006557B6">
      <w:pPr>
        <w:numPr>
          <w:ilvl w:val="0"/>
          <w:numId w:val="6"/>
        </w:numPr>
        <w:spacing w:after="200" w:line="276" w:lineRule="auto"/>
        <w:ind w:left="567" w:hanging="425"/>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Some local authorities </w:t>
      </w:r>
      <w:r w:rsidR="00D76415">
        <w:rPr>
          <w:rFonts w:ascii="Arial" w:eastAsia="Times New Roman" w:hAnsi="Arial" w:cs="Arial"/>
          <w:sz w:val="24"/>
          <w:szCs w:val="24"/>
          <w:lang w:eastAsia="en-GB"/>
        </w:rPr>
        <w:t>are</w:t>
      </w:r>
      <w:r w:rsidR="00BF3F16">
        <w:rPr>
          <w:rFonts w:ascii="Arial" w:eastAsia="Times New Roman" w:hAnsi="Arial" w:cs="Arial"/>
          <w:sz w:val="24"/>
          <w:szCs w:val="24"/>
          <w:lang w:eastAsia="en-GB"/>
        </w:rPr>
        <w:t xml:space="preserve"> </w:t>
      </w:r>
      <w:r>
        <w:rPr>
          <w:rFonts w:ascii="Arial" w:eastAsia="Times New Roman" w:hAnsi="Arial" w:cs="Arial"/>
          <w:sz w:val="24"/>
          <w:szCs w:val="24"/>
          <w:lang w:eastAsia="en-GB"/>
        </w:rPr>
        <w:t>frustrat</w:t>
      </w:r>
      <w:r w:rsidR="00D76415">
        <w:rPr>
          <w:rFonts w:ascii="Arial" w:eastAsia="Times New Roman" w:hAnsi="Arial" w:cs="Arial"/>
          <w:sz w:val="24"/>
          <w:szCs w:val="24"/>
          <w:lang w:eastAsia="en-GB"/>
        </w:rPr>
        <w:t>ed</w:t>
      </w:r>
      <w:r>
        <w:rPr>
          <w:rFonts w:ascii="Arial" w:eastAsia="Times New Roman" w:hAnsi="Arial" w:cs="Arial"/>
          <w:sz w:val="24"/>
          <w:szCs w:val="24"/>
          <w:lang w:eastAsia="en-GB"/>
        </w:rPr>
        <w:t xml:space="preserve"> </w:t>
      </w:r>
      <w:r w:rsidR="00BD6E18">
        <w:rPr>
          <w:rFonts w:ascii="Arial" w:eastAsia="Times New Roman" w:hAnsi="Arial" w:cs="Arial"/>
          <w:sz w:val="24"/>
          <w:szCs w:val="24"/>
          <w:lang w:eastAsia="en-GB"/>
        </w:rPr>
        <w:t xml:space="preserve">with the lack of access </w:t>
      </w:r>
      <w:r w:rsidR="00132A90" w:rsidRPr="00132A90">
        <w:rPr>
          <w:rFonts w:ascii="Arial" w:eastAsia="Times New Roman" w:hAnsi="Arial" w:cs="Arial"/>
          <w:sz w:val="24"/>
          <w:szCs w:val="24"/>
          <w:lang w:eastAsia="en-GB"/>
        </w:rPr>
        <w:t>to</w:t>
      </w:r>
      <w:r w:rsidR="00BD6E18">
        <w:rPr>
          <w:rFonts w:ascii="Arial" w:eastAsia="Times New Roman" w:hAnsi="Arial" w:cs="Arial"/>
          <w:sz w:val="24"/>
          <w:szCs w:val="24"/>
          <w:lang w:eastAsia="en-GB"/>
        </w:rPr>
        <w:t xml:space="preserve"> the </w:t>
      </w:r>
      <w:r w:rsidR="00C16CF3">
        <w:rPr>
          <w:rFonts w:ascii="Arial" w:eastAsia="Times New Roman" w:hAnsi="Arial" w:cs="Arial"/>
          <w:sz w:val="24"/>
          <w:szCs w:val="24"/>
          <w:lang w:eastAsia="en-GB"/>
        </w:rPr>
        <w:t xml:space="preserve">local </w:t>
      </w:r>
      <w:r w:rsidR="000C3F8C">
        <w:rPr>
          <w:rFonts w:ascii="Arial" w:eastAsia="Times New Roman" w:hAnsi="Arial" w:cs="Arial"/>
          <w:sz w:val="24"/>
          <w:szCs w:val="24"/>
          <w:lang w:eastAsia="en-GB"/>
        </w:rPr>
        <w:t xml:space="preserve">anonymised </w:t>
      </w:r>
      <w:r w:rsidR="0079125F">
        <w:rPr>
          <w:rFonts w:ascii="Arial" w:eastAsia="Times New Roman" w:hAnsi="Arial" w:cs="Arial"/>
          <w:sz w:val="24"/>
          <w:szCs w:val="24"/>
          <w:lang w:eastAsia="en-GB"/>
        </w:rPr>
        <w:t xml:space="preserve">data in Social Care Wales’s </w:t>
      </w:r>
      <w:r w:rsidR="00BD6E18">
        <w:rPr>
          <w:rFonts w:ascii="Arial" w:eastAsia="Times New Roman" w:hAnsi="Arial" w:cs="Arial"/>
          <w:sz w:val="24"/>
          <w:szCs w:val="24"/>
          <w:lang w:eastAsia="en-GB"/>
        </w:rPr>
        <w:t>annual workforce data collection</w:t>
      </w:r>
      <w:r w:rsidR="002D7D23">
        <w:rPr>
          <w:rFonts w:ascii="Arial" w:eastAsia="Times New Roman" w:hAnsi="Arial" w:cs="Arial"/>
          <w:sz w:val="24"/>
          <w:szCs w:val="24"/>
          <w:lang w:eastAsia="en-GB"/>
        </w:rPr>
        <w:t xml:space="preserve">. They </w:t>
      </w:r>
      <w:r w:rsidR="0035554D">
        <w:rPr>
          <w:rFonts w:ascii="Arial" w:eastAsia="Times New Roman" w:hAnsi="Arial" w:cs="Arial"/>
          <w:sz w:val="24"/>
          <w:szCs w:val="24"/>
          <w:lang w:eastAsia="en-GB"/>
        </w:rPr>
        <w:t xml:space="preserve">say </w:t>
      </w:r>
      <w:r w:rsidR="0075095D">
        <w:rPr>
          <w:rFonts w:ascii="Arial" w:eastAsia="Times New Roman" w:hAnsi="Arial" w:cs="Arial"/>
          <w:sz w:val="24"/>
          <w:szCs w:val="24"/>
          <w:lang w:eastAsia="en-GB"/>
        </w:rPr>
        <w:t xml:space="preserve">this </w:t>
      </w:r>
      <w:r w:rsidR="00132A90" w:rsidRPr="00132A90">
        <w:rPr>
          <w:rFonts w:ascii="Arial" w:eastAsia="Times New Roman" w:hAnsi="Arial" w:cs="Arial"/>
          <w:sz w:val="24"/>
          <w:szCs w:val="24"/>
          <w:lang w:eastAsia="en-GB"/>
        </w:rPr>
        <w:t xml:space="preserve">restricts </w:t>
      </w:r>
      <w:r w:rsidR="005833C7">
        <w:rPr>
          <w:rFonts w:ascii="Arial" w:eastAsia="Times New Roman" w:hAnsi="Arial" w:cs="Arial"/>
          <w:sz w:val="24"/>
          <w:szCs w:val="24"/>
          <w:lang w:eastAsia="en-GB"/>
        </w:rPr>
        <w:t xml:space="preserve">their </w:t>
      </w:r>
      <w:r w:rsidR="00132A90" w:rsidRPr="00132A90">
        <w:rPr>
          <w:rFonts w:ascii="Arial" w:eastAsia="Times New Roman" w:hAnsi="Arial" w:cs="Arial"/>
          <w:sz w:val="24"/>
          <w:szCs w:val="24"/>
          <w:lang w:eastAsia="en-GB"/>
        </w:rPr>
        <w:t>ability to effectively plan with commissioned services</w:t>
      </w:r>
      <w:r w:rsidR="00D907FC">
        <w:rPr>
          <w:rFonts w:ascii="Arial" w:eastAsia="Times New Roman" w:hAnsi="Arial" w:cs="Arial"/>
          <w:sz w:val="24"/>
          <w:szCs w:val="24"/>
          <w:lang w:eastAsia="en-GB"/>
        </w:rPr>
        <w:t>, especially around</w:t>
      </w:r>
      <w:r w:rsidR="00132A90" w:rsidRPr="00132A90">
        <w:rPr>
          <w:rFonts w:ascii="Arial" w:eastAsia="Times New Roman" w:hAnsi="Arial" w:cs="Arial"/>
          <w:sz w:val="24"/>
          <w:szCs w:val="24"/>
          <w:lang w:eastAsia="en-GB"/>
        </w:rPr>
        <w:t xml:space="preserve"> workforce qualifications, Welsh language skills, and other key workforce indicators.</w:t>
      </w:r>
      <w:r w:rsidR="0079125F">
        <w:rPr>
          <w:rFonts w:ascii="Arial" w:eastAsia="Times New Roman" w:hAnsi="Arial" w:cs="Arial"/>
          <w:sz w:val="24"/>
          <w:szCs w:val="24"/>
          <w:lang w:eastAsia="en-GB"/>
        </w:rPr>
        <w:t xml:space="preserve"> </w:t>
      </w:r>
      <w:r w:rsidR="002725DD">
        <w:rPr>
          <w:rFonts w:ascii="Arial" w:eastAsia="Times New Roman" w:hAnsi="Arial" w:cs="Arial"/>
          <w:sz w:val="24"/>
          <w:szCs w:val="24"/>
          <w:lang w:eastAsia="en-GB"/>
        </w:rPr>
        <w:t>We’re actively working to improve access to this data.</w:t>
      </w:r>
    </w:p>
    <w:p w14:paraId="5758D182" w14:textId="77777777" w:rsidR="006557B6" w:rsidRDefault="006557B6" w:rsidP="00C92ECE">
      <w:pPr>
        <w:spacing w:after="200" w:line="276" w:lineRule="auto"/>
        <w:ind w:left="567"/>
        <w:contextualSpacing/>
        <w:rPr>
          <w:rFonts w:ascii="Arial" w:eastAsia="Times New Roman" w:hAnsi="Arial" w:cs="Arial"/>
          <w:sz w:val="24"/>
          <w:szCs w:val="24"/>
          <w:lang w:eastAsia="en-GB"/>
        </w:rPr>
      </w:pPr>
    </w:p>
    <w:p w14:paraId="54920BD3" w14:textId="7BC6301E" w:rsidR="00605D8F" w:rsidRDefault="006557B6" w:rsidP="00605D8F">
      <w:pPr>
        <w:numPr>
          <w:ilvl w:val="0"/>
          <w:numId w:val="6"/>
        </w:numPr>
        <w:spacing w:after="200" w:line="276" w:lineRule="auto"/>
        <w:ind w:left="567" w:hanging="425"/>
        <w:contextualSpacing/>
        <w:rPr>
          <w:rFonts w:ascii="Arial" w:eastAsia="Times New Roman" w:hAnsi="Arial" w:cs="Arial"/>
          <w:sz w:val="24"/>
          <w:szCs w:val="24"/>
          <w:lang w:eastAsia="en-GB"/>
        </w:rPr>
      </w:pPr>
      <w:r w:rsidRPr="00C92ECE">
        <w:rPr>
          <w:rFonts w:ascii="Arial" w:eastAsia="Times New Roman" w:hAnsi="Arial" w:cs="Arial"/>
          <w:sz w:val="24"/>
          <w:szCs w:val="24"/>
          <w:lang w:eastAsia="en-GB"/>
        </w:rPr>
        <w:t xml:space="preserve">Connected to this, some regions </w:t>
      </w:r>
      <w:r w:rsidR="00216F12">
        <w:rPr>
          <w:rFonts w:ascii="Arial" w:eastAsia="Times New Roman" w:hAnsi="Arial" w:cs="Arial"/>
          <w:sz w:val="24"/>
          <w:szCs w:val="24"/>
          <w:lang w:eastAsia="en-GB"/>
        </w:rPr>
        <w:t>say</w:t>
      </w:r>
      <w:r w:rsidR="00D00380">
        <w:rPr>
          <w:rFonts w:ascii="Arial" w:eastAsia="Times New Roman" w:hAnsi="Arial" w:cs="Arial"/>
          <w:sz w:val="24"/>
          <w:szCs w:val="24"/>
          <w:lang w:eastAsia="en-GB"/>
        </w:rPr>
        <w:t xml:space="preserve"> that having</w:t>
      </w:r>
      <w:r w:rsidR="00743F7D">
        <w:rPr>
          <w:rFonts w:ascii="Arial" w:eastAsia="Times New Roman" w:hAnsi="Arial" w:cs="Arial"/>
          <w:sz w:val="24"/>
          <w:szCs w:val="24"/>
          <w:lang w:eastAsia="en-GB"/>
        </w:rPr>
        <w:t xml:space="preserve"> </w:t>
      </w:r>
      <w:r w:rsidRPr="00C92ECE">
        <w:rPr>
          <w:rFonts w:ascii="Arial" w:eastAsia="Times New Roman" w:hAnsi="Arial" w:cs="Arial"/>
          <w:sz w:val="24"/>
          <w:szCs w:val="24"/>
          <w:lang w:eastAsia="en-GB"/>
        </w:rPr>
        <w:t>separat</w:t>
      </w:r>
      <w:r w:rsidR="00D00380">
        <w:rPr>
          <w:rFonts w:ascii="Arial" w:eastAsia="Times New Roman" w:hAnsi="Arial" w:cs="Arial"/>
          <w:sz w:val="24"/>
          <w:szCs w:val="24"/>
          <w:lang w:eastAsia="en-GB"/>
        </w:rPr>
        <w:t>e</w:t>
      </w:r>
      <w:r w:rsidRPr="00C92ECE">
        <w:rPr>
          <w:rFonts w:ascii="Arial" w:eastAsia="Times New Roman" w:hAnsi="Arial" w:cs="Arial"/>
          <w:sz w:val="24"/>
          <w:szCs w:val="24"/>
          <w:lang w:eastAsia="en-GB"/>
        </w:rPr>
        <w:t xml:space="preserve"> internal HR systems</w:t>
      </w:r>
      <w:r w:rsidR="00116F91">
        <w:rPr>
          <w:rFonts w:ascii="Arial" w:eastAsia="Times New Roman" w:hAnsi="Arial" w:cs="Arial"/>
          <w:sz w:val="24"/>
          <w:szCs w:val="24"/>
          <w:lang w:eastAsia="en-GB"/>
        </w:rPr>
        <w:t xml:space="preserve"> causes problems with</w:t>
      </w:r>
      <w:r w:rsidRPr="006557B6">
        <w:rPr>
          <w:rFonts w:ascii="Arial" w:eastAsia="Times New Roman" w:hAnsi="Arial" w:cs="Arial"/>
          <w:sz w:val="24"/>
          <w:szCs w:val="24"/>
          <w:lang w:eastAsia="en-GB"/>
        </w:rPr>
        <w:t xml:space="preserve"> consistency and accessibility of workforce </w:t>
      </w:r>
      <w:r w:rsidR="00211325">
        <w:rPr>
          <w:rFonts w:ascii="Arial" w:eastAsia="Times New Roman" w:hAnsi="Arial" w:cs="Arial"/>
          <w:sz w:val="24"/>
          <w:szCs w:val="24"/>
          <w:lang w:eastAsia="en-GB"/>
        </w:rPr>
        <w:t xml:space="preserve">planning and </w:t>
      </w:r>
      <w:r w:rsidRPr="006557B6">
        <w:rPr>
          <w:rFonts w:ascii="Arial" w:eastAsia="Times New Roman" w:hAnsi="Arial" w:cs="Arial"/>
          <w:sz w:val="24"/>
          <w:szCs w:val="24"/>
          <w:lang w:eastAsia="en-GB"/>
        </w:rPr>
        <w:t xml:space="preserve">development data, </w:t>
      </w:r>
      <w:r w:rsidR="0084441E">
        <w:rPr>
          <w:rFonts w:ascii="Arial" w:eastAsia="Times New Roman" w:hAnsi="Arial" w:cs="Arial"/>
          <w:sz w:val="24"/>
          <w:szCs w:val="24"/>
          <w:lang w:eastAsia="en-GB"/>
        </w:rPr>
        <w:t>making it harder to</w:t>
      </w:r>
      <w:r w:rsidRPr="006557B6">
        <w:rPr>
          <w:rFonts w:ascii="Arial" w:eastAsia="Times New Roman" w:hAnsi="Arial" w:cs="Arial"/>
          <w:sz w:val="24"/>
          <w:szCs w:val="24"/>
          <w:lang w:eastAsia="en-GB"/>
        </w:rPr>
        <w:t xml:space="preserve"> build</w:t>
      </w:r>
      <w:r w:rsidR="0084441E">
        <w:rPr>
          <w:rFonts w:ascii="Arial" w:eastAsia="Times New Roman" w:hAnsi="Arial" w:cs="Arial"/>
          <w:sz w:val="24"/>
          <w:szCs w:val="24"/>
          <w:lang w:eastAsia="en-GB"/>
        </w:rPr>
        <w:t xml:space="preserve"> a full</w:t>
      </w:r>
      <w:r w:rsidRPr="006557B6">
        <w:rPr>
          <w:rFonts w:ascii="Arial" w:eastAsia="Times New Roman" w:hAnsi="Arial" w:cs="Arial"/>
          <w:sz w:val="24"/>
          <w:szCs w:val="24"/>
          <w:lang w:eastAsia="en-GB"/>
        </w:rPr>
        <w:t xml:space="preserve"> national picture.</w:t>
      </w:r>
    </w:p>
    <w:p w14:paraId="0191DF8A" w14:textId="77777777" w:rsidR="00605D8F" w:rsidRDefault="00605D8F" w:rsidP="00C92ECE">
      <w:pPr>
        <w:spacing w:after="200" w:line="276" w:lineRule="auto"/>
        <w:ind w:left="567"/>
        <w:contextualSpacing/>
        <w:rPr>
          <w:rFonts w:ascii="Arial" w:eastAsia="Times New Roman" w:hAnsi="Arial" w:cs="Arial"/>
          <w:sz w:val="24"/>
          <w:szCs w:val="24"/>
          <w:lang w:eastAsia="en-GB"/>
        </w:rPr>
      </w:pPr>
    </w:p>
    <w:p w14:paraId="6550BEB0" w14:textId="59F48A9A" w:rsidR="0082630A" w:rsidRPr="00605D8F" w:rsidRDefault="00605D8F" w:rsidP="00C92ECE">
      <w:pPr>
        <w:numPr>
          <w:ilvl w:val="0"/>
          <w:numId w:val="6"/>
        </w:numPr>
        <w:spacing w:after="200" w:line="276" w:lineRule="auto"/>
        <w:ind w:left="567" w:hanging="425"/>
        <w:contextualSpacing/>
        <w:rPr>
          <w:rFonts w:ascii="Arial" w:eastAsia="Times New Roman" w:hAnsi="Arial" w:cs="Arial"/>
          <w:sz w:val="24"/>
          <w:szCs w:val="24"/>
          <w:lang w:eastAsia="en-GB"/>
        </w:rPr>
      </w:pPr>
      <w:r w:rsidRPr="00605D8F">
        <w:rPr>
          <w:rFonts w:ascii="Arial" w:eastAsia="Times New Roman" w:hAnsi="Arial" w:cs="Arial"/>
          <w:sz w:val="24"/>
          <w:szCs w:val="24"/>
          <w:lang w:eastAsia="en-GB"/>
        </w:rPr>
        <w:lastRenderedPageBreak/>
        <w:t>Some regions have reported that</w:t>
      </w:r>
      <w:r w:rsidR="00470414">
        <w:rPr>
          <w:rFonts w:ascii="Arial" w:eastAsia="Times New Roman" w:hAnsi="Arial" w:cs="Arial"/>
          <w:sz w:val="24"/>
          <w:szCs w:val="24"/>
          <w:lang w:eastAsia="en-GB"/>
        </w:rPr>
        <w:t xml:space="preserve"> it’s hard to engage unpaid carers in</w:t>
      </w:r>
      <w:r w:rsidR="00B25E43">
        <w:rPr>
          <w:rFonts w:ascii="Arial" w:eastAsia="Times New Roman" w:hAnsi="Arial" w:cs="Arial"/>
          <w:sz w:val="24"/>
          <w:szCs w:val="24"/>
          <w:lang w:eastAsia="en-GB"/>
        </w:rPr>
        <w:t xml:space="preserve"> training</w:t>
      </w:r>
      <w:r w:rsidRPr="00605D8F">
        <w:rPr>
          <w:rFonts w:ascii="Arial" w:eastAsia="Times New Roman" w:hAnsi="Arial" w:cs="Arial"/>
          <w:sz w:val="24"/>
          <w:szCs w:val="24"/>
          <w:lang w:eastAsia="en-GB"/>
        </w:rPr>
        <w:t>,</w:t>
      </w:r>
      <w:r w:rsidR="00B25E43">
        <w:rPr>
          <w:rFonts w:ascii="Arial" w:eastAsia="Times New Roman" w:hAnsi="Arial" w:cs="Arial"/>
          <w:sz w:val="24"/>
          <w:szCs w:val="24"/>
          <w:lang w:eastAsia="en-GB"/>
        </w:rPr>
        <w:t xml:space="preserve"> even though</w:t>
      </w:r>
      <w:r w:rsidRPr="00605D8F">
        <w:rPr>
          <w:rFonts w:ascii="Arial" w:eastAsia="Times New Roman" w:hAnsi="Arial" w:cs="Arial"/>
          <w:sz w:val="24"/>
          <w:szCs w:val="24"/>
          <w:lang w:eastAsia="en-GB"/>
        </w:rPr>
        <w:t xml:space="preserve"> the training opportunities</w:t>
      </w:r>
      <w:r w:rsidR="00B25E43">
        <w:rPr>
          <w:rFonts w:ascii="Arial" w:eastAsia="Times New Roman" w:hAnsi="Arial" w:cs="Arial"/>
          <w:sz w:val="24"/>
          <w:szCs w:val="24"/>
          <w:lang w:eastAsia="en-GB"/>
        </w:rPr>
        <w:t xml:space="preserve"> are available</w:t>
      </w:r>
      <w:r w:rsidRPr="00605D8F">
        <w:rPr>
          <w:rFonts w:ascii="Arial" w:eastAsia="Times New Roman" w:hAnsi="Arial" w:cs="Arial"/>
          <w:sz w:val="24"/>
          <w:szCs w:val="24"/>
          <w:lang w:eastAsia="en-GB"/>
        </w:rPr>
        <w:t>, resulting in low uptake of training.</w:t>
      </w:r>
    </w:p>
    <w:p w14:paraId="14B94374" w14:textId="7B4CA379" w:rsidR="006D4EFA" w:rsidRDefault="006D4EFA">
      <w:pPr>
        <w:rPr>
          <w:rFonts w:ascii="Arial" w:eastAsiaTheme="majorEastAsia" w:hAnsi="Arial" w:cs="Arial"/>
          <w:b/>
          <w:color w:val="11846A"/>
          <w:sz w:val="32"/>
          <w:szCs w:val="32"/>
          <w:lang w:eastAsia="en-GB"/>
        </w:rPr>
      </w:pPr>
      <w:bookmarkStart w:id="43" w:name="_Toc211279631"/>
    </w:p>
    <w:p w14:paraId="05E1A5E9" w14:textId="269A9E57" w:rsidR="002D1B1F" w:rsidRPr="000C06A7" w:rsidRDefault="002D1B1F" w:rsidP="0019368B">
      <w:pPr>
        <w:pStyle w:val="Heading2"/>
        <w:numPr>
          <w:ilvl w:val="0"/>
          <w:numId w:val="119"/>
        </w:numPr>
      </w:pPr>
      <w:r w:rsidRPr="000C06A7">
        <w:t xml:space="preserve">Regional </w:t>
      </w:r>
      <w:r w:rsidR="005B665C" w:rsidRPr="000C06A7">
        <w:t>f</w:t>
      </w:r>
      <w:r w:rsidRPr="000C06A7">
        <w:t xml:space="preserve">acilitation </w:t>
      </w:r>
      <w:r w:rsidR="005B665C" w:rsidRPr="000C06A7">
        <w:t>g</w:t>
      </w:r>
      <w:r w:rsidRPr="000C06A7">
        <w:t>rant</w:t>
      </w:r>
      <w:bookmarkEnd w:id="43"/>
    </w:p>
    <w:p w14:paraId="3CA69F15" w14:textId="77777777" w:rsidR="002D1B1F" w:rsidRPr="00B568F3" w:rsidRDefault="002D1B1F" w:rsidP="002D1B1F">
      <w:pPr>
        <w:spacing w:after="0" w:line="240" w:lineRule="auto"/>
        <w:rPr>
          <w:rFonts w:ascii="Arial" w:eastAsia="Calibri" w:hAnsi="Arial" w:cs="Arial"/>
          <w:color w:val="FF0000"/>
          <w:sz w:val="24"/>
          <w:szCs w:val="24"/>
        </w:rPr>
      </w:pPr>
    </w:p>
    <w:p w14:paraId="5F31AE63" w14:textId="28882084" w:rsidR="002D1B1F" w:rsidRPr="00B568F3" w:rsidRDefault="002D1B1F" w:rsidP="002D1B1F">
      <w:pPr>
        <w:spacing w:after="0" w:line="240" w:lineRule="auto"/>
        <w:rPr>
          <w:rFonts w:ascii="Arial" w:eastAsia="Calibri" w:hAnsi="Arial" w:cs="Arial"/>
          <w:sz w:val="24"/>
          <w:szCs w:val="24"/>
        </w:rPr>
      </w:pPr>
      <w:r w:rsidRPr="00B568F3">
        <w:rPr>
          <w:rFonts w:ascii="Arial" w:eastAsia="Calibri" w:hAnsi="Arial" w:cs="Arial"/>
          <w:sz w:val="24"/>
          <w:szCs w:val="24"/>
        </w:rPr>
        <w:t xml:space="preserve">Funding </w:t>
      </w:r>
      <w:r w:rsidR="005B665C" w:rsidRPr="00B568F3">
        <w:rPr>
          <w:rFonts w:ascii="Arial" w:eastAsia="Calibri" w:hAnsi="Arial" w:cs="Arial"/>
          <w:sz w:val="24"/>
          <w:szCs w:val="24"/>
        </w:rPr>
        <w:t>that used to be given under</w:t>
      </w:r>
      <w:r w:rsidRPr="00B568F3">
        <w:rPr>
          <w:rFonts w:ascii="Arial" w:eastAsia="Calibri" w:hAnsi="Arial" w:cs="Arial"/>
          <w:sz w:val="24"/>
          <w:szCs w:val="24"/>
        </w:rPr>
        <w:t xml:space="preserve"> the </w:t>
      </w:r>
      <w:r w:rsidR="2AE9E4BB" w:rsidRPr="00B568F3">
        <w:rPr>
          <w:rFonts w:ascii="Arial" w:eastAsia="Calibri" w:hAnsi="Arial" w:cs="Arial"/>
          <w:sz w:val="24"/>
          <w:szCs w:val="24"/>
        </w:rPr>
        <w:t>r</w:t>
      </w:r>
      <w:r w:rsidRPr="00B568F3">
        <w:rPr>
          <w:rFonts w:ascii="Arial" w:eastAsia="Calibri" w:hAnsi="Arial" w:cs="Arial"/>
          <w:sz w:val="24"/>
          <w:szCs w:val="24"/>
        </w:rPr>
        <w:t xml:space="preserve">egional </w:t>
      </w:r>
      <w:r w:rsidR="201C6F5D" w:rsidRPr="00B568F3">
        <w:rPr>
          <w:rFonts w:ascii="Arial" w:eastAsia="Calibri" w:hAnsi="Arial" w:cs="Arial"/>
          <w:sz w:val="24"/>
          <w:szCs w:val="24"/>
        </w:rPr>
        <w:t>f</w:t>
      </w:r>
      <w:r w:rsidRPr="00B568F3">
        <w:rPr>
          <w:rFonts w:ascii="Arial" w:eastAsia="Calibri" w:hAnsi="Arial" w:cs="Arial"/>
          <w:sz w:val="24"/>
          <w:szCs w:val="24"/>
        </w:rPr>
        <w:t xml:space="preserve">acilitation </w:t>
      </w:r>
      <w:r w:rsidR="3F8687C4" w:rsidRPr="00B568F3">
        <w:rPr>
          <w:rFonts w:ascii="Arial" w:eastAsia="Calibri" w:hAnsi="Arial" w:cs="Arial"/>
          <w:sz w:val="24"/>
          <w:szCs w:val="24"/>
        </w:rPr>
        <w:t>g</w:t>
      </w:r>
      <w:r w:rsidRPr="00B568F3">
        <w:rPr>
          <w:rFonts w:ascii="Arial" w:eastAsia="Calibri" w:hAnsi="Arial" w:cs="Arial"/>
          <w:sz w:val="24"/>
          <w:szCs w:val="24"/>
        </w:rPr>
        <w:t>rant is now within the SCWW</w:t>
      </w:r>
      <w:r w:rsidR="67FC1323" w:rsidRPr="00B568F3">
        <w:rPr>
          <w:rFonts w:ascii="Arial" w:eastAsia="Calibri" w:hAnsi="Arial" w:cs="Arial"/>
          <w:sz w:val="24"/>
          <w:szCs w:val="24"/>
        </w:rPr>
        <w:t>D</w:t>
      </w:r>
      <w:r w:rsidRPr="00B568F3">
        <w:rPr>
          <w:rFonts w:ascii="Arial" w:eastAsia="Calibri" w:hAnsi="Arial" w:cs="Arial"/>
          <w:sz w:val="24"/>
          <w:szCs w:val="24"/>
        </w:rPr>
        <w:t xml:space="preserve">P grant </w:t>
      </w:r>
      <w:r w:rsidR="13A4967A" w:rsidRPr="00B568F3">
        <w:rPr>
          <w:rFonts w:ascii="Arial" w:eastAsia="Calibri" w:hAnsi="Arial" w:cs="Arial"/>
          <w:sz w:val="24"/>
          <w:szCs w:val="24"/>
        </w:rPr>
        <w:t>circular but</w:t>
      </w:r>
      <w:r w:rsidRPr="00B568F3">
        <w:rPr>
          <w:rFonts w:ascii="Arial" w:eastAsia="Calibri" w:hAnsi="Arial" w:cs="Arial"/>
          <w:sz w:val="24"/>
          <w:szCs w:val="24"/>
        </w:rPr>
        <w:t xml:space="preserve"> is</w:t>
      </w:r>
      <w:r w:rsidR="005B665C" w:rsidRPr="00B568F3">
        <w:rPr>
          <w:rFonts w:ascii="Arial" w:eastAsia="Calibri" w:hAnsi="Arial" w:cs="Arial"/>
          <w:sz w:val="24"/>
          <w:szCs w:val="24"/>
        </w:rPr>
        <w:t>n’t</w:t>
      </w:r>
      <w:r w:rsidRPr="00B568F3">
        <w:rPr>
          <w:rFonts w:ascii="Arial" w:eastAsia="Calibri" w:hAnsi="Arial" w:cs="Arial"/>
          <w:sz w:val="24"/>
          <w:szCs w:val="24"/>
        </w:rPr>
        <w:t xml:space="preserve"> expected to </w:t>
      </w:r>
      <w:r w:rsidR="00E56BBF" w:rsidRPr="00B568F3">
        <w:rPr>
          <w:rFonts w:ascii="Arial" w:eastAsia="Calibri" w:hAnsi="Arial" w:cs="Arial"/>
          <w:sz w:val="24"/>
          <w:szCs w:val="24"/>
        </w:rPr>
        <w:t>attract 30</w:t>
      </w:r>
      <w:r w:rsidR="005B665C" w:rsidRPr="00B568F3">
        <w:rPr>
          <w:rFonts w:ascii="Arial" w:eastAsia="Calibri" w:hAnsi="Arial" w:cs="Arial"/>
          <w:sz w:val="24"/>
          <w:szCs w:val="24"/>
        </w:rPr>
        <w:t xml:space="preserve"> per cent</w:t>
      </w:r>
      <w:r w:rsidRPr="00B568F3">
        <w:rPr>
          <w:rFonts w:ascii="Arial" w:eastAsia="Calibri" w:hAnsi="Arial" w:cs="Arial"/>
          <w:sz w:val="24"/>
          <w:szCs w:val="24"/>
        </w:rPr>
        <w:t xml:space="preserve"> match funding</w:t>
      </w:r>
      <w:r w:rsidR="3850348F" w:rsidRPr="00B568F3">
        <w:rPr>
          <w:rFonts w:ascii="Arial" w:eastAsia="Calibri" w:hAnsi="Arial" w:cs="Arial"/>
          <w:sz w:val="24"/>
          <w:szCs w:val="24"/>
        </w:rPr>
        <w:t>. It</w:t>
      </w:r>
      <w:r w:rsidRPr="00B568F3">
        <w:rPr>
          <w:rFonts w:ascii="Arial" w:eastAsia="Calibri" w:hAnsi="Arial" w:cs="Arial"/>
          <w:sz w:val="24"/>
          <w:szCs w:val="24"/>
        </w:rPr>
        <w:t xml:space="preserve"> can only be used for the priorities below:</w:t>
      </w:r>
    </w:p>
    <w:p w14:paraId="0FFBE9EE" w14:textId="77777777" w:rsidR="002D1B1F" w:rsidRPr="00B568F3" w:rsidRDefault="002D1B1F" w:rsidP="002D1B1F">
      <w:pPr>
        <w:spacing w:after="0" w:line="240" w:lineRule="auto"/>
        <w:rPr>
          <w:rFonts w:ascii="Arial" w:eastAsia="Calibri" w:hAnsi="Arial" w:cs="Arial"/>
          <w:sz w:val="24"/>
          <w:szCs w:val="24"/>
        </w:rPr>
      </w:pPr>
    </w:p>
    <w:p w14:paraId="4E49FA65" w14:textId="748F5786" w:rsidR="002D1B1F" w:rsidRPr="000C06A7" w:rsidRDefault="002D1B1F"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0C06A7">
        <w:rPr>
          <w:rFonts w:ascii="Arial" w:eastAsia="Times New Roman" w:hAnsi="Arial" w:cs="Arial"/>
          <w:sz w:val="24"/>
          <w:szCs w:val="24"/>
          <w:lang w:eastAsia="en-GB"/>
        </w:rPr>
        <w:t>supports sector</w:t>
      </w:r>
      <w:r w:rsidR="00167051">
        <w:rPr>
          <w:rFonts w:ascii="Arial" w:eastAsia="Times New Roman" w:hAnsi="Arial" w:cs="Arial"/>
          <w:sz w:val="24"/>
          <w:szCs w:val="24"/>
          <w:lang w:eastAsia="en-GB"/>
        </w:rPr>
        <w:t>-</w:t>
      </w:r>
      <w:r w:rsidRPr="000C06A7">
        <w:rPr>
          <w:rFonts w:ascii="Arial" w:eastAsia="Times New Roman" w:hAnsi="Arial" w:cs="Arial"/>
          <w:sz w:val="24"/>
          <w:szCs w:val="24"/>
          <w:lang w:eastAsia="en-GB"/>
        </w:rPr>
        <w:t xml:space="preserve">wide engagement in the regions </w:t>
      </w:r>
    </w:p>
    <w:p w14:paraId="0717D19B" w14:textId="07C0C511" w:rsidR="002D1B1F" w:rsidRPr="000C06A7" w:rsidRDefault="002D1B1F"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0C06A7">
        <w:rPr>
          <w:rFonts w:ascii="Arial" w:eastAsia="Times New Roman" w:hAnsi="Arial" w:cs="Arial"/>
          <w:sz w:val="24"/>
          <w:szCs w:val="24"/>
          <w:lang w:eastAsia="en-GB"/>
        </w:rPr>
        <w:t>the delivery of the registered managers</w:t>
      </w:r>
      <w:r w:rsidR="00400D0F" w:rsidRPr="000C06A7">
        <w:rPr>
          <w:rFonts w:ascii="Arial" w:eastAsia="Times New Roman" w:hAnsi="Arial" w:cs="Arial"/>
          <w:sz w:val="24"/>
          <w:szCs w:val="24"/>
          <w:lang w:eastAsia="en-GB"/>
        </w:rPr>
        <w:t>’</w:t>
      </w:r>
      <w:r w:rsidRPr="000C06A7">
        <w:rPr>
          <w:rFonts w:ascii="Arial" w:eastAsia="Times New Roman" w:hAnsi="Arial" w:cs="Arial"/>
          <w:sz w:val="24"/>
          <w:szCs w:val="24"/>
          <w:lang w:eastAsia="en-GB"/>
        </w:rPr>
        <w:t xml:space="preserve"> forums (minimum of </w:t>
      </w:r>
      <w:r w:rsidR="00D50B67" w:rsidRPr="000C06A7">
        <w:rPr>
          <w:rFonts w:ascii="Arial" w:eastAsia="Times New Roman" w:hAnsi="Arial" w:cs="Arial"/>
          <w:sz w:val="24"/>
          <w:szCs w:val="24"/>
          <w:lang w:eastAsia="en-GB"/>
        </w:rPr>
        <w:t>one</w:t>
      </w:r>
      <w:r w:rsidRPr="000C06A7">
        <w:rPr>
          <w:rFonts w:ascii="Arial" w:eastAsia="Times New Roman" w:hAnsi="Arial" w:cs="Arial"/>
          <w:sz w:val="24"/>
          <w:szCs w:val="24"/>
          <w:lang w:eastAsia="en-GB"/>
        </w:rPr>
        <w:t xml:space="preserve"> per region per year) </w:t>
      </w:r>
    </w:p>
    <w:p w14:paraId="37D0E3C7" w14:textId="45D8900D" w:rsidR="002D1B1F" w:rsidRPr="000C06A7" w:rsidRDefault="002D1B1F"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0C06A7">
        <w:rPr>
          <w:rFonts w:ascii="Arial" w:eastAsia="Times New Roman" w:hAnsi="Arial" w:cs="Arial"/>
          <w:sz w:val="24"/>
          <w:szCs w:val="24"/>
          <w:lang w:eastAsia="en-GB"/>
        </w:rPr>
        <w:t xml:space="preserve">the development of </w:t>
      </w:r>
      <w:r w:rsidR="00400D0F" w:rsidRPr="000C06A7">
        <w:rPr>
          <w:rFonts w:ascii="Arial" w:eastAsia="Times New Roman" w:hAnsi="Arial" w:cs="Arial"/>
          <w:sz w:val="24"/>
          <w:szCs w:val="24"/>
          <w:lang w:eastAsia="en-GB"/>
        </w:rPr>
        <w:t xml:space="preserve">a </w:t>
      </w:r>
      <w:r w:rsidRPr="000C06A7">
        <w:rPr>
          <w:rFonts w:ascii="Arial" w:eastAsia="Times New Roman" w:hAnsi="Arial" w:cs="Arial"/>
          <w:sz w:val="24"/>
          <w:szCs w:val="24"/>
          <w:lang w:eastAsia="en-GB"/>
        </w:rPr>
        <w:t xml:space="preserve">regional care career connector </w:t>
      </w:r>
      <w:r w:rsidR="00F055B7" w:rsidRPr="000C06A7">
        <w:rPr>
          <w:rFonts w:ascii="Arial" w:eastAsia="Times New Roman" w:hAnsi="Arial" w:cs="Arial"/>
          <w:sz w:val="24"/>
          <w:szCs w:val="24"/>
          <w:lang w:eastAsia="en-GB"/>
        </w:rPr>
        <w:t>role</w:t>
      </w:r>
      <w:r w:rsidR="00F244F0" w:rsidRPr="000C06A7">
        <w:rPr>
          <w:rFonts w:ascii="Arial" w:eastAsia="Times New Roman" w:hAnsi="Arial" w:cs="Arial"/>
          <w:sz w:val="24"/>
          <w:szCs w:val="24"/>
          <w:lang w:eastAsia="en-GB"/>
        </w:rPr>
        <w:t xml:space="preserve"> </w:t>
      </w:r>
      <w:r w:rsidRPr="000C06A7">
        <w:rPr>
          <w:rFonts w:ascii="Arial" w:eastAsia="Times New Roman" w:hAnsi="Arial" w:cs="Arial"/>
          <w:sz w:val="24"/>
          <w:szCs w:val="24"/>
          <w:lang w:eastAsia="en-GB"/>
        </w:rPr>
        <w:t xml:space="preserve">to support the central attraction, </w:t>
      </w:r>
      <w:bookmarkStart w:id="44" w:name="_Int_O9eKd173"/>
      <w:r w:rsidRPr="000C06A7">
        <w:rPr>
          <w:rFonts w:ascii="Arial" w:eastAsia="Times New Roman" w:hAnsi="Arial" w:cs="Arial"/>
          <w:sz w:val="24"/>
          <w:szCs w:val="24"/>
          <w:lang w:eastAsia="en-GB"/>
        </w:rPr>
        <w:t>recruitment</w:t>
      </w:r>
      <w:bookmarkEnd w:id="44"/>
      <w:r w:rsidRPr="000C06A7">
        <w:rPr>
          <w:rFonts w:ascii="Arial" w:eastAsia="Times New Roman" w:hAnsi="Arial" w:cs="Arial"/>
          <w:sz w:val="24"/>
          <w:szCs w:val="24"/>
          <w:lang w:eastAsia="en-GB"/>
        </w:rPr>
        <w:t xml:space="preserve"> and retention campaign </w:t>
      </w:r>
      <w:r w:rsidR="00751343" w:rsidRPr="000C06A7">
        <w:rPr>
          <w:rFonts w:ascii="Arial" w:eastAsia="Times New Roman" w:hAnsi="Arial" w:cs="Arial"/>
          <w:sz w:val="24"/>
          <w:szCs w:val="24"/>
          <w:lang w:eastAsia="en-GB"/>
        </w:rPr>
        <w:t>throughout</w:t>
      </w:r>
      <w:r w:rsidRPr="000C06A7">
        <w:rPr>
          <w:rFonts w:ascii="Arial" w:eastAsia="Times New Roman" w:hAnsi="Arial" w:cs="Arial"/>
          <w:sz w:val="24"/>
          <w:szCs w:val="24"/>
          <w:lang w:eastAsia="en-GB"/>
        </w:rPr>
        <w:t xml:space="preserve"> this programme of work</w:t>
      </w:r>
    </w:p>
    <w:p w14:paraId="63BF132C" w14:textId="1175547E" w:rsidR="002D1B1F" w:rsidRPr="000C06A7" w:rsidRDefault="002D1B1F"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0C06A7">
        <w:rPr>
          <w:rFonts w:ascii="Arial" w:eastAsia="Times New Roman" w:hAnsi="Arial" w:cs="Arial"/>
          <w:sz w:val="24"/>
          <w:szCs w:val="24"/>
          <w:lang w:eastAsia="en-GB"/>
        </w:rPr>
        <w:t>increase the number of sponsored social work students by each local authority. This must increase the number of sponsored students and not be used to fund existing plans for sponsoring students</w:t>
      </w:r>
      <w:r w:rsidR="51027239" w:rsidRPr="000C06A7">
        <w:rPr>
          <w:rFonts w:ascii="Arial" w:eastAsia="Times New Roman" w:hAnsi="Arial" w:cs="Arial"/>
          <w:sz w:val="24"/>
          <w:szCs w:val="24"/>
          <w:lang w:eastAsia="en-GB"/>
        </w:rPr>
        <w:t xml:space="preserve">. </w:t>
      </w:r>
    </w:p>
    <w:p w14:paraId="6BD3EB76" w14:textId="77777777" w:rsidR="003B74E9" w:rsidRDefault="003B74E9" w:rsidP="002D1B1F">
      <w:pPr>
        <w:spacing w:after="0" w:line="240" w:lineRule="auto"/>
        <w:rPr>
          <w:rFonts w:ascii="Arial" w:eastAsia="Calibri" w:hAnsi="Arial" w:cs="Arial"/>
          <w:sz w:val="24"/>
          <w:szCs w:val="24"/>
        </w:rPr>
      </w:pPr>
    </w:p>
    <w:p w14:paraId="3BCBC08D" w14:textId="3C29C7C3" w:rsidR="002D1B1F" w:rsidRPr="00B568F3" w:rsidRDefault="00E93780" w:rsidP="000C06A7">
      <w:pPr>
        <w:pStyle w:val="Heading3"/>
        <w:rPr>
          <w:lang w:eastAsia="en-GB"/>
        </w:rPr>
      </w:pPr>
      <w:bookmarkStart w:id="45" w:name="_Toc210987779"/>
      <w:bookmarkStart w:id="46" w:name="_Toc211279632"/>
      <w:r w:rsidRPr="00B568F3">
        <w:rPr>
          <w:lang w:eastAsia="en-GB"/>
        </w:rPr>
        <w:t>A</w:t>
      </w:r>
      <w:r w:rsidR="002D1B1F" w:rsidRPr="00B568F3">
        <w:rPr>
          <w:lang w:eastAsia="en-GB"/>
        </w:rPr>
        <w:t xml:space="preserve">nalysis of themes from the </w:t>
      </w:r>
      <w:r w:rsidR="0772CF54" w:rsidRPr="00B568F3">
        <w:rPr>
          <w:lang w:eastAsia="en-GB"/>
        </w:rPr>
        <w:t>r</w:t>
      </w:r>
      <w:r w:rsidR="002D1B1F" w:rsidRPr="00B568F3">
        <w:rPr>
          <w:lang w:eastAsia="en-GB"/>
        </w:rPr>
        <w:t xml:space="preserve">egional </w:t>
      </w:r>
      <w:r w:rsidR="29AB980E" w:rsidRPr="00B568F3">
        <w:rPr>
          <w:lang w:eastAsia="en-GB"/>
        </w:rPr>
        <w:t>f</w:t>
      </w:r>
      <w:r w:rsidR="002D1B1F" w:rsidRPr="00B568F3">
        <w:rPr>
          <w:lang w:eastAsia="en-GB"/>
        </w:rPr>
        <w:t xml:space="preserve">acilitation </w:t>
      </w:r>
      <w:r w:rsidR="43558AC9" w:rsidRPr="00B568F3">
        <w:rPr>
          <w:lang w:eastAsia="en-GB"/>
        </w:rPr>
        <w:t>g</w:t>
      </w:r>
      <w:r w:rsidR="002D1B1F" w:rsidRPr="00B568F3">
        <w:rPr>
          <w:lang w:eastAsia="en-GB"/>
        </w:rPr>
        <w:t>rant</w:t>
      </w:r>
      <w:bookmarkEnd w:id="45"/>
      <w:bookmarkEnd w:id="46"/>
    </w:p>
    <w:p w14:paraId="086E203C" w14:textId="4D537943" w:rsidR="008533B5" w:rsidRPr="00C92ECE" w:rsidRDefault="001302D0"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1302D0">
        <w:rPr>
          <w:rFonts w:ascii="Arial" w:eastAsia="Times New Roman" w:hAnsi="Arial" w:cs="Arial"/>
          <w:sz w:val="24"/>
          <w:szCs w:val="24"/>
          <w:lang w:eastAsia="en-GB"/>
        </w:rPr>
        <w:t>We continued to hold provider forums, to help engagement and provide communication channels with providers. This makes sure there’s access to SCWWDP offers through a blended approach of face to face and virtual forums.</w:t>
      </w:r>
      <w:r w:rsidRPr="001302D0" w:rsidDel="00304CDE">
        <w:rPr>
          <w:rFonts w:ascii="Arial" w:eastAsia="Times New Roman" w:hAnsi="Arial" w:cs="Arial"/>
          <w:sz w:val="24"/>
          <w:szCs w:val="24"/>
          <w:lang w:eastAsia="en-GB"/>
        </w:rPr>
        <w:t xml:space="preserve"> </w:t>
      </w:r>
      <w:r w:rsidR="000E40CC" w:rsidRPr="009F2C6E">
        <w:rPr>
          <w:rFonts w:ascii="Arial" w:eastAsia="Times New Roman" w:hAnsi="Arial" w:cs="Arial"/>
          <w:sz w:val="24"/>
          <w:szCs w:val="24"/>
          <w:lang w:eastAsia="en-GB"/>
        </w:rPr>
        <w:t xml:space="preserve"> </w:t>
      </w:r>
      <w:r w:rsidR="00BF0426" w:rsidRPr="009F2C6E">
        <w:rPr>
          <w:rFonts w:ascii="Arial" w:eastAsia="Times New Roman" w:hAnsi="Arial" w:cs="Arial"/>
          <w:sz w:val="24"/>
          <w:szCs w:val="24"/>
          <w:lang w:eastAsia="en-GB"/>
        </w:rPr>
        <w:t xml:space="preserve">Efforts are ongoing to </w:t>
      </w:r>
      <w:r w:rsidR="00217ADF">
        <w:rPr>
          <w:rFonts w:ascii="Arial" w:eastAsia="Times New Roman" w:hAnsi="Arial" w:cs="Arial"/>
          <w:sz w:val="24"/>
          <w:szCs w:val="24"/>
          <w:lang w:eastAsia="en-GB"/>
        </w:rPr>
        <w:t>make sure</w:t>
      </w:r>
      <w:r w:rsidR="00217ADF" w:rsidRPr="009F2C6E">
        <w:rPr>
          <w:rFonts w:ascii="Arial" w:eastAsia="Times New Roman" w:hAnsi="Arial" w:cs="Arial"/>
          <w:sz w:val="24"/>
          <w:szCs w:val="24"/>
          <w:lang w:eastAsia="en-GB"/>
        </w:rPr>
        <w:t xml:space="preserve"> </w:t>
      </w:r>
      <w:r w:rsidR="00BF0426" w:rsidRPr="009F2C6E">
        <w:rPr>
          <w:rFonts w:ascii="Arial" w:eastAsia="Times New Roman" w:hAnsi="Arial" w:cs="Arial"/>
          <w:sz w:val="24"/>
          <w:szCs w:val="24"/>
          <w:lang w:eastAsia="en-GB"/>
        </w:rPr>
        <w:t xml:space="preserve">that forum agendas reflect the needs and priorities of registered managers and providers, </w:t>
      </w:r>
      <w:r w:rsidR="00520744">
        <w:rPr>
          <w:rFonts w:ascii="Arial" w:eastAsia="Times New Roman" w:hAnsi="Arial" w:cs="Arial"/>
          <w:sz w:val="24"/>
          <w:szCs w:val="24"/>
          <w:lang w:eastAsia="en-GB"/>
        </w:rPr>
        <w:t>so that they have a real say in</w:t>
      </w:r>
      <w:r w:rsidR="00BF0426" w:rsidRPr="009F2C6E">
        <w:rPr>
          <w:rFonts w:ascii="Arial" w:eastAsia="Times New Roman" w:hAnsi="Arial" w:cs="Arial"/>
          <w:sz w:val="24"/>
          <w:szCs w:val="24"/>
          <w:lang w:eastAsia="en-GB"/>
        </w:rPr>
        <w:t xml:space="preserve"> shaping discussions.</w:t>
      </w:r>
    </w:p>
    <w:p w14:paraId="514C7944" w14:textId="77777777" w:rsidR="00223669" w:rsidRPr="00C92ECE" w:rsidRDefault="00223669" w:rsidP="008533B5">
      <w:pPr>
        <w:spacing w:after="200" w:line="276" w:lineRule="auto"/>
        <w:ind w:left="567"/>
        <w:contextualSpacing/>
        <w:rPr>
          <w:rFonts w:ascii="Arial" w:eastAsia="Times New Roman" w:hAnsi="Arial" w:cs="Arial"/>
          <w:sz w:val="24"/>
          <w:szCs w:val="24"/>
          <w:lang w:eastAsia="en-GB"/>
        </w:rPr>
      </w:pPr>
    </w:p>
    <w:p w14:paraId="3A705AA9" w14:textId="165FEB3D" w:rsidR="002D1B1F" w:rsidRPr="00C92ECE" w:rsidRDefault="00B85AAB"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9F2C6E">
        <w:rPr>
          <w:rFonts w:ascii="Arial" w:eastAsia="Times New Roman" w:hAnsi="Arial" w:cs="Arial"/>
          <w:sz w:val="24"/>
          <w:szCs w:val="24"/>
          <w:lang w:eastAsia="en-GB"/>
        </w:rPr>
        <w:t>Well</w:t>
      </w:r>
      <w:r w:rsidR="00217ADF">
        <w:rPr>
          <w:rFonts w:ascii="Arial" w:eastAsia="Times New Roman" w:hAnsi="Arial" w:cs="Arial"/>
          <w:sz w:val="24"/>
          <w:szCs w:val="24"/>
          <w:lang w:eastAsia="en-GB"/>
        </w:rPr>
        <w:t>-</w:t>
      </w:r>
      <w:r w:rsidRPr="009F2C6E">
        <w:rPr>
          <w:rFonts w:ascii="Arial" w:eastAsia="Times New Roman" w:hAnsi="Arial" w:cs="Arial"/>
          <w:sz w:val="24"/>
          <w:szCs w:val="24"/>
          <w:lang w:eastAsia="en-GB"/>
        </w:rPr>
        <w:t>being</w:t>
      </w:r>
      <w:r w:rsidR="00217ADF">
        <w:rPr>
          <w:rFonts w:ascii="Arial" w:eastAsia="Times New Roman" w:hAnsi="Arial" w:cs="Arial"/>
          <w:sz w:val="24"/>
          <w:szCs w:val="24"/>
          <w:lang w:eastAsia="en-GB"/>
        </w:rPr>
        <w:t xml:space="preserve"> support is still</w:t>
      </w:r>
      <w:r w:rsidRPr="009F2C6E">
        <w:rPr>
          <w:rFonts w:ascii="Arial" w:eastAsia="Times New Roman" w:hAnsi="Arial" w:cs="Arial"/>
          <w:sz w:val="24"/>
          <w:szCs w:val="24"/>
          <w:lang w:eastAsia="en-GB"/>
        </w:rPr>
        <w:t xml:space="preserve"> a prominent feature of provider forums, offering ongoing support to registered managers and Responsible Individuals.</w:t>
      </w:r>
    </w:p>
    <w:p w14:paraId="70CA3621" w14:textId="77777777" w:rsidR="00223669" w:rsidRPr="00C92ECE" w:rsidRDefault="00223669" w:rsidP="00223669">
      <w:pPr>
        <w:spacing w:after="200" w:line="276" w:lineRule="auto"/>
        <w:contextualSpacing/>
        <w:rPr>
          <w:rFonts w:ascii="Arial" w:eastAsia="Times New Roman" w:hAnsi="Arial" w:cs="Arial"/>
          <w:sz w:val="24"/>
          <w:szCs w:val="24"/>
          <w:lang w:eastAsia="en-GB"/>
        </w:rPr>
      </w:pPr>
    </w:p>
    <w:p w14:paraId="6A4BD107" w14:textId="129B4288" w:rsidR="002D1B1F" w:rsidRPr="00C92ECE" w:rsidRDefault="002D1B1F" w:rsidP="00632461">
      <w:pPr>
        <w:numPr>
          <w:ilvl w:val="0"/>
          <w:numId w:val="6"/>
        </w:numPr>
        <w:spacing w:after="200" w:line="276" w:lineRule="auto"/>
        <w:ind w:left="567" w:hanging="425"/>
        <w:contextualSpacing/>
        <w:rPr>
          <w:rFonts w:ascii="Arial" w:eastAsia="Times New Roman" w:hAnsi="Arial" w:cs="Arial"/>
          <w:sz w:val="24"/>
          <w:szCs w:val="24"/>
          <w:lang w:eastAsia="en-GB"/>
        </w:rPr>
      </w:pPr>
      <w:r w:rsidRPr="00C92ECE">
        <w:rPr>
          <w:rFonts w:ascii="Arial" w:eastAsia="Times New Roman" w:hAnsi="Arial" w:cs="Arial"/>
          <w:sz w:val="24"/>
          <w:szCs w:val="24"/>
          <w:lang w:eastAsia="en-GB"/>
        </w:rPr>
        <w:t>Local</w:t>
      </w:r>
      <w:r w:rsidR="00CA2903" w:rsidRPr="00C92ECE">
        <w:rPr>
          <w:rFonts w:ascii="Arial" w:eastAsia="Times New Roman" w:hAnsi="Arial" w:cs="Arial"/>
          <w:sz w:val="24"/>
          <w:szCs w:val="24"/>
          <w:lang w:eastAsia="en-GB"/>
        </w:rPr>
        <w:t xml:space="preserve"> and </w:t>
      </w:r>
      <w:r w:rsidRPr="00C92ECE">
        <w:rPr>
          <w:rFonts w:ascii="Arial" w:eastAsia="Times New Roman" w:hAnsi="Arial" w:cs="Arial"/>
          <w:sz w:val="24"/>
          <w:szCs w:val="24"/>
          <w:lang w:eastAsia="en-GB"/>
        </w:rPr>
        <w:t xml:space="preserve">regional </w:t>
      </w:r>
      <w:r w:rsidR="006D260F" w:rsidRPr="00C92ECE">
        <w:rPr>
          <w:rFonts w:ascii="Arial" w:eastAsia="Times New Roman" w:hAnsi="Arial" w:cs="Arial"/>
          <w:sz w:val="24"/>
          <w:szCs w:val="24"/>
          <w:lang w:eastAsia="en-GB"/>
        </w:rPr>
        <w:t xml:space="preserve">initiatives beyond </w:t>
      </w:r>
      <w:r w:rsidRPr="00C92ECE">
        <w:rPr>
          <w:rFonts w:ascii="Arial" w:eastAsia="Times New Roman" w:hAnsi="Arial" w:cs="Arial"/>
          <w:sz w:val="24"/>
          <w:szCs w:val="24"/>
          <w:lang w:eastAsia="en-GB"/>
        </w:rPr>
        <w:t xml:space="preserve">national </w:t>
      </w:r>
      <w:r w:rsidR="005463CB" w:rsidRPr="00C92ECE">
        <w:rPr>
          <w:rFonts w:ascii="Arial" w:eastAsia="Times New Roman" w:hAnsi="Arial" w:cs="Arial"/>
          <w:sz w:val="24"/>
          <w:szCs w:val="24"/>
          <w:lang w:eastAsia="en-GB"/>
        </w:rPr>
        <w:t>programmes</w:t>
      </w:r>
      <w:r w:rsidRPr="00C92ECE">
        <w:rPr>
          <w:rFonts w:ascii="Arial" w:eastAsia="Times New Roman" w:hAnsi="Arial" w:cs="Arial"/>
          <w:sz w:val="24"/>
          <w:szCs w:val="24"/>
          <w:lang w:eastAsia="en-GB"/>
        </w:rPr>
        <w:t xml:space="preserve"> include:</w:t>
      </w:r>
    </w:p>
    <w:p w14:paraId="5FF11CDF" w14:textId="6A08B7A3" w:rsidR="00DE68DF" w:rsidRPr="00785062" w:rsidRDefault="009A6FC3" w:rsidP="00C92ECE">
      <w:pPr>
        <w:numPr>
          <w:ilvl w:val="1"/>
          <w:numId w:val="6"/>
        </w:numPr>
        <w:spacing w:after="200" w:line="276" w:lineRule="auto"/>
        <w:ind w:left="1418" w:hanging="567"/>
        <w:contextualSpacing/>
        <w:rPr>
          <w:rFonts w:ascii="Arial" w:eastAsia="Calibri" w:hAnsi="Arial" w:cs="Arial"/>
          <w:sz w:val="24"/>
          <w:szCs w:val="24"/>
        </w:rPr>
      </w:pPr>
      <w:r w:rsidRPr="00785062">
        <w:rPr>
          <w:rFonts w:ascii="Arial" w:eastAsia="Calibri" w:hAnsi="Arial" w:cs="Arial"/>
          <w:sz w:val="24"/>
          <w:szCs w:val="24"/>
        </w:rPr>
        <w:t>close working, promotion and recruitment initiatives with key partners such as Careers Wales, Job Centres, schools, colleges and learning and skills teams</w:t>
      </w:r>
    </w:p>
    <w:p w14:paraId="237F70A6" w14:textId="4C627D2B" w:rsidR="001B0DB6" w:rsidRPr="00785062" w:rsidRDefault="00B227CB" w:rsidP="00C92ECE">
      <w:pPr>
        <w:numPr>
          <w:ilvl w:val="1"/>
          <w:numId w:val="6"/>
        </w:numPr>
        <w:spacing w:after="200" w:line="276" w:lineRule="auto"/>
        <w:ind w:left="1418" w:hanging="567"/>
        <w:contextualSpacing/>
        <w:rPr>
          <w:rFonts w:ascii="Arial" w:eastAsia="Calibri" w:hAnsi="Arial" w:cs="Arial"/>
          <w:sz w:val="24"/>
          <w:szCs w:val="24"/>
        </w:rPr>
      </w:pPr>
      <w:r w:rsidRPr="00785062">
        <w:rPr>
          <w:rFonts w:ascii="Arial" w:eastAsia="Calibri" w:hAnsi="Arial" w:cs="Arial"/>
          <w:sz w:val="24"/>
          <w:szCs w:val="24"/>
        </w:rPr>
        <w:t>y</w:t>
      </w:r>
      <w:r w:rsidR="00DE68DF" w:rsidRPr="00785062">
        <w:rPr>
          <w:rFonts w:ascii="Arial" w:eastAsia="Calibri" w:hAnsi="Arial" w:cs="Arial"/>
          <w:sz w:val="24"/>
          <w:szCs w:val="24"/>
        </w:rPr>
        <w:t>outh engagement through career events and ambassador programmes in schools and colleges</w:t>
      </w:r>
    </w:p>
    <w:p w14:paraId="679A0C41" w14:textId="1AED79F9" w:rsidR="00FD58E6" w:rsidRPr="00785062" w:rsidRDefault="0004450A" w:rsidP="00BB471B">
      <w:pPr>
        <w:numPr>
          <w:ilvl w:val="1"/>
          <w:numId w:val="6"/>
        </w:numPr>
        <w:spacing w:after="200" w:line="276" w:lineRule="auto"/>
        <w:ind w:left="1418" w:hanging="567"/>
        <w:contextualSpacing/>
        <w:rPr>
          <w:rFonts w:ascii="Arial" w:eastAsia="Calibri" w:hAnsi="Arial" w:cs="Arial"/>
          <w:sz w:val="24"/>
          <w:szCs w:val="24"/>
        </w:rPr>
      </w:pPr>
      <w:r w:rsidRPr="00785062">
        <w:rPr>
          <w:rFonts w:ascii="Arial" w:eastAsia="Calibri" w:hAnsi="Arial" w:cs="Arial"/>
          <w:sz w:val="24"/>
          <w:szCs w:val="24"/>
        </w:rPr>
        <w:t>attending local and regional recruitment events to promote the opportunities available in the social care sector</w:t>
      </w:r>
    </w:p>
    <w:p w14:paraId="24660941" w14:textId="147F8837" w:rsidR="00223669" w:rsidRPr="00847CC3" w:rsidRDefault="00AB134C" w:rsidP="00BB471B">
      <w:pPr>
        <w:numPr>
          <w:ilvl w:val="1"/>
          <w:numId w:val="6"/>
        </w:numPr>
        <w:spacing w:after="200" w:line="276" w:lineRule="auto"/>
        <w:ind w:left="1418" w:hanging="567"/>
        <w:contextualSpacing/>
        <w:rPr>
          <w:rFonts w:ascii="Arial" w:eastAsia="Times New Roman" w:hAnsi="Arial" w:cs="Arial"/>
          <w:sz w:val="24"/>
          <w:szCs w:val="24"/>
          <w:lang w:eastAsia="en-GB"/>
        </w:rPr>
      </w:pPr>
      <w:r w:rsidRPr="00785062">
        <w:rPr>
          <w:rFonts w:ascii="Arial" w:eastAsia="Calibri" w:hAnsi="Arial" w:cs="Arial"/>
          <w:sz w:val="24"/>
          <w:szCs w:val="24"/>
        </w:rPr>
        <w:t>several regions creating bespoke or localised media assets to support the national resources being developed, giving a more targeted resource to use with job seekers and learners.</w:t>
      </w:r>
    </w:p>
    <w:p w14:paraId="7AC876F1" w14:textId="3B9294E7" w:rsidR="00236E68" w:rsidRPr="006D260F" w:rsidRDefault="00236E68" w:rsidP="00C92ECE">
      <w:pPr>
        <w:numPr>
          <w:ilvl w:val="0"/>
          <w:numId w:val="6"/>
        </w:numPr>
        <w:spacing w:after="200" w:line="276" w:lineRule="auto"/>
        <w:ind w:left="567" w:hanging="425"/>
        <w:contextualSpacing/>
        <w:rPr>
          <w:rFonts w:ascii="Arial" w:eastAsia="Times New Roman" w:hAnsi="Arial" w:cs="Arial"/>
          <w:sz w:val="24"/>
          <w:szCs w:val="24"/>
          <w:lang w:eastAsia="en-GB"/>
        </w:rPr>
      </w:pPr>
      <w:r w:rsidRPr="006D260F">
        <w:rPr>
          <w:rFonts w:ascii="Arial" w:eastAsia="Times New Roman" w:hAnsi="Arial" w:cs="Arial"/>
          <w:sz w:val="24"/>
          <w:szCs w:val="24"/>
          <w:lang w:eastAsia="en-GB"/>
        </w:rPr>
        <w:lastRenderedPageBreak/>
        <w:t>Extensive regional work continues to support social work education. The regional facilitation grant funding is seen as essential for:</w:t>
      </w:r>
    </w:p>
    <w:p w14:paraId="37283FE9" w14:textId="48316AD6" w:rsidR="00236E68" w:rsidRPr="00C92ECE" w:rsidRDefault="00A47230" w:rsidP="00C92ECE">
      <w:pPr>
        <w:numPr>
          <w:ilvl w:val="1"/>
          <w:numId w:val="6"/>
        </w:numPr>
        <w:spacing w:after="200" w:line="276" w:lineRule="auto"/>
        <w:ind w:left="1418" w:hanging="567"/>
        <w:contextualSpacing/>
        <w:rPr>
          <w:rFonts w:ascii="Arial" w:eastAsia="Calibri" w:hAnsi="Arial" w:cs="Arial"/>
          <w:sz w:val="24"/>
          <w:szCs w:val="24"/>
        </w:rPr>
      </w:pPr>
      <w:r>
        <w:rPr>
          <w:rFonts w:ascii="Arial" w:eastAsia="Calibri" w:hAnsi="Arial" w:cs="Arial"/>
          <w:sz w:val="24"/>
          <w:szCs w:val="24"/>
        </w:rPr>
        <w:t>i</w:t>
      </w:r>
      <w:r w:rsidR="00236E68" w:rsidRPr="00C92ECE">
        <w:rPr>
          <w:rFonts w:ascii="Arial" w:eastAsia="Calibri" w:hAnsi="Arial" w:cs="Arial"/>
          <w:sz w:val="24"/>
          <w:szCs w:val="24"/>
        </w:rPr>
        <w:t>ncreasing the number of sponsored social work students</w:t>
      </w:r>
    </w:p>
    <w:p w14:paraId="1E289581" w14:textId="64454BBB" w:rsidR="00236E68" w:rsidRPr="00C92ECE" w:rsidRDefault="00A47230" w:rsidP="00C92ECE">
      <w:pPr>
        <w:numPr>
          <w:ilvl w:val="1"/>
          <w:numId w:val="6"/>
        </w:numPr>
        <w:spacing w:after="200" w:line="276" w:lineRule="auto"/>
        <w:ind w:left="1418" w:hanging="567"/>
        <w:contextualSpacing/>
        <w:rPr>
          <w:rFonts w:ascii="Arial" w:eastAsia="Calibri" w:hAnsi="Arial" w:cs="Arial"/>
          <w:sz w:val="24"/>
          <w:szCs w:val="24"/>
        </w:rPr>
      </w:pPr>
      <w:r>
        <w:rPr>
          <w:rFonts w:ascii="Arial" w:eastAsia="Calibri" w:hAnsi="Arial" w:cs="Arial"/>
          <w:sz w:val="24"/>
          <w:szCs w:val="24"/>
        </w:rPr>
        <w:t>s</w:t>
      </w:r>
      <w:r w:rsidR="00236E68" w:rsidRPr="00C92ECE">
        <w:rPr>
          <w:rFonts w:ascii="Arial" w:eastAsia="Calibri" w:hAnsi="Arial" w:cs="Arial"/>
          <w:sz w:val="24"/>
          <w:szCs w:val="24"/>
        </w:rPr>
        <w:t>upporting internal staff to qualify as social workers</w:t>
      </w:r>
    </w:p>
    <w:p w14:paraId="68E72113" w14:textId="51773ACC" w:rsidR="00236E68" w:rsidRPr="00C92ECE" w:rsidRDefault="00A47230" w:rsidP="00C92ECE">
      <w:pPr>
        <w:numPr>
          <w:ilvl w:val="1"/>
          <w:numId w:val="6"/>
        </w:numPr>
        <w:spacing w:after="200" w:line="276" w:lineRule="auto"/>
        <w:ind w:left="1418" w:hanging="567"/>
        <w:contextualSpacing/>
        <w:rPr>
          <w:rFonts w:ascii="Arial" w:eastAsia="Calibri" w:hAnsi="Arial" w:cs="Arial"/>
          <w:sz w:val="24"/>
          <w:szCs w:val="24"/>
        </w:rPr>
      </w:pPr>
      <w:r>
        <w:rPr>
          <w:rFonts w:ascii="Arial" w:eastAsia="Calibri" w:hAnsi="Arial" w:cs="Arial"/>
          <w:sz w:val="24"/>
          <w:szCs w:val="24"/>
        </w:rPr>
        <w:t>e</w:t>
      </w:r>
      <w:r w:rsidR="00236E68" w:rsidRPr="00C92ECE">
        <w:rPr>
          <w:rFonts w:ascii="Arial" w:eastAsia="Calibri" w:hAnsi="Arial" w:cs="Arial"/>
          <w:sz w:val="24"/>
          <w:szCs w:val="24"/>
        </w:rPr>
        <w:t>nabling continuity for those progressing through their qualifying journey and supporting future cohorts.</w:t>
      </w:r>
    </w:p>
    <w:p w14:paraId="5852DD5D" w14:textId="2C531464" w:rsidR="003D5EDE" w:rsidRPr="000C06A7" w:rsidRDefault="003C5E17" w:rsidP="0019368B">
      <w:pPr>
        <w:pStyle w:val="Heading2"/>
        <w:numPr>
          <w:ilvl w:val="0"/>
          <w:numId w:val="119"/>
        </w:numPr>
      </w:pPr>
      <w:bookmarkStart w:id="47" w:name="_Toc211279633"/>
      <w:r w:rsidRPr="000C06A7">
        <w:t>Fundamental principles</w:t>
      </w:r>
      <w:r w:rsidR="00063665" w:rsidRPr="000C06A7">
        <w:t>: Well</w:t>
      </w:r>
      <w:r w:rsidRPr="000C06A7">
        <w:t>-</w:t>
      </w:r>
      <w:r w:rsidR="00063665" w:rsidRPr="000C06A7">
        <w:t xml:space="preserve">being, </w:t>
      </w:r>
      <w:r w:rsidR="007E7DFE" w:rsidRPr="000C06A7">
        <w:t xml:space="preserve">Welsh language and </w:t>
      </w:r>
      <w:r w:rsidR="00F010FB" w:rsidRPr="000C06A7">
        <w:t>i</w:t>
      </w:r>
      <w:r w:rsidR="007E7DFE" w:rsidRPr="000C06A7">
        <w:t>nclusion</w:t>
      </w:r>
      <w:bookmarkEnd w:id="47"/>
    </w:p>
    <w:p w14:paraId="176D436C" w14:textId="77777777" w:rsidR="00CB229A" w:rsidRPr="00B568F3" w:rsidRDefault="00CB229A" w:rsidP="00BB471B">
      <w:pPr>
        <w:spacing w:after="0"/>
        <w:rPr>
          <w:rFonts w:ascii="Arial" w:eastAsia="Calibri" w:hAnsi="Arial" w:cs="Arial"/>
          <w:sz w:val="24"/>
          <w:szCs w:val="24"/>
          <w:u w:val="single"/>
        </w:rPr>
      </w:pPr>
    </w:p>
    <w:p w14:paraId="46308DCC" w14:textId="0DD2F329" w:rsidR="00F010FB" w:rsidRPr="00823207" w:rsidRDefault="00EE748E" w:rsidP="00F010FB">
      <w:pPr>
        <w:rPr>
          <w:rFonts w:ascii="Arial" w:eastAsia="Calibri" w:hAnsi="Arial" w:cs="Arial"/>
          <w:sz w:val="24"/>
          <w:szCs w:val="24"/>
        </w:rPr>
      </w:pPr>
      <w:r w:rsidRPr="00823207">
        <w:rPr>
          <w:rFonts w:ascii="Arial" w:eastAsia="Calibri" w:hAnsi="Arial" w:cs="Arial"/>
          <w:sz w:val="24"/>
          <w:szCs w:val="24"/>
        </w:rPr>
        <w:t xml:space="preserve">In terms of SCWWDP </w:t>
      </w:r>
      <w:r w:rsidR="007206B6" w:rsidRPr="00823207">
        <w:rPr>
          <w:rFonts w:ascii="Arial" w:eastAsia="Calibri" w:hAnsi="Arial" w:cs="Arial"/>
          <w:sz w:val="24"/>
          <w:szCs w:val="24"/>
        </w:rPr>
        <w:t>funding</w:t>
      </w:r>
      <w:r w:rsidR="00F010FB" w:rsidRPr="00823207">
        <w:rPr>
          <w:rFonts w:ascii="Arial" w:eastAsia="Calibri" w:hAnsi="Arial" w:cs="Arial"/>
          <w:sz w:val="24"/>
          <w:szCs w:val="24"/>
        </w:rPr>
        <w:t>,</w:t>
      </w:r>
      <w:r w:rsidR="007206B6" w:rsidRPr="00823207">
        <w:rPr>
          <w:rFonts w:ascii="Arial" w:eastAsia="Calibri" w:hAnsi="Arial" w:cs="Arial"/>
          <w:sz w:val="24"/>
          <w:szCs w:val="24"/>
        </w:rPr>
        <w:t xml:space="preserve"> </w:t>
      </w:r>
      <w:r w:rsidRPr="00823207">
        <w:rPr>
          <w:rFonts w:ascii="Arial" w:eastAsia="Calibri" w:hAnsi="Arial" w:cs="Arial"/>
          <w:sz w:val="24"/>
          <w:szCs w:val="24"/>
        </w:rPr>
        <w:t>we</w:t>
      </w:r>
      <w:r w:rsidR="008E1452" w:rsidRPr="00823207">
        <w:rPr>
          <w:rFonts w:ascii="Arial" w:eastAsia="Calibri" w:hAnsi="Arial" w:cs="Arial"/>
          <w:sz w:val="24"/>
          <w:szCs w:val="24"/>
        </w:rPr>
        <w:t xml:space="preserve"> welcome submissions that clearly support the</w:t>
      </w:r>
      <w:r w:rsidR="00CB229A" w:rsidRPr="00823207">
        <w:rPr>
          <w:rFonts w:ascii="Arial" w:eastAsia="Calibri" w:hAnsi="Arial" w:cs="Arial"/>
          <w:sz w:val="24"/>
          <w:szCs w:val="24"/>
        </w:rPr>
        <w:t xml:space="preserve"> </w:t>
      </w:r>
      <w:r w:rsidR="00F010FB" w:rsidRPr="00823207">
        <w:rPr>
          <w:rFonts w:ascii="Arial" w:eastAsia="Calibri" w:hAnsi="Arial" w:cs="Arial"/>
          <w:sz w:val="24"/>
          <w:szCs w:val="24"/>
        </w:rPr>
        <w:t xml:space="preserve">main </w:t>
      </w:r>
      <w:r w:rsidR="00CB229A" w:rsidRPr="00823207">
        <w:rPr>
          <w:rFonts w:ascii="Arial" w:eastAsia="Calibri" w:hAnsi="Arial" w:cs="Arial"/>
          <w:sz w:val="24"/>
          <w:szCs w:val="24"/>
        </w:rPr>
        <w:t>principles</w:t>
      </w:r>
      <w:r w:rsidR="00B70AB0" w:rsidRPr="00823207">
        <w:rPr>
          <w:rFonts w:ascii="Arial" w:eastAsia="Calibri" w:hAnsi="Arial" w:cs="Arial"/>
          <w:sz w:val="24"/>
          <w:szCs w:val="24"/>
        </w:rPr>
        <w:t xml:space="preserve"> of the workforce strategy</w:t>
      </w:r>
      <w:r w:rsidR="00405591" w:rsidRPr="00823207">
        <w:rPr>
          <w:rFonts w:ascii="Arial" w:eastAsia="Calibri" w:hAnsi="Arial" w:cs="Arial"/>
          <w:sz w:val="24"/>
          <w:szCs w:val="24"/>
        </w:rPr>
        <w:t>.</w:t>
      </w:r>
      <w:r w:rsidR="00B70AB0" w:rsidRPr="00823207">
        <w:rPr>
          <w:rFonts w:ascii="Arial" w:eastAsia="Calibri" w:hAnsi="Arial" w:cs="Arial"/>
          <w:sz w:val="24"/>
          <w:szCs w:val="24"/>
        </w:rPr>
        <w:t xml:space="preserve"> </w:t>
      </w:r>
      <w:r w:rsidR="00405591" w:rsidRPr="00823207">
        <w:rPr>
          <w:rFonts w:ascii="Arial" w:eastAsia="Calibri" w:hAnsi="Arial" w:cs="Arial"/>
          <w:sz w:val="24"/>
          <w:szCs w:val="24"/>
        </w:rPr>
        <w:t>T</w:t>
      </w:r>
      <w:r w:rsidR="00B70AB0" w:rsidRPr="00823207">
        <w:rPr>
          <w:rFonts w:ascii="Arial" w:eastAsia="Calibri" w:hAnsi="Arial" w:cs="Arial"/>
          <w:sz w:val="24"/>
          <w:szCs w:val="24"/>
        </w:rPr>
        <w:t xml:space="preserve">hese </w:t>
      </w:r>
      <w:r w:rsidR="00F010FB" w:rsidRPr="00823207">
        <w:rPr>
          <w:rFonts w:ascii="Arial" w:eastAsia="Calibri" w:hAnsi="Arial" w:cs="Arial"/>
          <w:sz w:val="24"/>
          <w:szCs w:val="24"/>
        </w:rPr>
        <w:t>are:</w:t>
      </w:r>
    </w:p>
    <w:p w14:paraId="4ABD52DC" w14:textId="4B90480E" w:rsidR="00F010FB" w:rsidRPr="00823207" w:rsidRDefault="00CB229A" w:rsidP="00632461">
      <w:pPr>
        <w:pStyle w:val="ListParagraph"/>
        <w:numPr>
          <w:ilvl w:val="0"/>
          <w:numId w:val="22"/>
        </w:numPr>
        <w:rPr>
          <w:rFonts w:ascii="Arial" w:eastAsia="Calibri" w:hAnsi="Arial" w:cs="Arial"/>
          <w:sz w:val="24"/>
          <w:szCs w:val="24"/>
        </w:rPr>
      </w:pPr>
      <w:r w:rsidRPr="00823207">
        <w:rPr>
          <w:rFonts w:ascii="Arial" w:eastAsia="Calibri" w:hAnsi="Arial" w:cs="Arial"/>
          <w:sz w:val="24"/>
          <w:szCs w:val="24"/>
        </w:rPr>
        <w:t>well-being</w:t>
      </w:r>
    </w:p>
    <w:p w14:paraId="41E87327" w14:textId="70C715ED" w:rsidR="00F010FB" w:rsidRPr="00823207" w:rsidRDefault="00CB229A" w:rsidP="00632461">
      <w:pPr>
        <w:pStyle w:val="ListParagraph"/>
        <w:numPr>
          <w:ilvl w:val="0"/>
          <w:numId w:val="22"/>
        </w:numPr>
        <w:rPr>
          <w:rFonts w:ascii="Arial" w:eastAsia="Calibri" w:hAnsi="Arial" w:cs="Arial"/>
          <w:sz w:val="24"/>
          <w:szCs w:val="24"/>
        </w:rPr>
      </w:pPr>
      <w:r w:rsidRPr="00823207">
        <w:rPr>
          <w:rFonts w:ascii="Arial" w:eastAsia="Calibri" w:hAnsi="Arial" w:cs="Arial"/>
          <w:sz w:val="24"/>
          <w:szCs w:val="24"/>
        </w:rPr>
        <w:t>the Welsh language</w:t>
      </w:r>
    </w:p>
    <w:p w14:paraId="2B9E190C" w14:textId="20A1217B" w:rsidR="00CB229A" w:rsidRPr="00823207" w:rsidRDefault="00CB229A" w:rsidP="00632461">
      <w:pPr>
        <w:pStyle w:val="ListParagraph"/>
        <w:numPr>
          <w:ilvl w:val="0"/>
          <w:numId w:val="22"/>
        </w:numPr>
        <w:rPr>
          <w:rFonts w:ascii="Arial" w:eastAsia="Calibri" w:hAnsi="Arial" w:cs="Arial"/>
          <w:sz w:val="24"/>
          <w:szCs w:val="24"/>
        </w:rPr>
      </w:pPr>
      <w:r w:rsidRPr="00823207">
        <w:rPr>
          <w:rFonts w:ascii="Arial" w:eastAsia="Calibri" w:hAnsi="Arial" w:cs="Arial"/>
          <w:sz w:val="24"/>
          <w:szCs w:val="24"/>
        </w:rPr>
        <w:t>inclusion.</w:t>
      </w:r>
    </w:p>
    <w:p w14:paraId="5D02DC25" w14:textId="01BCF4E4" w:rsidR="005779EF" w:rsidRPr="00823207" w:rsidRDefault="00242820" w:rsidP="00B84623">
      <w:pPr>
        <w:rPr>
          <w:rFonts w:ascii="Arial" w:eastAsia="Calibri" w:hAnsi="Arial" w:cs="Arial"/>
          <w:sz w:val="24"/>
          <w:szCs w:val="24"/>
        </w:rPr>
      </w:pPr>
      <w:r w:rsidRPr="00823207">
        <w:rPr>
          <w:rFonts w:ascii="Arial" w:eastAsia="Calibri" w:hAnsi="Arial" w:cs="Arial"/>
          <w:sz w:val="24"/>
          <w:szCs w:val="24"/>
        </w:rPr>
        <w:t xml:space="preserve">We don’t </w:t>
      </w:r>
      <w:r w:rsidR="00F010FB" w:rsidRPr="00823207">
        <w:rPr>
          <w:rFonts w:ascii="Arial" w:eastAsia="Calibri" w:hAnsi="Arial" w:cs="Arial"/>
          <w:sz w:val="24"/>
          <w:szCs w:val="24"/>
        </w:rPr>
        <w:t xml:space="preserve">have specific sections </w:t>
      </w:r>
      <w:r w:rsidRPr="00823207">
        <w:rPr>
          <w:rFonts w:ascii="Arial" w:eastAsia="Calibri" w:hAnsi="Arial" w:cs="Arial"/>
          <w:sz w:val="24"/>
          <w:szCs w:val="24"/>
        </w:rPr>
        <w:t xml:space="preserve">in the monitoring templates </w:t>
      </w:r>
      <w:r w:rsidR="0058171D" w:rsidRPr="00823207">
        <w:rPr>
          <w:rFonts w:ascii="Arial" w:eastAsia="Calibri" w:hAnsi="Arial" w:cs="Arial"/>
          <w:sz w:val="24"/>
          <w:szCs w:val="24"/>
        </w:rPr>
        <w:t>that capture</w:t>
      </w:r>
      <w:r w:rsidR="00C978A8" w:rsidRPr="00823207">
        <w:rPr>
          <w:rFonts w:ascii="Arial" w:eastAsia="Calibri" w:hAnsi="Arial" w:cs="Arial"/>
          <w:sz w:val="24"/>
          <w:szCs w:val="24"/>
        </w:rPr>
        <w:t>s</w:t>
      </w:r>
      <w:r w:rsidR="0058171D" w:rsidRPr="00823207">
        <w:rPr>
          <w:rFonts w:ascii="Arial" w:eastAsia="Calibri" w:hAnsi="Arial" w:cs="Arial"/>
          <w:sz w:val="24"/>
          <w:szCs w:val="24"/>
        </w:rPr>
        <w:t xml:space="preserve"> </w:t>
      </w:r>
      <w:r w:rsidR="00261150" w:rsidRPr="00823207">
        <w:rPr>
          <w:rFonts w:ascii="Arial" w:eastAsia="Calibri" w:hAnsi="Arial" w:cs="Arial"/>
          <w:sz w:val="24"/>
          <w:szCs w:val="24"/>
        </w:rPr>
        <w:t xml:space="preserve">information on the </w:t>
      </w:r>
      <w:r w:rsidR="0058171D" w:rsidRPr="00823207">
        <w:rPr>
          <w:rFonts w:ascii="Arial" w:eastAsia="Calibri" w:hAnsi="Arial" w:cs="Arial"/>
          <w:sz w:val="24"/>
          <w:szCs w:val="24"/>
        </w:rPr>
        <w:t xml:space="preserve">main </w:t>
      </w:r>
      <w:r w:rsidR="00261150" w:rsidRPr="00823207">
        <w:rPr>
          <w:rFonts w:ascii="Arial" w:eastAsia="Calibri" w:hAnsi="Arial" w:cs="Arial"/>
          <w:sz w:val="24"/>
          <w:szCs w:val="24"/>
        </w:rPr>
        <w:t>principles</w:t>
      </w:r>
      <w:r w:rsidR="003C789F" w:rsidRPr="00823207">
        <w:rPr>
          <w:rFonts w:ascii="Arial" w:eastAsia="Calibri" w:hAnsi="Arial" w:cs="Arial"/>
          <w:sz w:val="24"/>
          <w:szCs w:val="24"/>
        </w:rPr>
        <w:t>,</w:t>
      </w:r>
      <w:r w:rsidR="002164AF" w:rsidRPr="00823207">
        <w:rPr>
          <w:rFonts w:ascii="Arial" w:eastAsia="Calibri" w:hAnsi="Arial" w:cs="Arial"/>
          <w:sz w:val="24"/>
          <w:szCs w:val="24"/>
        </w:rPr>
        <w:t xml:space="preserve"> specifically </w:t>
      </w:r>
      <w:r w:rsidR="0058171D" w:rsidRPr="00823207">
        <w:rPr>
          <w:rFonts w:ascii="Arial" w:eastAsia="Calibri" w:hAnsi="Arial" w:cs="Arial"/>
          <w:sz w:val="24"/>
          <w:szCs w:val="24"/>
        </w:rPr>
        <w:t xml:space="preserve">because </w:t>
      </w:r>
      <w:r w:rsidR="002164AF" w:rsidRPr="00823207">
        <w:rPr>
          <w:rFonts w:ascii="Arial" w:eastAsia="Calibri" w:hAnsi="Arial" w:cs="Arial"/>
          <w:sz w:val="24"/>
          <w:szCs w:val="24"/>
        </w:rPr>
        <w:t>we expect them to be considered as part of all activities</w:t>
      </w:r>
      <w:r w:rsidR="005779EF" w:rsidRPr="00823207">
        <w:rPr>
          <w:rFonts w:ascii="Arial" w:eastAsia="Calibri" w:hAnsi="Arial" w:cs="Arial"/>
          <w:sz w:val="24"/>
          <w:szCs w:val="24"/>
        </w:rPr>
        <w:t xml:space="preserve"> and outputs funded by SCWWDP. </w:t>
      </w:r>
    </w:p>
    <w:p w14:paraId="62AD2F2C" w14:textId="5B1F6A29" w:rsidR="00C058D1" w:rsidRPr="00B568F3" w:rsidRDefault="00C058D1" w:rsidP="00B84623">
      <w:pPr>
        <w:rPr>
          <w:rFonts w:ascii="Arial" w:eastAsia="Calibri" w:hAnsi="Arial" w:cs="Arial"/>
          <w:sz w:val="24"/>
          <w:szCs w:val="24"/>
        </w:rPr>
      </w:pPr>
      <w:r w:rsidRPr="00823207">
        <w:rPr>
          <w:rFonts w:ascii="Arial" w:eastAsia="Calibri" w:hAnsi="Arial" w:cs="Arial"/>
          <w:sz w:val="24"/>
          <w:szCs w:val="24"/>
        </w:rPr>
        <w:t xml:space="preserve">This section </w:t>
      </w:r>
      <w:r w:rsidR="001A697F" w:rsidRPr="00823207">
        <w:rPr>
          <w:rFonts w:ascii="Arial" w:eastAsia="Calibri" w:hAnsi="Arial" w:cs="Arial"/>
          <w:sz w:val="24"/>
          <w:szCs w:val="24"/>
        </w:rPr>
        <w:t xml:space="preserve">highlights some of the information from the regional </w:t>
      </w:r>
      <w:r w:rsidR="00584A8A" w:rsidRPr="00823207">
        <w:rPr>
          <w:rFonts w:ascii="Arial" w:eastAsia="Calibri" w:hAnsi="Arial" w:cs="Arial"/>
          <w:sz w:val="24"/>
          <w:szCs w:val="24"/>
        </w:rPr>
        <w:t xml:space="preserve">end-of year reports </w:t>
      </w:r>
      <w:r w:rsidR="001A697F" w:rsidRPr="00823207">
        <w:rPr>
          <w:rFonts w:ascii="Arial" w:eastAsia="Calibri" w:hAnsi="Arial" w:cs="Arial"/>
          <w:sz w:val="24"/>
          <w:szCs w:val="24"/>
        </w:rPr>
        <w:t>that are linke</w:t>
      </w:r>
      <w:r w:rsidR="00584A8A" w:rsidRPr="00823207">
        <w:rPr>
          <w:rFonts w:ascii="Arial" w:eastAsia="Calibri" w:hAnsi="Arial" w:cs="Arial"/>
          <w:sz w:val="24"/>
          <w:szCs w:val="24"/>
        </w:rPr>
        <w:t xml:space="preserve">d to the </w:t>
      </w:r>
      <w:r w:rsidR="00843380" w:rsidRPr="00823207">
        <w:rPr>
          <w:rFonts w:ascii="Arial" w:eastAsia="Calibri" w:hAnsi="Arial" w:cs="Arial"/>
          <w:sz w:val="24"/>
          <w:szCs w:val="24"/>
        </w:rPr>
        <w:t>main</w:t>
      </w:r>
      <w:r w:rsidR="00584A8A" w:rsidRPr="00823207">
        <w:rPr>
          <w:rFonts w:ascii="Arial" w:eastAsia="Calibri" w:hAnsi="Arial" w:cs="Arial"/>
          <w:sz w:val="24"/>
          <w:szCs w:val="24"/>
        </w:rPr>
        <w:t xml:space="preserve"> principles.</w:t>
      </w:r>
      <w:r w:rsidR="00F2698A" w:rsidRPr="00B568F3">
        <w:rPr>
          <w:rFonts w:ascii="Arial" w:eastAsia="Calibri" w:hAnsi="Arial" w:cs="Arial"/>
          <w:sz w:val="24"/>
          <w:szCs w:val="24"/>
        </w:rPr>
        <w:t xml:space="preserve"> </w:t>
      </w:r>
    </w:p>
    <w:p w14:paraId="114A5C26" w14:textId="77777777" w:rsidR="00167051" w:rsidRPr="00B568F3" w:rsidRDefault="00167051" w:rsidP="00B84623">
      <w:pPr>
        <w:rPr>
          <w:rFonts w:ascii="Arial" w:eastAsia="Calibri" w:hAnsi="Arial" w:cs="Arial"/>
          <w:sz w:val="24"/>
          <w:szCs w:val="24"/>
        </w:rPr>
      </w:pPr>
    </w:p>
    <w:p w14:paraId="3579C9A3" w14:textId="0D8CD6CE" w:rsidR="00CD498B" w:rsidRPr="00B568F3" w:rsidRDefault="00CD498B" w:rsidP="000C06A7">
      <w:pPr>
        <w:pStyle w:val="Heading3"/>
      </w:pPr>
      <w:bookmarkStart w:id="48" w:name="_Toc210987781"/>
      <w:bookmarkStart w:id="49" w:name="_Toc211279634"/>
      <w:r w:rsidRPr="00B568F3">
        <w:t>Well-being</w:t>
      </w:r>
      <w:bookmarkEnd w:id="48"/>
      <w:bookmarkEnd w:id="49"/>
    </w:p>
    <w:p w14:paraId="39B9F191" w14:textId="6617733B" w:rsidR="0034508E" w:rsidRDefault="00386F68" w:rsidP="0079358A">
      <w:pPr>
        <w:rPr>
          <w:rFonts w:asciiTheme="minorBidi" w:hAnsiTheme="minorBidi"/>
          <w:sz w:val="24"/>
          <w:szCs w:val="24"/>
          <w:lang w:eastAsia="en-GB"/>
        </w:rPr>
      </w:pPr>
      <w:r w:rsidRPr="00C92ECE">
        <w:rPr>
          <w:rFonts w:ascii="Arial" w:eastAsia="Calibri" w:hAnsi="Arial" w:cs="Arial"/>
          <w:bCs/>
          <w:sz w:val="24"/>
          <w:szCs w:val="24"/>
        </w:rPr>
        <w:t xml:space="preserve">Workforce well-being </w:t>
      </w:r>
      <w:r w:rsidR="000D6E24">
        <w:rPr>
          <w:rFonts w:ascii="Arial" w:eastAsia="Calibri" w:hAnsi="Arial" w:cs="Arial"/>
          <w:bCs/>
          <w:sz w:val="24"/>
          <w:szCs w:val="24"/>
        </w:rPr>
        <w:t>is still</w:t>
      </w:r>
      <w:r w:rsidRPr="00C92ECE">
        <w:rPr>
          <w:rFonts w:ascii="Arial" w:eastAsia="Calibri" w:hAnsi="Arial" w:cs="Arial"/>
          <w:bCs/>
          <w:sz w:val="24"/>
          <w:szCs w:val="24"/>
        </w:rPr>
        <w:t xml:space="preserve"> a priority for all regions.</w:t>
      </w:r>
      <w:r w:rsidRPr="00C92ECE" w:rsidDel="00E06520">
        <w:rPr>
          <w:rFonts w:ascii="Arial" w:eastAsia="Calibri" w:hAnsi="Arial" w:cs="Arial"/>
          <w:bCs/>
          <w:sz w:val="24"/>
          <w:szCs w:val="24"/>
        </w:rPr>
        <w:t xml:space="preserve"> </w:t>
      </w:r>
      <w:r w:rsidR="0034508E" w:rsidRPr="0034508E">
        <w:rPr>
          <w:rFonts w:ascii="Arial" w:eastAsia="Calibri" w:hAnsi="Arial" w:cs="Arial"/>
          <w:bCs/>
          <w:sz w:val="24"/>
          <w:szCs w:val="24"/>
        </w:rPr>
        <w:t xml:space="preserve">Ongoing well-being training, learning and support for </w:t>
      </w:r>
      <w:r w:rsidR="0079358A" w:rsidRPr="0034508E">
        <w:rPr>
          <w:rFonts w:asciiTheme="minorBidi" w:hAnsiTheme="minorBidi"/>
          <w:sz w:val="24"/>
          <w:szCs w:val="24"/>
          <w:lang w:eastAsia="en-GB"/>
        </w:rPr>
        <w:t>staff, managers, and care providers</w:t>
      </w:r>
      <w:r w:rsidR="0034508E" w:rsidRPr="0034508E">
        <w:rPr>
          <w:rFonts w:asciiTheme="minorBidi" w:hAnsiTheme="minorBidi"/>
          <w:sz w:val="24"/>
          <w:szCs w:val="24"/>
          <w:lang w:eastAsia="en-GB"/>
        </w:rPr>
        <w:t xml:space="preserve"> includes:</w:t>
      </w:r>
    </w:p>
    <w:p w14:paraId="738DA24F" w14:textId="4D633AF3" w:rsidR="0079358A" w:rsidRPr="00D81377" w:rsidRDefault="0079358A" w:rsidP="00D81377">
      <w:pPr>
        <w:numPr>
          <w:ilvl w:val="0"/>
          <w:numId w:val="6"/>
        </w:numPr>
        <w:spacing w:after="200" w:line="276" w:lineRule="auto"/>
        <w:ind w:left="567" w:hanging="425"/>
        <w:contextualSpacing/>
        <w:rPr>
          <w:rFonts w:ascii="Arial" w:eastAsia="Times New Roman" w:hAnsi="Arial" w:cs="Arial"/>
          <w:sz w:val="24"/>
          <w:szCs w:val="24"/>
          <w:lang w:eastAsia="en-GB"/>
        </w:rPr>
      </w:pPr>
      <w:r w:rsidRPr="00ED7FD5">
        <w:rPr>
          <w:rFonts w:ascii="Arial" w:eastAsia="Times New Roman" w:hAnsi="Arial" w:cs="Arial"/>
          <w:sz w:val="24"/>
          <w:szCs w:val="24"/>
          <w:lang w:eastAsia="en-GB"/>
        </w:rPr>
        <w:t>well</w:t>
      </w:r>
      <w:r w:rsidR="00124E1B">
        <w:rPr>
          <w:rFonts w:ascii="Arial" w:eastAsia="Times New Roman" w:hAnsi="Arial" w:cs="Arial"/>
          <w:sz w:val="24"/>
          <w:szCs w:val="24"/>
          <w:lang w:eastAsia="en-GB"/>
        </w:rPr>
        <w:t>-</w:t>
      </w:r>
      <w:r w:rsidRPr="00ED7FD5">
        <w:rPr>
          <w:rFonts w:ascii="Arial" w:eastAsia="Times New Roman" w:hAnsi="Arial" w:cs="Arial"/>
          <w:sz w:val="24"/>
          <w:szCs w:val="24"/>
          <w:lang w:eastAsia="en-GB"/>
        </w:rPr>
        <w:t xml:space="preserve">being </w:t>
      </w:r>
      <w:r w:rsidR="00785062" w:rsidRPr="00ED7FD5">
        <w:rPr>
          <w:rFonts w:ascii="Arial" w:eastAsia="Times New Roman" w:hAnsi="Arial" w:cs="Arial"/>
          <w:sz w:val="24"/>
          <w:szCs w:val="24"/>
          <w:lang w:eastAsia="en-GB"/>
        </w:rPr>
        <w:t xml:space="preserve">initiatives </w:t>
      </w:r>
      <w:r w:rsidR="00785062">
        <w:rPr>
          <w:rFonts w:ascii="Arial" w:eastAsia="Times New Roman" w:hAnsi="Arial" w:cs="Arial"/>
          <w:sz w:val="24"/>
          <w:szCs w:val="24"/>
          <w:lang w:eastAsia="en-GB"/>
        </w:rPr>
        <w:t>that</w:t>
      </w:r>
      <w:r w:rsidR="00494DAE">
        <w:rPr>
          <w:rFonts w:ascii="Arial" w:eastAsia="Times New Roman" w:hAnsi="Arial" w:cs="Arial"/>
          <w:sz w:val="24"/>
          <w:szCs w:val="24"/>
          <w:lang w:eastAsia="en-GB"/>
        </w:rPr>
        <w:t xml:space="preserve"> </w:t>
      </w:r>
      <w:r w:rsidR="00124E1B">
        <w:rPr>
          <w:rFonts w:ascii="Arial" w:eastAsia="Times New Roman" w:hAnsi="Arial" w:cs="Arial"/>
          <w:sz w:val="24"/>
          <w:szCs w:val="24"/>
          <w:lang w:eastAsia="en-GB"/>
        </w:rPr>
        <w:t xml:space="preserve">are regularly promoted and signposted </w:t>
      </w:r>
      <w:r w:rsidRPr="00ED7FD5">
        <w:rPr>
          <w:rFonts w:ascii="Arial" w:eastAsia="Times New Roman" w:hAnsi="Arial" w:cs="Arial"/>
          <w:sz w:val="24"/>
          <w:szCs w:val="24"/>
          <w:lang w:eastAsia="en-GB"/>
        </w:rPr>
        <w:t>through newsletters, L</w:t>
      </w:r>
      <w:r w:rsidR="004B5BF9">
        <w:rPr>
          <w:rFonts w:ascii="Arial" w:eastAsia="Times New Roman" w:hAnsi="Arial" w:cs="Arial"/>
          <w:sz w:val="24"/>
          <w:szCs w:val="24"/>
          <w:lang w:eastAsia="en-GB"/>
        </w:rPr>
        <w:t xml:space="preserve">earning </w:t>
      </w:r>
      <w:r w:rsidRPr="00ED7FD5">
        <w:rPr>
          <w:rFonts w:ascii="Arial" w:eastAsia="Times New Roman" w:hAnsi="Arial" w:cs="Arial"/>
          <w:sz w:val="24"/>
          <w:szCs w:val="24"/>
          <w:lang w:eastAsia="en-GB"/>
        </w:rPr>
        <w:t>M</w:t>
      </w:r>
      <w:r w:rsidR="004B5BF9">
        <w:rPr>
          <w:rFonts w:ascii="Arial" w:eastAsia="Times New Roman" w:hAnsi="Arial" w:cs="Arial"/>
          <w:sz w:val="24"/>
          <w:szCs w:val="24"/>
          <w:lang w:eastAsia="en-GB"/>
        </w:rPr>
        <w:t xml:space="preserve">anagement </w:t>
      </w:r>
      <w:r w:rsidRPr="00ED7FD5">
        <w:rPr>
          <w:rFonts w:ascii="Arial" w:eastAsia="Times New Roman" w:hAnsi="Arial" w:cs="Arial"/>
          <w:sz w:val="24"/>
          <w:szCs w:val="24"/>
          <w:lang w:eastAsia="en-GB"/>
        </w:rPr>
        <w:t>S</w:t>
      </w:r>
      <w:r w:rsidR="004B5BF9">
        <w:rPr>
          <w:rFonts w:ascii="Arial" w:eastAsia="Times New Roman" w:hAnsi="Arial" w:cs="Arial"/>
          <w:sz w:val="24"/>
          <w:szCs w:val="24"/>
          <w:lang w:eastAsia="en-GB"/>
        </w:rPr>
        <w:t>ystem</w:t>
      </w:r>
      <w:r w:rsidRPr="00ED7FD5">
        <w:rPr>
          <w:rFonts w:ascii="Arial" w:eastAsia="Times New Roman" w:hAnsi="Arial" w:cs="Arial"/>
          <w:sz w:val="24"/>
          <w:szCs w:val="24"/>
          <w:lang w:eastAsia="en-GB"/>
        </w:rPr>
        <w:t xml:space="preserve"> platforms, staff bulletins</w:t>
      </w:r>
      <w:r w:rsidR="00667EF7" w:rsidRPr="00D81377">
        <w:rPr>
          <w:rFonts w:ascii="Arial" w:eastAsia="Times New Roman" w:hAnsi="Arial" w:cs="Arial"/>
          <w:sz w:val="24"/>
          <w:szCs w:val="24"/>
          <w:lang w:eastAsia="en-GB"/>
        </w:rPr>
        <w:t xml:space="preserve"> and events </w:t>
      </w:r>
      <w:r w:rsidR="00071204">
        <w:rPr>
          <w:rFonts w:ascii="Arial" w:eastAsia="Times New Roman" w:hAnsi="Arial" w:cs="Arial"/>
          <w:sz w:val="24"/>
          <w:szCs w:val="24"/>
          <w:lang w:eastAsia="en-GB"/>
        </w:rPr>
        <w:t>like</w:t>
      </w:r>
      <w:r w:rsidR="00667EF7" w:rsidRPr="00D81377">
        <w:rPr>
          <w:rFonts w:ascii="Arial" w:eastAsia="Times New Roman" w:hAnsi="Arial" w:cs="Arial"/>
          <w:sz w:val="24"/>
          <w:szCs w:val="24"/>
          <w:lang w:eastAsia="en-GB"/>
        </w:rPr>
        <w:t xml:space="preserve"> provider forums</w:t>
      </w:r>
    </w:p>
    <w:p w14:paraId="1B98A4C4" w14:textId="77777777" w:rsidR="0079358A" w:rsidRPr="00D81377" w:rsidRDefault="0079358A" w:rsidP="00D81377">
      <w:pPr>
        <w:spacing w:after="200" w:line="276" w:lineRule="auto"/>
        <w:ind w:left="567"/>
        <w:contextualSpacing/>
        <w:rPr>
          <w:rFonts w:ascii="Arial" w:eastAsia="Times New Roman" w:hAnsi="Arial" w:cs="Arial"/>
          <w:sz w:val="24"/>
          <w:szCs w:val="24"/>
          <w:lang w:eastAsia="en-GB"/>
        </w:rPr>
      </w:pPr>
    </w:p>
    <w:p w14:paraId="49F5B49E" w14:textId="0D173EC0" w:rsidR="0079358A" w:rsidRPr="00D81377" w:rsidRDefault="00494DAE" w:rsidP="00D81377">
      <w:pPr>
        <w:numPr>
          <w:ilvl w:val="0"/>
          <w:numId w:val="6"/>
        </w:numPr>
        <w:spacing w:after="200" w:line="276" w:lineRule="auto"/>
        <w:ind w:left="567" w:hanging="425"/>
        <w:contextualSpacing/>
        <w:rPr>
          <w:rFonts w:ascii="Arial" w:eastAsia="Times New Roman" w:hAnsi="Arial" w:cs="Arial"/>
          <w:sz w:val="24"/>
          <w:szCs w:val="24"/>
          <w:lang w:eastAsia="en-GB"/>
        </w:rPr>
      </w:pPr>
      <w:r>
        <w:rPr>
          <w:rFonts w:ascii="Arial" w:eastAsia="Times New Roman" w:hAnsi="Arial" w:cs="Arial"/>
          <w:sz w:val="24"/>
          <w:szCs w:val="24"/>
          <w:lang w:eastAsia="en-GB"/>
        </w:rPr>
        <w:t>a</w:t>
      </w:r>
      <w:r w:rsidR="0079358A" w:rsidRPr="00D81377">
        <w:rPr>
          <w:rFonts w:ascii="Arial" w:eastAsia="Times New Roman" w:hAnsi="Arial" w:cs="Arial"/>
          <w:sz w:val="24"/>
          <w:szCs w:val="24"/>
          <w:lang w:eastAsia="en-GB"/>
        </w:rPr>
        <w:t>ccess to e-learning modules, including topics such as resilience, stress management, and mental health awareness</w:t>
      </w:r>
    </w:p>
    <w:p w14:paraId="721EDAD3" w14:textId="77777777" w:rsidR="0079358A" w:rsidRPr="00D81377" w:rsidRDefault="0079358A" w:rsidP="0079358A">
      <w:pPr>
        <w:rPr>
          <w:rFonts w:asciiTheme="minorBidi" w:hAnsiTheme="minorBidi"/>
          <w:b/>
          <w:bCs/>
          <w:sz w:val="24"/>
          <w:szCs w:val="24"/>
          <w:lang w:eastAsia="en-GB"/>
        </w:rPr>
      </w:pPr>
    </w:p>
    <w:p w14:paraId="3D061294" w14:textId="51397BBA" w:rsidR="0079358A" w:rsidRPr="00D81377" w:rsidRDefault="00494DAE" w:rsidP="009B176C">
      <w:pPr>
        <w:numPr>
          <w:ilvl w:val="0"/>
          <w:numId w:val="6"/>
        </w:numPr>
        <w:spacing w:after="0" w:line="276" w:lineRule="auto"/>
        <w:ind w:left="567" w:hanging="425"/>
        <w:contextualSpacing/>
        <w:rPr>
          <w:rFonts w:asciiTheme="minorBidi" w:eastAsia="Calibri" w:hAnsiTheme="minorBidi"/>
          <w:sz w:val="24"/>
          <w:szCs w:val="24"/>
        </w:rPr>
      </w:pPr>
      <w:r>
        <w:rPr>
          <w:rFonts w:asciiTheme="minorBidi" w:eastAsia="Calibri" w:hAnsiTheme="minorBidi"/>
          <w:sz w:val="24"/>
          <w:szCs w:val="24"/>
        </w:rPr>
        <w:t>w</w:t>
      </w:r>
      <w:r w:rsidR="0079358A" w:rsidRPr="00D81377">
        <w:rPr>
          <w:rFonts w:asciiTheme="minorBidi" w:eastAsia="Calibri" w:hAnsiTheme="minorBidi"/>
          <w:sz w:val="24"/>
          <w:szCs w:val="24"/>
        </w:rPr>
        <w:t>ell</w:t>
      </w:r>
      <w:r>
        <w:rPr>
          <w:rFonts w:asciiTheme="minorBidi" w:eastAsia="Calibri" w:hAnsiTheme="minorBidi"/>
          <w:sz w:val="24"/>
          <w:szCs w:val="24"/>
        </w:rPr>
        <w:t>-</w:t>
      </w:r>
      <w:r w:rsidR="0079358A" w:rsidRPr="00D81377">
        <w:rPr>
          <w:rFonts w:asciiTheme="minorBidi" w:eastAsia="Calibri" w:hAnsiTheme="minorBidi"/>
          <w:sz w:val="24"/>
          <w:szCs w:val="24"/>
        </w:rPr>
        <w:t xml:space="preserve">being </w:t>
      </w:r>
      <w:r w:rsidR="00132385" w:rsidRPr="00D81377">
        <w:rPr>
          <w:rFonts w:asciiTheme="minorBidi" w:eastAsia="Calibri" w:hAnsiTheme="minorBidi"/>
          <w:sz w:val="24"/>
          <w:szCs w:val="24"/>
        </w:rPr>
        <w:t xml:space="preserve">specific learning and development </w:t>
      </w:r>
      <w:r w:rsidR="0079358A" w:rsidRPr="00D81377">
        <w:rPr>
          <w:rFonts w:asciiTheme="minorBidi" w:eastAsia="Calibri" w:hAnsiTheme="minorBidi"/>
          <w:sz w:val="24"/>
          <w:szCs w:val="24"/>
        </w:rPr>
        <w:t xml:space="preserve">sessions </w:t>
      </w:r>
      <w:r w:rsidR="009B176C" w:rsidRPr="00D81377">
        <w:rPr>
          <w:rFonts w:asciiTheme="minorBidi" w:eastAsia="Calibri" w:hAnsiTheme="minorBidi"/>
          <w:sz w:val="24"/>
          <w:szCs w:val="24"/>
        </w:rPr>
        <w:t>with examples including v</w:t>
      </w:r>
      <w:r w:rsidR="0079358A" w:rsidRPr="00D81377">
        <w:rPr>
          <w:rFonts w:asciiTheme="minorBidi" w:eastAsia="Calibri" w:hAnsiTheme="minorBidi"/>
          <w:sz w:val="24"/>
          <w:szCs w:val="24"/>
        </w:rPr>
        <w:t xml:space="preserve">icarious </w:t>
      </w:r>
      <w:r w:rsidR="00132385" w:rsidRPr="00D81377">
        <w:rPr>
          <w:rFonts w:asciiTheme="minorBidi" w:eastAsia="Calibri" w:hAnsiTheme="minorBidi"/>
          <w:sz w:val="24"/>
          <w:szCs w:val="24"/>
        </w:rPr>
        <w:t>t</w:t>
      </w:r>
      <w:r w:rsidR="0079358A" w:rsidRPr="00D81377">
        <w:rPr>
          <w:rFonts w:asciiTheme="minorBidi" w:eastAsia="Calibri" w:hAnsiTheme="minorBidi"/>
          <w:sz w:val="24"/>
          <w:szCs w:val="24"/>
        </w:rPr>
        <w:t>rauma workshops, </w:t>
      </w:r>
      <w:r w:rsidR="00132385" w:rsidRPr="00D81377">
        <w:rPr>
          <w:rFonts w:asciiTheme="minorBidi" w:eastAsia="Calibri" w:hAnsiTheme="minorBidi"/>
          <w:sz w:val="24"/>
          <w:szCs w:val="24"/>
        </w:rPr>
        <w:t>m</w:t>
      </w:r>
      <w:r w:rsidR="0079358A" w:rsidRPr="00D81377">
        <w:rPr>
          <w:rFonts w:asciiTheme="minorBidi" w:eastAsia="Calibri" w:hAnsiTheme="minorBidi"/>
          <w:sz w:val="24"/>
          <w:szCs w:val="24"/>
        </w:rPr>
        <w:t>indfulness sessions, and </w:t>
      </w:r>
      <w:r w:rsidR="00132385" w:rsidRPr="00D81377">
        <w:rPr>
          <w:rFonts w:asciiTheme="minorBidi" w:eastAsia="Calibri" w:hAnsiTheme="minorBidi"/>
          <w:sz w:val="24"/>
          <w:szCs w:val="24"/>
        </w:rPr>
        <w:t>w</w:t>
      </w:r>
      <w:r w:rsidR="0079358A" w:rsidRPr="00D81377">
        <w:rPr>
          <w:rFonts w:asciiTheme="minorBidi" w:eastAsia="Calibri" w:hAnsiTheme="minorBidi"/>
          <w:sz w:val="24"/>
          <w:szCs w:val="24"/>
        </w:rPr>
        <w:t>ell</w:t>
      </w:r>
      <w:r w:rsidR="00FD7F2F">
        <w:rPr>
          <w:rFonts w:asciiTheme="minorBidi" w:eastAsia="Calibri" w:hAnsiTheme="minorBidi"/>
          <w:sz w:val="24"/>
          <w:szCs w:val="24"/>
        </w:rPr>
        <w:t>-</w:t>
      </w:r>
      <w:r w:rsidR="0079358A" w:rsidRPr="00D81377">
        <w:rPr>
          <w:rFonts w:asciiTheme="minorBidi" w:eastAsia="Calibri" w:hAnsiTheme="minorBidi"/>
          <w:sz w:val="24"/>
          <w:szCs w:val="24"/>
        </w:rPr>
        <w:t xml:space="preserve">being </w:t>
      </w:r>
      <w:r w:rsidR="00132385" w:rsidRPr="00D81377">
        <w:rPr>
          <w:rFonts w:asciiTheme="minorBidi" w:eastAsia="Calibri" w:hAnsiTheme="minorBidi"/>
          <w:sz w:val="24"/>
          <w:szCs w:val="24"/>
        </w:rPr>
        <w:t>f</w:t>
      </w:r>
      <w:r w:rsidR="0079358A" w:rsidRPr="00D81377">
        <w:rPr>
          <w:rFonts w:asciiTheme="minorBidi" w:eastAsia="Calibri" w:hAnsiTheme="minorBidi"/>
          <w:sz w:val="24"/>
          <w:szCs w:val="24"/>
        </w:rPr>
        <w:t>orums</w:t>
      </w:r>
    </w:p>
    <w:p w14:paraId="368EA128" w14:textId="2E3E2741" w:rsidR="0079358A" w:rsidRPr="00D81377" w:rsidRDefault="0079358A" w:rsidP="0079358A">
      <w:pPr>
        <w:rPr>
          <w:rFonts w:asciiTheme="minorBidi" w:hAnsiTheme="minorBidi"/>
          <w:sz w:val="24"/>
          <w:szCs w:val="24"/>
          <w:u w:val="single"/>
          <w:lang w:eastAsia="en-GB"/>
        </w:rPr>
      </w:pPr>
    </w:p>
    <w:p w14:paraId="18C9585F" w14:textId="254C7201" w:rsidR="0079358A" w:rsidRPr="00D81377" w:rsidRDefault="002B2430" w:rsidP="0079358A">
      <w:pPr>
        <w:numPr>
          <w:ilvl w:val="0"/>
          <w:numId w:val="6"/>
        </w:numPr>
        <w:spacing w:after="0" w:line="276" w:lineRule="auto"/>
        <w:ind w:left="567" w:hanging="425"/>
        <w:contextualSpacing/>
        <w:rPr>
          <w:rFonts w:asciiTheme="minorBidi" w:eastAsia="Calibri" w:hAnsiTheme="minorBidi"/>
          <w:sz w:val="24"/>
          <w:szCs w:val="24"/>
        </w:rPr>
      </w:pPr>
      <w:r>
        <w:rPr>
          <w:rFonts w:asciiTheme="minorBidi" w:eastAsia="Calibri" w:hAnsiTheme="minorBidi"/>
          <w:sz w:val="24"/>
          <w:szCs w:val="24"/>
        </w:rPr>
        <w:t>t</w:t>
      </w:r>
      <w:r w:rsidR="0079358A" w:rsidRPr="00D81377">
        <w:rPr>
          <w:rFonts w:asciiTheme="minorBidi" w:eastAsia="Calibri" w:hAnsiTheme="minorBidi"/>
          <w:sz w:val="24"/>
          <w:szCs w:val="24"/>
        </w:rPr>
        <w:t>ailored well</w:t>
      </w:r>
      <w:r w:rsidR="001971BD">
        <w:rPr>
          <w:rFonts w:asciiTheme="minorBidi" w:eastAsia="Calibri" w:hAnsiTheme="minorBidi"/>
          <w:sz w:val="24"/>
          <w:szCs w:val="24"/>
        </w:rPr>
        <w:t>-</w:t>
      </w:r>
      <w:r w:rsidR="0079358A" w:rsidRPr="00D81377">
        <w:rPr>
          <w:rFonts w:asciiTheme="minorBidi" w:eastAsia="Calibri" w:hAnsiTheme="minorBidi"/>
          <w:sz w:val="24"/>
          <w:szCs w:val="24"/>
        </w:rPr>
        <w:t>being support offered to specific teams and services, with a focus on self-care, emotional resilience, and work-life balance.</w:t>
      </w:r>
    </w:p>
    <w:p w14:paraId="7F4FEA02" w14:textId="77777777" w:rsidR="0079358A" w:rsidRPr="005F0496" w:rsidRDefault="0079358A" w:rsidP="0079358A">
      <w:pPr>
        <w:spacing w:after="0" w:line="276" w:lineRule="auto"/>
        <w:ind w:left="567"/>
        <w:contextualSpacing/>
        <w:rPr>
          <w:rFonts w:asciiTheme="minorBidi" w:eastAsia="Calibri" w:hAnsiTheme="minorBidi"/>
          <w:sz w:val="24"/>
          <w:szCs w:val="24"/>
          <w:highlight w:val="yellow"/>
        </w:rPr>
      </w:pPr>
    </w:p>
    <w:tbl>
      <w:tblPr>
        <w:tblStyle w:val="TableGrid"/>
        <w:tblW w:w="0" w:type="auto"/>
        <w:tblLook w:val="04A0" w:firstRow="1" w:lastRow="0" w:firstColumn="1" w:lastColumn="0" w:noHBand="0" w:noVBand="1"/>
      </w:tblPr>
      <w:tblGrid>
        <w:gridCol w:w="9016"/>
      </w:tblGrid>
      <w:tr w:rsidR="007E661A" w:rsidRPr="00C92ECE" w14:paraId="56198286" w14:textId="77777777" w:rsidTr="00507D5B">
        <w:tc>
          <w:tcPr>
            <w:tcW w:w="9016" w:type="dxa"/>
          </w:tcPr>
          <w:p w14:paraId="4BECCA4B" w14:textId="62F0679B" w:rsidR="007E661A" w:rsidRPr="00BA2A29" w:rsidRDefault="007E661A" w:rsidP="00507D5B">
            <w:pPr>
              <w:rPr>
                <w:rFonts w:ascii="Arial" w:eastAsia="Calibri" w:hAnsi="Arial" w:cs="Arial"/>
                <w:sz w:val="24"/>
                <w:szCs w:val="24"/>
              </w:rPr>
            </w:pPr>
            <w:r w:rsidRPr="00C92ECE">
              <w:rPr>
                <w:rFonts w:ascii="Arial" w:eastAsia="Arial" w:hAnsi="Arial" w:cs="Arial"/>
                <w:color w:val="000000" w:themeColor="text1"/>
                <w:sz w:val="24"/>
                <w:szCs w:val="24"/>
              </w:rPr>
              <w:t>A variety of well-being-focused training programmes, including mindfulness, managing pressure, and personal resilience continue</w:t>
            </w:r>
            <w:r w:rsidR="00276FD6">
              <w:rPr>
                <w:rFonts w:ascii="Arial" w:eastAsia="Arial" w:hAnsi="Arial" w:cs="Arial"/>
                <w:color w:val="000000" w:themeColor="text1"/>
                <w:sz w:val="24"/>
                <w:szCs w:val="24"/>
              </w:rPr>
              <w:t>s</w:t>
            </w:r>
            <w:r w:rsidRPr="00C92ECE">
              <w:rPr>
                <w:rFonts w:ascii="Arial" w:eastAsia="Arial" w:hAnsi="Arial" w:cs="Arial"/>
                <w:color w:val="000000" w:themeColor="text1"/>
                <w:sz w:val="24"/>
                <w:szCs w:val="24"/>
              </w:rPr>
              <w:t xml:space="preserve"> to be a key element of the </w:t>
            </w:r>
            <w:r w:rsidR="00680765">
              <w:rPr>
                <w:rFonts w:ascii="Arial" w:eastAsia="Arial" w:hAnsi="Arial" w:cs="Arial"/>
                <w:color w:val="000000" w:themeColor="text1"/>
                <w:sz w:val="24"/>
                <w:szCs w:val="24"/>
              </w:rPr>
              <w:t>p</w:t>
            </w:r>
            <w:r w:rsidRPr="00C92ECE">
              <w:rPr>
                <w:rFonts w:ascii="Arial" w:eastAsia="Arial" w:hAnsi="Arial" w:cs="Arial"/>
                <w:color w:val="000000" w:themeColor="text1"/>
                <w:sz w:val="24"/>
                <w:szCs w:val="24"/>
              </w:rPr>
              <w:t xml:space="preserve">rogramme </w:t>
            </w:r>
            <w:r w:rsidR="00046C84" w:rsidRPr="00C92ECE">
              <w:rPr>
                <w:rFonts w:ascii="Arial" w:eastAsia="Arial" w:hAnsi="Arial" w:cs="Arial"/>
                <w:color w:val="000000" w:themeColor="text1"/>
                <w:sz w:val="24"/>
                <w:szCs w:val="24"/>
              </w:rPr>
              <w:t>offer. (</w:t>
            </w:r>
            <w:r w:rsidRPr="00C92ECE">
              <w:rPr>
                <w:rFonts w:ascii="Arial" w:eastAsia="Arial" w:hAnsi="Arial" w:cs="Arial"/>
                <w:color w:val="000000" w:themeColor="text1"/>
                <w:sz w:val="24"/>
                <w:szCs w:val="24"/>
              </w:rPr>
              <w:t xml:space="preserve">Gwent </w:t>
            </w:r>
            <w:r w:rsidR="00FD14BD">
              <w:rPr>
                <w:rFonts w:ascii="Arial" w:eastAsia="Arial" w:hAnsi="Arial" w:cs="Arial"/>
                <w:color w:val="000000" w:themeColor="text1"/>
                <w:sz w:val="24"/>
                <w:szCs w:val="24"/>
              </w:rPr>
              <w:t>r</w:t>
            </w:r>
            <w:r w:rsidRPr="00C92ECE">
              <w:rPr>
                <w:rFonts w:ascii="Arial" w:eastAsia="Arial" w:hAnsi="Arial" w:cs="Arial"/>
                <w:color w:val="000000" w:themeColor="text1"/>
                <w:sz w:val="24"/>
                <w:szCs w:val="24"/>
              </w:rPr>
              <w:t>egion)</w:t>
            </w:r>
          </w:p>
        </w:tc>
      </w:tr>
    </w:tbl>
    <w:p w14:paraId="5E805E9D" w14:textId="55C98A54" w:rsidR="005007E8" w:rsidRPr="000C06A7" w:rsidRDefault="005007E8" w:rsidP="000C06A7">
      <w:pPr>
        <w:pStyle w:val="Heading3"/>
        <w:rPr>
          <w:u w:val="single"/>
          <w:lang w:eastAsia="en-GB"/>
        </w:rPr>
      </w:pPr>
      <w:bookmarkStart w:id="50" w:name="_Toc210987782"/>
      <w:bookmarkStart w:id="51" w:name="_Toc211279635"/>
      <w:r w:rsidRPr="00B568F3">
        <w:lastRenderedPageBreak/>
        <w:t xml:space="preserve">Welsh </w:t>
      </w:r>
      <w:r w:rsidR="00C50F95" w:rsidRPr="00B568F3">
        <w:t>l</w:t>
      </w:r>
      <w:r w:rsidRPr="00B568F3">
        <w:t>anguage</w:t>
      </w:r>
      <w:bookmarkEnd w:id="50"/>
      <w:bookmarkEnd w:id="51"/>
    </w:p>
    <w:p w14:paraId="08D53826" w14:textId="5C249E2D" w:rsidR="0013528C" w:rsidRDefault="00EB4D61" w:rsidP="00EB4D61">
      <w:pPr>
        <w:numPr>
          <w:ilvl w:val="0"/>
          <w:numId w:val="6"/>
        </w:numPr>
        <w:spacing w:after="0" w:line="276" w:lineRule="auto"/>
        <w:ind w:left="567" w:hanging="425"/>
        <w:contextualSpacing/>
        <w:rPr>
          <w:rFonts w:ascii="Arial" w:eastAsia="Calibri" w:hAnsi="Arial" w:cs="Arial"/>
          <w:sz w:val="24"/>
          <w:szCs w:val="24"/>
        </w:rPr>
      </w:pPr>
      <w:r w:rsidRPr="00D25D0D">
        <w:rPr>
          <w:rFonts w:ascii="Arial" w:eastAsia="Calibri" w:hAnsi="Arial" w:cs="Arial"/>
          <w:sz w:val="24"/>
          <w:szCs w:val="24"/>
        </w:rPr>
        <w:t xml:space="preserve">Welsh language support </w:t>
      </w:r>
      <w:r w:rsidR="008F3EE6">
        <w:rPr>
          <w:rFonts w:ascii="Arial" w:eastAsia="Calibri" w:hAnsi="Arial" w:cs="Arial"/>
          <w:sz w:val="24"/>
          <w:szCs w:val="24"/>
        </w:rPr>
        <w:t xml:space="preserve">and development </w:t>
      </w:r>
      <w:r w:rsidRPr="00D25D0D">
        <w:rPr>
          <w:rFonts w:ascii="Arial" w:eastAsia="Calibri" w:hAnsi="Arial" w:cs="Arial"/>
          <w:sz w:val="24"/>
          <w:szCs w:val="24"/>
        </w:rPr>
        <w:t xml:space="preserve">is embedded across </w:t>
      </w:r>
      <w:r w:rsidR="008F3EE6">
        <w:rPr>
          <w:rFonts w:ascii="Arial" w:eastAsia="Calibri" w:hAnsi="Arial" w:cs="Arial"/>
          <w:sz w:val="24"/>
          <w:szCs w:val="24"/>
        </w:rPr>
        <w:t>learning and development programmes</w:t>
      </w:r>
      <w:r w:rsidR="0013528C">
        <w:rPr>
          <w:rFonts w:ascii="Arial" w:eastAsia="Calibri" w:hAnsi="Arial" w:cs="Arial"/>
          <w:sz w:val="24"/>
          <w:szCs w:val="24"/>
        </w:rPr>
        <w:t>.</w:t>
      </w:r>
    </w:p>
    <w:p w14:paraId="3875AEF7" w14:textId="77777777" w:rsidR="002E4E60" w:rsidRDefault="002E4E60" w:rsidP="00C92ECE">
      <w:pPr>
        <w:spacing w:after="0" w:line="276" w:lineRule="auto"/>
        <w:ind w:left="567"/>
        <w:contextualSpacing/>
        <w:rPr>
          <w:rFonts w:ascii="Arial" w:eastAsia="Calibri" w:hAnsi="Arial" w:cs="Arial"/>
          <w:sz w:val="24"/>
          <w:szCs w:val="24"/>
        </w:rPr>
      </w:pPr>
    </w:p>
    <w:tbl>
      <w:tblPr>
        <w:tblStyle w:val="TableGrid"/>
        <w:tblW w:w="0" w:type="auto"/>
        <w:tblInd w:w="142" w:type="dxa"/>
        <w:tblLook w:val="04A0" w:firstRow="1" w:lastRow="0" w:firstColumn="1" w:lastColumn="0" w:noHBand="0" w:noVBand="1"/>
      </w:tblPr>
      <w:tblGrid>
        <w:gridCol w:w="8874"/>
      </w:tblGrid>
      <w:tr w:rsidR="00B505E8" w14:paraId="460434C0" w14:textId="77777777" w:rsidTr="00B505E8">
        <w:tc>
          <w:tcPr>
            <w:tcW w:w="9016" w:type="dxa"/>
          </w:tcPr>
          <w:p w14:paraId="7D94F87D" w14:textId="483C37D3" w:rsidR="00F31808" w:rsidRPr="00C92ECE" w:rsidRDefault="00F31808" w:rsidP="00C92ECE">
            <w:pPr>
              <w:rPr>
                <w:rFonts w:ascii="Arial" w:eastAsia="Calibri" w:hAnsi="Arial" w:cs="Arial"/>
                <w:sz w:val="24"/>
                <w:szCs w:val="24"/>
              </w:rPr>
            </w:pPr>
            <w:r w:rsidRPr="00C92ECE">
              <w:rPr>
                <w:rFonts w:ascii="Arial" w:eastAsia="Calibri" w:hAnsi="Arial" w:cs="Arial"/>
                <w:sz w:val="24"/>
                <w:szCs w:val="24"/>
              </w:rPr>
              <w:t xml:space="preserve">We continue to promote the Welsh language in the workplace, </w:t>
            </w:r>
            <w:r w:rsidR="000A7285">
              <w:rPr>
                <w:rFonts w:ascii="Arial" w:eastAsia="Calibri" w:hAnsi="Arial" w:cs="Arial"/>
                <w:sz w:val="24"/>
                <w:szCs w:val="24"/>
              </w:rPr>
              <w:t>helping</w:t>
            </w:r>
            <w:r w:rsidR="000A7285" w:rsidRPr="00C92ECE">
              <w:rPr>
                <w:rFonts w:ascii="Arial" w:eastAsia="Calibri" w:hAnsi="Arial" w:cs="Arial"/>
                <w:sz w:val="24"/>
                <w:szCs w:val="24"/>
              </w:rPr>
              <w:t xml:space="preserve"> </w:t>
            </w:r>
            <w:r w:rsidRPr="00C92ECE">
              <w:rPr>
                <w:rFonts w:ascii="Arial" w:eastAsia="Calibri" w:hAnsi="Arial" w:cs="Arial"/>
                <w:sz w:val="24"/>
                <w:szCs w:val="24"/>
              </w:rPr>
              <w:t xml:space="preserve">staff to develop their skills and confidence. In 2024, we launched </w:t>
            </w:r>
            <w:proofErr w:type="spellStart"/>
            <w:r w:rsidRPr="00C92ECE">
              <w:rPr>
                <w:rFonts w:ascii="Arial" w:eastAsia="Calibri" w:hAnsi="Arial" w:cs="Arial"/>
                <w:sz w:val="24"/>
                <w:szCs w:val="24"/>
              </w:rPr>
              <w:t>Hyb</w:t>
            </w:r>
            <w:proofErr w:type="spellEnd"/>
            <w:r w:rsidRPr="00C92ECE">
              <w:rPr>
                <w:rFonts w:ascii="Arial" w:eastAsia="Calibri" w:hAnsi="Arial" w:cs="Arial"/>
                <w:sz w:val="24"/>
                <w:szCs w:val="24"/>
              </w:rPr>
              <w:t xml:space="preserve"> Cymraeg on </w:t>
            </w:r>
            <w:proofErr w:type="spellStart"/>
            <w:r w:rsidRPr="00C92ECE">
              <w:rPr>
                <w:rFonts w:ascii="Arial" w:eastAsia="Calibri" w:hAnsi="Arial" w:cs="Arial"/>
                <w:sz w:val="24"/>
                <w:szCs w:val="24"/>
              </w:rPr>
              <w:t>Staffnet</w:t>
            </w:r>
            <w:proofErr w:type="spellEnd"/>
            <w:r w:rsidRPr="00C92ECE">
              <w:rPr>
                <w:rFonts w:ascii="Arial" w:eastAsia="Calibri" w:hAnsi="Arial" w:cs="Arial"/>
                <w:sz w:val="24"/>
                <w:szCs w:val="24"/>
              </w:rPr>
              <w:t xml:space="preserve">+, </w:t>
            </w:r>
            <w:r w:rsidR="00D93297">
              <w:rPr>
                <w:rFonts w:ascii="Arial" w:eastAsia="Calibri" w:hAnsi="Arial" w:cs="Arial"/>
                <w:sz w:val="24"/>
                <w:szCs w:val="24"/>
              </w:rPr>
              <w:t>which gives staff</w:t>
            </w:r>
            <w:r w:rsidRPr="00C92ECE">
              <w:rPr>
                <w:rFonts w:ascii="Arial" w:eastAsia="Calibri" w:hAnsi="Arial" w:cs="Arial"/>
                <w:sz w:val="24"/>
                <w:szCs w:val="24"/>
              </w:rPr>
              <w:t xml:space="preserve"> access to </w:t>
            </w:r>
            <w:r w:rsidR="00D93297">
              <w:rPr>
                <w:rFonts w:ascii="Arial" w:eastAsia="Calibri" w:hAnsi="Arial" w:cs="Arial"/>
                <w:sz w:val="24"/>
                <w:szCs w:val="24"/>
              </w:rPr>
              <w:t xml:space="preserve">the </w:t>
            </w:r>
            <w:r w:rsidRPr="00C92ECE">
              <w:rPr>
                <w:rFonts w:ascii="Arial" w:eastAsia="Calibri" w:hAnsi="Arial" w:cs="Arial"/>
                <w:sz w:val="24"/>
                <w:szCs w:val="24"/>
              </w:rPr>
              <w:t>Welsh Language Standards, guidance, translation support, learning opportunities, and cultural events.</w:t>
            </w:r>
          </w:p>
          <w:p w14:paraId="0B015BA3" w14:textId="77777777" w:rsidR="00F31808" w:rsidRPr="00C92ECE" w:rsidRDefault="00F31808" w:rsidP="00F31808">
            <w:pPr>
              <w:rPr>
                <w:rFonts w:ascii="Arial" w:eastAsia="Calibri" w:hAnsi="Arial" w:cs="Arial"/>
                <w:sz w:val="24"/>
                <w:szCs w:val="24"/>
              </w:rPr>
            </w:pPr>
          </w:p>
          <w:p w14:paraId="4781EAF5" w14:textId="3340A5AB" w:rsidR="00F31808" w:rsidRPr="00C92ECE" w:rsidRDefault="00C64E2B" w:rsidP="00C92ECE">
            <w:pPr>
              <w:rPr>
                <w:rFonts w:ascii="Arial" w:eastAsia="Calibri" w:hAnsi="Arial" w:cs="Arial"/>
                <w:sz w:val="24"/>
                <w:szCs w:val="24"/>
              </w:rPr>
            </w:pPr>
            <w:r>
              <w:rPr>
                <w:rFonts w:ascii="Arial" w:eastAsia="Calibri" w:hAnsi="Arial" w:cs="Arial"/>
                <w:sz w:val="24"/>
                <w:szCs w:val="24"/>
              </w:rPr>
              <w:t>We’ve promoted t</w:t>
            </w:r>
            <w:r w:rsidR="00F31808" w:rsidRPr="00C92ECE">
              <w:rPr>
                <w:rFonts w:ascii="Arial" w:eastAsia="Calibri" w:hAnsi="Arial" w:cs="Arial"/>
                <w:sz w:val="24"/>
                <w:szCs w:val="24"/>
              </w:rPr>
              <w:t xml:space="preserve">he Welsh </w:t>
            </w:r>
            <w:r>
              <w:rPr>
                <w:rFonts w:ascii="Arial" w:eastAsia="Calibri" w:hAnsi="Arial" w:cs="Arial"/>
                <w:sz w:val="24"/>
                <w:szCs w:val="24"/>
              </w:rPr>
              <w:t>a</w:t>
            </w:r>
            <w:r w:rsidR="00F31808" w:rsidRPr="00C92ECE">
              <w:rPr>
                <w:rFonts w:ascii="Arial" w:eastAsia="Calibri" w:hAnsi="Arial" w:cs="Arial"/>
                <w:sz w:val="24"/>
                <w:szCs w:val="24"/>
              </w:rPr>
              <w:t xml:space="preserve">wareness course on iDev and the full </w:t>
            </w:r>
            <w:r>
              <w:rPr>
                <w:rFonts w:ascii="Arial" w:eastAsia="Calibri" w:hAnsi="Arial" w:cs="Arial"/>
                <w:sz w:val="24"/>
                <w:szCs w:val="24"/>
              </w:rPr>
              <w:t>range</w:t>
            </w:r>
            <w:r w:rsidR="00F31808" w:rsidRPr="00C92ECE">
              <w:rPr>
                <w:rFonts w:ascii="Arial" w:eastAsia="Calibri" w:hAnsi="Arial" w:cs="Arial"/>
                <w:sz w:val="24"/>
                <w:szCs w:val="24"/>
              </w:rPr>
              <w:t xml:space="preserve"> of Work Welsh courses</w:t>
            </w:r>
            <w:r>
              <w:rPr>
                <w:rFonts w:ascii="Arial" w:eastAsia="Calibri" w:hAnsi="Arial" w:cs="Arial"/>
                <w:sz w:val="24"/>
                <w:szCs w:val="24"/>
              </w:rPr>
              <w:t xml:space="preserve">, </w:t>
            </w:r>
            <w:r w:rsidR="00F31808" w:rsidRPr="00C92ECE">
              <w:rPr>
                <w:rFonts w:ascii="Arial" w:eastAsia="Calibri" w:hAnsi="Arial" w:cs="Arial"/>
                <w:sz w:val="24"/>
                <w:szCs w:val="24"/>
              </w:rPr>
              <w:t>including short online modules</w:t>
            </w:r>
            <w:r w:rsidR="00EA26E9">
              <w:rPr>
                <w:rFonts w:ascii="Arial" w:eastAsia="Calibri" w:hAnsi="Arial" w:cs="Arial"/>
                <w:sz w:val="24"/>
                <w:szCs w:val="24"/>
              </w:rPr>
              <w:t xml:space="preserve">, </w:t>
            </w:r>
            <w:r w:rsidR="00F31808" w:rsidRPr="00C92ECE">
              <w:rPr>
                <w:rFonts w:ascii="Arial" w:eastAsia="Calibri" w:hAnsi="Arial" w:cs="Arial"/>
                <w:sz w:val="24"/>
                <w:szCs w:val="24"/>
              </w:rPr>
              <w:t xml:space="preserve">to all staff. </w:t>
            </w:r>
            <w:r w:rsidR="00EA26E9">
              <w:rPr>
                <w:rFonts w:ascii="Arial" w:eastAsia="Calibri" w:hAnsi="Arial" w:cs="Arial"/>
                <w:sz w:val="24"/>
                <w:szCs w:val="24"/>
              </w:rPr>
              <w:t>I</w:t>
            </w:r>
            <w:r w:rsidR="00F31808" w:rsidRPr="00C92ECE">
              <w:rPr>
                <w:rFonts w:ascii="Arial" w:eastAsia="Calibri" w:hAnsi="Arial" w:cs="Arial"/>
                <w:sz w:val="24"/>
                <w:szCs w:val="24"/>
              </w:rPr>
              <w:t>n Social Services, we publish a quarterly e-bulletin featuring Welsh language resources, training opportunities, and useful phrases.</w:t>
            </w:r>
          </w:p>
          <w:p w14:paraId="62CB309A" w14:textId="77777777" w:rsidR="00F31808" w:rsidRPr="00C92ECE" w:rsidRDefault="00F31808" w:rsidP="00F31808">
            <w:pPr>
              <w:rPr>
                <w:rFonts w:ascii="Arial" w:eastAsia="Calibri" w:hAnsi="Arial" w:cs="Arial"/>
                <w:sz w:val="24"/>
                <w:szCs w:val="24"/>
              </w:rPr>
            </w:pPr>
          </w:p>
          <w:p w14:paraId="7E3CC406" w14:textId="7AF34C83" w:rsidR="00F31808" w:rsidRPr="00C92ECE" w:rsidRDefault="00F31808" w:rsidP="00C92ECE">
            <w:pPr>
              <w:rPr>
                <w:rFonts w:ascii="Arial" w:eastAsia="Calibri" w:hAnsi="Arial" w:cs="Arial"/>
                <w:sz w:val="24"/>
                <w:szCs w:val="24"/>
              </w:rPr>
            </w:pPr>
            <w:r w:rsidRPr="00C92ECE">
              <w:rPr>
                <w:rFonts w:ascii="Arial" w:eastAsia="Calibri" w:hAnsi="Arial" w:cs="Arial"/>
                <w:sz w:val="24"/>
                <w:szCs w:val="24"/>
              </w:rPr>
              <w:t>To support informal learning, we also delivered face-to-face Welsh drop-in sessions for Social Services staff.</w:t>
            </w:r>
          </w:p>
          <w:p w14:paraId="50451733" w14:textId="77777777" w:rsidR="00F31808" w:rsidRPr="00C92ECE" w:rsidRDefault="00F31808" w:rsidP="00F31808">
            <w:pPr>
              <w:rPr>
                <w:rFonts w:ascii="Arial" w:eastAsia="Calibri" w:hAnsi="Arial" w:cs="Arial"/>
                <w:sz w:val="24"/>
                <w:szCs w:val="24"/>
              </w:rPr>
            </w:pPr>
          </w:p>
          <w:p w14:paraId="4294155C" w14:textId="3C50439B" w:rsidR="00B505E8" w:rsidRPr="00C92ECE" w:rsidRDefault="00F31808" w:rsidP="00C92ECE">
            <w:pPr>
              <w:rPr>
                <w:rFonts w:ascii="Arial" w:eastAsia="Calibri" w:hAnsi="Arial" w:cs="Arial"/>
                <w:sz w:val="24"/>
                <w:szCs w:val="24"/>
              </w:rPr>
            </w:pPr>
            <w:r w:rsidRPr="00C92ECE">
              <w:rPr>
                <w:rFonts w:ascii="Arial" w:eastAsia="Calibri" w:hAnsi="Arial" w:cs="Arial"/>
                <w:sz w:val="24"/>
                <w:szCs w:val="24"/>
              </w:rPr>
              <w:t>A cross-functional More Than Words group has been established across Social Services, HR, and the SC</w:t>
            </w:r>
            <w:r w:rsidR="006E36F3">
              <w:rPr>
                <w:rFonts w:ascii="Arial" w:eastAsia="Calibri" w:hAnsi="Arial" w:cs="Arial"/>
                <w:sz w:val="24"/>
                <w:szCs w:val="24"/>
              </w:rPr>
              <w:t>W</w:t>
            </w:r>
            <w:r w:rsidRPr="00C92ECE">
              <w:rPr>
                <w:rFonts w:ascii="Arial" w:eastAsia="Calibri" w:hAnsi="Arial" w:cs="Arial"/>
                <w:sz w:val="24"/>
                <w:szCs w:val="24"/>
              </w:rPr>
              <w:t>WDP team to drive forward the Welsh language agenda in the sector</w:t>
            </w:r>
            <w:r w:rsidR="00745884">
              <w:rPr>
                <w:rFonts w:ascii="Arial" w:eastAsia="Calibri" w:hAnsi="Arial" w:cs="Arial"/>
                <w:sz w:val="24"/>
                <w:szCs w:val="24"/>
              </w:rPr>
              <w:t xml:space="preserve">, </w:t>
            </w:r>
            <w:r w:rsidRPr="00C92ECE">
              <w:rPr>
                <w:rFonts w:ascii="Arial" w:eastAsia="Calibri" w:hAnsi="Arial" w:cs="Arial"/>
                <w:sz w:val="24"/>
                <w:szCs w:val="24"/>
              </w:rPr>
              <w:t xml:space="preserve">focusing on embedding Welsh in practice and improving access to bilingual services. (Vale of Glamorgan – Cardiff and the Vale </w:t>
            </w:r>
            <w:r w:rsidR="00A805E2">
              <w:rPr>
                <w:rFonts w:ascii="Arial" w:eastAsia="Calibri" w:hAnsi="Arial" w:cs="Arial"/>
                <w:sz w:val="24"/>
                <w:szCs w:val="24"/>
              </w:rPr>
              <w:t>r</w:t>
            </w:r>
            <w:r w:rsidRPr="00C92ECE">
              <w:rPr>
                <w:rFonts w:ascii="Arial" w:eastAsia="Calibri" w:hAnsi="Arial" w:cs="Arial"/>
                <w:sz w:val="24"/>
                <w:szCs w:val="24"/>
              </w:rPr>
              <w:t>egion)</w:t>
            </w:r>
          </w:p>
        </w:tc>
      </w:tr>
    </w:tbl>
    <w:p w14:paraId="0685246E" w14:textId="77777777" w:rsidR="00B505E8" w:rsidRDefault="00B505E8" w:rsidP="00C92ECE">
      <w:pPr>
        <w:spacing w:after="0" w:line="276" w:lineRule="auto"/>
        <w:ind w:left="142"/>
        <w:contextualSpacing/>
        <w:rPr>
          <w:rFonts w:ascii="Arial" w:eastAsia="Calibri" w:hAnsi="Arial" w:cs="Arial"/>
          <w:sz w:val="24"/>
          <w:szCs w:val="24"/>
        </w:rPr>
      </w:pPr>
    </w:p>
    <w:p w14:paraId="2023BD7C" w14:textId="3FB03E0E" w:rsidR="0013528C" w:rsidRPr="00C92ECE" w:rsidRDefault="0013528C" w:rsidP="0013528C">
      <w:pPr>
        <w:numPr>
          <w:ilvl w:val="0"/>
          <w:numId w:val="6"/>
        </w:numPr>
        <w:spacing w:after="200" w:line="276" w:lineRule="auto"/>
        <w:ind w:left="567" w:hanging="425"/>
        <w:contextualSpacing/>
        <w:rPr>
          <w:rFonts w:ascii="Arial" w:eastAsia="Calibri" w:hAnsi="Arial" w:cs="Arial"/>
          <w:sz w:val="24"/>
          <w:szCs w:val="24"/>
        </w:rPr>
      </w:pPr>
      <w:r w:rsidRPr="00C92ECE">
        <w:rPr>
          <w:rFonts w:ascii="Arial" w:eastAsia="Calibri" w:hAnsi="Arial" w:cs="Arial"/>
          <w:sz w:val="24"/>
          <w:szCs w:val="24"/>
        </w:rPr>
        <w:t>Vocational qualifications are offered in Welsh</w:t>
      </w:r>
      <w:r w:rsidR="008F61DF">
        <w:rPr>
          <w:rFonts w:ascii="Arial" w:eastAsia="Calibri" w:hAnsi="Arial" w:cs="Arial"/>
          <w:sz w:val="24"/>
          <w:szCs w:val="24"/>
        </w:rPr>
        <w:t>, which</w:t>
      </w:r>
      <w:r w:rsidRPr="00C92ECE">
        <w:rPr>
          <w:rFonts w:ascii="Arial" w:eastAsia="Calibri" w:hAnsi="Arial" w:cs="Arial"/>
          <w:sz w:val="24"/>
          <w:szCs w:val="24"/>
        </w:rPr>
        <w:t xml:space="preserve"> include sessions on Welsh culture and the use of Welsh legislation and standards. </w:t>
      </w:r>
      <w:r w:rsidR="00F912F1">
        <w:rPr>
          <w:rFonts w:ascii="Arial" w:eastAsia="Calibri" w:hAnsi="Arial" w:cs="Arial"/>
          <w:sz w:val="24"/>
          <w:szCs w:val="24"/>
        </w:rPr>
        <w:t>However</w:t>
      </w:r>
      <w:r w:rsidR="00E13847">
        <w:rPr>
          <w:rFonts w:ascii="Arial" w:eastAsia="Calibri" w:hAnsi="Arial" w:cs="Arial"/>
          <w:sz w:val="24"/>
          <w:szCs w:val="24"/>
        </w:rPr>
        <w:t>, i</w:t>
      </w:r>
      <w:r w:rsidRPr="00C92ECE">
        <w:rPr>
          <w:rFonts w:ascii="Arial" w:eastAsia="Calibri" w:hAnsi="Arial" w:cs="Arial"/>
          <w:sz w:val="24"/>
          <w:szCs w:val="24"/>
        </w:rPr>
        <w:t>n most regions</w:t>
      </w:r>
      <w:r w:rsidR="00E13847">
        <w:rPr>
          <w:rFonts w:ascii="Arial" w:eastAsia="Calibri" w:hAnsi="Arial" w:cs="Arial"/>
          <w:sz w:val="24"/>
          <w:szCs w:val="24"/>
        </w:rPr>
        <w:t xml:space="preserve">, </w:t>
      </w:r>
      <w:r w:rsidR="00F62D6B">
        <w:rPr>
          <w:rFonts w:ascii="Arial" w:eastAsia="Calibri" w:hAnsi="Arial" w:cs="Arial"/>
          <w:sz w:val="24"/>
          <w:szCs w:val="24"/>
        </w:rPr>
        <w:t>because of</w:t>
      </w:r>
      <w:r w:rsidRPr="00C92ECE">
        <w:rPr>
          <w:rFonts w:ascii="Arial" w:eastAsia="Calibri" w:hAnsi="Arial" w:cs="Arial"/>
          <w:sz w:val="24"/>
          <w:szCs w:val="24"/>
        </w:rPr>
        <w:t xml:space="preserve"> the language demography</w:t>
      </w:r>
      <w:r w:rsidR="00F62D6B">
        <w:rPr>
          <w:rFonts w:ascii="Arial" w:eastAsia="Calibri" w:hAnsi="Arial" w:cs="Arial"/>
          <w:sz w:val="24"/>
          <w:szCs w:val="24"/>
        </w:rPr>
        <w:t xml:space="preserve">, most </w:t>
      </w:r>
      <w:r w:rsidRPr="00C92ECE">
        <w:rPr>
          <w:rFonts w:ascii="Arial" w:eastAsia="Calibri" w:hAnsi="Arial" w:cs="Arial"/>
          <w:sz w:val="24"/>
          <w:szCs w:val="24"/>
        </w:rPr>
        <w:t>qualification assessments</w:t>
      </w:r>
      <w:r w:rsidR="00F62D6B">
        <w:rPr>
          <w:rFonts w:ascii="Arial" w:eastAsia="Calibri" w:hAnsi="Arial" w:cs="Arial"/>
          <w:sz w:val="24"/>
          <w:szCs w:val="24"/>
        </w:rPr>
        <w:t xml:space="preserve"> are done</w:t>
      </w:r>
      <w:r w:rsidRPr="00C92ECE">
        <w:rPr>
          <w:rFonts w:ascii="Arial" w:eastAsia="Calibri" w:hAnsi="Arial" w:cs="Arial"/>
          <w:sz w:val="24"/>
          <w:szCs w:val="24"/>
        </w:rPr>
        <w:t xml:space="preserve"> in English.</w:t>
      </w:r>
    </w:p>
    <w:p w14:paraId="48260DC4" w14:textId="77777777" w:rsidR="00EB4D61" w:rsidRDefault="00EB4D61" w:rsidP="00EB4D61">
      <w:pPr>
        <w:spacing w:after="0" w:line="276" w:lineRule="auto"/>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EB4D61" w:rsidRPr="00716635" w14:paraId="2FCFD099" w14:textId="77777777" w:rsidTr="00C92ECE">
        <w:trPr>
          <w:jc w:val="center"/>
        </w:trPr>
        <w:tc>
          <w:tcPr>
            <w:tcW w:w="9016" w:type="dxa"/>
          </w:tcPr>
          <w:p w14:paraId="76EAFBEE" w14:textId="53F50CF2" w:rsidR="00EB4D61" w:rsidRPr="00716635" w:rsidRDefault="00EB4D61" w:rsidP="00507D5B">
            <w:pPr>
              <w:rPr>
                <w:rFonts w:ascii="Arial" w:eastAsia="Calibri" w:hAnsi="Arial" w:cs="Arial"/>
                <w:sz w:val="24"/>
                <w:szCs w:val="24"/>
              </w:rPr>
            </w:pPr>
            <w:r w:rsidRPr="00046C84">
              <w:rPr>
                <w:rFonts w:ascii="Arial" w:eastAsia="Calibri" w:hAnsi="Arial" w:cs="Arial"/>
                <w:bCs/>
                <w:iCs/>
                <w:sz w:val="24"/>
                <w:szCs w:val="24"/>
              </w:rPr>
              <w:t>We continue to promote Welsh language support to the candidates.  The qualification provider also encourages and supports the completion of the qualifications through the Welsh language</w:t>
            </w:r>
            <w:r w:rsidR="00F62D6B">
              <w:rPr>
                <w:rFonts w:ascii="Arial" w:eastAsia="Calibri" w:hAnsi="Arial" w:cs="Arial"/>
                <w:bCs/>
                <w:iCs/>
                <w:sz w:val="24"/>
                <w:szCs w:val="24"/>
              </w:rPr>
              <w:t>.</w:t>
            </w:r>
            <w:r w:rsidRPr="00046C84">
              <w:rPr>
                <w:rFonts w:ascii="Arial" w:eastAsia="Calibri" w:hAnsi="Arial" w:cs="Arial"/>
                <w:bCs/>
                <w:iCs/>
                <w:sz w:val="24"/>
                <w:szCs w:val="24"/>
              </w:rPr>
              <w:t xml:space="preserve"> Welsh </w:t>
            </w:r>
            <w:r w:rsidR="00F62D6B">
              <w:rPr>
                <w:rFonts w:ascii="Arial" w:eastAsia="Calibri" w:hAnsi="Arial" w:cs="Arial"/>
                <w:bCs/>
                <w:iCs/>
                <w:sz w:val="24"/>
                <w:szCs w:val="24"/>
              </w:rPr>
              <w:t>l</w:t>
            </w:r>
            <w:r w:rsidRPr="00046C84">
              <w:rPr>
                <w:rFonts w:ascii="Arial" w:eastAsia="Calibri" w:hAnsi="Arial" w:cs="Arial"/>
                <w:bCs/>
                <w:iCs/>
                <w:sz w:val="24"/>
                <w:szCs w:val="24"/>
              </w:rPr>
              <w:t xml:space="preserve">anguage courses can be offered through Cymraeg Gwaith </w:t>
            </w:r>
            <w:r w:rsidR="0052331B">
              <w:rPr>
                <w:rFonts w:ascii="Arial" w:eastAsia="Calibri" w:hAnsi="Arial" w:cs="Arial"/>
                <w:bCs/>
                <w:iCs/>
                <w:sz w:val="24"/>
                <w:szCs w:val="24"/>
              </w:rPr>
              <w:t>who we work with</w:t>
            </w:r>
            <w:r w:rsidRPr="00046C84">
              <w:rPr>
                <w:rFonts w:ascii="Arial" w:eastAsia="Calibri" w:hAnsi="Arial" w:cs="Arial"/>
                <w:bCs/>
                <w:iCs/>
                <w:sz w:val="24"/>
                <w:szCs w:val="24"/>
              </w:rPr>
              <w:t xml:space="preserve"> to offer bespoke sessions. (Ynys Môn – </w:t>
            </w:r>
            <w:r w:rsidR="00F62D6B">
              <w:rPr>
                <w:rFonts w:ascii="Arial" w:eastAsia="Calibri" w:hAnsi="Arial" w:cs="Arial"/>
                <w:bCs/>
                <w:iCs/>
                <w:sz w:val="24"/>
                <w:szCs w:val="24"/>
              </w:rPr>
              <w:t>n</w:t>
            </w:r>
            <w:r w:rsidRPr="00046C84">
              <w:rPr>
                <w:rFonts w:ascii="Arial" w:eastAsia="Calibri" w:hAnsi="Arial" w:cs="Arial"/>
                <w:bCs/>
                <w:iCs/>
                <w:sz w:val="24"/>
                <w:szCs w:val="24"/>
              </w:rPr>
              <w:t xml:space="preserve">orth Wales </w:t>
            </w:r>
            <w:r w:rsidR="00F62D6B">
              <w:rPr>
                <w:rFonts w:ascii="Arial" w:eastAsia="Calibri" w:hAnsi="Arial" w:cs="Arial"/>
                <w:bCs/>
                <w:iCs/>
                <w:sz w:val="24"/>
                <w:szCs w:val="24"/>
              </w:rPr>
              <w:t>r</w:t>
            </w:r>
            <w:r w:rsidRPr="00046C84">
              <w:rPr>
                <w:rFonts w:ascii="Arial" w:eastAsia="Calibri" w:hAnsi="Arial" w:cs="Arial"/>
                <w:bCs/>
                <w:iCs/>
                <w:sz w:val="24"/>
                <w:szCs w:val="24"/>
              </w:rPr>
              <w:t>egion)</w:t>
            </w:r>
          </w:p>
        </w:tc>
      </w:tr>
    </w:tbl>
    <w:p w14:paraId="5282503A" w14:textId="77777777" w:rsidR="00EB4D61" w:rsidRPr="00D25D0D" w:rsidRDefault="00EB4D61" w:rsidP="00EB4D61">
      <w:pPr>
        <w:spacing w:after="0" w:line="276" w:lineRule="auto"/>
        <w:contextualSpacing/>
        <w:rPr>
          <w:rFonts w:ascii="Arial" w:eastAsia="Calibri" w:hAnsi="Arial" w:cs="Arial"/>
          <w:sz w:val="24"/>
          <w:szCs w:val="24"/>
        </w:rPr>
      </w:pPr>
    </w:p>
    <w:p w14:paraId="6C4CA852" w14:textId="22DF2DEC" w:rsidR="00EB4D61" w:rsidRDefault="00EB4D61" w:rsidP="00C92ECE">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 xml:space="preserve">Many regions </w:t>
      </w:r>
      <w:r w:rsidR="00962A22">
        <w:rPr>
          <w:rFonts w:ascii="Arial" w:eastAsia="Calibri" w:hAnsi="Arial" w:cs="Arial"/>
          <w:sz w:val="24"/>
          <w:szCs w:val="24"/>
        </w:rPr>
        <w:t>have</w:t>
      </w:r>
      <w:r>
        <w:rPr>
          <w:rFonts w:ascii="Arial" w:eastAsia="Calibri" w:hAnsi="Arial" w:cs="Arial"/>
          <w:sz w:val="24"/>
          <w:szCs w:val="24"/>
        </w:rPr>
        <w:t xml:space="preserve"> </w:t>
      </w:r>
      <w:r w:rsidRPr="00BA1935">
        <w:rPr>
          <w:rFonts w:ascii="Arial" w:eastAsia="Calibri" w:hAnsi="Arial" w:cs="Arial"/>
          <w:sz w:val="24"/>
          <w:szCs w:val="24"/>
        </w:rPr>
        <w:t xml:space="preserve">Welsh </w:t>
      </w:r>
      <w:r w:rsidR="006526B1">
        <w:rPr>
          <w:rFonts w:ascii="Arial" w:eastAsia="Calibri" w:hAnsi="Arial" w:cs="Arial"/>
          <w:sz w:val="24"/>
          <w:szCs w:val="24"/>
        </w:rPr>
        <w:t>l</w:t>
      </w:r>
      <w:r w:rsidRPr="00BA1935">
        <w:rPr>
          <w:rFonts w:ascii="Arial" w:eastAsia="Calibri" w:hAnsi="Arial" w:cs="Arial"/>
          <w:sz w:val="24"/>
          <w:szCs w:val="24"/>
        </w:rPr>
        <w:t xml:space="preserve">anguage </w:t>
      </w:r>
      <w:r w:rsidR="006526B1">
        <w:rPr>
          <w:rFonts w:ascii="Arial" w:eastAsia="Calibri" w:hAnsi="Arial" w:cs="Arial"/>
          <w:sz w:val="24"/>
          <w:szCs w:val="24"/>
        </w:rPr>
        <w:t>c</w:t>
      </w:r>
      <w:r w:rsidRPr="00BA1935">
        <w:rPr>
          <w:rFonts w:ascii="Arial" w:eastAsia="Calibri" w:hAnsi="Arial" w:cs="Arial"/>
          <w:sz w:val="24"/>
          <w:szCs w:val="24"/>
        </w:rPr>
        <w:t>hampion</w:t>
      </w:r>
      <w:r>
        <w:rPr>
          <w:rFonts w:ascii="Arial" w:eastAsia="Calibri" w:hAnsi="Arial" w:cs="Arial"/>
          <w:sz w:val="24"/>
          <w:szCs w:val="24"/>
        </w:rPr>
        <w:t xml:space="preserve">s to </w:t>
      </w:r>
      <w:r w:rsidRPr="00BA1935">
        <w:rPr>
          <w:rFonts w:ascii="Arial" w:eastAsia="Calibri" w:hAnsi="Arial" w:cs="Arial"/>
          <w:sz w:val="24"/>
          <w:szCs w:val="24"/>
        </w:rPr>
        <w:t>promote</w:t>
      </w:r>
      <w:r w:rsidR="00966281">
        <w:rPr>
          <w:rFonts w:ascii="Arial" w:eastAsia="Calibri" w:hAnsi="Arial" w:cs="Arial"/>
          <w:sz w:val="24"/>
          <w:szCs w:val="24"/>
        </w:rPr>
        <w:t xml:space="preserve"> </w:t>
      </w:r>
      <w:r w:rsidRPr="00BA1935">
        <w:rPr>
          <w:rFonts w:ascii="Arial" w:eastAsia="Calibri" w:hAnsi="Arial" w:cs="Arial"/>
          <w:sz w:val="24"/>
          <w:szCs w:val="24"/>
        </w:rPr>
        <w:t xml:space="preserve">and support the use of </w:t>
      </w:r>
      <w:r>
        <w:rPr>
          <w:rFonts w:ascii="Arial" w:eastAsia="Calibri" w:hAnsi="Arial" w:cs="Arial"/>
          <w:sz w:val="24"/>
          <w:szCs w:val="24"/>
        </w:rPr>
        <w:t xml:space="preserve">the </w:t>
      </w:r>
      <w:r w:rsidRPr="00BA1935">
        <w:rPr>
          <w:rFonts w:ascii="Arial" w:eastAsia="Calibri" w:hAnsi="Arial" w:cs="Arial"/>
          <w:sz w:val="24"/>
          <w:szCs w:val="24"/>
        </w:rPr>
        <w:t>Welsh</w:t>
      </w:r>
      <w:r>
        <w:rPr>
          <w:rFonts w:ascii="Arial" w:eastAsia="Calibri" w:hAnsi="Arial" w:cs="Arial"/>
          <w:sz w:val="24"/>
          <w:szCs w:val="24"/>
        </w:rPr>
        <w:t xml:space="preserve"> Language, </w:t>
      </w:r>
      <w:r w:rsidRPr="00BA1935">
        <w:rPr>
          <w:rFonts w:ascii="Arial" w:eastAsia="Calibri" w:hAnsi="Arial" w:cs="Arial"/>
          <w:sz w:val="24"/>
          <w:szCs w:val="24"/>
        </w:rPr>
        <w:t>encourag</w:t>
      </w:r>
      <w:r>
        <w:rPr>
          <w:rFonts w:ascii="Arial" w:eastAsia="Calibri" w:hAnsi="Arial" w:cs="Arial"/>
          <w:sz w:val="24"/>
          <w:szCs w:val="24"/>
        </w:rPr>
        <w:t>ing</w:t>
      </w:r>
      <w:r w:rsidRPr="00BA1935">
        <w:rPr>
          <w:rFonts w:ascii="Arial" w:eastAsia="Calibri" w:hAnsi="Arial" w:cs="Arial"/>
          <w:sz w:val="24"/>
          <w:szCs w:val="24"/>
        </w:rPr>
        <w:t xml:space="preserve"> staff to use their Welsh language skills, raise awareness of the importance of the Welsh language in care settings, and help embed the principles of the Welsh Government’s </w:t>
      </w:r>
      <w:r w:rsidRPr="00BB471B">
        <w:rPr>
          <w:rFonts w:ascii="Arial" w:eastAsia="Calibri" w:hAnsi="Arial" w:cs="Arial"/>
          <w:sz w:val="24"/>
          <w:szCs w:val="24"/>
        </w:rPr>
        <w:t>More than Just Words</w:t>
      </w:r>
      <w:r w:rsidRPr="00BA1935">
        <w:rPr>
          <w:rFonts w:ascii="Arial" w:eastAsia="Calibri" w:hAnsi="Arial" w:cs="Arial"/>
          <w:sz w:val="24"/>
          <w:szCs w:val="24"/>
        </w:rPr>
        <w:t xml:space="preserve"> strategy</w:t>
      </w:r>
      <w:r>
        <w:rPr>
          <w:rFonts w:ascii="Arial" w:eastAsia="Calibri" w:hAnsi="Arial" w:cs="Arial"/>
          <w:sz w:val="24"/>
          <w:szCs w:val="24"/>
        </w:rPr>
        <w:t>.</w:t>
      </w:r>
    </w:p>
    <w:p w14:paraId="53E2372B" w14:textId="77777777" w:rsidR="00EB4D61" w:rsidRPr="00D25D0D" w:rsidRDefault="00EB4D61" w:rsidP="00EB4D61">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EB4D61" w:rsidRPr="00D25D0D" w14:paraId="178F86DD" w14:textId="77777777" w:rsidTr="00507D5B">
        <w:tc>
          <w:tcPr>
            <w:tcW w:w="9016" w:type="dxa"/>
          </w:tcPr>
          <w:p w14:paraId="286B3D52" w14:textId="0DA1A30F" w:rsidR="00EB4D61" w:rsidRPr="005F0496" w:rsidRDefault="00EB4D61" w:rsidP="00507D5B">
            <w:pPr>
              <w:bidi/>
              <w:jc w:val="right"/>
              <w:rPr>
                <w:rFonts w:ascii="Arial" w:eastAsia="Calibri" w:hAnsi="Arial" w:cs="Arial"/>
                <w:bCs/>
                <w:sz w:val="24"/>
                <w:szCs w:val="24"/>
              </w:rPr>
            </w:pPr>
            <w:r w:rsidRPr="005F0496">
              <w:rPr>
                <w:rFonts w:ascii="Arial" w:eastAsia="Calibri" w:hAnsi="Arial" w:cs="Arial"/>
                <w:bCs/>
                <w:sz w:val="24"/>
                <w:szCs w:val="24"/>
              </w:rPr>
              <w:t xml:space="preserve">Swansea has developed a team of Welsh champions; these include people who use services and staff members. The </w:t>
            </w:r>
            <w:r w:rsidR="00933113">
              <w:rPr>
                <w:rFonts w:ascii="Arial" w:eastAsia="Calibri" w:hAnsi="Arial" w:cs="Arial"/>
                <w:bCs/>
                <w:sz w:val="24"/>
                <w:szCs w:val="24"/>
              </w:rPr>
              <w:t>g</w:t>
            </w:r>
            <w:r w:rsidRPr="005F0496">
              <w:rPr>
                <w:rFonts w:ascii="Arial" w:eastAsia="Calibri" w:hAnsi="Arial" w:cs="Arial"/>
                <w:bCs/>
                <w:sz w:val="24"/>
                <w:szCs w:val="24"/>
              </w:rPr>
              <w:t>roup meets every six weeks to share practices and ideas, using digital buttons with Welsh translations. Some members, including a lady living with dementia, are now part of the Corporate Welsh Champions Group, which meets every eight weeks. (Swansea –</w:t>
            </w:r>
            <w:r w:rsidR="00487A46">
              <w:rPr>
                <w:rFonts w:ascii="Arial" w:eastAsia="Calibri" w:hAnsi="Arial" w:cs="Arial"/>
                <w:bCs/>
                <w:sz w:val="24"/>
                <w:szCs w:val="24"/>
              </w:rPr>
              <w:t xml:space="preserve"> w</w:t>
            </w:r>
            <w:r w:rsidRPr="005F0496">
              <w:rPr>
                <w:rFonts w:ascii="Arial" w:eastAsia="Calibri" w:hAnsi="Arial" w:cs="Arial"/>
                <w:bCs/>
                <w:sz w:val="24"/>
                <w:szCs w:val="24"/>
              </w:rPr>
              <w:t xml:space="preserve">est Glamorgan </w:t>
            </w:r>
            <w:r w:rsidR="00487A46">
              <w:rPr>
                <w:rFonts w:ascii="Arial" w:eastAsia="Calibri" w:hAnsi="Arial" w:cs="Arial"/>
                <w:bCs/>
                <w:sz w:val="24"/>
                <w:szCs w:val="24"/>
              </w:rPr>
              <w:t>r</w:t>
            </w:r>
            <w:r w:rsidRPr="005F0496">
              <w:rPr>
                <w:rFonts w:ascii="Arial" w:eastAsia="Calibri" w:hAnsi="Arial" w:cs="Arial"/>
                <w:bCs/>
                <w:sz w:val="24"/>
                <w:szCs w:val="24"/>
              </w:rPr>
              <w:t>egion)</w:t>
            </w:r>
          </w:p>
          <w:p w14:paraId="351C3E51" w14:textId="77777777" w:rsidR="00EB4D61" w:rsidRPr="00D25D0D" w:rsidRDefault="00EB4D61" w:rsidP="00507D5B">
            <w:pPr>
              <w:spacing w:line="276" w:lineRule="auto"/>
              <w:contextualSpacing/>
              <w:jc w:val="right"/>
              <w:rPr>
                <w:rFonts w:ascii="Arial" w:eastAsia="Calibri" w:hAnsi="Arial" w:cs="Arial"/>
                <w:sz w:val="24"/>
                <w:szCs w:val="24"/>
              </w:rPr>
            </w:pPr>
          </w:p>
        </w:tc>
      </w:tr>
      <w:tr w:rsidR="00EB4D61" w14:paraId="69E2F5BC" w14:textId="77777777" w:rsidTr="00507D5B">
        <w:tc>
          <w:tcPr>
            <w:tcW w:w="9016" w:type="dxa"/>
          </w:tcPr>
          <w:p w14:paraId="3A5BAC04" w14:textId="5F54917E" w:rsidR="00EB4D61" w:rsidRPr="00C92ECE" w:rsidRDefault="00EB4D61" w:rsidP="00507D5B">
            <w:pPr>
              <w:spacing w:before="240" w:after="240"/>
              <w:jc w:val="both"/>
              <w:rPr>
                <w:color w:val="000000" w:themeColor="text1"/>
                <w:sz w:val="24"/>
                <w:szCs w:val="24"/>
              </w:rPr>
            </w:pPr>
            <w:r w:rsidRPr="00C92ECE">
              <w:rPr>
                <w:rFonts w:ascii="Arial" w:eastAsia="Arial" w:hAnsi="Arial" w:cs="Arial"/>
                <w:color w:val="000000" w:themeColor="text1"/>
                <w:sz w:val="24"/>
                <w:szCs w:val="24"/>
              </w:rPr>
              <w:lastRenderedPageBreak/>
              <w:t xml:space="preserve">Events </w:t>
            </w:r>
            <w:r w:rsidR="00DB45E2">
              <w:rPr>
                <w:rFonts w:ascii="Arial" w:eastAsia="Arial" w:hAnsi="Arial" w:cs="Arial"/>
                <w:color w:val="000000" w:themeColor="text1"/>
                <w:sz w:val="24"/>
                <w:szCs w:val="24"/>
              </w:rPr>
              <w:t>and learning</w:t>
            </w:r>
            <w:r w:rsidRPr="00C92ECE">
              <w:rPr>
                <w:rFonts w:ascii="Arial" w:eastAsia="Arial" w:hAnsi="Arial" w:cs="Arial"/>
                <w:color w:val="000000" w:themeColor="text1"/>
                <w:sz w:val="24"/>
                <w:szCs w:val="24"/>
              </w:rPr>
              <w:t xml:space="preserve"> opportunities were </w:t>
            </w:r>
            <w:r w:rsidR="00DB45E2">
              <w:rPr>
                <w:rFonts w:ascii="Arial" w:eastAsia="Arial" w:hAnsi="Arial" w:cs="Arial"/>
                <w:color w:val="000000" w:themeColor="text1"/>
                <w:sz w:val="24"/>
                <w:szCs w:val="24"/>
              </w:rPr>
              <w:t>offered</w:t>
            </w:r>
            <w:r w:rsidR="00CD20F2">
              <w:rPr>
                <w:rFonts w:ascii="Arial" w:eastAsia="Arial" w:hAnsi="Arial" w:cs="Arial"/>
                <w:color w:val="000000" w:themeColor="text1"/>
                <w:sz w:val="24"/>
                <w:szCs w:val="24"/>
              </w:rPr>
              <w:t xml:space="preserve"> to</w:t>
            </w:r>
            <w:r w:rsidRPr="00C92ECE">
              <w:rPr>
                <w:rFonts w:ascii="Arial" w:eastAsia="Arial" w:hAnsi="Arial" w:cs="Arial"/>
                <w:color w:val="000000" w:themeColor="text1"/>
                <w:sz w:val="24"/>
                <w:szCs w:val="24"/>
              </w:rPr>
              <w:t xml:space="preserve"> support </w:t>
            </w:r>
            <w:r w:rsidRPr="00BB471B">
              <w:rPr>
                <w:rFonts w:ascii="Arial" w:eastAsia="Arial" w:hAnsi="Arial" w:cs="Arial"/>
                <w:color w:val="000000" w:themeColor="text1"/>
                <w:sz w:val="24"/>
                <w:szCs w:val="24"/>
              </w:rPr>
              <w:t>More Than Just Words</w:t>
            </w:r>
            <w:r w:rsidRPr="00CD20F2">
              <w:rPr>
                <w:rFonts w:ascii="Arial" w:eastAsia="Arial" w:hAnsi="Arial" w:cs="Arial"/>
                <w:color w:val="000000" w:themeColor="text1"/>
                <w:sz w:val="24"/>
                <w:szCs w:val="24"/>
              </w:rPr>
              <w:t>,</w:t>
            </w:r>
            <w:r w:rsidRPr="00C92ECE">
              <w:rPr>
                <w:rFonts w:ascii="Arial" w:eastAsia="Arial" w:hAnsi="Arial" w:cs="Arial"/>
                <w:color w:val="000000" w:themeColor="text1"/>
                <w:sz w:val="24"/>
                <w:szCs w:val="24"/>
              </w:rPr>
              <w:t xml:space="preserve"> </w:t>
            </w:r>
            <w:r w:rsidR="00F94648">
              <w:rPr>
                <w:rFonts w:ascii="Arial" w:eastAsia="Arial" w:hAnsi="Arial" w:cs="Arial"/>
                <w:color w:val="000000" w:themeColor="text1"/>
                <w:sz w:val="24"/>
                <w:szCs w:val="24"/>
              </w:rPr>
              <w:t>with help from the</w:t>
            </w:r>
            <w:r w:rsidR="00E770BA">
              <w:rPr>
                <w:rFonts w:ascii="Arial" w:eastAsia="Arial" w:hAnsi="Arial" w:cs="Arial"/>
                <w:color w:val="000000" w:themeColor="text1"/>
                <w:sz w:val="24"/>
                <w:szCs w:val="24"/>
              </w:rPr>
              <w:t xml:space="preserve"> </w:t>
            </w:r>
            <w:r w:rsidRPr="00C92ECE">
              <w:rPr>
                <w:rFonts w:ascii="Arial" w:eastAsia="Arial" w:hAnsi="Arial" w:cs="Arial"/>
                <w:color w:val="000000" w:themeColor="text1"/>
                <w:sz w:val="24"/>
                <w:szCs w:val="24"/>
              </w:rPr>
              <w:t xml:space="preserve">Welsh language champions </w:t>
            </w:r>
            <w:r w:rsidR="00F94648">
              <w:rPr>
                <w:rFonts w:ascii="Arial" w:eastAsia="Arial" w:hAnsi="Arial" w:cs="Arial"/>
                <w:color w:val="000000" w:themeColor="text1"/>
                <w:sz w:val="24"/>
                <w:szCs w:val="24"/>
              </w:rPr>
              <w:t>who</w:t>
            </w:r>
            <w:r w:rsidRPr="00C92ECE">
              <w:rPr>
                <w:rFonts w:ascii="Arial" w:eastAsia="Arial" w:hAnsi="Arial" w:cs="Arial"/>
                <w:color w:val="000000" w:themeColor="text1"/>
                <w:sz w:val="24"/>
                <w:szCs w:val="24"/>
              </w:rPr>
              <w:t xml:space="preserve"> promote resources and opportunities. The</w:t>
            </w:r>
            <w:r w:rsidR="0023282E">
              <w:rPr>
                <w:rFonts w:ascii="Arial" w:eastAsia="Arial" w:hAnsi="Arial" w:cs="Arial"/>
                <w:color w:val="000000" w:themeColor="text1"/>
                <w:sz w:val="24"/>
                <w:szCs w:val="24"/>
              </w:rPr>
              <w:t xml:space="preserve"> </w:t>
            </w:r>
            <w:r w:rsidR="00785062">
              <w:rPr>
                <w:rFonts w:ascii="Arial" w:eastAsia="Arial" w:hAnsi="Arial" w:cs="Arial"/>
                <w:color w:val="000000" w:themeColor="text1"/>
                <w:sz w:val="24"/>
                <w:szCs w:val="24"/>
              </w:rPr>
              <w:t xml:space="preserve">regional </w:t>
            </w:r>
            <w:r w:rsidR="00785062" w:rsidRPr="00C92ECE">
              <w:rPr>
                <w:rFonts w:ascii="Arial" w:eastAsia="Arial" w:hAnsi="Arial" w:cs="Arial"/>
                <w:color w:val="000000" w:themeColor="text1"/>
                <w:sz w:val="24"/>
                <w:szCs w:val="24"/>
              </w:rPr>
              <w:t>More</w:t>
            </w:r>
            <w:r w:rsidRPr="00C92ECE">
              <w:rPr>
                <w:rFonts w:ascii="Arial" w:eastAsia="Arial" w:hAnsi="Arial" w:cs="Arial"/>
                <w:color w:val="000000" w:themeColor="text1"/>
                <w:sz w:val="24"/>
                <w:szCs w:val="24"/>
              </w:rPr>
              <w:t xml:space="preserve"> Than Just Words group </w:t>
            </w:r>
            <w:r w:rsidR="0023282E">
              <w:rPr>
                <w:rFonts w:ascii="Arial" w:eastAsia="Arial" w:hAnsi="Arial" w:cs="Arial"/>
                <w:color w:val="000000" w:themeColor="text1"/>
                <w:sz w:val="24"/>
                <w:szCs w:val="24"/>
              </w:rPr>
              <w:t xml:space="preserve">also </w:t>
            </w:r>
            <w:r w:rsidRPr="00C92ECE">
              <w:rPr>
                <w:rFonts w:ascii="Arial" w:eastAsia="Arial" w:hAnsi="Arial" w:cs="Arial"/>
                <w:color w:val="000000" w:themeColor="text1"/>
                <w:sz w:val="24"/>
                <w:szCs w:val="24"/>
              </w:rPr>
              <w:t>supports the Health and Social Care Action Plan. Gwent are pleased to see the introduction of the W</w:t>
            </w:r>
            <w:r w:rsidR="00BE2976">
              <w:rPr>
                <w:rFonts w:ascii="Arial" w:eastAsia="Arial" w:hAnsi="Arial" w:cs="Arial"/>
                <w:color w:val="000000" w:themeColor="text1"/>
                <w:sz w:val="24"/>
                <w:szCs w:val="24"/>
              </w:rPr>
              <w:t xml:space="preserve">elsh </w:t>
            </w:r>
            <w:r w:rsidRPr="00C92ECE">
              <w:rPr>
                <w:rFonts w:ascii="Arial" w:eastAsia="Arial" w:hAnsi="Arial" w:cs="Arial"/>
                <w:color w:val="000000" w:themeColor="text1"/>
                <w:sz w:val="24"/>
                <w:szCs w:val="24"/>
              </w:rPr>
              <w:t>G</w:t>
            </w:r>
            <w:r w:rsidR="00BE2976">
              <w:rPr>
                <w:rFonts w:ascii="Arial" w:eastAsia="Arial" w:hAnsi="Arial" w:cs="Arial"/>
                <w:color w:val="000000" w:themeColor="text1"/>
                <w:sz w:val="24"/>
                <w:szCs w:val="24"/>
              </w:rPr>
              <w:t>overnment</w:t>
            </w:r>
            <w:r w:rsidRPr="00C92ECE">
              <w:rPr>
                <w:rFonts w:ascii="Arial" w:eastAsia="Arial" w:hAnsi="Arial" w:cs="Arial"/>
                <w:color w:val="000000" w:themeColor="text1"/>
                <w:sz w:val="24"/>
                <w:szCs w:val="24"/>
              </w:rPr>
              <w:t xml:space="preserve"> facilitated group looking to improve the availability of digital training in Welsh</w:t>
            </w:r>
            <w:r w:rsidR="00185F2B">
              <w:rPr>
                <w:rFonts w:ascii="Arial" w:eastAsia="Arial" w:hAnsi="Arial" w:cs="Arial"/>
                <w:color w:val="000000" w:themeColor="text1"/>
                <w:sz w:val="24"/>
                <w:szCs w:val="24"/>
              </w:rPr>
              <w:t>. This is important because, while there are plenty of English resources</w:t>
            </w:r>
            <w:r w:rsidR="005970F2">
              <w:rPr>
                <w:rFonts w:ascii="Arial" w:eastAsia="Arial" w:hAnsi="Arial" w:cs="Arial"/>
                <w:color w:val="000000" w:themeColor="text1"/>
                <w:sz w:val="24"/>
                <w:szCs w:val="24"/>
              </w:rPr>
              <w:t>,</w:t>
            </w:r>
            <w:r w:rsidRPr="00C92ECE">
              <w:rPr>
                <w:rFonts w:ascii="Arial" w:eastAsia="Arial" w:hAnsi="Arial" w:cs="Arial"/>
                <w:color w:val="000000" w:themeColor="text1"/>
                <w:sz w:val="24"/>
                <w:szCs w:val="24"/>
              </w:rPr>
              <w:t xml:space="preserve"> the costs associated </w:t>
            </w:r>
            <w:r w:rsidR="005970F2">
              <w:rPr>
                <w:rFonts w:ascii="Arial" w:eastAsia="Arial" w:hAnsi="Arial" w:cs="Arial"/>
                <w:color w:val="000000" w:themeColor="text1"/>
                <w:sz w:val="24"/>
                <w:szCs w:val="24"/>
              </w:rPr>
              <w:t>with</w:t>
            </w:r>
            <w:r w:rsidRPr="00C92ECE">
              <w:rPr>
                <w:rFonts w:ascii="Arial" w:eastAsia="Arial" w:hAnsi="Arial" w:cs="Arial"/>
                <w:color w:val="000000" w:themeColor="text1"/>
                <w:sz w:val="24"/>
                <w:szCs w:val="24"/>
              </w:rPr>
              <w:t xml:space="preserve"> translati</w:t>
            </w:r>
            <w:r w:rsidR="005970F2">
              <w:rPr>
                <w:rFonts w:ascii="Arial" w:eastAsia="Arial" w:hAnsi="Arial" w:cs="Arial"/>
                <w:color w:val="000000" w:themeColor="text1"/>
                <w:sz w:val="24"/>
                <w:szCs w:val="24"/>
              </w:rPr>
              <w:t>ng them into Welsh has slowed</w:t>
            </w:r>
            <w:r w:rsidRPr="00C92ECE">
              <w:rPr>
                <w:rFonts w:ascii="Arial" w:eastAsia="Arial" w:hAnsi="Arial" w:cs="Arial"/>
                <w:color w:val="000000" w:themeColor="text1"/>
                <w:sz w:val="24"/>
                <w:szCs w:val="24"/>
              </w:rPr>
              <w:t xml:space="preserve"> progress. (Gwent </w:t>
            </w:r>
            <w:r w:rsidR="005970F2">
              <w:rPr>
                <w:rFonts w:ascii="Arial" w:eastAsia="Arial" w:hAnsi="Arial" w:cs="Arial"/>
                <w:color w:val="000000" w:themeColor="text1"/>
                <w:sz w:val="24"/>
                <w:szCs w:val="24"/>
              </w:rPr>
              <w:t>r</w:t>
            </w:r>
            <w:r w:rsidRPr="00C92ECE">
              <w:rPr>
                <w:rFonts w:ascii="Arial" w:eastAsia="Arial" w:hAnsi="Arial" w:cs="Arial"/>
                <w:color w:val="000000" w:themeColor="text1"/>
                <w:sz w:val="24"/>
                <w:szCs w:val="24"/>
              </w:rPr>
              <w:t>egion)</w:t>
            </w:r>
          </w:p>
        </w:tc>
      </w:tr>
    </w:tbl>
    <w:p w14:paraId="42FA16CC" w14:textId="77777777" w:rsidR="00EB4D61" w:rsidRPr="00D25D0D" w:rsidRDefault="00EB4D61" w:rsidP="00EB4D61">
      <w:pPr>
        <w:spacing w:after="0" w:line="276" w:lineRule="auto"/>
        <w:contextualSpacing/>
        <w:jc w:val="both"/>
        <w:rPr>
          <w:rFonts w:ascii="Arial" w:eastAsia="Calibri" w:hAnsi="Arial" w:cs="Arial"/>
          <w:sz w:val="24"/>
          <w:szCs w:val="24"/>
        </w:rPr>
      </w:pPr>
    </w:p>
    <w:p w14:paraId="1188C84A" w14:textId="3427612C" w:rsidR="00795BDA" w:rsidRPr="00C92ECE" w:rsidRDefault="00795BDA" w:rsidP="00795BDA">
      <w:pPr>
        <w:numPr>
          <w:ilvl w:val="0"/>
          <w:numId w:val="6"/>
        </w:numPr>
        <w:spacing w:after="200" w:line="276" w:lineRule="auto"/>
        <w:ind w:left="567" w:hanging="425"/>
        <w:contextualSpacing/>
        <w:rPr>
          <w:rFonts w:ascii="Arial" w:hAnsi="Arial" w:cs="Arial"/>
        </w:rPr>
      </w:pPr>
      <w:r w:rsidRPr="00A73B15">
        <w:rPr>
          <w:rFonts w:ascii="Arial" w:eastAsia="Calibri" w:hAnsi="Arial" w:cs="Arial"/>
          <w:sz w:val="24"/>
          <w:szCs w:val="24"/>
        </w:rPr>
        <w:t xml:space="preserve">Welsh language training </w:t>
      </w:r>
      <w:r w:rsidR="00542FCC">
        <w:rPr>
          <w:rFonts w:ascii="Arial" w:eastAsia="Calibri" w:hAnsi="Arial" w:cs="Arial"/>
          <w:sz w:val="24"/>
          <w:szCs w:val="24"/>
        </w:rPr>
        <w:t>is available</w:t>
      </w:r>
      <w:r w:rsidRPr="00A73B15">
        <w:rPr>
          <w:rFonts w:ascii="Arial" w:eastAsia="Calibri" w:hAnsi="Arial" w:cs="Arial"/>
          <w:sz w:val="24"/>
          <w:szCs w:val="24"/>
        </w:rPr>
        <w:t xml:space="preserve"> across all regions, with local training providers</w:t>
      </w:r>
      <w:r w:rsidR="00051AA3">
        <w:rPr>
          <w:rFonts w:ascii="Arial" w:eastAsia="Calibri" w:hAnsi="Arial" w:cs="Arial"/>
          <w:sz w:val="24"/>
          <w:szCs w:val="24"/>
        </w:rPr>
        <w:t xml:space="preserve"> helping</w:t>
      </w:r>
      <w:r w:rsidRPr="00A73B15">
        <w:rPr>
          <w:rFonts w:ascii="Arial" w:eastAsia="Calibri" w:hAnsi="Arial" w:cs="Arial"/>
          <w:sz w:val="24"/>
          <w:szCs w:val="24"/>
        </w:rPr>
        <w:t xml:space="preserve"> to deliver Welsh language courses for individuals. </w:t>
      </w:r>
      <w:r w:rsidR="00051AA3">
        <w:rPr>
          <w:rFonts w:ascii="Arial" w:eastAsia="Calibri" w:hAnsi="Arial" w:cs="Arial"/>
          <w:sz w:val="24"/>
          <w:szCs w:val="24"/>
        </w:rPr>
        <w:t>Like</w:t>
      </w:r>
      <w:r w:rsidRPr="00A73B15">
        <w:rPr>
          <w:rFonts w:ascii="Arial" w:eastAsia="Calibri" w:hAnsi="Arial" w:cs="Arial"/>
          <w:sz w:val="24"/>
          <w:szCs w:val="24"/>
        </w:rPr>
        <w:t xml:space="preserve"> digital literacy, there are different levels of Welsh language skills across the sector, with training offered at a range of levels, from entry to advanced. </w:t>
      </w:r>
      <w:r w:rsidR="00BB186F">
        <w:rPr>
          <w:rFonts w:ascii="Arial" w:eastAsia="Calibri" w:hAnsi="Arial" w:cs="Arial"/>
          <w:sz w:val="24"/>
          <w:szCs w:val="24"/>
        </w:rPr>
        <w:t>Uptake depends</w:t>
      </w:r>
      <w:r w:rsidRPr="00A73B15">
        <w:rPr>
          <w:rFonts w:ascii="Arial" w:eastAsia="Calibri" w:hAnsi="Arial" w:cs="Arial"/>
          <w:sz w:val="24"/>
          <w:szCs w:val="24"/>
        </w:rPr>
        <w:t xml:space="preserve"> on the region, and sometimes on the individual local authority.</w:t>
      </w:r>
    </w:p>
    <w:p w14:paraId="750539D1" w14:textId="77777777" w:rsidR="00BA2A29" w:rsidRPr="00A73B15" w:rsidRDefault="00BA2A29" w:rsidP="00C92ECE">
      <w:pPr>
        <w:spacing w:after="200" w:line="276" w:lineRule="auto"/>
        <w:ind w:left="567"/>
        <w:contextualSpacing/>
        <w:rPr>
          <w:rFonts w:ascii="Arial" w:hAnsi="Arial" w:cs="Arial"/>
        </w:rPr>
      </w:pPr>
    </w:p>
    <w:tbl>
      <w:tblPr>
        <w:tblStyle w:val="TableGrid"/>
        <w:tblW w:w="0" w:type="auto"/>
        <w:jc w:val="center"/>
        <w:tblLook w:val="04A0" w:firstRow="1" w:lastRow="0" w:firstColumn="1" w:lastColumn="0" w:noHBand="0" w:noVBand="1"/>
      </w:tblPr>
      <w:tblGrid>
        <w:gridCol w:w="9016"/>
      </w:tblGrid>
      <w:tr w:rsidR="00EB4D61" w14:paraId="74F2BD34" w14:textId="77777777" w:rsidTr="00507D5B">
        <w:trPr>
          <w:jc w:val="center"/>
        </w:trPr>
        <w:tc>
          <w:tcPr>
            <w:tcW w:w="9016" w:type="dxa"/>
          </w:tcPr>
          <w:p w14:paraId="0E830B65" w14:textId="28811E8B" w:rsidR="00EB4D61" w:rsidRPr="00C92ECE" w:rsidRDefault="00EB4D61" w:rsidP="00795BDA">
            <w:pPr>
              <w:spacing w:line="276" w:lineRule="auto"/>
              <w:rPr>
                <w:rFonts w:ascii="Arial" w:eastAsia="Calibri" w:hAnsi="Arial" w:cs="Arial"/>
                <w:bCs/>
                <w:sz w:val="24"/>
                <w:szCs w:val="24"/>
              </w:rPr>
            </w:pPr>
            <w:r w:rsidRPr="00C92ECE">
              <w:rPr>
                <w:rFonts w:ascii="Arial" w:eastAsia="Calibri" w:hAnsi="Arial" w:cs="Arial"/>
                <w:bCs/>
                <w:sz w:val="24"/>
                <w:szCs w:val="24"/>
              </w:rPr>
              <w:t>Ceredigion has delivered</w:t>
            </w:r>
            <w:r w:rsidR="00BB186F">
              <w:rPr>
                <w:rFonts w:ascii="Arial" w:eastAsia="Calibri" w:hAnsi="Arial" w:cs="Arial"/>
                <w:bCs/>
                <w:sz w:val="24"/>
                <w:szCs w:val="24"/>
              </w:rPr>
              <w:t xml:space="preserve"> two </w:t>
            </w:r>
            <w:r w:rsidR="00CA6503">
              <w:rPr>
                <w:rFonts w:ascii="Arial" w:eastAsia="Calibri" w:hAnsi="Arial" w:cs="Arial"/>
                <w:bCs/>
                <w:sz w:val="24"/>
                <w:szCs w:val="24"/>
              </w:rPr>
              <w:t>‘Welsh language</w:t>
            </w:r>
            <w:r w:rsidR="006157F3">
              <w:rPr>
                <w:rFonts w:ascii="Arial" w:eastAsia="Calibri" w:hAnsi="Arial" w:cs="Arial"/>
                <w:bCs/>
                <w:sz w:val="24"/>
                <w:szCs w:val="24"/>
              </w:rPr>
              <w:t xml:space="preserve">, the basics’ </w:t>
            </w:r>
            <w:r w:rsidR="00BB186F">
              <w:rPr>
                <w:rFonts w:ascii="Arial" w:eastAsia="Calibri" w:hAnsi="Arial" w:cs="Arial"/>
                <w:bCs/>
                <w:sz w:val="24"/>
                <w:szCs w:val="24"/>
              </w:rPr>
              <w:t>courses</w:t>
            </w:r>
            <w:r w:rsidR="00CA6503">
              <w:rPr>
                <w:rFonts w:ascii="Arial" w:eastAsia="Calibri" w:hAnsi="Arial" w:cs="Arial"/>
                <w:bCs/>
                <w:sz w:val="24"/>
                <w:szCs w:val="24"/>
              </w:rPr>
              <w:t>, made up of three sessions each</w:t>
            </w:r>
            <w:r w:rsidRPr="00C92ECE">
              <w:rPr>
                <w:rFonts w:ascii="Arial" w:eastAsia="Calibri" w:hAnsi="Arial" w:cs="Arial"/>
                <w:bCs/>
                <w:sz w:val="24"/>
                <w:szCs w:val="24"/>
              </w:rPr>
              <w:t xml:space="preserve"> for external social </w:t>
            </w:r>
            <w:r w:rsidR="00CA6503">
              <w:rPr>
                <w:rFonts w:ascii="Arial" w:eastAsia="Calibri" w:hAnsi="Arial" w:cs="Arial"/>
                <w:bCs/>
                <w:sz w:val="24"/>
                <w:szCs w:val="24"/>
              </w:rPr>
              <w:t>c</w:t>
            </w:r>
            <w:r w:rsidRPr="00C92ECE">
              <w:rPr>
                <w:rFonts w:ascii="Arial" w:eastAsia="Calibri" w:hAnsi="Arial" w:cs="Arial"/>
                <w:bCs/>
                <w:sz w:val="24"/>
                <w:szCs w:val="24"/>
              </w:rPr>
              <w:t xml:space="preserve">are </w:t>
            </w:r>
            <w:r w:rsidR="00CA6503">
              <w:rPr>
                <w:rFonts w:ascii="Arial" w:eastAsia="Calibri" w:hAnsi="Arial" w:cs="Arial"/>
                <w:bCs/>
                <w:sz w:val="24"/>
                <w:szCs w:val="24"/>
              </w:rPr>
              <w:t>p</w:t>
            </w:r>
            <w:r w:rsidRPr="00C92ECE">
              <w:rPr>
                <w:rFonts w:ascii="Arial" w:eastAsia="Calibri" w:hAnsi="Arial" w:cs="Arial"/>
                <w:bCs/>
                <w:sz w:val="24"/>
                <w:szCs w:val="24"/>
              </w:rPr>
              <w:t xml:space="preserve">roviders. </w:t>
            </w:r>
          </w:p>
          <w:p w14:paraId="4F87C418" w14:textId="77777777" w:rsidR="00795BDA" w:rsidRPr="00C92ECE" w:rsidRDefault="00795BDA" w:rsidP="00795BDA">
            <w:pPr>
              <w:spacing w:line="276" w:lineRule="auto"/>
              <w:rPr>
                <w:rFonts w:ascii="Arial" w:eastAsia="Calibri" w:hAnsi="Arial" w:cs="Arial"/>
                <w:bCs/>
                <w:sz w:val="24"/>
                <w:szCs w:val="24"/>
              </w:rPr>
            </w:pPr>
          </w:p>
          <w:p w14:paraId="5458E3DA" w14:textId="1FB702DA" w:rsidR="00EB4D61" w:rsidRPr="00BB471B" w:rsidRDefault="006157F3" w:rsidP="00507D5B">
            <w:pPr>
              <w:spacing w:line="276" w:lineRule="auto"/>
              <w:rPr>
                <w:rFonts w:ascii="Arial" w:eastAsia="Calibri" w:hAnsi="Arial" w:cs="Arial"/>
                <w:bCs/>
                <w:sz w:val="24"/>
                <w:szCs w:val="24"/>
              </w:rPr>
            </w:pPr>
            <w:r w:rsidRPr="00517A27">
              <w:rPr>
                <w:rFonts w:ascii="Arial" w:eastAsia="Calibri" w:hAnsi="Arial" w:cs="Arial"/>
                <w:bCs/>
                <w:sz w:val="24"/>
                <w:szCs w:val="24"/>
              </w:rPr>
              <w:t>Participants fel</w:t>
            </w:r>
            <w:r w:rsidR="00517A27" w:rsidRPr="00517A27">
              <w:rPr>
                <w:rFonts w:ascii="Arial" w:eastAsia="Calibri" w:hAnsi="Arial" w:cs="Arial"/>
                <w:bCs/>
                <w:sz w:val="24"/>
                <w:szCs w:val="24"/>
              </w:rPr>
              <w:t>t they had</w:t>
            </w:r>
            <w:r w:rsidR="00EB4D61" w:rsidRPr="00517A27">
              <w:rPr>
                <w:rFonts w:ascii="Arial" w:eastAsia="Calibri" w:hAnsi="Arial" w:cs="Arial"/>
                <w:bCs/>
                <w:sz w:val="24"/>
                <w:szCs w:val="24"/>
              </w:rPr>
              <w:t xml:space="preserve"> </w:t>
            </w:r>
            <w:r w:rsidR="00517A27" w:rsidRPr="00BB471B">
              <w:rPr>
                <w:rFonts w:ascii="Arial" w:eastAsia="Calibri" w:hAnsi="Arial" w:cs="Arial"/>
                <w:bCs/>
                <w:sz w:val="24"/>
                <w:szCs w:val="24"/>
              </w:rPr>
              <w:t>g</w:t>
            </w:r>
            <w:r w:rsidR="00EB4D61" w:rsidRPr="00BB471B">
              <w:rPr>
                <w:rFonts w:ascii="Arial" w:eastAsia="Calibri" w:hAnsi="Arial" w:cs="Arial"/>
                <w:bCs/>
                <w:sz w:val="24"/>
                <w:szCs w:val="24"/>
              </w:rPr>
              <w:t xml:space="preserve">reater capacity </w:t>
            </w:r>
            <w:r w:rsidRPr="00BB471B">
              <w:rPr>
                <w:rFonts w:ascii="Arial" w:eastAsia="Calibri" w:hAnsi="Arial" w:cs="Arial"/>
                <w:bCs/>
                <w:sz w:val="24"/>
                <w:szCs w:val="24"/>
              </w:rPr>
              <w:t>and</w:t>
            </w:r>
            <w:r w:rsidR="00EB4D61" w:rsidRPr="00BB471B">
              <w:rPr>
                <w:rFonts w:ascii="Arial" w:eastAsia="Calibri" w:hAnsi="Arial" w:cs="Arial"/>
                <w:bCs/>
                <w:sz w:val="24"/>
                <w:szCs w:val="24"/>
              </w:rPr>
              <w:t xml:space="preserve"> confidence to converse with service users </w:t>
            </w:r>
            <w:r w:rsidR="00517A27">
              <w:rPr>
                <w:rFonts w:ascii="Arial" w:eastAsia="Calibri" w:hAnsi="Arial" w:cs="Arial"/>
                <w:bCs/>
                <w:sz w:val="24"/>
                <w:szCs w:val="24"/>
              </w:rPr>
              <w:t>and</w:t>
            </w:r>
            <w:r w:rsidR="00EB4D61" w:rsidRPr="00BB471B">
              <w:rPr>
                <w:rFonts w:ascii="Arial" w:eastAsia="Calibri" w:hAnsi="Arial" w:cs="Arial"/>
                <w:bCs/>
                <w:sz w:val="24"/>
                <w:szCs w:val="24"/>
              </w:rPr>
              <w:t xml:space="preserve"> colleagues in Welsh</w:t>
            </w:r>
            <w:r w:rsidR="00517A27">
              <w:rPr>
                <w:rFonts w:ascii="Arial" w:eastAsia="Calibri" w:hAnsi="Arial" w:cs="Arial"/>
                <w:bCs/>
                <w:sz w:val="24"/>
                <w:szCs w:val="24"/>
              </w:rPr>
              <w:t>.</w:t>
            </w:r>
            <w:r w:rsidR="00EB4D61" w:rsidRPr="00BB471B">
              <w:rPr>
                <w:rFonts w:ascii="Arial" w:eastAsia="Calibri" w:hAnsi="Arial" w:cs="Arial"/>
                <w:bCs/>
                <w:sz w:val="24"/>
                <w:szCs w:val="24"/>
              </w:rPr>
              <w:t xml:space="preserve"> </w:t>
            </w:r>
            <w:r w:rsidR="00EB4D61" w:rsidRPr="00517A27">
              <w:rPr>
                <w:rFonts w:ascii="Arial" w:eastAsia="Calibri" w:hAnsi="Arial" w:cs="Arial"/>
                <w:bCs/>
                <w:sz w:val="24"/>
                <w:szCs w:val="24"/>
              </w:rPr>
              <w:t>(Ceredigion</w:t>
            </w:r>
            <w:r w:rsidR="00F421F2" w:rsidRPr="00517A27">
              <w:rPr>
                <w:rFonts w:ascii="Arial" w:eastAsia="Calibri" w:hAnsi="Arial" w:cs="Arial"/>
                <w:bCs/>
                <w:sz w:val="24"/>
                <w:szCs w:val="24"/>
              </w:rPr>
              <w:t xml:space="preserve"> - </w:t>
            </w:r>
            <w:r w:rsidR="00517A27">
              <w:rPr>
                <w:rFonts w:ascii="Arial" w:eastAsia="Calibri" w:hAnsi="Arial" w:cs="Arial"/>
                <w:bCs/>
                <w:sz w:val="24"/>
                <w:szCs w:val="24"/>
              </w:rPr>
              <w:t>w</w:t>
            </w:r>
            <w:r w:rsidR="00EB4D61" w:rsidRPr="00517A27">
              <w:rPr>
                <w:rFonts w:ascii="Arial" w:eastAsia="Calibri" w:hAnsi="Arial" w:cs="Arial"/>
                <w:bCs/>
                <w:sz w:val="24"/>
                <w:szCs w:val="24"/>
              </w:rPr>
              <w:t xml:space="preserve">est Wales </w:t>
            </w:r>
            <w:r w:rsidR="00517A27">
              <w:rPr>
                <w:rFonts w:ascii="Arial" w:eastAsia="Calibri" w:hAnsi="Arial" w:cs="Arial"/>
                <w:bCs/>
                <w:sz w:val="24"/>
                <w:szCs w:val="24"/>
              </w:rPr>
              <w:t>r</w:t>
            </w:r>
            <w:r w:rsidR="00EB4D61" w:rsidRPr="00517A27">
              <w:rPr>
                <w:rFonts w:ascii="Arial" w:eastAsia="Calibri" w:hAnsi="Arial" w:cs="Arial"/>
                <w:bCs/>
                <w:sz w:val="24"/>
                <w:szCs w:val="24"/>
              </w:rPr>
              <w:t>egion)</w:t>
            </w:r>
          </w:p>
          <w:p w14:paraId="712A0AF1" w14:textId="77777777" w:rsidR="00EB4D61" w:rsidRDefault="00EB4D61" w:rsidP="00507D5B">
            <w:pPr>
              <w:pStyle w:val="ListParagraph"/>
              <w:ind w:left="0"/>
              <w:rPr>
                <w:rFonts w:ascii="Arial" w:eastAsia="Calibri" w:hAnsi="Arial" w:cs="Arial"/>
                <w:sz w:val="24"/>
                <w:szCs w:val="24"/>
              </w:rPr>
            </w:pPr>
          </w:p>
        </w:tc>
      </w:tr>
    </w:tbl>
    <w:p w14:paraId="2EE74CB6" w14:textId="77777777" w:rsidR="009A27C1" w:rsidRPr="00B568F3" w:rsidRDefault="009A27C1" w:rsidP="00753644">
      <w:pPr>
        <w:rPr>
          <w:rFonts w:ascii="Arial" w:eastAsia="Calibri" w:hAnsi="Arial" w:cs="Arial"/>
          <w:b/>
          <w:bCs/>
          <w:sz w:val="24"/>
          <w:szCs w:val="24"/>
        </w:rPr>
      </w:pPr>
    </w:p>
    <w:p w14:paraId="3A921554" w14:textId="6386368B" w:rsidR="00584A8A" w:rsidRPr="00B568F3" w:rsidRDefault="00584A8A" w:rsidP="000C06A7">
      <w:pPr>
        <w:pStyle w:val="Heading3"/>
      </w:pPr>
      <w:bookmarkStart w:id="52" w:name="_Toc210987783"/>
      <w:bookmarkStart w:id="53" w:name="_Toc211279636"/>
      <w:r w:rsidRPr="00B568F3">
        <w:t>Inclusion</w:t>
      </w:r>
      <w:bookmarkEnd w:id="52"/>
      <w:bookmarkEnd w:id="53"/>
    </w:p>
    <w:p w14:paraId="71BA3F53" w14:textId="542930EA" w:rsidR="00EE2BF6" w:rsidRDefault="00EE2BF6" w:rsidP="00EE2BF6">
      <w:pPr>
        <w:numPr>
          <w:ilvl w:val="0"/>
          <w:numId w:val="6"/>
        </w:numPr>
        <w:spacing w:after="0" w:line="276" w:lineRule="auto"/>
        <w:ind w:left="567" w:hanging="425"/>
        <w:contextualSpacing/>
        <w:rPr>
          <w:rFonts w:ascii="Arial" w:eastAsia="Calibri" w:hAnsi="Arial" w:cs="Arial"/>
          <w:sz w:val="24"/>
          <w:szCs w:val="24"/>
        </w:rPr>
      </w:pPr>
      <w:r w:rsidRPr="00EE2BF6">
        <w:rPr>
          <w:rFonts w:ascii="Arial" w:eastAsia="Calibri" w:hAnsi="Arial" w:cs="Arial"/>
          <w:sz w:val="24"/>
          <w:szCs w:val="24"/>
        </w:rPr>
        <w:t xml:space="preserve">Equality, </w:t>
      </w:r>
      <w:r w:rsidR="002E4AE2">
        <w:rPr>
          <w:rFonts w:ascii="Arial" w:eastAsia="Calibri" w:hAnsi="Arial" w:cs="Arial"/>
          <w:sz w:val="24"/>
          <w:szCs w:val="24"/>
        </w:rPr>
        <w:t>d</w:t>
      </w:r>
      <w:r w:rsidRPr="00EE2BF6">
        <w:rPr>
          <w:rFonts w:ascii="Arial" w:eastAsia="Calibri" w:hAnsi="Arial" w:cs="Arial"/>
          <w:sz w:val="24"/>
          <w:szCs w:val="24"/>
        </w:rPr>
        <w:t xml:space="preserve">iversity </w:t>
      </w:r>
      <w:r w:rsidR="002E4AE2">
        <w:rPr>
          <w:rFonts w:ascii="Arial" w:eastAsia="Calibri" w:hAnsi="Arial" w:cs="Arial"/>
          <w:sz w:val="24"/>
          <w:szCs w:val="24"/>
        </w:rPr>
        <w:t>and</w:t>
      </w:r>
      <w:r w:rsidRPr="00EE2BF6">
        <w:rPr>
          <w:rFonts w:ascii="Arial" w:eastAsia="Calibri" w:hAnsi="Arial" w:cs="Arial"/>
          <w:sz w:val="24"/>
          <w:szCs w:val="24"/>
        </w:rPr>
        <w:t xml:space="preserve"> </w:t>
      </w:r>
      <w:r w:rsidR="002E4AE2">
        <w:rPr>
          <w:rFonts w:ascii="Arial" w:eastAsia="Calibri" w:hAnsi="Arial" w:cs="Arial"/>
          <w:sz w:val="24"/>
          <w:szCs w:val="24"/>
        </w:rPr>
        <w:t>i</w:t>
      </w:r>
      <w:r w:rsidRPr="00EE2BF6">
        <w:rPr>
          <w:rFonts w:ascii="Arial" w:eastAsia="Calibri" w:hAnsi="Arial" w:cs="Arial"/>
          <w:sz w:val="24"/>
          <w:szCs w:val="24"/>
        </w:rPr>
        <w:t>nclusion e</w:t>
      </w:r>
      <w:r w:rsidR="002E4AE2">
        <w:rPr>
          <w:rFonts w:ascii="Arial" w:eastAsia="Calibri" w:hAnsi="Arial" w:cs="Arial"/>
          <w:sz w:val="24"/>
          <w:szCs w:val="24"/>
        </w:rPr>
        <w:t>-l</w:t>
      </w:r>
      <w:r w:rsidRPr="00EE2BF6">
        <w:rPr>
          <w:rFonts w:ascii="Arial" w:eastAsia="Calibri" w:hAnsi="Arial" w:cs="Arial"/>
          <w:sz w:val="24"/>
          <w:szCs w:val="24"/>
        </w:rPr>
        <w:t>earning</w:t>
      </w:r>
      <w:r>
        <w:rPr>
          <w:rFonts w:ascii="Arial" w:eastAsia="Calibri" w:hAnsi="Arial" w:cs="Arial"/>
          <w:sz w:val="24"/>
          <w:szCs w:val="24"/>
        </w:rPr>
        <w:t xml:space="preserve"> is available on</w:t>
      </w:r>
      <w:r w:rsidR="008A24A9">
        <w:rPr>
          <w:rFonts w:ascii="Arial" w:eastAsia="Calibri" w:hAnsi="Arial" w:cs="Arial"/>
          <w:sz w:val="24"/>
          <w:szCs w:val="24"/>
        </w:rPr>
        <w:t xml:space="preserve"> learning management systems accessible to the whole workforce across the sector</w:t>
      </w:r>
      <w:r w:rsidR="00B024A0">
        <w:rPr>
          <w:rFonts w:ascii="Arial" w:eastAsia="Calibri" w:hAnsi="Arial" w:cs="Arial"/>
          <w:sz w:val="24"/>
          <w:szCs w:val="24"/>
        </w:rPr>
        <w:t>. Face to face sessions were also available in some regions.</w:t>
      </w:r>
    </w:p>
    <w:p w14:paraId="218678FA" w14:textId="77777777" w:rsidR="00257315" w:rsidRDefault="00257315" w:rsidP="00257315">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257315" w14:paraId="3A309AA2" w14:textId="77777777" w:rsidTr="00257315">
        <w:tc>
          <w:tcPr>
            <w:tcW w:w="9016" w:type="dxa"/>
          </w:tcPr>
          <w:p w14:paraId="6408A1B5" w14:textId="395FF6BB" w:rsidR="00257315" w:rsidRDefault="00257315" w:rsidP="00257315">
            <w:pPr>
              <w:spacing w:line="276" w:lineRule="auto"/>
              <w:contextualSpacing/>
              <w:rPr>
                <w:rFonts w:ascii="Arial" w:eastAsia="Calibri" w:hAnsi="Arial" w:cs="Arial"/>
                <w:sz w:val="24"/>
                <w:szCs w:val="24"/>
              </w:rPr>
            </w:pPr>
            <w:r w:rsidRPr="00B05523">
              <w:rPr>
                <w:rFonts w:ascii="Arial" w:eastAsia="Calibri" w:hAnsi="Arial" w:cs="Arial"/>
                <w:bCs/>
                <w:sz w:val="24"/>
                <w:szCs w:val="24"/>
              </w:rPr>
              <w:t>Denbighshire have worked to implement key awareness training across the sector. We</w:t>
            </w:r>
            <w:r w:rsidR="002E4AE2">
              <w:rPr>
                <w:rFonts w:ascii="Arial" w:eastAsia="Calibri" w:hAnsi="Arial" w:cs="Arial"/>
                <w:bCs/>
                <w:sz w:val="24"/>
                <w:szCs w:val="24"/>
              </w:rPr>
              <w:t>’ve</w:t>
            </w:r>
            <w:r w:rsidRPr="00B05523">
              <w:rPr>
                <w:rFonts w:ascii="Arial" w:eastAsia="Calibri" w:hAnsi="Arial" w:cs="Arial"/>
                <w:bCs/>
                <w:sz w:val="24"/>
                <w:szCs w:val="24"/>
              </w:rPr>
              <w:t xml:space="preserve"> commissioned, </w:t>
            </w:r>
            <w:r w:rsidR="00CA7701">
              <w:rPr>
                <w:rFonts w:ascii="Arial" w:eastAsia="Aptos" w:hAnsi="Arial" w:cs="Arial"/>
                <w:bCs/>
                <w:sz w:val="24"/>
                <w:szCs w:val="24"/>
                <w:lang w:val="cy-GB"/>
              </w:rPr>
              <w:t>a</w:t>
            </w:r>
            <w:r w:rsidRPr="00B05523">
              <w:rPr>
                <w:rFonts w:ascii="Arial" w:eastAsia="Aptos" w:hAnsi="Arial" w:cs="Arial"/>
                <w:bCs/>
                <w:sz w:val="24"/>
                <w:szCs w:val="24"/>
                <w:lang w:val="cy-GB"/>
              </w:rPr>
              <w:t xml:space="preserve">nti </w:t>
            </w:r>
            <w:r w:rsidR="00CA7701">
              <w:rPr>
                <w:rFonts w:ascii="Arial" w:eastAsia="Aptos" w:hAnsi="Arial" w:cs="Arial"/>
                <w:bCs/>
                <w:sz w:val="24"/>
                <w:szCs w:val="24"/>
                <w:lang w:val="cy-GB"/>
              </w:rPr>
              <w:t>r</w:t>
            </w:r>
            <w:r w:rsidRPr="00B05523">
              <w:rPr>
                <w:rFonts w:ascii="Arial" w:eastAsia="Aptos" w:hAnsi="Arial" w:cs="Arial"/>
                <w:bCs/>
                <w:sz w:val="24"/>
                <w:szCs w:val="24"/>
                <w:lang w:val="cy-GB"/>
              </w:rPr>
              <w:t xml:space="preserve">acism </w:t>
            </w:r>
            <w:r w:rsidR="00CA7701">
              <w:rPr>
                <w:rFonts w:ascii="Arial" w:eastAsia="Aptos" w:hAnsi="Arial" w:cs="Arial"/>
                <w:bCs/>
                <w:sz w:val="24"/>
                <w:szCs w:val="24"/>
                <w:lang w:val="cy-GB"/>
              </w:rPr>
              <w:t>a</w:t>
            </w:r>
            <w:r w:rsidRPr="00B05523">
              <w:rPr>
                <w:rFonts w:ascii="Arial" w:eastAsia="Aptos" w:hAnsi="Arial" w:cs="Arial"/>
                <w:bCs/>
                <w:sz w:val="24"/>
                <w:szCs w:val="24"/>
                <w:lang w:val="cy-GB"/>
              </w:rPr>
              <w:t xml:space="preserve">wareness </w:t>
            </w:r>
            <w:r w:rsidR="00CA7701">
              <w:rPr>
                <w:rFonts w:ascii="Arial" w:eastAsia="Aptos" w:hAnsi="Arial" w:cs="Arial"/>
                <w:bCs/>
                <w:sz w:val="24"/>
                <w:szCs w:val="24"/>
                <w:lang w:val="cy-GB"/>
              </w:rPr>
              <w:t xml:space="preserve">training, </w:t>
            </w:r>
            <w:r w:rsidRPr="00B05523">
              <w:rPr>
                <w:rFonts w:ascii="Arial" w:eastAsia="Aptos" w:hAnsi="Arial" w:cs="Arial"/>
                <w:bCs/>
                <w:sz w:val="24"/>
                <w:szCs w:val="24"/>
                <w:lang w:val="cy-GB"/>
              </w:rPr>
              <w:t xml:space="preserve">providing an introduction into racism awareness.  Also, </w:t>
            </w:r>
            <w:r w:rsidR="001D54FF">
              <w:rPr>
                <w:rFonts w:ascii="Arial" w:eastAsia="Calibri" w:hAnsi="Arial" w:cs="Arial"/>
                <w:bCs/>
                <w:sz w:val="24"/>
                <w:szCs w:val="24"/>
              </w:rPr>
              <w:t>c</w:t>
            </w:r>
            <w:r w:rsidRPr="00B05523">
              <w:rPr>
                <w:rFonts w:ascii="Arial" w:eastAsia="Calibri" w:hAnsi="Arial" w:cs="Arial"/>
                <w:bCs/>
                <w:sz w:val="24"/>
                <w:szCs w:val="24"/>
              </w:rPr>
              <w:t xml:space="preserve">ross </w:t>
            </w:r>
            <w:r w:rsidR="001D54FF">
              <w:rPr>
                <w:rFonts w:ascii="Arial" w:eastAsia="Calibri" w:hAnsi="Arial" w:cs="Arial"/>
                <w:bCs/>
                <w:sz w:val="24"/>
                <w:szCs w:val="24"/>
              </w:rPr>
              <w:t>c</w:t>
            </w:r>
            <w:r w:rsidRPr="00B05523">
              <w:rPr>
                <w:rFonts w:ascii="Arial" w:eastAsia="Calibri" w:hAnsi="Arial" w:cs="Arial"/>
                <w:bCs/>
                <w:sz w:val="24"/>
                <w:szCs w:val="24"/>
              </w:rPr>
              <w:t xml:space="preserve">ultural </w:t>
            </w:r>
            <w:r w:rsidR="001D54FF">
              <w:rPr>
                <w:rFonts w:ascii="Arial" w:eastAsia="Calibri" w:hAnsi="Arial" w:cs="Arial"/>
                <w:bCs/>
                <w:sz w:val="24"/>
                <w:szCs w:val="24"/>
              </w:rPr>
              <w:t>c</w:t>
            </w:r>
            <w:r w:rsidRPr="00B05523">
              <w:rPr>
                <w:rFonts w:ascii="Arial" w:eastAsia="Calibri" w:hAnsi="Arial" w:cs="Arial"/>
                <w:bCs/>
                <w:sz w:val="24"/>
                <w:szCs w:val="24"/>
              </w:rPr>
              <w:t xml:space="preserve">ommunication </w:t>
            </w:r>
            <w:r w:rsidR="001D54FF">
              <w:rPr>
                <w:rFonts w:ascii="Arial" w:eastAsia="Calibri" w:hAnsi="Arial" w:cs="Arial"/>
                <w:bCs/>
                <w:sz w:val="24"/>
                <w:szCs w:val="24"/>
              </w:rPr>
              <w:t>t</w:t>
            </w:r>
            <w:r w:rsidRPr="00B05523">
              <w:rPr>
                <w:rFonts w:ascii="Arial" w:eastAsia="Calibri" w:hAnsi="Arial" w:cs="Arial"/>
                <w:bCs/>
                <w:sz w:val="24"/>
                <w:szCs w:val="24"/>
              </w:rPr>
              <w:t>raining</w:t>
            </w:r>
            <w:r w:rsidR="001D54FF">
              <w:rPr>
                <w:rFonts w:ascii="Arial" w:eastAsia="Calibri" w:hAnsi="Arial" w:cs="Arial"/>
                <w:bCs/>
                <w:sz w:val="24"/>
                <w:szCs w:val="24"/>
              </w:rPr>
              <w:t xml:space="preserve">, </w:t>
            </w:r>
            <w:r w:rsidRPr="00B05523">
              <w:rPr>
                <w:rFonts w:ascii="Arial" w:eastAsia="Calibri" w:hAnsi="Arial" w:cs="Arial"/>
                <w:bCs/>
                <w:sz w:val="24"/>
                <w:szCs w:val="24"/>
              </w:rPr>
              <w:t xml:space="preserve"> designed to enhance understanding and effectiveness in communication between individuals from diverse cultural backgrounds. </w:t>
            </w:r>
            <w:r w:rsidR="001D54FF">
              <w:rPr>
                <w:rFonts w:ascii="Arial" w:eastAsia="Calibri" w:hAnsi="Arial" w:cs="Arial"/>
                <w:bCs/>
                <w:sz w:val="24"/>
                <w:szCs w:val="24"/>
              </w:rPr>
              <w:t>Also</w:t>
            </w:r>
            <w:r w:rsidRPr="00B05523">
              <w:rPr>
                <w:rFonts w:ascii="Arial" w:eastAsia="Calibri" w:hAnsi="Arial" w:cs="Arial"/>
                <w:bCs/>
                <w:sz w:val="24"/>
                <w:szCs w:val="24"/>
              </w:rPr>
              <w:t>,</w:t>
            </w:r>
            <w:r w:rsidR="009A3A67">
              <w:rPr>
                <w:rFonts w:ascii="Arial" w:eastAsia="Calibri" w:hAnsi="Arial" w:cs="Arial"/>
                <w:bCs/>
                <w:sz w:val="24"/>
                <w:szCs w:val="24"/>
              </w:rPr>
              <w:t xml:space="preserve"> the</w:t>
            </w:r>
            <w:r w:rsidRPr="00B05523">
              <w:rPr>
                <w:rFonts w:ascii="Arial" w:eastAsia="Calibri" w:hAnsi="Arial" w:cs="Arial"/>
                <w:bCs/>
                <w:sz w:val="24"/>
                <w:szCs w:val="24"/>
              </w:rPr>
              <w:t xml:space="preserve"> </w:t>
            </w:r>
            <w:r w:rsidR="009A3A67">
              <w:rPr>
                <w:rFonts w:ascii="Arial" w:eastAsia="Calibri" w:hAnsi="Arial" w:cs="Arial"/>
                <w:bCs/>
                <w:sz w:val="24"/>
                <w:szCs w:val="24"/>
              </w:rPr>
              <w:t>d</w:t>
            </w:r>
            <w:r w:rsidRPr="00B05523">
              <w:rPr>
                <w:rFonts w:ascii="Arial" w:eastAsia="Calibri" w:hAnsi="Arial" w:cs="Arial"/>
                <w:bCs/>
                <w:sz w:val="24"/>
                <w:szCs w:val="24"/>
              </w:rPr>
              <w:t xml:space="preserve">eveloping </w:t>
            </w:r>
            <w:r w:rsidR="009A3A67">
              <w:rPr>
                <w:rFonts w:ascii="Arial" w:eastAsia="Calibri" w:hAnsi="Arial" w:cs="Arial"/>
                <w:bCs/>
                <w:sz w:val="24"/>
                <w:szCs w:val="24"/>
              </w:rPr>
              <w:t>c</w:t>
            </w:r>
            <w:r w:rsidRPr="00B05523">
              <w:rPr>
                <w:rFonts w:ascii="Arial" w:eastAsia="Calibri" w:hAnsi="Arial" w:cs="Arial"/>
                <w:bCs/>
                <w:sz w:val="24"/>
                <w:szCs w:val="24"/>
              </w:rPr>
              <w:t xml:space="preserve">ultural </w:t>
            </w:r>
            <w:r w:rsidR="009A3A67">
              <w:rPr>
                <w:rFonts w:ascii="Arial" w:eastAsia="Calibri" w:hAnsi="Arial" w:cs="Arial"/>
                <w:bCs/>
                <w:sz w:val="24"/>
                <w:szCs w:val="24"/>
              </w:rPr>
              <w:t>h</w:t>
            </w:r>
            <w:r w:rsidRPr="00B05523">
              <w:rPr>
                <w:rFonts w:ascii="Arial" w:eastAsia="Calibri" w:hAnsi="Arial" w:cs="Arial"/>
                <w:bCs/>
                <w:sz w:val="24"/>
                <w:szCs w:val="24"/>
              </w:rPr>
              <w:t xml:space="preserve">umility and </w:t>
            </w:r>
            <w:r w:rsidR="009A3A67">
              <w:rPr>
                <w:rFonts w:ascii="Arial" w:eastAsia="Calibri" w:hAnsi="Arial" w:cs="Arial"/>
                <w:bCs/>
                <w:sz w:val="24"/>
                <w:szCs w:val="24"/>
              </w:rPr>
              <w:t>w</w:t>
            </w:r>
            <w:r w:rsidRPr="00B05523">
              <w:rPr>
                <w:rFonts w:ascii="Arial" w:eastAsia="Calibri" w:hAnsi="Arial" w:cs="Arial"/>
                <w:bCs/>
                <w:sz w:val="24"/>
                <w:szCs w:val="24"/>
              </w:rPr>
              <w:t xml:space="preserve">orking </w:t>
            </w:r>
            <w:r w:rsidR="009A3A67">
              <w:rPr>
                <w:rFonts w:ascii="Arial" w:eastAsia="Calibri" w:hAnsi="Arial" w:cs="Arial"/>
                <w:bCs/>
                <w:sz w:val="24"/>
                <w:szCs w:val="24"/>
              </w:rPr>
              <w:t>i</w:t>
            </w:r>
            <w:r w:rsidRPr="00B05523">
              <w:rPr>
                <w:rFonts w:ascii="Arial" w:eastAsia="Calibri" w:hAnsi="Arial" w:cs="Arial"/>
                <w:bCs/>
                <w:sz w:val="24"/>
                <w:szCs w:val="24"/>
              </w:rPr>
              <w:t>nclusively</w:t>
            </w:r>
            <w:r w:rsidR="009A3A67">
              <w:rPr>
                <w:rFonts w:ascii="Arial" w:eastAsia="Calibri" w:hAnsi="Arial" w:cs="Arial"/>
                <w:bCs/>
                <w:sz w:val="24"/>
                <w:szCs w:val="24"/>
              </w:rPr>
              <w:t xml:space="preserve"> training</w:t>
            </w:r>
            <w:r w:rsidRPr="00B05523">
              <w:rPr>
                <w:rFonts w:ascii="Arial" w:eastAsia="Calibri" w:hAnsi="Arial" w:cs="Arial"/>
                <w:bCs/>
                <w:sz w:val="24"/>
                <w:szCs w:val="24"/>
              </w:rPr>
              <w:t xml:space="preserve"> (Denbighshire – </w:t>
            </w:r>
            <w:r w:rsidR="009A3A67">
              <w:rPr>
                <w:rFonts w:ascii="Arial" w:eastAsia="Calibri" w:hAnsi="Arial" w:cs="Arial"/>
                <w:bCs/>
                <w:sz w:val="24"/>
                <w:szCs w:val="24"/>
              </w:rPr>
              <w:t>n</w:t>
            </w:r>
            <w:r w:rsidRPr="00B05523">
              <w:rPr>
                <w:rFonts w:ascii="Arial" w:eastAsia="Calibri" w:hAnsi="Arial" w:cs="Arial"/>
                <w:bCs/>
                <w:sz w:val="24"/>
                <w:szCs w:val="24"/>
              </w:rPr>
              <w:t xml:space="preserve">orth Wales </w:t>
            </w:r>
            <w:r w:rsidR="009A3A67">
              <w:rPr>
                <w:rFonts w:ascii="Arial" w:eastAsia="Calibri" w:hAnsi="Arial" w:cs="Arial"/>
                <w:bCs/>
                <w:sz w:val="24"/>
                <w:szCs w:val="24"/>
              </w:rPr>
              <w:t>r</w:t>
            </w:r>
            <w:r w:rsidRPr="00B05523">
              <w:rPr>
                <w:rFonts w:ascii="Arial" w:eastAsia="Calibri" w:hAnsi="Arial" w:cs="Arial"/>
                <w:bCs/>
                <w:sz w:val="24"/>
                <w:szCs w:val="24"/>
              </w:rPr>
              <w:t>egion)</w:t>
            </w:r>
          </w:p>
        </w:tc>
      </w:tr>
    </w:tbl>
    <w:p w14:paraId="7DCDBF5A" w14:textId="77777777" w:rsidR="00EE2BF6" w:rsidRDefault="00EE2BF6" w:rsidP="00C92ECE">
      <w:pPr>
        <w:spacing w:after="0" w:line="276" w:lineRule="auto"/>
        <w:contextualSpacing/>
        <w:rPr>
          <w:rFonts w:ascii="Arial" w:eastAsia="Calibri" w:hAnsi="Arial" w:cs="Arial"/>
          <w:sz w:val="24"/>
          <w:szCs w:val="24"/>
        </w:rPr>
      </w:pPr>
    </w:p>
    <w:p w14:paraId="35F6CDF0" w14:textId="2C9C8FD8" w:rsidR="007C564F" w:rsidRDefault="00C27F49" w:rsidP="007C564F">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Local</w:t>
      </w:r>
      <w:r w:rsidR="007C564F">
        <w:rPr>
          <w:rFonts w:ascii="Arial" w:eastAsia="Calibri" w:hAnsi="Arial" w:cs="Arial"/>
          <w:sz w:val="24"/>
          <w:szCs w:val="24"/>
        </w:rPr>
        <w:t xml:space="preserve"> authorities</w:t>
      </w:r>
      <w:r w:rsidR="00A25374">
        <w:rPr>
          <w:rFonts w:ascii="Arial" w:eastAsia="Calibri" w:hAnsi="Arial" w:cs="Arial"/>
          <w:sz w:val="24"/>
          <w:szCs w:val="24"/>
        </w:rPr>
        <w:t xml:space="preserve"> across the regions</w:t>
      </w:r>
      <w:r w:rsidR="007C564F">
        <w:rPr>
          <w:rFonts w:ascii="Arial" w:eastAsia="Calibri" w:hAnsi="Arial" w:cs="Arial"/>
          <w:sz w:val="24"/>
          <w:szCs w:val="24"/>
        </w:rPr>
        <w:t xml:space="preserve"> are </w:t>
      </w:r>
      <w:r w:rsidR="007C564F" w:rsidRPr="008B2D85">
        <w:rPr>
          <w:rFonts w:ascii="Arial" w:eastAsia="Calibri" w:hAnsi="Arial" w:cs="Arial"/>
          <w:sz w:val="24"/>
          <w:szCs w:val="24"/>
        </w:rPr>
        <w:t xml:space="preserve">working </w:t>
      </w:r>
      <w:r w:rsidR="00A25374">
        <w:rPr>
          <w:rFonts w:ascii="Arial" w:eastAsia="Calibri" w:hAnsi="Arial" w:cs="Arial"/>
          <w:sz w:val="24"/>
          <w:szCs w:val="24"/>
        </w:rPr>
        <w:t>on</w:t>
      </w:r>
      <w:r w:rsidR="007C564F">
        <w:rPr>
          <w:rFonts w:ascii="Arial" w:eastAsia="Calibri" w:hAnsi="Arial" w:cs="Arial"/>
          <w:sz w:val="24"/>
          <w:szCs w:val="24"/>
        </w:rPr>
        <w:t xml:space="preserve"> the </w:t>
      </w:r>
      <w:r w:rsidR="007C564F" w:rsidRPr="008B2D85">
        <w:rPr>
          <w:rFonts w:ascii="Arial" w:eastAsia="Calibri" w:hAnsi="Arial" w:cs="Arial"/>
          <w:sz w:val="24"/>
          <w:szCs w:val="24"/>
        </w:rPr>
        <w:t>Anti</w:t>
      </w:r>
      <w:r w:rsidR="007C564F" w:rsidRPr="005F0496">
        <w:rPr>
          <w:rFonts w:ascii="Arial" w:eastAsia="Calibri" w:hAnsi="Arial" w:cs="Arial"/>
          <w:sz w:val="24"/>
          <w:szCs w:val="24"/>
        </w:rPr>
        <w:t>-Racist Wales Action Plan</w:t>
      </w:r>
      <w:r w:rsidR="00A25374">
        <w:rPr>
          <w:rFonts w:ascii="Arial" w:eastAsia="Calibri" w:hAnsi="Arial" w:cs="Arial"/>
          <w:sz w:val="24"/>
          <w:szCs w:val="24"/>
        </w:rPr>
        <w:t>. M</w:t>
      </w:r>
      <w:r w:rsidR="007C564F">
        <w:rPr>
          <w:rFonts w:ascii="Arial" w:eastAsia="Calibri" w:hAnsi="Arial" w:cs="Arial"/>
          <w:sz w:val="24"/>
          <w:szCs w:val="24"/>
        </w:rPr>
        <w:t xml:space="preserve">any </w:t>
      </w:r>
      <w:r w:rsidR="00A25374">
        <w:rPr>
          <w:rFonts w:ascii="Arial" w:eastAsia="Calibri" w:hAnsi="Arial" w:cs="Arial"/>
          <w:sz w:val="24"/>
          <w:szCs w:val="24"/>
        </w:rPr>
        <w:t xml:space="preserve">are </w:t>
      </w:r>
      <w:r w:rsidR="006B0A04">
        <w:rPr>
          <w:rFonts w:ascii="Arial" w:eastAsia="Calibri" w:hAnsi="Arial" w:cs="Arial"/>
          <w:sz w:val="24"/>
          <w:szCs w:val="24"/>
        </w:rPr>
        <w:t>starting with</w:t>
      </w:r>
      <w:r w:rsidR="007C564F">
        <w:rPr>
          <w:rFonts w:ascii="Arial" w:eastAsia="Calibri" w:hAnsi="Arial" w:cs="Arial"/>
          <w:sz w:val="24"/>
          <w:szCs w:val="24"/>
        </w:rPr>
        <w:t xml:space="preserve"> c</w:t>
      </w:r>
      <w:r w:rsidR="007C564F" w:rsidRPr="008B2D85">
        <w:rPr>
          <w:rFonts w:ascii="Arial" w:eastAsia="Calibri" w:hAnsi="Arial" w:cs="Arial"/>
          <w:sz w:val="24"/>
          <w:szCs w:val="24"/>
        </w:rPr>
        <w:t>orporate</w:t>
      </w:r>
      <w:r w:rsidR="007C564F">
        <w:rPr>
          <w:rFonts w:ascii="Arial" w:eastAsia="Calibri" w:hAnsi="Arial" w:cs="Arial"/>
          <w:sz w:val="24"/>
          <w:szCs w:val="24"/>
        </w:rPr>
        <w:t xml:space="preserve"> approaches before considering additional social care specific work that may be needed to </w:t>
      </w:r>
      <w:r w:rsidR="006B0A04">
        <w:rPr>
          <w:rFonts w:ascii="Arial" w:eastAsia="Calibri" w:hAnsi="Arial" w:cs="Arial"/>
          <w:sz w:val="24"/>
          <w:szCs w:val="24"/>
        </w:rPr>
        <w:t>support</w:t>
      </w:r>
      <w:r w:rsidR="007C564F">
        <w:rPr>
          <w:rFonts w:ascii="Arial" w:eastAsia="Calibri" w:hAnsi="Arial" w:cs="Arial"/>
          <w:sz w:val="24"/>
          <w:szCs w:val="24"/>
        </w:rPr>
        <w:t xml:space="preserve"> the </w:t>
      </w:r>
      <w:r w:rsidR="00280A94">
        <w:rPr>
          <w:rFonts w:ascii="Arial" w:eastAsia="Calibri" w:hAnsi="Arial" w:cs="Arial"/>
          <w:sz w:val="24"/>
          <w:szCs w:val="24"/>
        </w:rPr>
        <w:t>wider</w:t>
      </w:r>
      <w:r w:rsidR="007C564F">
        <w:rPr>
          <w:rFonts w:ascii="Arial" w:eastAsia="Calibri" w:hAnsi="Arial" w:cs="Arial"/>
          <w:sz w:val="24"/>
          <w:szCs w:val="24"/>
        </w:rPr>
        <w:t xml:space="preserve"> strategy.</w:t>
      </w:r>
    </w:p>
    <w:p w14:paraId="4BF5E61A" w14:textId="77777777" w:rsidR="007C564F" w:rsidRDefault="007C564F" w:rsidP="00C92ECE">
      <w:pPr>
        <w:pStyle w:val="ListParagraph"/>
        <w:rPr>
          <w:rFonts w:ascii="Arial" w:eastAsia="Calibri" w:hAnsi="Arial" w:cs="Arial"/>
          <w:sz w:val="24"/>
          <w:szCs w:val="24"/>
        </w:rPr>
      </w:pPr>
    </w:p>
    <w:p w14:paraId="6388236E" w14:textId="0D472F35" w:rsidR="002C4CC1" w:rsidRDefault="002C4CC1" w:rsidP="002C4CC1">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Many regions reported that they</w:t>
      </w:r>
      <w:r w:rsidR="00B15AF8">
        <w:rPr>
          <w:rFonts w:ascii="Arial" w:eastAsia="Calibri" w:hAnsi="Arial" w:cs="Arial"/>
          <w:sz w:val="24"/>
          <w:szCs w:val="24"/>
        </w:rPr>
        <w:t>’re</w:t>
      </w:r>
      <w:r w:rsidR="007F6A87">
        <w:rPr>
          <w:rFonts w:ascii="Arial" w:eastAsia="Calibri" w:hAnsi="Arial" w:cs="Arial"/>
          <w:sz w:val="24"/>
          <w:szCs w:val="24"/>
        </w:rPr>
        <w:t xml:space="preserve"> </w:t>
      </w:r>
      <w:r>
        <w:rPr>
          <w:rFonts w:ascii="Arial" w:eastAsia="Calibri" w:hAnsi="Arial" w:cs="Arial"/>
          <w:sz w:val="24"/>
          <w:szCs w:val="24"/>
        </w:rPr>
        <w:t>waiting</w:t>
      </w:r>
      <w:r w:rsidR="00B15AF8">
        <w:rPr>
          <w:rFonts w:ascii="Arial" w:eastAsia="Calibri" w:hAnsi="Arial" w:cs="Arial"/>
          <w:sz w:val="24"/>
          <w:szCs w:val="24"/>
        </w:rPr>
        <w:t xml:space="preserve"> for</w:t>
      </w:r>
      <w:r>
        <w:rPr>
          <w:rFonts w:ascii="Arial" w:eastAsia="Calibri" w:hAnsi="Arial" w:cs="Arial"/>
          <w:sz w:val="24"/>
          <w:szCs w:val="24"/>
        </w:rPr>
        <w:t xml:space="preserve"> the launch of the </w:t>
      </w:r>
      <w:r w:rsidRPr="008B2D85">
        <w:rPr>
          <w:rFonts w:ascii="Arial" w:eastAsia="Calibri" w:hAnsi="Arial" w:cs="Arial"/>
          <w:sz w:val="24"/>
          <w:szCs w:val="24"/>
        </w:rPr>
        <w:t xml:space="preserve">Social Care Wales </w:t>
      </w:r>
      <w:r w:rsidRPr="0020287D">
        <w:rPr>
          <w:rFonts w:ascii="Arial" w:eastAsia="Calibri" w:hAnsi="Arial" w:cs="Arial"/>
          <w:sz w:val="24"/>
          <w:szCs w:val="24"/>
        </w:rPr>
        <w:t>interactive e-learning training around anti racism</w:t>
      </w:r>
      <w:r w:rsidRPr="008B2D85">
        <w:rPr>
          <w:rFonts w:ascii="Arial" w:eastAsia="Calibri" w:hAnsi="Arial" w:cs="Arial"/>
          <w:sz w:val="24"/>
          <w:szCs w:val="24"/>
        </w:rPr>
        <w:t xml:space="preserve"> </w:t>
      </w:r>
      <w:r>
        <w:rPr>
          <w:rFonts w:ascii="Arial" w:eastAsia="Calibri" w:hAnsi="Arial" w:cs="Arial"/>
          <w:sz w:val="24"/>
          <w:szCs w:val="24"/>
        </w:rPr>
        <w:t xml:space="preserve">as a </w:t>
      </w:r>
      <w:r w:rsidRPr="008B2D85">
        <w:rPr>
          <w:rFonts w:ascii="Arial" w:eastAsia="Calibri" w:hAnsi="Arial" w:cs="Arial"/>
          <w:sz w:val="24"/>
          <w:szCs w:val="24"/>
        </w:rPr>
        <w:t xml:space="preserve">baseline learning </w:t>
      </w:r>
      <w:r>
        <w:rPr>
          <w:rFonts w:ascii="Arial" w:eastAsia="Calibri" w:hAnsi="Arial" w:cs="Arial"/>
          <w:sz w:val="24"/>
          <w:szCs w:val="24"/>
        </w:rPr>
        <w:t>resource</w:t>
      </w:r>
      <w:r w:rsidR="00280A94">
        <w:rPr>
          <w:rFonts w:ascii="Arial" w:eastAsia="Calibri" w:hAnsi="Arial" w:cs="Arial"/>
          <w:sz w:val="24"/>
          <w:szCs w:val="24"/>
        </w:rPr>
        <w:t>.</w:t>
      </w:r>
    </w:p>
    <w:tbl>
      <w:tblPr>
        <w:tblStyle w:val="TableGrid"/>
        <w:tblW w:w="0" w:type="auto"/>
        <w:jc w:val="center"/>
        <w:tblLook w:val="04A0" w:firstRow="1" w:lastRow="0" w:firstColumn="1" w:lastColumn="0" w:noHBand="0" w:noVBand="1"/>
      </w:tblPr>
      <w:tblGrid>
        <w:gridCol w:w="9016"/>
      </w:tblGrid>
      <w:tr w:rsidR="004671E0" w:rsidRPr="00D657E0" w14:paraId="647BC644" w14:textId="77777777" w:rsidTr="00507D5B">
        <w:trPr>
          <w:jc w:val="center"/>
        </w:trPr>
        <w:tc>
          <w:tcPr>
            <w:tcW w:w="9016" w:type="dxa"/>
          </w:tcPr>
          <w:p w14:paraId="06FE4A79" w14:textId="7B76F320" w:rsidR="004671E0" w:rsidRPr="00C92ECE" w:rsidRDefault="004671E0" w:rsidP="00C92ECE">
            <w:pPr>
              <w:rPr>
                <w:rFonts w:ascii="Arial" w:eastAsia="Calibri" w:hAnsi="Arial" w:cs="Arial"/>
                <w:sz w:val="24"/>
                <w:szCs w:val="24"/>
              </w:rPr>
            </w:pPr>
            <w:r w:rsidRPr="00B05523">
              <w:rPr>
                <w:rFonts w:ascii="Arial" w:eastAsia="Calibri" w:hAnsi="Arial" w:cs="Arial"/>
                <w:bCs/>
                <w:sz w:val="24"/>
                <w:szCs w:val="24"/>
              </w:rPr>
              <w:lastRenderedPageBreak/>
              <w:t xml:space="preserve">This work is ongoing in the authority with some training </w:t>
            </w:r>
            <w:r w:rsidR="00B15AF8">
              <w:rPr>
                <w:rFonts w:ascii="Arial" w:eastAsia="Calibri" w:hAnsi="Arial" w:cs="Arial"/>
                <w:bCs/>
                <w:sz w:val="24"/>
                <w:szCs w:val="24"/>
              </w:rPr>
              <w:t>already taken place</w:t>
            </w:r>
            <w:r w:rsidRPr="00B05523">
              <w:rPr>
                <w:rFonts w:ascii="Arial" w:eastAsia="Calibri" w:hAnsi="Arial" w:cs="Arial"/>
                <w:bCs/>
                <w:sz w:val="24"/>
                <w:szCs w:val="24"/>
              </w:rPr>
              <w:t xml:space="preserve"> and we have training in place for the coming year on unconscious bias and </w:t>
            </w:r>
            <w:r w:rsidR="00D37322" w:rsidRPr="00B05523">
              <w:rPr>
                <w:rFonts w:ascii="Arial" w:eastAsia="Calibri" w:hAnsi="Arial" w:cs="Arial"/>
                <w:bCs/>
                <w:sz w:val="24"/>
                <w:szCs w:val="24"/>
              </w:rPr>
              <w:t>anti</w:t>
            </w:r>
            <w:r w:rsidR="00D37322">
              <w:rPr>
                <w:rFonts w:ascii="Arial" w:eastAsia="Calibri" w:hAnsi="Arial" w:cs="Arial"/>
                <w:bCs/>
                <w:sz w:val="24"/>
                <w:szCs w:val="24"/>
              </w:rPr>
              <w:t>-</w:t>
            </w:r>
            <w:r w:rsidR="00D37322" w:rsidRPr="00B05523">
              <w:rPr>
                <w:rFonts w:ascii="Arial" w:eastAsia="Calibri" w:hAnsi="Arial" w:cs="Arial"/>
                <w:bCs/>
                <w:sz w:val="24"/>
                <w:szCs w:val="24"/>
              </w:rPr>
              <w:t>racism</w:t>
            </w:r>
            <w:r w:rsidRPr="00B05523">
              <w:rPr>
                <w:rFonts w:ascii="Arial" w:eastAsia="Calibri" w:hAnsi="Arial" w:cs="Arial"/>
                <w:bCs/>
                <w:sz w:val="24"/>
                <w:szCs w:val="24"/>
              </w:rPr>
              <w:t xml:space="preserve"> in social care.</w:t>
            </w:r>
            <w:r w:rsidR="000F041E">
              <w:rPr>
                <w:rFonts w:ascii="Arial" w:eastAsia="Calibri" w:hAnsi="Arial" w:cs="Arial"/>
                <w:bCs/>
                <w:sz w:val="24"/>
                <w:szCs w:val="24"/>
              </w:rPr>
              <w:t xml:space="preserve"> For now,</w:t>
            </w:r>
            <w:r w:rsidRPr="00B05523">
              <w:rPr>
                <w:rFonts w:ascii="Arial" w:eastAsia="Calibri" w:hAnsi="Arial" w:cs="Arial"/>
                <w:bCs/>
                <w:sz w:val="24"/>
                <w:szCs w:val="24"/>
              </w:rPr>
              <w:t xml:space="preserve"> suitable online resources have been offered as we wait</w:t>
            </w:r>
            <w:r w:rsidR="000F041E">
              <w:rPr>
                <w:rFonts w:ascii="Arial" w:eastAsia="Calibri" w:hAnsi="Arial" w:cs="Arial"/>
                <w:bCs/>
                <w:sz w:val="24"/>
                <w:szCs w:val="24"/>
              </w:rPr>
              <w:t xml:space="preserve"> for</w:t>
            </w:r>
            <w:r w:rsidRPr="00B05523">
              <w:rPr>
                <w:rFonts w:ascii="Arial" w:eastAsia="Calibri" w:hAnsi="Arial" w:cs="Arial"/>
                <w:bCs/>
                <w:sz w:val="24"/>
                <w:szCs w:val="24"/>
              </w:rPr>
              <w:t xml:space="preserve"> the S</w:t>
            </w:r>
            <w:r w:rsidR="000F041E">
              <w:rPr>
                <w:rFonts w:ascii="Arial" w:eastAsia="Calibri" w:hAnsi="Arial" w:cs="Arial"/>
                <w:bCs/>
                <w:sz w:val="24"/>
                <w:szCs w:val="24"/>
              </w:rPr>
              <w:t xml:space="preserve">ocial </w:t>
            </w:r>
            <w:r w:rsidRPr="00B05523">
              <w:rPr>
                <w:rFonts w:ascii="Arial" w:eastAsia="Calibri" w:hAnsi="Arial" w:cs="Arial"/>
                <w:bCs/>
                <w:sz w:val="24"/>
                <w:szCs w:val="24"/>
              </w:rPr>
              <w:t>C</w:t>
            </w:r>
            <w:r w:rsidR="000F041E">
              <w:rPr>
                <w:rFonts w:ascii="Arial" w:eastAsia="Calibri" w:hAnsi="Arial" w:cs="Arial"/>
                <w:bCs/>
                <w:sz w:val="24"/>
                <w:szCs w:val="24"/>
              </w:rPr>
              <w:t xml:space="preserve">are </w:t>
            </w:r>
            <w:r w:rsidRPr="00B05523">
              <w:rPr>
                <w:rFonts w:ascii="Arial" w:eastAsia="Calibri" w:hAnsi="Arial" w:cs="Arial"/>
                <w:bCs/>
                <w:sz w:val="24"/>
                <w:szCs w:val="24"/>
              </w:rPr>
              <w:t>W</w:t>
            </w:r>
            <w:r w:rsidR="000F041E">
              <w:rPr>
                <w:rFonts w:ascii="Arial" w:eastAsia="Calibri" w:hAnsi="Arial" w:cs="Arial"/>
                <w:bCs/>
                <w:sz w:val="24"/>
                <w:szCs w:val="24"/>
              </w:rPr>
              <w:t>ales</w:t>
            </w:r>
            <w:r w:rsidRPr="00B05523">
              <w:rPr>
                <w:rFonts w:ascii="Arial" w:eastAsia="Calibri" w:hAnsi="Arial" w:cs="Arial"/>
                <w:bCs/>
                <w:sz w:val="24"/>
                <w:szCs w:val="24"/>
              </w:rPr>
              <w:t xml:space="preserve"> e-learning package.  (Gwynedd – </w:t>
            </w:r>
            <w:r w:rsidR="000F041E">
              <w:rPr>
                <w:rFonts w:ascii="Arial" w:eastAsia="Calibri" w:hAnsi="Arial" w:cs="Arial"/>
                <w:bCs/>
                <w:sz w:val="24"/>
                <w:szCs w:val="24"/>
              </w:rPr>
              <w:t>n</w:t>
            </w:r>
            <w:r w:rsidRPr="00B05523">
              <w:rPr>
                <w:rFonts w:ascii="Arial" w:eastAsia="Calibri" w:hAnsi="Arial" w:cs="Arial"/>
                <w:bCs/>
                <w:sz w:val="24"/>
                <w:szCs w:val="24"/>
              </w:rPr>
              <w:t xml:space="preserve">orth Wales </w:t>
            </w:r>
            <w:r w:rsidR="000F041E">
              <w:rPr>
                <w:rFonts w:ascii="Arial" w:eastAsia="Calibri" w:hAnsi="Arial" w:cs="Arial"/>
                <w:bCs/>
                <w:sz w:val="24"/>
                <w:szCs w:val="24"/>
              </w:rPr>
              <w:t>r</w:t>
            </w:r>
            <w:r w:rsidRPr="00B05523">
              <w:rPr>
                <w:rFonts w:ascii="Arial" w:eastAsia="Calibri" w:hAnsi="Arial" w:cs="Arial"/>
                <w:bCs/>
                <w:sz w:val="24"/>
                <w:szCs w:val="24"/>
              </w:rPr>
              <w:t>egion)</w:t>
            </w:r>
          </w:p>
        </w:tc>
      </w:tr>
    </w:tbl>
    <w:p w14:paraId="7F8B2023" w14:textId="77777777" w:rsidR="002C4CC1" w:rsidRDefault="002C4CC1" w:rsidP="00C92ECE">
      <w:pPr>
        <w:pStyle w:val="ListParagraph"/>
        <w:rPr>
          <w:rFonts w:ascii="Arial" w:eastAsia="Calibri" w:hAnsi="Arial" w:cs="Arial"/>
          <w:sz w:val="24"/>
          <w:szCs w:val="24"/>
        </w:rPr>
      </w:pPr>
    </w:p>
    <w:p w14:paraId="60571619" w14:textId="69D8A71D" w:rsidR="00E41348" w:rsidRPr="00C92ECE" w:rsidRDefault="00142016" w:rsidP="00F34814">
      <w:pPr>
        <w:numPr>
          <w:ilvl w:val="0"/>
          <w:numId w:val="6"/>
        </w:numPr>
        <w:spacing w:after="0" w:line="276" w:lineRule="auto"/>
        <w:ind w:left="567" w:hanging="425"/>
        <w:contextualSpacing/>
        <w:rPr>
          <w:rFonts w:ascii="Arial" w:eastAsia="Calibri" w:hAnsi="Arial" w:cs="Arial"/>
          <w:sz w:val="24"/>
          <w:szCs w:val="24"/>
        </w:rPr>
      </w:pPr>
      <w:r>
        <w:rPr>
          <w:rFonts w:ascii="Arial" w:eastAsia="Calibri" w:hAnsi="Arial" w:cs="Arial"/>
          <w:sz w:val="24"/>
          <w:szCs w:val="24"/>
        </w:rPr>
        <w:t xml:space="preserve">Learning and development </w:t>
      </w:r>
      <w:r w:rsidR="00F34814" w:rsidRPr="00AF6A28">
        <w:rPr>
          <w:rFonts w:ascii="Arial" w:eastAsia="Calibri" w:hAnsi="Arial" w:cs="Arial"/>
          <w:sz w:val="24"/>
          <w:szCs w:val="24"/>
        </w:rPr>
        <w:t xml:space="preserve">aligned with the </w:t>
      </w:r>
      <w:r w:rsidR="003B1382">
        <w:rPr>
          <w:rFonts w:ascii="Arial" w:eastAsia="Calibri" w:hAnsi="Arial" w:cs="Arial"/>
          <w:sz w:val="24"/>
          <w:szCs w:val="24"/>
        </w:rPr>
        <w:t xml:space="preserve">Welsh Government </w:t>
      </w:r>
      <w:r w:rsidR="00F34814" w:rsidRPr="005F0496">
        <w:rPr>
          <w:rFonts w:ascii="Arial" w:eastAsia="Calibri" w:hAnsi="Arial" w:cs="Arial"/>
          <w:sz w:val="24"/>
          <w:szCs w:val="24"/>
        </w:rPr>
        <w:t>LGBTQ+ Action Plan</w:t>
      </w:r>
      <w:r>
        <w:rPr>
          <w:rFonts w:ascii="Arial" w:eastAsia="Calibri" w:hAnsi="Arial" w:cs="Arial"/>
          <w:sz w:val="24"/>
          <w:szCs w:val="24"/>
        </w:rPr>
        <w:t xml:space="preserve"> </w:t>
      </w:r>
      <w:r w:rsidR="00A05A25">
        <w:rPr>
          <w:rFonts w:ascii="Arial" w:eastAsia="Calibri" w:hAnsi="Arial" w:cs="Arial"/>
          <w:sz w:val="24"/>
          <w:szCs w:val="24"/>
        </w:rPr>
        <w:t>included</w:t>
      </w:r>
      <w:r w:rsidR="00621D79">
        <w:rPr>
          <w:rFonts w:ascii="Arial" w:eastAsia="Calibri" w:hAnsi="Arial" w:cs="Arial"/>
          <w:sz w:val="24"/>
          <w:szCs w:val="24"/>
        </w:rPr>
        <w:t>:</w:t>
      </w:r>
      <w:r w:rsidR="00A05A25" w:rsidRPr="005F0496">
        <w:rPr>
          <w:rFonts w:ascii="Arial" w:eastAsia="Calibri" w:hAnsi="Arial" w:cs="Arial"/>
          <w:bCs/>
          <w:sz w:val="24"/>
          <w:szCs w:val="24"/>
        </w:rPr>
        <w:t xml:space="preserve"> </w:t>
      </w:r>
    </w:p>
    <w:p w14:paraId="5171004A" w14:textId="1D5A0365" w:rsidR="00E41348" w:rsidRDefault="00A05A25" w:rsidP="007869FF">
      <w:pPr>
        <w:numPr>
          <w:ilvl w:val="1"/>
          <w:numId w:val="6"/>
        </w:numPr>
        <w:spacing w:after="200" w:line="276" w:lineRule="auto"/>
        <w:ind w:left="1418" w:hanging="567"/>
        <w:contextualSpacing/>
        <w:rPr>
          <w:rFonts w:ascii="Arial" w:eastAsia="Calibri" w:hAnsi="Arial" w:cs="Arial"/>
          <w:sz w:val="24"/>
          <w:szCs w:val="24"/>
        </w:rPr>
      </w:pPr>
      <w:r w:rsidRPr="00C92ECE">
        <w:rPr>
          <w:rFonts w:ascii="Arial" w:eastAsia="Calibri" w:hAnsi="Arial" w:cs="Arial"/>
          <w:sz w:val="24"/>
          <w:szCs w:val="24"/>
        </w:rPr>
        <w:t>LGBTQ+ sessions</w:t>
      </w:r>
    </w:p>
    <w:p w14:paraId="1B3A13F1" w14:textId="2140FB68" w:rsidR="00637698" w:rsidRPr="00C92ECE" w:rsidRDefault="000F041E" w:rsidP="00C92ECE">
      <w:pPr>
        <w:numPr>
          <w:ilvl w:val="1"/>
          <w:numId w:val="6"/>
        </w:numPr>
        <w:spacing w:after="200" w:line="276" w:lineRule="auto"/>
        <w:ind w:left="1418" w:hanging="567"/>
        <w:contextualSpacing/>
        <w:rPr>
          <w:rFonts w:ascii="Arial" w:eastAsia="Calibri" w:hAnsi="Arial" w:cs="Arial"/>
          <w:sz w:val="24"/>
          <w:szCs w:val="24"/>
        </w:rPr>
      </w:pPr>
      <w:r>
        <w:rPr>
          <w:rFonts w:ascii="Arial" w:eastAsia="Calibri" w:hAnsi="Arial" w:cs="Arial"/>
          <w:sz w:val="24"/>
          <w:szCs w:val="24"/>
        </w:rPr>
        <w:t>t</w:t>
      </w:r>
      <w:r w:rsidR="00637698">
        <w:rPr>
          <w:rFonts w:ascii="Arial" w:eastAsia="Calibri" w:hAnsi="Arial" w:cs="Arial"/>
          <w:sz w:val="24"/>
          <w:szCs w:val="24"/>
        </w:rPr>
        <w:t>rans awareness sessions</w:t>
      </w:r>
    </w:p>
    <w:p w14:paraId="2FB0DB78" w14:textId="54F983B8" w:rsidR="00E41348" w:rsidRPr="00C92ECE" w:rsidRDefault="00A05A25" w:rsidP="00C92ECE">
      <w:pPr>
        <w:numPr>
          <w:ilvl w:val="1"/>
          <w:numId w:val="6"/>
        </w:numPr>
        <w:spacing w:after="200" w:line="276" w:lineRule="auto"/>
        <w:ind w:left="1418" w:hanging="567"/>
        <w:contextualSpacing/>
        <w:rPr>
          <w:rFonts w:ascii="Arial" w:eastAsia="Calibri" w:hAnsi="Arial" w:cs="Arial"/>
          <w:sz w:val="24"/>
          <w:szCs w:val="24"/>
        </w:rPr>
      </w:pPr>
      <w:r w:rsidRPr="00C92ECE">
        <w:rPr>
          <w:rFonts w:ascii="Arial" w:eastAsia="Calibri" w:hAnsi="Arial" w:cs="Arial"/>
          <w:sz w:val="24"/>
          <w:szCs w:val="24"/>
        </w:rPr>
        <w:t>e-learning</w:t>
      </w:r>
      <w:r w:rsidR="00621D79" w:rsidRPr="00C92ECE">
        <w:rPr>
          <w:rFonts w:ascii="Arial" w:eastAsia="Calibri" w:hAnsi="Arial" w:cs="Arial"/>
          <w:sz w:val="24"/>
          <w:szCs w:val="24"/>
        </w:rPr>
        <w:t xml:space="preserve"> </w:t>
      </w:r>
    </w:p>
    <w:p w14:paraId="3CEE7978" w14:textId="033F19DE" w:rsidR="007869FF" w:rsidRPr="00C92ECE" w:rsidRDefault="000F041E" w:rsidP="00C92ECE">
      <w:pPr>
        <w:numPr>
          <w:ilvl w:val="1"/>
          <w:numId w:val="6"/>
        </w:numPr>
        <w:spacing w:after="200" w:line="276" w:lineRule="auto"/>
        <w:ind w:left="1418" w:hanging="567"/>
        <w:contextualSpacing/>
        <w:rPr>
          <w:rFonts w:ascii="Arial" w:eastAsia="Calibri" w:hAnsi="Arial" w:cs="Arial"/>
          <w:sz w:val="24"/>
          <w:szCs w:val="24"/>
        </w:rPr>
      </w:pPr>
      <w:r>
        <w:rPr>
          <w:rFonts w:ascii="Arial" w:eastAsia="Calibri" w:hAnsi="Arial" w:cs="Arial"/>
          <w:sz w:val="24"/>
          <w:szCs w:val="24"/>
        </w:rPr>
        <w:t>S</w:t>
      </w:r>
      <w:r w:rsidR="00E41348" w:rsidRPr="00C92ECE">
        <w:rPr>
          <w:rFonts w:ascii="Arial" w:eastAsia="Calibri" w:hAnsi="Arial" w:cs="Arial"/>
          <w:sz w:val="24"/>
          <w:szCs w:val="24"/>
        </w:rPr>
        <w:t>tonewall works</w:t>
      </w:r>
      <w:r w:rsidR="007869FF" w:rsidRPr="00C92ECE">
        <w:rPr>
          <w:rFonts w:ascii="Arial" w:eastAsia="Calibri" w:hAnsi="Arial" w:cs="Arial"/>
          <w:sz w:val="24"/>
          <w:szCs w:val="24"/>
        </w:rPr>
        <w:t>hops</w:t>
      </w:r>
    </w:p>
    <w:p w14:paraId="166B9C62" w14:textId="3E93342F" w:rsidR="00F34814" w:rsidRPr="007869FF" w:rsidRDefault="00A05A25" w:rsidP="00C92ECE">
      <w:pPr>
        <w:numPr>
          <w:ilvl w:val="1"/>
          <w:numId w:val="6"/>
        </w:numPr>
        <w:spacing w:after="200" w:line="276" w:lineRule="auto"/>
        <w:ind w:left="1418" w:hanging="567"/>
        <w:contextualSpacing/>
        <w:rPr>
          <w:rFonts w:ascii="Arial" w:eastAsia="Calibri" w:hAnsi="Arial" w:cs="Arial"/>
          <w:sz w:val="24"/>
          <w:szCs w:val="24"/>
        </w:rPr>
      </w:pPr>
      <w:r w:rsidRPr="00C92ECE">
        <w:rPr>
          <w:rFonts w:ascii="Arial" w:eastAsia="Calibri" w:hAnsi="Arial" w:cs="Arial"/>
          <w:sz w:val="24"/>
          <w:szCs w:val="24"/>
        </w:rPr>
        <w:t>support groups</w:t>
      </w:r>
      <w:r w:rsidR="000F041E">
        <w:rPr>
          <w:rFonts w:ascii="Arial" w:eastAsia="Calibri" w:hAnsi="Arial" w:cs="Arial"/>
          <w:sz w:val="24"/>
          <w:szCs w:val="24"/>
        </w:rPr>
        <w:t>.</w:t>
      </w:r>
    </w:p>
    <w:p w14:paraId="395B1C31" w14:textId="77777777" w:rsidR="00F34814" w:rsidRDefault="00F34814" w:rsidP="00F34814">
      <w:pPr>
        <w:spacing w:after="0" w:line="276"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F34814" w:rsidRPr="002A3BB3" w14:paraId="273B5726" w14:textId="77777777" w:rsidTr="00507D5B">
        <w:tc>
          <w:tcPr>
            <w:tcW w:w="9016" w:type="dxa"/>
          </w:tcPr>
          <w:p w14:paraId="6B2FE399" w14:textId="4A5E8097" w:rsidR="00F34814" w:rsidRPr="002A3BB3" w:rsidRDefault="00F34814" w:rsidP="00B05523">
            <w:pPr>
              <w:spacing w:line="276" w:lineRule="auto"/>
              <w:rPr>
                <w:rFonts w:ascii="Arial" w:eastAsia="Calibri" w:hAnsi="Arial" w:cs="Arial"/>
                <w:sz w:val="24"/>
                <w:szCs w:val="24"/>
              </w:rPr>
            </w:pPr>
            <w:r w:rsidRPr="00C92ECE">
              <w:rPr>
                <w:rFonts w:ascii="Arial" w:eastAsia="Calibri" w:hAnsi="Arial" w:cs="Arial"/>
                <w:bCs/>
                <w:sz w:val="24"/>
                <w:szCs w:val="24"/>
              </w:rPr>
              <w:t xml:space="preserve">A rolling programme of LGBTQ+ sessions have been delivered covering specific content for </w:t>
            </w:r>
            <w:r w:rsidR="001C1B67">
              <w:rPr>
                <w:rFonts w:ascii="Arial" w:eastAsia="Calibri" w:hAnsi="Arial" w:cs="Arial"/>
                <w:bCs/>
                <w:sz w:val="24"/>
                <w:szCs w:val="24"/>
              </w:rPr>
              <w:t>a</w:t>
            </w:r>
            <w:r w:rsidRPr="00C92ECE">
              <w:rPr>
                <w:rFonts w:ascii="Arial" w:eastAsia="Calibri" w:hAnsi="Arial" w:cs="Arial"/>
                <w:bCs/>
                <w:sz w:val="24"/>
                <w:szCs w:val="24"/>
              </w:rPr>
              <w:t xml:space="preserve">dults </w:t>
            </w:r>
            <w:r w:rsidR="001C1B67">
              <w:rPr>
                <w:rFonts w:ascii="Arial" w:eastAsia="Calibri" w:hAnsi="Arial" w:cs="Arial"/>
                <w:bCs/>
                <w:sz w:val="24"/>
                <w:szCs w:val="24"/>
              </w:rPr>
              <w:t>and</w:t>
            </w:r>
            <w:r w:rsidRPr="00C92ECE">
              <w:rPr>
                <w:rFonts w:ascii="Arial" w:eastAsia="Calibri" w:hAnsi="Arial" w:cs="Arial"/>
                <w:bCs/>
                <w:sz w:val="24"/>
                <w:szCs w:val="24"/>
              </w:rPr>
              <w:t xml:space="preserve"> young people.</w:t>
            </w:r>
            <w:r w:rsidR="002A3BB3">
              <w:rPr>
                <w:rFonts w:ascii="Arial" w:eastAsia="Calibri" w:hAnsi="Arial" w:cs="Arial"/>
                <w:bCs/>
                <w:sz w:val="24"/>
                <w:szCs w:val="24"/>
              </w:rPr>
              <w:t xml:space="preserve"> </w:t>
            </w:r>
            <w:r w:rsidRPr="00C92ECE">
              <w:rPr>
                <w:rFonts w:ascii="Arial" w:eastAsia="Calibri" w:hAnsi="Arial" w:cs="Arial"/>
                <w:bCs/>
                <w:sz w:val="24"/>
                <w:szCs w:val="24"/>
              </w:rPr>
              <w:t xml:space="preserve">Training on </w:t>
            </w:r>
            <w:r w:rsidR="001C1B67">
              <w:rPr>
                <w:rFonts w:ascii="Arial" w:eastAsia="Calibri" w:hAnsi="Arial" w:cs="Arial"/>
                <w:bCs/>
                <w:sz w:val="24"/>
                <w:szCs w:val="24"/>
              </w:rPr>
              <w:t>r</w:t>
            </w:r>
            <w:r w:rsidRPr="00C92ECE">
              <w:rPr>
                <w:rFonts w:ascii="Arial" w:eastAsia="Calibri" w:hAnsi="Arial" w:cs="Arial"/>
                <w:bCs/>
                <w:sz w:val="24"/>
                <w:szCs w:val="24"/>
              </w:rPr>
              <w:t xml:space="preserve">ace </w:t>
            </w:r>
            <w:r w:rsidR="001C1B67">
              <w:rPr>
                <w:rFonts w:ascii="Arial" w:eastAsia="Calibri" w:hAnsi="Arial" w:cs="Arial"/>
                <w:bCs/>
                <w:sz w:val="24"/>
                <w:szCs w:val="24"/>
              </w:rPr>
              <w:t>a</w:t>
            </w:r>
            <w:r w:rsidRPr="00C92ECE">
              <w:rPr>
                <w:rFonts w:ascii="Arial" w:eastAsia="Calibri" w:hAnsi="Arial" w:cs="Arial"/>
                <w:bCs/>
                <w:sz w:val="24"/>
                <w:szCs w:val="24"/>
              </w:rPr>
              <w:t>wareness for managers has been provided; further sessions and content is awaiting senior management approval.</w:t>
            </w:r>
            <w:r w:rsidR="002A3BB3">
              <w:rPr>
                <w:rFonts w:ascii="Arial" w:eastAsia="Calibri" w:hAnsi="Arial" w:cs="Arial"/>
                <w:bCs/>
                <w:sz w:val="24"/>
                <w:szCs w:val="24"/>
              </w:rPr>
              <w:t xml:space="preserve"> </w:t>
            </w:r>
            <w:r w:rsidRPr="00C92ECE">
              <w:rPr>
                <w:rFonts w:ascii="Arial" w:eastAsia="Calibri" w:hAnsi="Arial" w:cs="Arial"/>
                <w:bCs/>
                <w:sz w:val="24"/>
                <w:szCs w:val="24"/>
              </w:rPr>
              <w:t xml:space="preserve">Diversity and </w:t>
            </w:r>
            <w:r w:rsidR="00800F49">
              <w:rPr>
                <w:rFonts w:ascii="Arial" w:eastAsia="Calibri" w:hAnsi="Arial" w:cs="Arial"/>
                <w:bCs/>
                <w:sz w:val="24"/>
                <w:szCs w:val="24"/>
              </w:rPr>
              <w:t>c</w:t>
            </w:r>
            <w:r w:rsidRPr="00C92ECE">
              <w:rPr>
                <w:rFonts w:ascii="Arial" w:eastAsia="Calibri" w:hAnsi="Arial" w:cs="Arial"/>
                <w:bCs/>
                <w:sz w:val="24"/>
                <w:szCs w:val="24"/>
              </w:rPr>
              <w:t xml:space="preserve">ultural awareness online sessions are being delivered to social work students and </w:t>
            </w:r>
            <w:r w:rsidR="004110D8">
              <w:rPr>
                <w:rFonts w:ascii="Arial" w:eastAsia="Calibri" w:hAnsi="Arial" w:cs="Arial"/>
                <w:bCs/>
                <w:sz w:val="24"/>
                <w:szCs w:val="24"/>
              </w:rPr>
              <w:t xml:space="preserve">newly </w:t>
            </w:r>
            <w:r w:rsidR="00785062">
              <w:rPr>
                <w:rFonts w:ascii="Arial" w:eastAsia="Calibri" w:hAnsi="Arial" w:cs="Arial"/>
                <w:bCs/>
                <w:sz w:val="24"/>
                <w:szCs w:val="24"/>
              </w:rPr>
              <w:t>qualified</w:t>
            </w:r>
            <w:r w:rsidR="004110D8">
              <w:rPr>
                <w:rFonts w:ascii="Arial" w:eastAsia="Calibri" w:hAnsi="Arial" w:cs="Arial"/>
                <w:bCs/>
                <w:sz w:val="24"/>
                <w:szCs w:val="24"/>
              </w:rPr>
              <w:t xml:space="preserve"> social workers</w:t>
            </w:r>
            <w:r w:rsidRPr="00C92ECE">
              <w:rPr>
                <w:rFonts w:ascii="Arial" w:eastAsia="Calibri" w:hAnsi="Arial" w:cs="Arial"/>
                <w:bCs/>
                <w:sz w:val="24"/>
                <w:szCs w:val="24"/>
              </w:rPr>
              <w:t>. (</w:t>
            </w:r>
            <w:r w:rsidR="004110D8">
              <w:rPr>
                <w:rFonts w:ascii="Arial" w:eastAsia="Calibri" w:hAnsi="Arial" w:cs="Arial"/>
                <w:bCs/>
                <w:sz w:val="24"/>
                <w:szCs w:val="24"/>
              </w:rPr>
              <w:t>w</w:t>
            </w:r>
            <w:r w:rsidRPr="00C92ECE">
              <w:rPr>
                <w:rFonts w:ascii="Arial" w:eastAsia="Calibri" w:hAnsi="Arial" w:cs="Arial"/>
                <w:bCs/>
                <w:sz w:val="24"/>
                <w:szCs w:val="24"/>
              </w:rPr>
              <w:t>est Wales region)</w:t>
            </w:r>
          </w:p>
        </w:tc>
      </w:tr>
    </w:tbl>
    <w:p w14:paraId="35C9AB76" w14:textId="77777777" w:rsidR="00F34814" w:rsidRDefault="00F34814" w:rsidP="00F34814">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F34814" w:rsidRPr="002A3BB3" w14:paraId="64E7257B" w14:textId="77777777" w:rsidTr="00C92ECE">
        <w:trPr>
          <w:jc w:val="center"/>
        </w:trPr>
        <w:tc>
          <w:tcPr>
            <w:tcW w:w="9016" w:type="dxa"/>
          </w:tcPr>
          <w:p w14:paraId="2FF1A8D8" w14:textId="5A575145" w:rsidR="00F34814" w:rsidRPr="002A3BB3" w:rsidRDefault="00F34814" w:rsidP="00B05523">
            <w:pPr>
              <w:spacing w:line="276" w:lineRule="auto"/>
              <w:rPr>
                <w:rFonts w:ascii="Arial" w:eastAsia="Calibri" w:hAnsi="Arial" w:cs="Arial"/>
                <w:sz w:val="24"/>
                <w:szCs w:val="24"/>
              </w:rPr>
            </w:pPr>
            <w:r w:rsidRPr="00C92ECE">
              <w:rPr>
                <w:rFonts w:ascii="Arial" w:eastAsia="Calibri" w:hAnsi="Arial" w:cs="Arial"/>
                <w:sz w:val="24"/>
                <w:szCs w:val="24"/>
              </w:rPr>
              <w:t>Swansea has developed an LGBTQ+ support group which is a group of staff and people who use the services to support anyone who lives, visits, or works in services</w:t>
            </w:r>
            <w:proofErr w:type="gramStart"/>
            <w:r w:rsidR="00326CBB">
              <w:rPr>
                <w:rFonts w:ascii="Arial" w:eastAsia="Calibri" w:hAnsi="Arial" w:cs="Arial"/>
                <w:sz w:val="24"/>
                <w:szCs w:val="24"/>
              </w:rPr>
              <w:t xml:space="preserve">. </w:t>
            </w:r>
            <w:r w:rsidRPr="00C92ECE">
              <w:rPr>
                <w:rFonts w:ascii="Arial" w:eastAsia="Calibri" w:hAnsi="Arial" w:cs="Arial"/>
                <w:sz w:val="24"/>
                <w:szCs w:val="24"/>
              </w:rPr>
              <w:t>.</w:t>
            </w:r>
            <w:proofErr w:type="gramEnd"/>
            <w:r w:rsidRPr="00C92ECE">
              <w:rPr>
                <w:rFonts w:ascii="Arial" w:eastAsia="Calibri" w:hAnsi="Arial" w:cs="Arial"/>
                <w:sz w:val="24"/>
                <w:szCs w:val="24"/>
              </w:rPr>
              <w:t xml:space="preserve"> We have peer mentors from Sadie’s Butterflies who are there to support anyone who is struggling with transition. This group is working hard to remove some of the barriers and fears that people may have about using services, it also increases staff knowledge on the correct terminology to embrace the needs of people from the LGBTQ+ community. The </w:t>
            </w:r>
            <w:r w:rsidR="008559BD">
              <w:rPr>
                <w:rFonts w:ascii="Arial" w:eastAsia="Calibri" w:hAnsi="Arial" w:cs="Arial"/>
                <w:sz w:val="24"/>
                <w:szCs w:val="24"/>
              </w:rPr>
              <w:t>g</w:t>
            </w:r>
            <w:r w:rsidRPr="00C92ECE">
              <w:rPr>
                <w:rFonts w:ascii="Arial" w:eastAsia="Calibri" w:hAnsi="Arial" w:cs="Arial"/>
                <w:sz w:val="24"/>
                <w:szCs w:val="24"/>
              </w:rPr>
              <w:t xml:space="preserve">roup has held a mini pride event and a </w:t>
            </w:r>
            <w:r w:rsidR="002701BB">
              <w:rPr>
                <w:rFonts w:ascii="Arial" w:eastAsia="Calibri" w:hAnsi="Arial" w:cs="Arial"/>
                <w:sz w:val="24"/>
                <w:szCs w:val="24"/>
              </w:rPr>
              <w:t>t</w:t>
            </w:r>
            <w:r w:rsidRPr="00C92ECE">
              <w:rPr>
                <w:rFonts w:ascii="Arial" w:eastAsia="Calibri" w:hAnsi="Arial" w:cs="Arial"/>
                <w:sz w:val="24"/>
                <w:szCs w:val="24"/>
              </w:rPr>
              <w:t>ransform hair, beauty, and fashion event to help people in transition to learn how to apply makeup and enjoy fashion. These events have had such a positive impact bringing people from different services together to celebrate. (</w:t>
            </w:r>
            <w:r w:rsidR="002A3BB3" w:rsidRPr="002A3BB3">
              <w:rPr>
                <w:rFonts w:ascii="Arial" w:eastAsia="Calibri" w:hAnsi="Arial" w:cs="Arial"/>
                <w:sz w:val="24"/>
                <w:szCs w:val="24"/>
              </w:rPr>
              <w:t>Swansea</w:t>
            </w:r>
            <w:r w:rsidRPr="00C92ECE">
              <w:rPr>
                <w:rFonts w:ascii="Arial" w:eastAsia="Calibri" w:hAnsi="Arial" w:cs="Arial"/>
                <w:sz w:val="24"/>
                <w:szCs w:val="24"/>
              </w:rPr>
              <w:t xml:space="preserve"> – </w:t>
            </w:r>
            <w:r w:rsidR="002701BB">
              <w:rPr>
                <w:rFonts w:ascii="Arial" w:eastAsia="Calibri" w:hAnsi="Arial" w:cs="Arial"/>
                <w:sz w:val="24"/>
                <w:szCs w:val="24"/>
              </w:rPr>
              <w:t>w</w:t>
            </w:r>
            <w:r w:rsidRPr="00C92ECE">
              <w:rPr>
                <w:rFonts w:ascii="Arial" w:eastAsia="Calibri" w:hAnsi="Arial" w:cs="Arial"/>
                <w:sz w:val="24"/>
                <w:szCs w:val="24"/>
              </w:rPr>
              <w:t xml:space="preserve">est Glamorgan </w:t>
            </w:r>
            <w:r w:rsidR="002701BB">
              <w:rPr>
                <w:rFonts w:ascii="Arial" w:eastAsia="Calibri" w:hAnsi="Arial" w:cs="Arial"/>
                <w:sz w:val="24"/>
                <w:szCs w:val="24"/>
              </w:rPr>
              <w:t>r</w:t>
            </w:r>
            <w:r w:rsidRPr="00C92ECE">
              <w:rPr>
                <w:rFonts w:ascii="Arial" w:eastAsia="Calibri" w:hAnsi="Arial" w:cs="Arial"/>
                <w:sz w:val="24"/>
                <w:szCs w:val="24"/>
              </w:rPr>
              <w:t>egion)</w:t>
            </w:r>
          </w:p>
        </w:tc>
      </w:tr>
    </w:tbl>
    <w:p w14:paraId="1295D6AC" w14:textId="77777777" w:rsidR="00F34814" w:rsidRDefault="00F34814" w:rsidP="00F34814">
      <w:pPr>
        <w:spacing w:after="0" w:line="276" w:lineRule="auto"/>
        <w:ind w:left="567"/>
        <w:contextualSpacing/>
        <w:rPr>
          <w:rFonts w:ascii="Arial" w:eastAsia="Calibri" w:hAnsi="Arial" w:cs="Arial"/>
          <w:sz w:val="24"/>
          <w:szCs w:val="24"/>
        </w:rPr>
      </w:pPr>
    </w:p>
    <w:tbl>
      <w:tblPr>
        <w:tblStyle w:val="TableGrid"/>
        <w:tblW w:w="0" w:type="auto"/>
        <w:jc w:val="center"/>
        <w:tblLook w:val="04A0" w:firstRow="1" w:lastRow="0" w:firstColumn="1" w:lastColumn="0" w:noHBand="0" w:noVBand="1"/>
      </w:tblPr>
      <w:tblGrid>
        <w:gridCol w:w="9016"/>
      </w:tblGrid>
      <w:tr w:rsidR="001767AB" w:rsidRPr="003F3F51" w14:paraId="642260FF" w14:textId="77777777" w:rsidTr="00C92ECE">
        <w:trPr>
          <w:jc w:val="center"/>
        </w:trPr>
        <w:tc>
          <w:tcPr>
            <w:tcW w:w="9016" w:type="dxa"/>
          </w:tcPr>
          <w:p w14:paraId="1FBF1C7B" w14:textId="6357F627" w:rsidR="003F3F51" w:rsidRPr="00C92ECE" w:rsidRDefault="003F3F51" w:rsidP="003F3F51">
            <w:pPr>
              <w:rPr>
                <w:rFonts w:ascii="Arial" w:hAnsi="Arial" w:cs="Arial"/>
                <w:sz w:val="24"/>
                <w:szCs w:val="24"/>
              </w:rPr>
            </w:pPr>
            <w:r w:rsidRPr="00C92ECE">
              <w:rPr>
                <w:rFonts w:ascii="Arial" w:hAnsi="Arial" w:cs="Arial"/>
                <w:sz w:val="24"/>
                <w:szCs w:val="24"/>
              </w:rPr>
              <w:t xml:space="preserve">The </w:t>
            </w:r>
            <w:r w:rsidR="002701BB">
              <w:rPr>
                <w:rFonts w:ascii="Arial" w:hAnsi="Arial" w:cs="Arial"/>
                <w:sz w:val="24"/>
                <w:szCs w:val="24"/>
              </w:rPr>
              <w:t>i</w:t>
            </w:r>
            <w:r w:rsidRPr="00C92ECE">
              <w:rPr>
                <w:rFonts w:ascii="Arial" w:hAnsi="Arial" w:cs="Arial"/>
                <w:sz w:val="24"/>
                <w:szCs w:val="24"/>
              </w:rPr>
              <w:t xml:space="preserve">ntroduction to </w:t>
            </w:r>
            <w:r w:rsidR="002701BB">
              <w:rPr>
                <w:rFonts w:ascii="Arial" w:hAnsi="Arial" w:cs="Arial"/>
                <w:sz w:val="24"/>
                <w:szCs w:val="24"/>
              </w:rPr>
              <w:t>t</w:t>
            </w:r>
            <w:r w:rsidRPr="00C92ECE">
              <w:rPr>
                <w:rFonts w:ascii="Arial" w:hAnsi="Arial" w:cs="Arial"/>
                <w:sz w:val="24"/>
                <w:szCs w:val="24"/>
              </w:rPr>
              <w:t xml:space="preserve">rans </w:t>
            </w:r>
            <w:r w:rsidR="002701BB">
              <w:rPr>
                <w:rFonts w:ascii="Arial" w:hAnsi="Arial" w:cs="Arial"/>
                <w:sz w:val="24"/>
                <w:szCs w:val="24"/>
              </w:rPr>
              <w:t>a</w:t>
            </w:r>
            <w:r w:rsidRPr="00C92ECE">
              <w:rPr>
                <w:rFonts w:ascii="Arial" w:hAnsi="Arial" w:cs="Arial"/>
                <w:sz w:val="24"/>
                <w:szCs w:val="24"/>
              </w:rPr>
              <w:t xml:space="preserve">wareness training was </w:t>
            </w:r>
            <w:r w:rsidR="00565DDB">
              <w:rPr>
                <w:rFonts w:ascii="Arial" w:hAnsi="Arial" w:cs="Arial"/>
                <w:sz w:val="24"/>
                <w:szCs w:val="24"/>
              </w:rPr>
              <w:t>very</w:t>
            </w:r>
            <w:r w:rsidR="00565DDB" w:rsidRPr="00C92ECE">
              <w:rPr>
                <w:rFonts w:ascii="Arial" w:hAnsi="Arial" w:cs="Arial"/>
                <w:sz w:val="24"/>
                <w:szCs w:val="24"/>
              </w:rPr>
              <w:t xml:space="preserve"> </w:t>
            </w:r>
            <w:r w:rsidRPr="00C92ECE">
              <w:rPr>
                <w:rFonts w:ascii="Arial" w:hAnsi="Arial" w:cs="Arial"/>
                <w:sz w:val="24"/>
                <w:szCs w:val="24"/>
              </w:rPr>
              <w:t>well received. Th</w:t>
            </w:r>
            <w:r w:rsidR="00565DDB">
              <w:rPr>
                <w:rFonts w:ascii="Arial" w:hAnsi="Arial" w:cs="Arial"/>
                <w:sz w:val="24"/>
                <w:szCs w:val="24"/>
              </w:rPr>
              <w:t>e</w:t>
            </w:r>
            <w:r w:rsidRPr="00C92ECE">
              <w:rPr>
                <w:rFonts w:ascii="Arial" w:hAnsi="Arial" w:cs="Arial"/>
                <w:sz w:val="24"/>
                <w:szCs w:val="24"/>
              </w:rPr>
              <w:t xml:space="preserve"> session </w:t>
            </w:r>
            <w:r w:rsidR="00FF5492">
              <w:rPr>
                <w:rFonts w:ascii="Arial" w:hAnsi="Arial" w:cs="Arial"/>
                <w:sz w:val="24"/>
                <w:szCs w:val="24"/>
              </w:rPr>
              <w:t>gave</w:t>
            </w:r>
            <w:r w:rsidRPr="00C92ECE">
              <w:rPr>
                <w:rFonts w:ascii="Arial" w:hAnsi="Arial" w:cs="Arial"/>
                <w:sz w:val="24"/>
                <w:szCs w:val="24"/>
              </w:rPr>
              <w:t xml:space="preserve"> staff and carers </w:t>
            </w:r>
            <w:r w:rsidR="00FF5492">
              <w:rPr>
                <w:rFonts w:ascii="Arial" w:hAnsi="Arial" w:cs="Arial"/>
                <w:sz w:val="24"/>
                <w:szCs w:val="24"/>
              </w:rPr>
              <w:t xml:space="preserve">a </w:t>
            </w:r>
            <w:r w:rsidR="00785062">
              <w:rPr>
                <w:rFonts w:ascii="Arial" w:hAnsi="Arial" w:cs="Arial"/>
                <w:sz w:val="24"/>
                <w:szCs w:val="24"/>
              </w:rPr>
              <w:t xml:space="preserve">basic </w:t>
            </w:r>
            <w:r w:rsidR="00785062" w:rsidRPr="00C92ECE">
              <w:rPr>
                <w:rFonts w:ascii="Arial" w:hAnsi="Arial" w:cs="Arial"/>
                <w:sz w:val="24"/>
                <w:szCs w:val="24"/>
              </w:rPr>
              <w:t>understanding</w:t>
            </w:r>
            <w:r w:rsidRPr="00C92ECE">
              <w:rPr>
                <w:rFonts w:ascii="Arial" w:hAnsi="Arial" w:cs="Arial"/>
                <w:sz w:val="24"/>
                <w:szCs w:val="24"/>
              </w:rPr>
              <w:t xml:space="preserve"> of how to support individuals who identify as, or may be exploring identifying as, trans. The training </w:t>
            </w:r>
            <w:r w:rsidR="005103E2">
              <w:rPr>
                <w:rFonts w:ascii="Arial" w:hAnsi="Arial" w:cs="Arial"/>
                <w:sz w:val="24"/>
                <w:szCs w:val="24"/>
              </w:rPr>
              <w:t>covered</w:t>
            </w:r>
            <w:r w:rsidRPr="00C92ECE">
              <w:rPr>
                <w:rFonts w:ascii="Arial" w:hAnsi="Arial" w:cs="Arial"/>
                <w:sz w:val="24"/>
                <w:szCs w:val="24"/>
              </w:rPr>
              <w:t>:</w:t>
            </w:r>
          </w:p>
          <w:p w14:paraId="01B4514F" w14:textId="0EFE4681" w:rsidR="003F3F51" w:rsidRPr="00C92ECE" w:rsidRDefault="003F3F51" w:rsidP="003F3F51">
            <w:pPr>
              <w:pStyle w:val="ListParagraph"/>
              <w:numPr>
                <w:ilvl w:val="0"/>
                <w:numId w:val="113"/>
              </w:numPr>
              <w:spacing w:after="200"/>
              <w:jc w:val="both"/>
              <w:rPr>
                <w:rFonts w:ascii="Arial" w:hAnsi="Arial" w:cs="Arial"/>
                <w:sz w:val="24"/>
                <w:szCs w:val="24"/>
              </w:rPr>
            </w:pPr>
            <w:r w:rsidRPr="00C92ECE">
              <w:rPr>
                <w:rFonts w:ascii="Arial" w:hAnsi="Arial" w:cs="Arial"/>
                <w:sz w:val="24"/>
                <w:szCs w:val="24"/>
              </w:rPr>
              <w:t>experiences of marginalised young people</w:t>
            </w:r>
          </w:p>
          <w:p w14:paraId="7DA00722" w14:textId="4BE37511" w:rsidR="003F3F51" w:rsidRPr="00C92ECE" w:rsidRDefault="003F3F51" w:rsidP="003F3F51">
            <w:pPr>
              <w:pStyle w:val="ListParagraph"/>
              <w:numPr>
                <w:ilvl w:val="0"/>
                <w:numId w:val="113"/>
              </w:numPr>
              <w:spacing w:after="200"/>
              <w:jc w:val="both"/>
              <w:rPr>
                <w:rFonts w:ascii="Arial" w:hAnsi="Arial" w:cs="Arial"/>
                <w:sz w:val="24"/>
                <w:szCs w:val="24"/>
              </w:rPr>
            </w:pPr>
            <w:r w:rsidRPr="00C92ECE">
              <w:rPr>
                <w:rFonts w:ascii="Arial" w:hAnsi="Arial" w:cs="Arial"/>
                <w:sz w:val="24"/>
                <w:szCs w:val="24"/>
              </w:rPr>
              <w:t>risks of exploitation and safeguarding concerns</w:t>
            </w:r>
          </w:p>
          <w:p w14:paraId="7F3E8F79" w14:textId="700EDB79" w:rsidR="003F3F51" w:rsidRPr="00C92ECE" w:rsidRDefault="005103E2" w:rsidP="003F3F51">
            <w:pPr>
              <w:pStyle w:val="ListParagraph"/>
              <w:numPr>
                <w:ilvl w:val="0"/>
                <w:numId w:val="113"/>
              </w:numPr>
              <w:spacing w:after="200"/>
              <w:jc w:val="both"/>
              <w:rPr>
                <w:rFonts w:ascii="Arial" w:hAnsi="Arial" w:cs="Arial"/>
                <w:sz w:val="24"/>
                <w:szCs w:val="24"/>
              </w:rPr>
            </w:pPr>
            <w:r>
              <w:rPr>
                <w:rFonts w:ascii="Arial" w:hAnsi="Arial" w:cs="Arial"/>
                <w:sz w:val="24"/>
                <w:szCs w:val="24"/>
              </w:rPr>
              <w:t>a</w:t>
            </w:r>
            <w:r w:rsidR="003F3F51" w:rsidRPr="00C92ECE">
              <w:rPr>
                <w:rFonts w:ascii="Arial" w:hAnsi="Arial" w:cs="Arial"/>
                <w:sz w:val="24"/>
                <w:szCs w:val="24"/>
              </w:rPr>
              <w:t>ppropriate and inclusive terminology</w:t>
            </w:r>
          </w:p>
          <w:p w14:paraId="1E1309EC" w14:textId="6BB62FDA" w:rsidR="003F3F51" w:rsidRPr="00C92ECE" w:rsidRDefault="005103E2" w:rsidP="003F3F51">
            <w:pPr>
              <w:pStyle w:val="ListParagraph"/>
              <w:numPr>
                <w:ilvl w:val="0"/>
                <w:numId w:val="113"/>
              </w:numPr>
              <w:spacing w:after="200"/>
              <w:jc w:val="both"/>
              <w:rPr>
                <w:rFonts w:ascii="Arial" w:hAnsi="Arial" w:cs="Arial"/>
                <w:sz w:val="24"/>
                <w:szCs w:val="24"/>
              </w:rPr>
            </w:pPr>
            <w:r>
              <w:rPr>
                <w:rFonts w:ascii="Arial" w:hAnsi="Arial" w:cs="Arial"/>
                <w:sz w:val="24"/>
                <w:szCs w:val="24"/>
              </w:rPr>
              <w:t>h</w:t>
            </w:r>
            <w:r w:rsidR="003F3F51" w:rsidRPr="00C92ECE">
              <w:rPr>
                <w:rFonts w:ascii="Arial" w:hAnsi="Arial" w:cs="Arial"/>
                <w:sz w:val="24"/>
                <w:szCs w:val="24"/>
              </w:rPr>
              <w:t xml:space="preserve">ow and where to </w:t>
            </w:r>
            <w:r>
              <w:rPr>
                <w:rFonts w:ascii="Arial" w:hAnsi="Arial" w:cs="Arial"/>
                <w:sz w:val="24"/>
                <w:szCs w:val="24"/>
              </w:rPr>
              <w:t>find</w:t>
            </w:r>
            <w:r w:rsidRPr="00C92ECE">
              <w:rPr>
                <w:rFonts w:ascii="Arial" w:hAnsi="Arial" w:cs="Arial"/>
                <w:sz w:val="24"/>
                <w:szCs w:val="24"/>
              </w:rPr>
              <w:t xml:space="preserve"> </w:t>
            </w:r>
            <w:r w:rsidR="003F3F51" w:rsidRPr="00C92ECE">
              <w:rPr>
                <w:rFonts w:ascii="Arial" w:hAnsi="Arial" w:cs="Arial"/>
                <w:sz w:val="24"/>
                <w:szCs w:val="24"/>
              </w:rPr>
              <w:t>further support</w:t>
            </w:r>
          </w:p>
          <w:p w14:paraId="694055A4" w14:textId="2C18DFD0" w:rsidR="001767AB" w:rsidRPr="00C92ECE" w:rsidRDefault="003F3F51" w:rsidP="00C92ECE">
            <w:pPr>
              <w:jc w:val="both"/>
              <w:rPr>
                <w:rFonts w:ascii="Arial" w:hAnsi="Arial" w:cs="Arial"/>
                <w:b/>
                <w:bCs/>
                <w:color w:val="FF0000"/>
                <w:sz w:val="24"/>
                <w:szCs w:val="24"/>
                <w:u w:val="single"/>
              </w:rPr>
            </w:pPr>
            <w:r w:rsidRPr="00C92ECE">
              <w:rPr>
                <w:rFonts w:ascii="Arial" w:hAnsi="Arial" w:cs="Arial"/>
                <w:sz w:val="24"/>
                <w:szCs w:val="24"/>
              </w:rPr>
              <w:t xml:space="preserve">Feedback </w:t>
            </w:r>
            <w:r w:rsidR="005103E2">
              <w:rPr>
                <w:rFonts w:ascii="Arial" w:hAnsi="Arial" w:cs="Arial"/>
                <w:sz w:val="24"/>
                <w:szCs w:val="24"/>
              </w:rPr>
              <w:t>showed</w:t>
            </w:r>
            <w:r w:rsidRPr="00C92ECE">
              <w:rPr>
                <w:rFonts w:ascii="Arial" w:hAnsi="Arial" w:cs="Arial"/>
                <w:sz w:val="24"/>
                <w:szCs w:val="24"/>
              </w:rPr>
              <w:t xml:space="preserve"> participant</w:t>
            </w:r>
            <w:r w:rsidR="005103E2">
              <w:rPr>
                <w:rFonts w:ascii="Arial" w:hAnsi="Arial" w:cs="Arial"/>
                <w:sz w:val="24"/>
                <w:szCs w:val="24"/>
              </w:rPr>
              <w:t>s</w:t>
            </w:r>
            <w:r w:rsidRPr="00C92ECE">
              <w:rPr>
                <w:rFonts w:ascii="Arial" w:hAnsi="Arial" w:cs="Arial"/>
                <w:sz w:val="24"/>
                <w:szCs w:val="24"/>
              </w:rPr>
              <w:t xml:space="preserve"> felt more confident in supporting children and young people’s services (CYPS) and better </w:t>
            </w:r>
            <w:r w:rsidR="005B3E74">
              <w:rPr>
                <w:rFonts w:ascii="Arial" w:hAnsi="Arial" w:cs="Arial"/>
                <w:sz w:val="24"/>
                <w:szCs w:val="24"/>
              </w:rPr>
              <w:t>prepared to</w:t>
            </w:r>
            <w:r w:rsidRPr="00C92ECE">
              <w:rPr>
                <w:rFonts w:ascii="Arial" w:hAnsi="Arial" w:cs="Arial"/>
                <w:sz w:val="24"/>
                <w:szCs w:val="24"/>
              </w:rPr>
              <w:t xml:space="preserve"> create safe, respectful, and </w:t>
            </w:r>
            <w:r w:rsidR="005B3E74">
              <w:rPr>
                <w:rFonts w:ascii="Arial" w:hAnsi="Arial" w:cs="Arial"/>
                <w:sz w:val="24"/>
                <w:szCs w:val="24"/>
              </w:rPr>
              <w:t>inclusive</w:t>
            </w:r>
            <w:r w:rsidR="005B3E74" w:rsidRPr="00C92ECE">
              <w:rPr>
                <w:rFonts w:ascii="Arial" w:hAnsi="Arial" w:cs="Arial"/>
                <w:sz w:val="24"/>
                <w:szCs w:val="24"/>
              </w:rPr>
              <w:t xml:space="preserve"> </w:t>
            </w:r>
            <w:r w:rsidRPr="00C92ECE">
              <w:rPr>
                <w:rFonts w:ascii="Arial" w:hAnsi="Arial" w:cs="Arial"/>
                <w:sz w:val="24"/>
                <w:szCs w:val="24"/>
              </w:rPr>
              <w:t xml:space="preserve">environments. The session </w:t>
            </w:r>
            <w:r w:rsidR="00FE06F3">
              <w:rPr>
                <w:rFonts w:ascii="Arial" w:hAnsi="Arial" w:cs="Arial"/>
                <w:sz w:val="24"/>
                <w:szCs w:val="24"/>
              </w:rPr>
              <w:t>was offered</w:t>
            </w:r>
            <w:r w:rsidRPr="00C92ECE">
              <w:rPr>
                <w:rFonts w:ascii="Arial" w:hAnsi="Arial" w:cs="Arial"/>
                <w:sz w:val="24"/>
                <w:szCs w:val="24"/>
              </w:rPr>
              <w:t xml:space="preserve"> across all divisions, both internally and externally. (Vale of Glamorgan – Cardiff and the Vale </w:t>
            </w:r>
            <w:r w:rsidR="00FE06F3">
              <w:rPr>
                <w:rFonts w:ascii="Arial" w:hAnsi="Arial" w:cs="Arial"/>
                <w:sz w:val="24"/>
                <w:szCs w:val="24"/>
              </w:rPr>
              <w:t>r</w:t>
            </w:r>
            <w:r w:rsidRPr="00C92ECE">
              <w:rPr>
                <w:rFonts w:ascii="Arial" w:hAnsi="Arial" w:cs="Arial"/>
                <w:sz w:val="24"/>
                <w:szCs w:val="24"/>
              </w:rPr>
              <w:t>egion)</w:t>
            </w:r>
          </w:p>
        </w:tc>
      </w:tr>
    </w:tbl>
    <w:p w14:paraId="619AA362" w14:textId="77777777" w:rsidR="00257315" w:rsidRDefault="00257315" w:rsidP="00F34814">
      <w:pPr>
        <w:spacing w:after="0" w:line="276" w:lineRule="auto"/>
        <w:ind w:left="567"/>
        <w:contextualSpacing/>
        <w:rPr>
          <w:rFonts w:ascii="Arial" w:eastAsia="Calibri" w:hAnsi="Arial" w:cs="Arial"/>
          <w:sz w:val="24"/>
          <w:szCs w:val="24"/>
        </w:rPr>
      </w:pPr>
    </w:p>
    <w:p w14:paraId="2C774C8C" w14:textId="77777777" w:rsidR="00167051" w:rsidRDefault="00167051">
      <w:pPr>
        <w:rPr>
          <w:rFonts w:ascii="Arial" w:eastAsiaTheme="majorEastAsia" w:hAnsi="Arial" w:cs="Arial"/>
          <w:b/>
          <w:color w:val="11846A"/>
          <w:sz w:val="32"/>
          <w:szCs w:val="32"/>
          <w:highlight w:val="lightGray"/>
          <w:lang w:eastAsia="en-GB"/>
        </w:rPr>
      </w:pPr>
      <w:bookmarkStart w:id="54" w:name="_Toc211279637"/>
      <w:r>
        <w:rPr>
          <w:highlight w:val="lightGray"/>
        </w:rPr>
        <w:br w:type="page"/>
      </w:r>
    </w:p>
    <w:p w14:paraId="401D4507" w14:textId="18E8FF8A" w:rsidR="007B6F1A" w:rsidRDefault="007B6F1A" w:rsidP="0019368B">
      <w:pPr>
        <w:pStyle w:val="Heading2"/>
        <w:numPr>
          <w:ilvl w:val="0"/>
          <w:numId w:val="119"/>
        </w:numPr>
      </w:pPr>
      <w:r>
        <w:lastRenderedPageBreak/>
        <w:t>Unmet need</w:t>
      </w:r>
      <w:bookmarkEnd w:id="54"/>
    </w:p>
    <w:p w14:paraId="5FBBCB56" w14:textId="77777777" w:rsidR="00107531" w:rsidRDefault="00107531" w:rsidP="0030118D">
      <w:pPr>
        <w:spacing w:after="0"/>
        <w:rPr>
          <w:lang w:eastAsia="en-GB"/>
        </w:rPr>
      </w:pPr>
    </w:p>
    <w:p w14:paraId="60706D5D" w14:textId="420EC859" w:rsidR="008A1645" w:rsidRPr="008A1645" w:rsidRDefault="008A1645" w:rsidP="008A1645">
      <w:pPr>
        <w:rPr>
          <w:rFonts w:asciiTheme="minorBidi" w:hAnsiTheme="minorBidi"/>
          <w:sz w:val="24"/>
          <w:szCs w:val="24"/>
          <w:lang w:eastAsia="en-GB"/>
        </w:rPr>
      </w:pPr>
      <w:r w:rsidRPr="008A1645">
        <w:rPr>
          <w:rFonts w:asciiTheme="minorBidi" w:hAnsiTheme="minorBidi"/>
          <w:sz w:val="24"/>
          <w:szCs w:val="24"/>
          <w:lang w:eastAsia="en-GB"/>
        </w:rPr>
        <w:t>For the first time in 2024</w:t>
      </w:r>
      <w:r>
        <w:rPr>
          <w:rFonts w:asciiTheme="minorBidi" w:hAnsiTheme="minorBidi"/>
          <w:sz w:val="24"/>
          <w:szCs w:val="24"/>
          <w:lang w:eastAsia="en-GB"/>
        </w:rPr>
        <w:t xml:space="preserve"> to </w:t>
      </w:r>
      <w:r w:rsidRPr="008A1645">
        <w:rPr>
          <w:rFonts w:asciiTheme="minorBidi" w:hAnsiTheme="minorBidi"/>
          <w:sz w:val="24"/>
          <w:szCs w:val="24"/>
          <w:lang w:eastAsia="en-GB"/>
        </w:rPr>
        <w:t>2025, as part of the SCWWDP application process, regions were asked to include information on unmet workforce development needs. These were areas of work that could be supported if additional funding were to become available in the future.</w:t>
      </w:r>
    </w:p>
    <w:p w14:paraId="6034C159" w14:textId="3B681A55" w:rsidR="00954621" w:rsidRDefault="008A1645" w:rsidP="008A1645">
      <w:pPr>
        <w:rPr>
          <w:rFonts w:asciiTheme="minorBidi" w:hAnsiTheme="minorBidi"/>
          <w:sz w:val="24"/>
          <w:szCs w:val="24"/>
          <w:lang w:eastAsia="en-GB"/>
        </w:rPr>
      </w:pPr>
      <w:r w:rsidRPr="008A1645">
        <w:rPr>
          <w:rFonts w:asciiTheme="minorBidi" w:hAnsiTheme="minorBidi"/>
          <w:sz w:val="24"/>
          <w:szCs w:val="24"/>
          <w:lang w:eastAsia="en-GB"/>
        </w:rPr>
        <w:t>Across Wales, the total value of unmet need reported by regions as part of the 2024</w:t>
      </w:r>
      <w:r w:rsidR="00A07DCC">
        <w:rPr>
          <w:rFonts w:asciiTheme="minorBidi" w:hAnsiTheme="minorBidi"/>
          <w:sz w:val="24"/>
          <w:szCs w:val="24"/>
          <w:lang w:eastAsia="en-GB"/>
        </w:rPr>
        <w:t xml:space="preserve"> to </w:t>
      </w:r>
      <w:r w:rsidRPr="008A1645">
        <w:rPr>
          <w:rFonts w:asciiTheme="minorBidi" w:hAnsiTheme="minorBidi"/>
          <w:sz w:val="24"/>
          <w:szCs w:val="24"/>
          <w:lang w:eastAsia="en-GB"/>
        </w:rPr>
        <w:t xml:space="preserve">2025 application process amounted to </w:t>
      </w:r>
      <w:r w:rsidR="00995882">
        <w:rPr>
          <w:rFonts w:asciiTheme="minorBidi" w:hAnsiTheme="minorBidi"/>
          <w:sz w:val="24"/>
          <w:szCs w:val="24"/>
          <w:lang w:eastAsia="en-GB"/>
        </w:rPr>
        <w:t xml:space="preserve">over </w:t>
      </w:r>
      <w:r w:rsidR="008F5EAC">
        <w:rPr>
          <w:rFonts w:asciiTheme="minorBidi" w:hAnsiTheme="minorBidi"/>
          <w:sz w:val="24"/>
          <w:szCs w:val="24"/>
          <w:lang w:eastAsia="en-GB"/>
        </w:rPr>
        <w:t>£2.</w:t>
      </w:r>
      <w:r w:rsidR="00995882">
        <w:rPr>
          <w:rFonts w:asciiTheme="minorBidi" w:hAnsiTheme="minorBidi"/>
          <w:sz w:val="24"/>
          <w:szCs w:val="24"/>
          <w:lang w:eastAsia="en-GB"/>
        </w:rPr>
        <w:t>7</w:t>
      </w:r>
      <w:r w:rsidR="008F5EAC">
        <w:rPr>
          <w:rFonts w:asciiTheme="minorBidi" w:hAnsiTheme="minorBidi"/>
          <w:sz w:val="24"/>
          <w:szCs w:val="24"/>
          <w:lang w:eastAsia="en-GB"/>
        </w:rPr>
        <w:t xml:space="preserve"> million</w:t>
      </w:r>
      <w:r w:rsidR="00FA174F">
        <w:rPr>
          <w:rFonts w:asciiTheme="minorBidi" w:hAnsiTheme="minorBidi"/>
          <w:sz w:val="24"/>
          <w:szCs w:val="24"/>
          <w:lang w:eastAsia="en-GB"/>
        </w:rPr>
        <w:t xml:space="preserve">. Table </w:t>
      </w:r>
      <w:r w:rsidR="00C9690E">
        <w:rPr>
          <w:rFonts w:asciiTheme="minorBidi" w:hAnsiTheme="minorBidi"/>
          <w:sz w:val="24"/>
          <w:szCs w:val="24"/>
          <w:lang w:eastAsia="en-GB"/>
        </w:rPr>
        <w:t>13</w:t>
      </w:r>
      <w:r w:rsidR="00FA174F">
        <w:rPr>
          <w:rFonts w:asciiTheme="minorBidi" w:hAnsiTheme="minorBidi"/>
          <w:sz w:val="24"/>
          <w:szCs w:val="24"/>
          <w:lang w:eastAsia="en-GB"/>
        </w:rPr>
        <w:t xml:space="preserve"> shows the amount broken down by region.</w:t>
      </w:r>
    </w:p>
    <w:p w14:paraId="1D97D4C7" w14:textId="188A606C" w:rsidR="00C9690E" w:rsidRPr="00B568F3" w:rsidRDefault="00C9690E" w:rsidP="00C9690E">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t>Table 1</w:t>
      </w:r>
      <w:r>
        <w:rPr>
          <w:rFonts w:ascii="Arial" w:eastAsia="Calibri" w:hAnsi="Arial" w:cs="Arial"/>
          <w:b/>
          <w:bCs/>
          <w:sz w:val="24"/>
          <w:szCs w:val="24"/>
          <w:lang w:eastAsia="en-GB"/>
        </w:rPr>
        <w:t>3</w:t>
      </w:r>
      <w:r w:rsidRPr="00B568F3">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Unmet need by region, 2024 to 2025 </w:t>
      </w:r>
    </w:p>
    <w:p w14:paraId="7E874EB3" w14:textId="77777777" w:rsidR="008F5EAC" w:rsidRDefault="008F5EAC" w:rsidP="0030118D">
      <w:pPr>
        <w:spacing w:after="0"/>
        <w:rPr>
          <w:rFonts w:asciiTheme="minorBidi" w:hAnsiTheme="minorBidi"/>
          <w:sz w:val="24"/>
          <w:szCs w:val="24"/>
          <w:lang w:eastAsia="en-GB"/>
        </w:rPr>
      </w:pPr>
    </w:p>
    <w:tbl>
      <w:tblPr>
        <w:tblStyle w:val="TableGrid"/>
        <w:tblW w:w="5687" w:type="dxa"/>
        <w:jc w:val="center"/>
        <w:tblLook w:val="04A0" w:firstRow="1" w:lastRow="0" w:firstColumn="1" w:lastColumn="0" w:noHBand="0" w:noVBand="1"/>
      </w:tblPr>
      <w:tblGrid>
        <w:gridCol w:w="2626"/>
        <w:gridCol w:w="2031"/>
        <w:gridCol w:w="1030"/>
      </w:tblGrid>
      <w:tr w:rsidR="00995882" w:rsidRPr="0030118D" w14:paraId="2D31C388" w14:textId="570CCE15" w:rsidTr="0030118D">
        <w:trPr>
          <w:jc w:val="center"/>
        </w:trPr>
        <w:tc>
          <w:tcPr>
            <w:tcW w:w="2626" w:type="dxa"/>
          </w:tcPr>
          <w:p w14:paraId="24A01349" w14:textId="62163781" w:rsidR="00995882" w:rsidRPr="0030118D" w:rsidRDefault="00995882" w:rsidP="0030118D">
            <w:pPr>
              <w:jc w:val="center"/>
              <w:rPr>
                <w:rFonts w:asciiTheme="minorBidi" w:hAnsiTheme="minorBidi"/>
                <w:b/>
                <w:bCs/>
                <w:sz w:val="24"/>
                <w:szCs w:val="24"/>
                <w:lang w:eastAsia="en-GB"/>
              </w:rPr>
            </w:pPr>
            <w:r w:rsidRPr="0030118D">
              <w:rPr>
                <w:rFonts w:asciiTheme="minorBidi" w:hAnsiTheme="minorBidi"/>
                <w:b/>
                <w:bCs/>
                <w:sz w:val="24"/>
                <w:szCs w:val="24"/>
                <w:lang w:eastAsia="en-GB"/>
              </w:rPr>
              <w:t>Region</w:t>
            </w:r>
          </w:p>
        </w:tc>
        <w:tc>
          <w:tcPr>
            <w:tcW w:w="2031" w:type="dxa"/>
          </w:tcPr>
          <w:p w14:paraId="2C108F7E" w14:textId="0ABA77C0" w:rsidR="00995882" w:rsidRPr="0030118D" w:rsidRDefault="00FE7953" w:rsidP="0030118D">
            <w:pPr>
              <w:jc w:val="center"/>
              <w:rPr>
                <w:rFonts w:asciiTheme="minorBidi" w:hAnsiTheme="minorBidi"/>
                <w:b/>
                <w:bCs/>
                <w:sz w:val="24"/>
                <w:szCs w:val="24"/>
                <w:lang w:eastAsia="en-GB"/>
              </w:rPr>
            </w:pPr>
            <w:r w:rsidRPr="0030118D">
              <w:rPr>
                <w:rFonts w:asciiTheme="minorBidi" w:hAnsiTheme="minorBidi"/>
                <w:b/>
                <w:bCs/>
                <w:sz w:val="24"/>
                <w:szCs w:val="24"/>
                <w:lang w:eastAsia="en-GB"/>
              </w:rPr>
              <w:t>£</w:t>
            </w:r>
          </w:p>
        </w:tc>
        <w:tc>
          <w:tcPr>
            <w:tcW w:w="1030" w:type="dxa"/>
          </w:tcPr>
          <w:p w14:paraId="125DA28D" w14:textId="570CC947" w:rsidR="00995882" w:rsidRPr="0030118D" w:rsidRDefault="00995882" w:rsidP="0030118D">
            <w:pPr>
              <w:jc w:val="center"/>
              <w:rPr>
                <w:rFonts w:asciiTheme="minorBidi" w:hAnsiTheme="minorBidi"/>
                <w:b/>
                <w:bCs/>
                <w:sz w:val="24"/>
                <w:szCs w:val="24"/>
                <w:lang w:eastAsia="en-GB"/>
              </w:rPr>
            </w:pPr>
            <w:r w:rsidRPr="0030118D">
              <w:rPr>
                <w:rFonts w:asciiTheme="minorBidi" w:hAnsiTheme="minorBidi"/>
                <w:b/>
                <w:bCs/>
                <w:sz w:val="24"/>
                <w:szCs w:val="24"/>
                <w:lang w:eastAsia="en-GB"/>
              </w:rPr>
              <w:t>%</w:t>
            </w:r>
          </w:p>
        </w:tc>
      </w:tr>
      <w:tr w:rsidR="00FE7953" w:rsidRPr="00FE7953" w14:paraId="2DB7D46B" w14:textId="71FC44F8" w:rsidTr="0030118D">
        <w:trPr>
          <w:jc w:val="center"/>
        </w:trPr>
        <w:tc>
          <w:tcPr>
            <w:tcW w:w="2626" w:type="dxa"/>
          </w:tcPr>
          <w:p w14:paraId="6926F6BF" w14:textId="24CBBE01"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North Wales</w:t>
            </w:r>
          </w:p>
        </w:tc>
        <w:tc>
          <w:tcPr>
            <w:tcW w:w="2031" w:type="dxa"/>
            <w:vAlign w:val="bottom"/>
          </w:tcPr>
          <w:p w14:paraId="16D4DC06" w14:textId="1AA11C89"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1,849,524</w:t>
            </w:r>
          </w:p>
        </w:tc>
        <w:tc>
          <w:tcPr>
            <w:tcW w:w="1030" w:type="dxa"/>
            <w:vAlign w:val="bottom"/>
          </w:tcPr>
          <w:p w14:paraId="7F099576" w14:textId="3152EE6D"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67.3%</w:t>
            </w:r>
          </w:p>
        </w:tc>
      </w:tr>
      <w:tr w:rsidR="00FE7953" w:rsidRPr="00FE7953" w14:paraId="27199560" w14:textId="0C69C173" w:rsidTr="0030118D">
        <w:trPr>
          <w:jc w:val="center"/>
        </w:trPr>
        <w:tc>
          <w:tcPr>
            <w:tcW w:w="2626" w:type="dxa"/>
          </w:tcPr>
          <w:p w14:paraId="005CCCCA" w14:textId="70EC1FF2"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Greater Gwent</w:t>
            </w:r>
          </w:p>
        </w:tc>
        <w:tc>
          <w:tcPr>
            <w:tcW w:w="2031" w:type="dxa"/>
            <w:vAlign w:val="bottom"/>
          </w:tcPr>
          <w:p w14:paraId="0329128A" w14:textId="79509CFF"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325,000</w:t>
            </w:r>
          </w:p>
        </w:tc>
        <w:tc>
          <w:tcPr>
            <w:tcW w:w="1030" w:type="dxa"/>
            <w:vAlign w:val="bottom"/>
          </w:tcPr>
          <w:p w14:paraId="59B8F19A" w14:textId="5591A729"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11.8%</w:t>
            </w:r>
          </w:p>
        </w:tc>
      </w:tr>
      <w:tr w:rsidR="00FE7953" w:rsidRPr="00FE7953" w14:paraId="4C9E2C8B" w14:textId="0443B3EF" w:rsidTr="0030118D">
        <w:trPr>
          <w:jc w:val="center"/>
        </w:trPr>
        <w:tc>
          <w:tcPr>
            <w:tcW w:w="2626" w:type="dxa"/>
          </w:tcPr>
          <w:p w14:paraId="1B8441C5" w14:textId="33BF545A"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Cardiff and the Vale</w:t>
            </w:r>
          </w:p>
        </w:tc>
        <w:tc>
          <w:tcPr>
            <w:tcW w:w="2031" w:type="dxa"/>
            <w:vAlign w:val="bottom"/>
          </w:tcPr>
          <w:p w14:paraId="3BDBD764" w14:textId="0DDE53B1"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317,230</w:t>
            </w:r>
          </w:p>
        </w:tc>
        <w:tc>
          <w:tcPr>
            <w:tcW w:w="1030" w:type="dxa"/>
            <w:vAlign w:val="bottom"/>
          </w:tcPr>
          <w:p w14:paraId="7BE2F356" w14:textId="4FC6A862"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11.5%</w:t>
            </w:r>
          </w:p>
        </w:tc>
      </w:tr>
      <w:tr w:rsidR="00FE7953" w:rsidRPr="00FE7953" w14:paraId="44B2720B" w14:textId="126E5CEB" w:rsidTr="0030118D">
        <w:trPr>
          <w:jc w:val="center"/>
        </w:trPr>
        <w:tc>
          <w:tcPr>
            <w:tcW w:w="2626" w:type="dxa"/>
          </w:tcPr>
          <w:p w14:paraId="6B1FA58A" w14:textId="35F55BF3"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West Glamorgan</w:t>
            </w:r>
          </w:p>
        </w:tc>
        <w:tc>
          <w:tcPr>
            <w:tcW w:w="2031" w:type="dxa"/>
            <w:vAlign w:val="bottom"/>
          </w:tcPr>
          <w:p w14:paraId="381E7F31" w14:textId="4A80FD5C"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173,244</w:t>
            </w:r>
          </w:p>
        </w:tc>
        <w:tc>
          <w:tcPr>
            <w:tcW w:w="1030" w:type="dxa"/>
            <w:vAlign w:val="bottom"/>
          </w:tcPr>
          <w:p w14:paraId="05024F8C" w14:textId="1336A54D"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6.3%</w:t>
            </w:r>
          </w:p>
        </w:tc>
      </w:tr>
      <w:tr w:rsidR="00FE7953" w:rsidRPr="00FE7953" w14:paraId="26FAFB32" w14:textId="3E19116A" w:rsidTr="0030118D">
        <w:trPr>
          <w:jc w:val="center"/>
        </w:trPr>
        <w:tc>
          <w:tcPr>
            <w:tcW w:w="2626" w:type="dxa"/>
          </w:tcPr>
          <w:p w14:paraId="0CCDF514" w14:textId="7D1F88D4"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Cwm Taf Morgannwg</w:t>
            </w:r>
          </w:p>
        </w:tc>
        <w:tc>
          <w:tcPr>
            <w:tcW w:w="2031" w:type="dxa"/>
            <w:vAlign w:val="bottom"/>
          </w:tcPr>
          <w:p w14:paraId="543FB504" w14:textId="2AD86193"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44,985</w:t>
            </w:r>
          </w:p>
        </w:tc>
        <w:tc>
          <w:tcPr>
            <w:tcW w:w="1030" w:type="dxa"/>
            <w:vAlign w:val="bottom"/>
          </w:tcPr>
          <w:p w14:paraId="2B102F80" w14:textId="32702B74"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1.6%</w:t>
            </w:r>
          </w:p>
        </w:tc>
      </w:tr>
      <w:tr w:rsidR="00FE7953" w:rsidRPr="00FE7953" w14:paraId="7C7B38B9" w14:textId="2A4D6B61" w:rsidTr="0030118D">
        <w:trPr>
          <w:jc w:val="center"/>
        </w:trPr>
        <w:tc>
          <w:tcPr>
            <w:tcW w:w="2626" w:type="dxa"/>
          </w:tcPr>
          <w:p w14:paraId="130184A4" w14:textId="677B3744"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West Wales</w:t>
            </w:r>
          </w:p>
        </w:tc>
        <w:tc>
          <w:tcPr>
            <w:tcW w:w="2031" w:type="dxa"/>
            <w:vAlign w:val="bottom"/>
          </w:tcPr>
          <w:p w14:paraId="3C4A39C8" w14:textId="193B8870"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37,617</w:t>
            </w:r>
          </w:p>
        </w:tc>
        <w:tc>
          <w:tcPr>
            <w:tcW w:w="1030" w:type="dxa"/>
            <w:vAlign w:val="bottom"/>
          </w:tcPr>
          <w:p w14:paraId="06977BF6" w14:textId="143FC8A0"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1.4%</w:t>
            </w:r>
          </w:p>
        </w:tc>
      </w:tr>
      <w:tr w:rsidR="00FE7953" w:rsidRPr="00FE7953" w14:paraId="559AFD39" w14:textId="77777777" w:rsidTr="0030118D">
        <w:trPr>
          <w:jc w:val="center"/>
        </w:trPr>
        <w:tc>
          <w:tcPr>
            <w:tcW w:w="2626" w:type="dxa"/>
          </w:tcPr>
          <w:p w14:paraId="452FA41B" w14:textId="5813547B" w:rsidR="00FE7953" w:rsidRPr="00FE7953" w:rsidRDefault="00FE7953" w:rsidP="00FE7953">
            <w:pPr>
              <w:rPr>
                <w:rFonts w:asciiTheme="minorBidi" w:hAnsiTheme="minorBidi"/>
                <w:sz w:val="24"/>
                <w:szCs w:val="24"/>
                <w:lang w:eastAsia="en-GB"/>
              </w:rPr>
            </w:pPr>
            <w:r w:rsidRPr="00FE7953">
              <w:rPr>
                <w:rFonts w:asciiTheme="minorBidi" w:hAnsiTheme="minorBidi"/>
                <w:sz w:val="24"/>
                <w:szCs w:val="24"/>
                <w:lang w:eastAsia="en-GB"/>
              </w:rPr>
              <w:t>Powys</w:t>
            </w:r>
          </w:p>
        </w:tc>
        <w:tc>
          <w:tcPr>
            <w:tcW w:w="2031" w:type="dxa"/>
            <w:vAlign w:val="bottom"/>
          </w:tcPr>
          <w:p w14:paraId="4FB76E55" w14:textId="1C2420DD" w:rsidR="00FE7953" w:rsidRPr="00FE7953" w:rsidRDefault="00FE7953" w:rsidP="0030118D">
            <w:pPr>
              <w:jc w:val="right"/>
              <w:rPr>
                <w:rFonts w:asciiTheme="minorBidi" w:hAnsiTheme="minorBidi"/>
                <w:sz w:val="24"/>
                <w:szCs w:val="24"/>
                <w:lang w:eastAsia="en-GB"/>
              </w:rPr>
            </w:pPr>
            <w:r w:rsidRPr="0030118D">
              <w:rPr>
                <w:rFonts w:asciiTheme="minorBidi" w:hAnsiTheme="minorBidi"/>
                <w:color w:val="000000"/>
                <w:sz w:val="24"/>
                <w:szCs w:val="24"/>
              </w:rPr>
              <w:t>None submitted</w:t>
            </w:r>
          </w:p>
        </w:tc>
        <w:tc>
          <w:tcPr>
            <w:tcW w:w="1030" w:type="dxa"/>
            <w:vAlign w:val="bottom"/>
          </w:tcPr>
          <w:p w14:paraId="4B109A81" w14:textId="63F3A4D4" w:rsidR="00FE7953" w:rsidRPr="00FE7953" w:rsidRDefault="00FE7953" w:rsidP="0030118D">
            <w:pPr>
              <w:jc w:val="center"/>
              <w:rPr>
                <w:rFonts w:asciiTheme="minorBidi" w:hAnsiTheme="minorBidi"/>
                <w:sz w:val="24"/>
                <w:szCs w:val="24"/>
                <w:lang w:eastAsia="en-GB"/>
              </w:rPr>
            </w:pPr>
            <w:r w:rsidRPr="0030118D">
              <w:rPr>
                <w:rFonts w:asciiTheme="minorBidi" w:hAnsiTheme="minorBidi"/>
                <w:color w:val="000000"/>
                <w:sz w:val="24"/>
                <w:szCs w:val="24"/>
              </w:rPr>
              <w:t>-</w:t>
            </w:r>
          </w:p>
        </w:tc>
      </w:tr>
      <w:tr w:rsidR="00995882" w:rsidRPr="00FE7953" w14:paraId="57815933" w14:textId="77777777" w:rsidTr="0030118D">
        <w:trPr>
          <w:jc w:val="center"/>
        </w:trPr>
        <w:tc>
          <w:tcPr>
            <w:tcW w:w="2626" w:type="dxa"/>
          </w:tcPr>
          <w:p w14:paraId="7B86E83A" w14:textId="5B282F31" w:rsidR="00995882" w:rsidRPr="0030118D" w:rsidRDefault="00995882" w:rsidP="00821570">
            <w:pPr>
              <w:rPr>
                <w:rFonts w:asciiTheme="minorBidi" w:hAnsiTheme="minorBidi"/>
                <w:b/>
                <w:bCs/>
                <w:sz w:val="24"/>
                <w:szCs w:val="24"/>
                <w:lang w:eastAsia="en-GB"/>
              </w:rPr>
            </w:pPr>
            <w:r w:rsidRPr="0030118D">
              <w:rPr>
                <w:rFonts w:asciiTheme="minorBidi" w:hAnsiTheme="minorBidi"/>
                <w:b/>
                <w:bCs/>
                <w:sz w:val="24"/>
                <w:szCs w:val="24"/>
                <w:lang w:eastAsia="en-GB"/>
              </w:rPr>
              <w:t>Total</w:t>
            </w:r>
          </w:p>
        </w:tc>
        <w:tc>
          <w:tcPr>
            <w:tcW w:w="2031" w:type="dxa"/>
            <w:vAlign w:val="bottom"/>
          </w:tcPr>
          <w:p w14:paraId="0187EB31" w14:textId="7F82614F" w:rsidR="00995882" w:rsidRPr="0030118D" w:rsidRDefault="00995882" w:rsidP="0030118D">
            <w:pPr>
              <w:jc w:val="right"/>
              <w:rPr>
                <w:rFonts w:asciiTheme="minorBidi" w:hAnsiTheme="minorBidi"/>
                <w:b/>
                <w:bCs/>
                <w:sz w:val="24"/>
                <w:szCs w:val="24"/>
                <w:lang w:eastAsia="en-GB"/>
              </w:rPr>
            </w:pPr>
            <w:r w:rsidRPr="0030118D">
              <w:rPr>
                <w:rFonts w:asciiTheme="minorBidi" w:hAnsiTheme="minorBidi"/>
                <w:b/>
                <w:bCs/>
                <w:color w:val="000000"/>
                <w:sz w:val="24"/>
                <w:szCs w:val="24"/>
              </w:rPr>
              <w:t>2,747,600</w:t>
            </w:r>
          </w:p>
        </w:tc>
        <w:tc>
          <w:tcPr>
            <w:tcW w:w="1030" w:type="dxa"/>
          </w:tcPr>
          <w:p w14:paraId="56565C7D" w14:textId="28707AB3" w:rsidR="00995882" w:rsidRPr="0030118D" w:rsidRDefault="00605569" w:rsidP="0030118D">
            <w:pPr>
              <w:jc w:val="center"/>
              <w:rPr>
                <w:rFonts w:asciiTheme="minorBidi" w:hAnsiTheme="minorBidi"/>
                <w:b/>
                <w:bCs/>
                <w:sz w:val="24"/>
                <w:szCs w:val="24"/>
                <w:lang w:eastAsia="en-GB"/>
              </w:rPr>
            </w:pPr>
            <w:r>
              <w:rPr>
                <w:rFonts w:asciiTheme="minorBidi" w:hAnsiTheme="minorBidi"/>
                <w:b/>
                <w:bCs/>
                <w:sz w:val="24"/>
                <w:szCs w:val="24"/>
                <w:lang w:eastAsia="en-GB"/>
              </w:rPr>
              <w:t>100%</w:t>
            </w:r>
          </w:p>
        </w:tc>
      </w:tr>
    </w:tbl>
    <w:p w14:paraId="66DCB9F7" w14:textId="77777777" w:rsidR="003053B7" w:rsidRDefault="003053B7" w:rsidP="003053B7">
      <w:pPr>
        <w:rPr>
          <w:rFonts w:asciiTheme="minorBidi" w:hAnsiTheme="minorBidi"/>
          <w:sz w:val="24"/>
          <w:szCs w:val="24"/>
          <w:lang w:eastAsia="en-GB"/>
        </w:rPr>
      </w:pPr>
    </w:p>
    <w:p w14:paraId="7B9946DB" w14:textId="08BD5554" w:rsidR="00F445CC" w:rsidRPr="00B568F3" w:rsidRDefault="00F445CC" w:rsidP="00F445CC">
      <w:pPr>
        <w:spacing w:after="0" w:line="240" w:lineRule="auto"/>
        <w:rPr>
          <w:rFonts w:ascii="Arial" w:eastAsia="Calibri" w:hAnsi="Arial" w:cs="Arial"/>
          <w:b/>
          <w:bCs/>
          <w:sz w:val="24"/>
          <w:szCs w:val="24"/>
          <w:lang w:eastAsia="en-GB"/>
        </w:rPr>
      </w:pPr>
      <w:r w:rsidRPr="00B568F3">
        <w:rPr>
          <w:rFonts w:ascii="Arial" w:eastAsia="Calibri" w:hAnsi="Arial" w:cs="Arial"/>
          <w:b/>
          <w:bCs/>
          <w:sz w:val="24"/>
          <w:szCs w:val="24"/>
          <w:lang w:eastAsia="en-GB"/>
        </w:rPr>
        <w:t>Table 1</w:t>
      </w:r>
      <w:r>
        <w:rPr>
          <w:rFonts w:ascii="Arial" w:eastAsia="Calibri" w:hAnsi="Arial" w:cs="Arial"/>
          <w:b/>
          <w:bCs/>
          <w:sz w:val="24"/>
          <w:szCs w:val="24"/>
          <w:lang w:eastAsia="en-GB"/>
        </w:rPr>
        <w:t>4</w:t>
      </w:r>
      <w:r w:rsidRPr="00B568F3">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Unmet need by priority, 2024 to 2025 </w:t>
      </w:r>
    </w:p>
    <w:p w14:paraId="7CBD1FAF" w14:textId="77777777" w:rsidR="003053B7" w:rsidRDefault="003053B7" w:rsidP="0030118D">
      <w:pPr>
        <w:spacing w:after="0"/>
        <w:rPr>
          <w:rFonts w:asciiTheme="minorBidi" w:hAnsiTheme="minorBidi"/>
          <w:sz w:val="24"/>
          <w:szCs w:val="24"/>
          <w:lang w:eastAsia="en-GB"/>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551"/>
        <w:gridCol w:w="1060"/>
      </w:tblGrid>
      <w:tr w:rsidR="00321F8C" w:rsidRPr="00AC5444" w14:paraId="136F0BDB" w14:textId="77777777" w:rsidTr="0030118D">
        <w:trPr>
          <w:trHeight w:val="300"/>
        </w:trPr>
        <w:tc>
          <w:tcPr>
            <w:tcW w:w="6585" w:type="dxa"/>
            <w:noWrap/>
            <w:vAlign w:val="bottom"/>
          </w:tcPr>
          <w:p w14:paraId="0864D7F9" w14:textId="27C746D0" w:rsidR="00321F8C" w:rsidRPr="0030118D" w:rsidRDefault="00AC5444" w:rsidP="0030118D">
            <w:pPr>
              <w:spacing w:after="0" w:line="240" w:lineRule="auto"/>
              <w:jc w:val="center"/>
              <w:rPr>
                <w:rFonts w:asciiTheme="minorBidi" w:eastAsia="Times New Roman" w:hAnsiTheme="minorBidi"/>
                <w:b/>
                <w:bCs/>
                <w:color w:val="000000"/>
                <w:sz w:val="24"/>
                <w:szCs w:val="24"/>
                <w:lang w:eastAsia="en-GB"/>
              </w:rPr>
            </w:pPr>
            <w:r w:rsidRPr="0030118D">
              <w:rPr>
                <w:rFonts w:asciiTheme="minorBidi" w:eastAsia="Times New Roman" w:hAnsiTheme="minorBidi"/>
                <w:b/>
                <w:bCs/>
                <w:color w:val="000000"/>
                <w:sz w:val="24"/>
                <w:szCs w:val="24"/>
                <w:lang w:eastAsia="en-GB"/>
              </w:rPr>
              <w:t>Priority</w:t>
            </w:r>
          </w:p>
        </w:tc>
        <w:tc>
          <w:tcPr>
            <w:tcW w:w="1551" w:type="dxa"/>
            <w:noWrap/>
          </w:tcPr>
          <w:p w14:paraId="1FBE1EB6" w14:textId="52382B1A" w:rsidR="00321F8C" w:rsidRPr="0030118D" w:rsidRDefault="00321F8C" w:rsidP="0030118D">
            <w:pPr>
              <w:spacing w:after="0" w:line="240" w:lineRule="auto"/>
              <w:jc w:val="center"/>
              <w:rPr>
                <w:rFonts w:asciiTheme="minorBidi" w:eastAsia="Times New Roman" w:hAnsiTheme="minorBidi"/>
                <w:b/>
                <w:bCs/>
                <w:color w:val="000000"/>
                <w:sz w:val="24"/>
                <w:szCs w:val="24"/>
                <w:lang w:eastAsia="en-GB"/>
              </w:rPr>
            </w:pPr>
            <w:r w:rsidRPr="00AC5444">
              <w:rPr>
                <w:rFonts w:asciiTheme="minorBidi" w:hAnsiTheme="minorBidi"/>
                <w:b/>
                <w:bCs/>
                <w:sz w:val="24"/>
                <w:szCs w:val="24"/>
                <w:lang w:eastAsia="en-GB"/>
              </w:rPr>
              <w:t>£</w:t>
            </w:r>
          </w:p>
        </w:tc>
        <w:tc>
          <w:tcPr>
            <w:tcW w:w="1060" w:type="dxa"/>
            <w:noWrap/>
          </w:tcPr>
          <w:p w14:paraId="5BACE8E2" w14:textId="4FDA65A0" w:rsidR="00321F8C" w:rsidRPr="0030118D" w:rsidRDefault="00321F8C" w:rsidP="0030118D">
            <w:pPr>
              <w:spacing w:after="0" w:line="240" w:lineRule="auto"/>
              <w:jc w:val="center"/>
              <w:rPr>
                <w:rFonts w:asciiTheme="minorBidi" w:eastAsia="Times New Roman" w:hAnsiTheme="minorBidi"/>
                <w:b/>
                <w:bCs/>
                <w:color w:val="000000"/>
                <w:sz w:val="24"/>
                <w:szCs w:val="24"/>
                <w:lang w:eastAsia="en-GB"/>
              </w:rPr>
            </w:pPr>
            <w:r w:rsidRPr="00AC5444">
              <w:rPr>
                <w:rFonts w:asciiTheme="minorBidi" w:hAnsiTheme="minorBidi"/>
                <w:b/>
                <w:bCs/>
                <w:sz w:val="24"/>
                <w:szCs w:val="24"/>
                <w:lang w:eastAsia="en-GB"/>
              </w:rPr>
              <w:t>%</w:t>
            </w:r>
          </w:p>
        </w:tc>
      </w:tr>
      <w:tr w:rsidR="00AC5444" w:rsidRPr="00AC5444" w14:paraId="556623E0" w14:textId="77777777" w:rsidTr="0030118D">
        <w:trPr>
          <w:trHeight w:val="300"/>
        </w:trPr>
        <w:tc>
          <w:tcPr>
            <w:tcW w:w="6585" w:type="dxa"/>
            <w:noWrap/>
            <w:vAlign w:val="bottom"/>
            <w:hideMark/>
          </w:tcPr>
          <w:p w14:paraId="5D0CCA5F" w14:textId="514F063A" w:rsidR="00321F8C" w:rsidRPr="0030118D" w:rsidRDefault="00321F8C" w:rsidP="00321F8C">
            <w:pPr>
              <w:spacing w:after="0" w:line="240" w:lineRule="auto"/>
              <w:rPr>
                <w:rFonts w:asciiTheme="minorBidi" w:eastAsia="Times New Roman" w:hAnsiTheme="minorBidi"/>
                <w:color w:val="000000"/>
                <w:sz w:val="24"/>
                <w:szCs w:val="24"/>
                <w:lang w:eastAsia="en-GB"/>
              </w:rPr>
            </w:pPr>
            <w:r w:rsidRPr="0019368B">
              <w:rPr>
                <w:rFonts w:asciiTheme="minorBidi" w:eastAsia="Times New Roman" w:hAnsiTheme="minorBidi"/>
                <w:color w:val="000000"/>
                <w:sz w:val="24"/>
                <w:szCs w:val="24"/>
                <w:lang w:eastAsia="en-GB"/>
              </w:rPr>
              <w:t xml:space="preserve">Provision of qualifying </w:t>
            </w:r>
            <w:r w:rsidR="00B328B6">
              <w:rPr>
                <w:rFonts w:asciiTheme="minorBidi" w:eastAsia="Times New Roman" w:hAnsiTheme="minorBidi"/>
                <w:color w:val="000000"/>
                <w:sz w:val="24"/>
                <w:szCs w:val="24"/>
                <w:lang w:eastAsia="en-GB"/>
              </w:rPr>
              <w:t>and</w:t>
            </w:r>
            <w:r w:rsidRPr="0030118D">
              <w:rPr>
                <w:rFonts w:asciiTheme="minorBidi" w:eastAsia="Times New Roman" w:hAnsiTheme="minorBidi"/>
                <w:color w:val="000000"/>
                <w:sz w:val="24"/>
                <w:szCs w:val="24"/>
                <w:lang w:eastAsia="en-GB"/>
              </w:rPr>
              <w:t xml:space="preserve"> post qualifying social work training</w:t>
            </w:r>
          </w:p>
        </w:tc>
        <w:tc>
          <w:tcPr>
            <w:tcW w:w="1551" w:type="dxa"/>
            <w:noWrap/>
            <w:vAlign w:val="bottom"/>
            <w:hideMark/>
          </w:tcPr>
          <w:p w14:paraId="4EBC8B4F"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£982,408</w:t>
            </w:r>
          </w:p>
        </w:tc>
        <w:tc>
          <w:tcPr>
            <w:tcW w:w="1060" w:type="dxa"/>
            <w:noWrap/>
            <w:vAlign w:val="bottom"/>
            <w:hideMark/>
          </w:tcPr>
          <w:p w14:paraId="323925A6"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35.8%</w:t>
            </w:r>
          </w:p>
        </w:tc>
      </w:tr>
      <w:tr w:rsidR="00AC5444" w:rsidRPr="00AC5444" w14:paraId="6047D030" w14:textId="77777777" w:rsidTr="0030118D">
        <w:trPr>
          <w:trHeight w:val="300"/>
        </w:trPr>
        <w:tc>
          <w:tcPr>
            <w:tcW w:w="6585" w:type="dxa"/>
            <w:noWrap/>
            <w:vAlign w:val="bottom"/>
            <w:hideMark/>
          </w:tcPr>
          <w:p w14:paraId="4A7B28A8" w14:textId="77777777" w:rsidR="00321F8C" w:rsidRPr="0030118D" w:rsidRDefault="00321F8C" w:rsidP="00321F8C">
            <w:pPr>
              <w:spacing w:after="0" w:line="240" w:lineRule="auto"/>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 xml:space="preserve">Excellent education and learning </w:t>
            </w:r>
          </w:p>
        </w:tc>
        <w:tc>
          <w:tcPr>
            <w:tcW w:w="1551" w:type="dxa"/>
            <w:noWrap/>
            <w:vAlign w:val="bottom"/>
            <w:hideMark/>
          </w:tcPr>
          <w:p w14:paraId="71D39E87"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£775,232</w:t>
            </w:r>
          </w:p>
        </w:tc>
        <w:tc>
          <w:tcPr>
            <w:tcW w:w="1060" w:type="dxa"/>
            <w:noWrap/>
            <w:vAlign w:val="bottom"/>
            <w:hideMark/>
          </w:tcPr>
          <w:p w14:paraId="5E7597A7"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28.2%</w:t>
            </w:r>
          </w:p>
        </w:tc>
      </w:tr>
      <w:tr w:rsidR="00AC5444" w:rsidRPr="00AC5444" w14:paraId="1DFDE3AD" w14:textId="77777777" w:rsidTr="0030118D">
        <w:trPr>
          <w:trHeight w:val="300"/>
        </w:trPr>
        <w:tc>
          <w:tcPr>
            <w:tcW w:w="6585" w:type="dxa"/>
            <w:noWrap/>
            <w:vAlign w:val="bottom"/>
            <w:hideMark/>
          </w:tcPr>
          <w:p w14:paraId="3E0A9834" w14:textId="77777777" w:rsidR="00321F8C" w:rsidRPr="0030118D" w:rsidRDefault="00321F8C" w:rsidP="00321F8C">
            <w:pPr>
              <w:spacing w:after="0" w:line="240" w:lineRule="auto"/>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Delivery staff</w:t>
            </w:r>
          </w:p>
        </w:tc>
        <w:tc>
          <w:tcPr>
            <w:tcW w:w="1551" w:type="dxa"/>
            <w:noWrap/>
            <w:vAlign w:val="bottom"/>
            <w:hideMark/>
          </w:tcPr>
          <w:p w14:paraId="377DE9C5"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£331,094</w:t>
            </w:r>
          </w:p>
        </w:tc>
        <w:tc>
          <w:tcPr>
            <w:tcW w:w="1060" w:type="dxa"/>
            <w:noWrap/>
            <w:vAlign w:val="bottom"/>
            <w:hideMark/>
          </w:tcPr>
          <w:p w14:paraId="747DED1A"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12.1%</w:t>
            </w:r>
          </w:p>
        </w:tc>
      </w:tr>
      <w:tr w:rsidR="00AC5444" w:rsidRPr="00AC5444" w14:paraId="37037196" w14:textId="77777777" w:rsidTr="0030118D">
        <w:trPr>
          <w:trHeight w:val="300"/>
        </w:trPr>
        <w:tc>
          <w:tcPr>
            <w:tcW w:w="6585" w:type="dxa"/>
            <w:noWrap/>
            <w:vAlign w:val="bottom"/>
            <w:hideMark/>
          </w:tcPr>
          <w:p w14:paraId="3014269C" w14:textId="0C88C7BC" w:rsidR="00321F8C" w:rsidRPr="0030118D" w:rsidRDefault="00BA0A44" w:rsidP="00321F8C">
            <w:p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Regional Facilitation Grant</w:t>
            </w:r>
            <w:r w:rsidR="00877CAA">
              <w:rPr>
                <w:rFonts w:asciiTheme="minorBidi" w:eastAsia="Times New Roman" w:hAnsiTheme="minorBidi"/>
                <w:color w:val="000000"/>
                <w:sz w:val="24"/>
                <w:szCs w:val="24"/>
                <w:lang w:eastAsia="en-GB"/>
              </w:rPr>
              <w:t xml:space="preserve"> – Attraction and recruitment</w:t>
            </w:r>
          </w:p>
        </w:tc>
        <w:tc>
          <w:tcPr>
            <w:tcW w:w="1551" w:type="dxa"/>
            <w:noWrap/>
            <w:vAlign w:val="bottom"/>
            <w:hideMark/>
          </w:tcPr>
          <w:p w14:paraId="101A0272"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£292,572</w:t>
            </w:r>
          </w:p>
        </w:tc>
        <w:tc>
          <w:tcPr>
            <w:tcW w:w="1060" w:type="dxa"/>
            <w:noWrap/>
            <w:vAlign w:val="bottom"/>
            <w:hideMark/>
          </w:tcPr>
          <w:p w14:paraId="50DC85BD"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10.6%</w:t>
            </w:r>
          </w:p>
        </w:tc>
      </w:tr>
      <w:tr w:rsidR="00AC5444" w:rsidRPr="00AC5444" w14:paraId="43C68087" w14:textId="77777777" w:rsidTr="0030118D">
        <w:trPr>
          <w:trHeight w:val="300"/>
        </w:trPr>
        <w:tc>
          <w:tcPr>
            <w:tcW w:w="6585" w:type="dxa"/>
            <w:noWrap/>
            <w:vAlign w:val="bottom"/>
            <w:hideMark/>
          </w:tcPr>
          <w:p w14:paraId="1A295DBD" w14:textId="77777777" w:rsidR="00321F8C" w:rsidRPr="0030118D" w:rsidRDefault="00321F8C" w:rsidP="00321F8C">
            <w:pPr>
              <w:spacing w:after="0" w:line="240" w:lineRule="auto"/>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Build a digitally ready workforce</w:t>
            </w:r>
          </w:p>
        </w:tc>
        <w:tc>
          <w:tcPr>
            <w:tcW w:w="1551" w:type="dxa"/>
            <w:noWrap/>
            <w:vAlign w:val="bottom"/>
            <w:hideMark/>
          </w:tcPr>
          <w:p w14:paraId="3FFDD1C2"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£254,294</w:t>
            </w:r>
          </w:p>
        </w:tc>
        <w:tc>
          <w:tcPr>
            <w:tcW w:w="1060" w:type="dxa"/>
            <w:noWrap/>
            <w:vAlign w:val="bottom"/>
            <w:hideMark/>
          </w:tcPr>
          <w:p w14:paraId="0764DEDD"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9.3%</w:t>
            </w:r>
          </w:p>
        </w:tc>
      </w:tr>
      <w:tr w:rsidR="00AC5444" w:rsidRPr="00AC5444" w14:paraId="78EDF811" w14:textId="77777777" w:rsidTr="0030118D">
        <w:trPr>
          <w:trHeight w:val="300"/>
        </w:trPr>
        <w:tc>
          <w:tcPr>
            <w:tcW w:w="6585" w:type="dxa"/>
            <w:noWrap/>
            <w:vAlign w:val="bottom"/>
            <w:hideMark/>
          </w:tcPr>
          <w:p w14:paraId="313D9662" w14:textId="77777777" w:rsidR="00321F8C" w:rsidRPr="0030118D" w:rsidRDefault="00321F8C" w:rsidP="00321F8C">
            <w:pPr>
              <w:spacing w:after="0" w:line="240" w:lineRule="auto"/>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 xml:space="preserve">Leadership and succession </w:t>
            </w:r>
          </w:p>
        </w:tc>
        <w:tc>
          <w:tcPr>
            <w:tcW w:w="1551" w:type="dxa"/>
            <w:noWrap/>
            <w:vAlign w:val="bottom"/>
            <w:hideMark/>
          </w:tcPr>
          <w:p w14:paraId="22BEF130"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£112,000</w:t>
            </w:r>
          </w:p>
        </w:tc>
        <w:tc>
          <w:tcPr>
            <w:tcW w:w="1060" w:type="dxa"/>
            <w:noWrap/>
            <w:vAlign w:val="bottom"/>
            <w:hideMark/>
          </w:tcPr>
          <w:p w14:paraId="12379223" w14:textId="77777777" w:rsidR="00321F8C" w:rsidRPr="0030118D" w:rsidRDefault="00321F8C" w:rsidP="00321F8C">
            <w:pPr>
              <w:spacing w:after="0" w:line="240" w:lineRule="auto"/>
              <w:jc w:val="right"/>
              <w:rPr>
                <w:rFonts w:asciiTheme="minorBidi" w:eastAsia="Times New Roman" w:hAnsiTheme="minorBidi"/>
                <w:color w:val="000000"/>
                <w:sz w:val="24"/>
                <w:szCs w:val="24"/>
                <w:lang w:eastAsia="en-GB"/>
              </w:rPr>
            </w:pPr>
            <w:r w:rsidRPr="0030118D">
              <w:rPr>
                <w:rFonts w:asciiTheme="minorBidi" w:eastAsia="Times New Roman" w:hAnsiTheme="minorBidi"/>
                <w:color w:val="000000"/>
                <w:sz w:val="24"/>
                <w:szCs w:val="24"/>
                <w:lang w:eastAsia="en-GB"/>
              </w:rPr>
              <w:t>4.1%</w:t>
            </w:r>
          </w:p>
        </w:tc>
      </w:tr>
      <w:tr w:rsidR="00AC5444" w:rsidRPr="00AC5444" w14:paraId="536F0E4C" w14:textId="77777777" w:rsidTr="0030118D">
        <w:trPr>
          <w:trHeight w:val="300"/>
        </w:trPr>
        <w:tc>
          <w:tcPr>
            <w:tcW w:w="6585" w:type="dxa"/>
            <w:noWrap/>
            <w:vAlign w:val="bottom"/>
            <w:hideMark/>
          </w:tcPr>
          <w:p w14:paraId="5C529C96" w14:textId="45A942D9" w:rsidR="00321F8C" w:rsidRPr="0030118D" w:rsidRDefault="00321F8C" w:rsidP="00321F8C">
            <w:pPr>
              <w:spacing w:after="0" w:line="240" w:lineRule="auto"/>
              <w:rPr>
                <w:rFonts w:asciiTheme="minorBidi" w:eastAsia="Times New Roman" w:hAnsiTheme="minorBidi"/>
                <w:b/>
                <w:bCs/>
                <w:color w:val="000000"/>
                <w:sz w:val="24"/>
                <w:szCs w:val="24"/>
                <w:lang w:eastAsia="en-GB"/>
              </w:rPr>
            </w:pPr>
            <w:r w:rsidRPr="0030118D">
              <w:rPr>
                <w:rFonts w:asciiTheme="minorBidi" w:eastAsia="Times New Roman" w:hAnsiTheme="minorBidi"/>
                <w:b/>
                <w:bCs/>
                <w:color w:val="000000"/>
                <w:sz w:val="24"/>
                <w:szCs w:val="24"/>
                <w:lang w:eastAsia="en-GB"/>
              </w:rPr>
              <w:t>Total</w:t>
            </w:r>
          </w:p>
        </w:tc>
        <w:tc>
          <w:tcPr>
            <w:tcW w:w="1551" w:type="dxa"/>
            <w:noWrap/>
            <w:vAlign w:val="bottom"/>
            <w:hideMark/>
          </w:tcPr>
          <w:p w14:paraId="684DFC6F" w14:textId="77777777" w:rsidR="00321F8C" w:rsidRPr="0030118D" w:rsidRDefault="00321F8C" w:rsidP="00321F8C">
            <w:pPr>
              <w:spacing w:after="0" w:line="240" w:lineRule="auto"/>
              <w:jc w:val="right"/>
              <w:rPr>
                <w:rFonts w:asciiTheme="minorBidi" w:eastAsia="Times New Roman" w:hAnsiTheme="minorBidi"/>
                <w:b/>
                <w:bCs/>
                <w:color w:val="000000"/>
                <w:sz w:val="24"/>
                <w:szCs w:val="24"/>
                <w:lang w:eastAsia="en-GB"/>
              </w:rPr>
            </w:pPr>
            <w:r w:rsidRPr="0030118D">
              <w:rPr>
                <w:rFonts w:asciiTheme="minorBidi" w:eastAsia="Times New Roman" w:hAnsiTheme="minorBidi"/>
                <w:b/>
                <w:bCs/>
                <w:color w:val="000000"/>
                <w:sz w:val="24"/>
                <w:szCs w:val="24"/>
                <w:lang w:eastAsia="en-GB"/>
              </w:rPr>
              <w:t>£2,747,600</w:t>
            </w:r>
          </w:p>
        </w:tc>
        <w:tc>
          <w:tcPr>
            <w:tcW w:w="1060" w:type="dxa"/>
            <w:noWrap/>
            <w:vAlign w:val="bottom"/>
            <w:hideMark/>
          </w:tcPr>
          <w:p w14:paraId="12DA1547" w14:textId="4733B5F9" w:rsidR="00321F8C" w:rsidRPr="0030118D" w:rsidRDefault="00AC5444" w:rsidP="00321F8C">
            <w:pPr>
              <w:spacing w:after="0" w:line="240" w:lineRule="auto"/>
              <w:jc w:val="right"/>
              <w:rPr>
                <w:rFonts w:asciiTheme="minorBidi" w:eastAsia="Times New Roman" w:hAnsiTheme="minorBidi"/>
                <w:b/>
                <w:bCs/>
                <w:color w:val="000000"/>
                <w:sz w:val="24"/>
                <w:szCs w:val="24"/>
                <w:lang w:eastAsia="en-GB"/>
              </w:rPr>
            </w:pPr>
            <w:r w:rsidRPr="0030118D">
              <w:rPr>
                <w:rFonts w:asciiTheme="minorBidi" w:eastAsia="Times New Roman" w:hAnsiTheme="minorBidi"/>
                <w:b/>
                <w:bCs/>
                <w:color w:val="000000"/>
                <w:sz w:val="24"/>
                <w:szCs w:val="24"/>
                <w:lang w:eastAsia="en-GB"/>
              </w:rPr>
              <w:t>100%</w:t>
            </w:r>
          </w:p>
        </w:tc>
      </w:tr>
    </w:tbl>
    <w:p w14:paraId="14AAB1FC" w14:textId="77777777" w:rsidR="00321F8C" w:rsidRDefault="00321F8C" w:rsidP="003053B7">
      <w:pPr>
        <w:rPr>
          <w:rFonts w:asciiTheme="minorBidi" w:hAnsiTheme="minorBidi"/>
          <w:sz w:val="24"/>
          <w:szCs w:val="24"/>
          <w:lang w:eastAsia="en-GB"/>
        </w:rPr>
      </w:pPr>
    </w:p>
    <w:p w14:paraId="18A3A9BA" w14:textId="76633615" w:rsidR="003053B7" w:rsidRPr="003053B7" w:rsidRDefault="003053B7" w:rsidP="00567AD0">
      <w:pPr>
        <w:rPr>
          <w:rFonts w:asciiTheme="minorBidi" w:hAnsiTheme="minorBidi"/>
          <w:sz w:val="24"/>
          <w:szCs w:val="24"/>
          <w:lang w:eastAsia="en-GB"/>
        </w:rPr>
      </w:pPr>
      <w:r>
        <w:rPr>
          <w:rFonts w:asciiTheme="minorBidi" w:hAnsiTheme="minorBidi"/>
          <w:sz w:val="24"/>
          <w:szCs w:val="24"/>
          <w:lang w:eastAsia="en-GB"/>
        </w:rPr>
        <w:t xml:space="preserve">Table 14 shows </w:t>
      </w:r>
      <w:r w:rsidR="00BC0155">
        <w:rPr>
          <w:rFonts w:asciiTheme="minorBidi" w:hAnsiTheme="minorBidi"/>
          <w:sz w:val="24"/>
          <w:szCs w:val="24"/>
          <w:lang w:eastAsia="en-GB"/>
        </w:rPr>
        <w:t>th</w:t>
      </w:r>
      <w:r w:rsidR="0099681B">
        <w:rPr>
          <w:rFonts w:asciiTheme="minorBidi" w:hAnsiTheme="minorBidi"/>
          <w:sz w:val="24"/>
          <w:szCs w:val="24"/>
          <w:lang w:eastAsia="en-GB"/>
        </w:rPr>
        <w:t>is</w:t>
      </w:r>
      <w:r w:rsidR="00BC0155">
        <w:rPr>
          <w:rFonts w:asciiTheme="minorBidi" w:hAnsiTheme="minorBidi"/>
          <w:sz w:val="24"/>
          <w:szCs w:val="24"/>
          <w:lang w:eastAsia="en-GB"/>
        </w:rPr>
        <w:t xml:space="preserve"> unmet need</w:t>
      </w:r>
      <w:r>
        <w:rPr>
          <w:rFonts w:asciiTheme="minorBidi" w:hAnsiTheme="minorBidi"/>
          <w:sz w:val="24"/>
          <w:szCs w:val="24"/>
          <w:lang w:eastAsia="en-GB"/>
        </w:rPr>
        <w:t xml:space="preserve"> by </w:t>
      </w:r>
      <w:r w:rsidR="00877CAA">
        <w:rPr>
          <w:rFonts w:asciiTheme="minorBidi" w:hAnsiTheme="minorBidi"/>
          <w:sz w:val="24"/>
          <w:szCs w:val="24"/>
          <w:lang w:eastAsia="en-GB"/>
        </w:rPr>
        <w:t>priority</w:t>
      </w:r>
      <w:r w:rsidR="006C44CD">
        <w:rPr>
          <w:rFonts w:asciiTheme="minorBidi" w:hAnsiTheme="minorBidi"/>
          <w:sz w:val="24"/>
          <w:szCs w:val="24"/>
          <w:lang w:eastAsia="en-GB"/>
        </w:rPr>
        <w:t xml:space="preserve">. </w:t>
      </w:r>
      <w:r w:rsidR="00EC522E" w:rsidRPr="00EC522E">
        <w:rPr>
          <w:rFonts w:asciiTheme="minorBidi" w:hAnsiTheme="minorBidi"/>
          <w:sz w:val="24"/>
          <w:szCs w:val="24"/>
          <w:lang w:eastAsia="en-GB"/>
        </w:rPr>
        <w:t xml:space="preserve">The largest area of unmet need was </w:t>
      </w:r>
      <w:r w:rsidR="00567AD0">
        <w:rPr>
          <w:rFonts w:asciiTheme="minorBidi" w:hAnsiTheme="minorBidi"/>
          <w:sz w:val="24"/>
          <w:szCs w:val="24"/>
          <w:lang w:eastAsia="en-GB"/>
        </w:rPr>
        <w:t xml:space="preserve">in </w:t>
      </w:r>
      <w:r w:rsidR="00EC522E" w:rsidRPr="00EC522E">
        <w:rPr>
          <w:rFonts w:asciiTheme="minorBidi" w:hAnsiTheme="minorBidi"/>
          <w:sz w:val="24"/>
          <w:szCs w:val="24"/>
          <w:lang w:eastAsia="en-GB"/>
        </w:rPr>
        <w:t xml:space="preserve">qualifying and post-qualifying social work training, </w:t>
      </w:r>
      <w:r w:rsidR="00567AD0" w:rsidRPr="00EC522E">
        <w:rPr>
          <w:rFonts w:asciiTheme="minorBidi" w:hAnsiTheme="minorBidi"/>
          <w:sz w:val="24"/>
          <w:szCs w:val="24"/>
          <w:lang w:eastAsia="en-GB"/>
        </w:rPr>
        <w:t>totalling</w:t>
      </w:r>
      <w:r w:rsidR="00EC522E" w:rsidRPr="00EC522E">
        <w:rPr>
          <w:rFonts w:asciiTheme="minorBidi" w:hAnsiTheme="minorBidi"/>
          <w:sz w:val="24"/>
          <w:szCs w:val="24"/>
          <w:lang w:eastAsia="en-GB"/>
        </w:rPr>
        <w:t xml:space="preserve"> £982,408 (35.8</w:t>
      </w:r>
      <w:r w:rsidR="00567AD0">
        <w:rPr>
          <w:rFonts w:asciiTheme="minorBidi" w:hAnsiTheme="minorBidi"/>
          <w:sz w:val="24"/>
          <w:szCs w:val="24"/>
          <w:lang w:eastAsia="en-GB"/>
        </w:rPr>
        <w:t xml:space="preserve"> per cent</w:t>
      </w:r>
      <w:r w:rsidR="00EC522E" w:rsidRPr="00EC522E">
        <w:rPr>
          <w:rFonts w:asciiTheme="minorBidi" w:hAnsiTheme="minorBidi"/>
          <w:sz w:val="24"/>
          <w:szCs w:val="24"/>
          <w:lang w:eastAsia="en-GB"/>
        </w:rPr>
        <w:t>).</w:t>
      </w:r>
      <w:r w:rsidR="00567AD0">
        <w:rPr>
          <w:rFonts w:asciiTheme="minorBidi" w:hAnsiTheme="minorBidi"/>
          <w:sz w:val="24"/>
          <w:szCs w:val="24"/>
          <w:lang w:eastAsia="en-GB"/>
        </w:rPr>
        <w:t xml:space="preserve"> </w:t>
      </w:r>
      <w:r w:rsidR="00EC522E" w:rsidRPr="00EC522E">
        <w:rPr>
          <w:rFonts w:asciiTheme="minorBidi" w:hAnsiTheme="minorBidi"/>
          <w:sz w:val="24"/>
          <w:szCs w:val="24"/>
          <w:lang w:eastAsia="en-GB"/>
        </w:rPr>
        <w:t>Excellent education and learning also represented a significant portion at £775,232 (28.2</w:t>
      </w:r>
      <w:r w:rsidR="00567AD0">
        <w:rPr>
          <w:rFonts w:asciiTheme="minorBidi" w:hAnsiTheme="minorBidi"/>
          <w:sz w:val="24"/>
          <w:szCs w:val="24"/>
          <w:lang w:eastAsia="en-GB"/>
        </w:rPr>
        <w:t xml:space="preserve"> per cent</w:t>
      </w:r>
      <w:r w:rsidR="00EC522E" w:rsidRPr="00EC522E">
        <w:rPr>
          <w:rFonts w:asciiTheme="minorBidi" w:hAnsiTheme="minorBidi"/>
          <w:sz w:val="24"/>
          <w:szCs w:val="24"/>
          <w:lang w:eastAsia="en-GB"/>
        </w:rPr>
        <w:t>).</w:t>
      </w:r>
    </w:p>
    <w:p w14:paraId="18B0EF38" w14:textId="77777777" w:rsidR="006D4EFA" w:rsidRDefault="006D4EFA">
      <w:pPr>
        <w:rPr>
          <w:rFonts w:ascii="Arial" w:eastAsiaTheme="majorEastAsia" w:hAnsi="Arial" w:cs="Arial"/>
          <w:b/>
          <w:color w:val="11846A"/>
          <w:sz w:val="32"/>
          <w:szCs w:val="32"/>
          <w:lang w:eastAsia="en-GB"/>
        </w:rPr>
      </w:pPr>
      <w:bookmarkStart w:id="55" w:name="_Toc211279638"/>
      <w:r>
        <w:br w:type="page"/>
      </w:r>
    </w:p>
    <w:p w14:paraId="7F9C5F3C" w14:textId="3A2781F2" w:rsidR="00010797" w:rsidRPr="0019368B" w:rsidRDefault="00010797" w:rsidP="0019368B">
      <w:pPr>
        <w:pStyle w:val="Heading2"/>
        <w:numPr>
          <w:ilvl w:val="0"/>
          <w:numId w:val="119"/>
        </w:numPr>
      </w:pPr>
      <w:r w:rsidRPr="00010797">
        <w:lastRenderedPageBreak/>
        <w:t>Developmental areas in future years</w:t>
      </w:r>
      <w:bookmarkEnd w:id="55"/>
    </w:p>
    <w:p w14:paraId="5473AE52" w14:textId="64367161" w:rsidR="002D1B1F" w:rsidRPr="00C92ECE" w:rsidRDefault="002D1B1F" w:rsidP="002D1B1F">
      <w:pPr>
        <w:spacing w:after="0" w:line="240" w:lineRule="auto"/>
        <w:rPr>
          <w:rFonts w:ascii="Arial" w:hAnsi="Arial" w:cs="Arial"/>
          <w:highlight w:val="yellow"/>
        </w:rPr>
      </w:pPr>
    </w:p>
    <w:p w14:paraId="48B1B499" w14:textId="5188D75A" w:rsidR="0032296F" w:rsidRPr="00C92ECE" w:rsidRDefault="000A04CA" w:rsidP="002D1B1F">
      <w:pPr>
        <w:spacing w:after="0" w:line="240" w:lineRule="auto"/>
        <w:rPr>
          <w:rFonts w:ascii="Arial" w:hAnsi="Arial" w:cs="Arial"/>
          <w:sz w:val="24"/>
          <w:szCs w:val="24"/>
        </w:rPr>
      </w:pPr>
      <w:r w:rsidRPr="005B299E">
        <w:rPr>
          <w:rFonts w:ascii="Arial" w:hAnsi="Arial" w:cs="Arial"/>
          <w:sz w:val="24"/>
          <w:szCs w:val="24"/>
        </w:rPr>
        <w:t xml:space="preserve">By </w:t>
      </w:r>
      <w:r w:rsidR="00F33787" w:rsidRPr="005B299E">
        <w:rPr>
          <w:rFonts w:ascii="Arial" w:hAnsi="Arial" w:cs="Arial"/>
          <w:sz w:val="24"/>
          <w:szCs w:val="24"/>
        </w:rPr>
        <w:t xml:space="preserve">analysing the </w:t>
      </w:r>
      <w:r w:rsidR="0032296F" w:rsidRPr="005B299E">
        <w:rPr>
          <w:rFonts w:ascii="Arial" w:hAnsi="Arial" w:cs="Arial"/>
          <w:sz w:val="24"/>
          <w:szCs w:val="24"/>
        </w:rPr>
        <w:t>end of year report</w:t>
      </w:r>
      <w:r w:rsidR="00F33787" w:rsidRPr="005B299E">
        <w:rPr>
          <w:rFonts w:ascii="Arial" w:hAnsi="Arial" w:cs="Arial"/>
          <w:sz w:val="24"/>
          <w:szCs w:val="24"/>
        </w:rPr>
        <w:t>s</w:t>
      </w:r>
      <w:r w:rsidR="0032296F" w:rsidRPr="005B299E">
        <w:rPr>
          <w:rFonts w:ascii="Arial" w:hAnsi="Arial" w:cs="Arial"/>
          <w:sz w:val="24"/>
          <w:szCs w:val="24"/>
        </w:rPr>
        <w:t xml:space="preserve"> for </w:t>
      </w:r>
      <w:r w:rsidR="00D22E0A" w:rsidRPr="005B299E">
        <w:rPr>
          <w:rFonts w:ascii="Arial" w:hAnsi="Arial" w:cs="Arial"/>
          <w:sz w:val="24"/>
          <w:szCs w:val="24"/>
        </w:rPr>
        <w:t>202</w:t>
      </w:r>
      <w:r w:rsidR="00D22E0A" w:rsidRPr="00C92ECE">
        <w:rPr>
          <w:rFonts w:ascii="Arial" w:hAnsi="Arial" w:cs="Arial"/>
          <w:sz w:val="24"/>
          <w:szCs w:val="24"/>
        </w:rPr>
        <w:t>4</w:t>
      </w:r>
      <w:r w:rsidR="00D22E0A" w:rsidRPr="005B299E">
        <w:rPr>
          <w:rFonts w:ascii="Arial" w:hAnsi="Arial" w:cs="Arial"/>
          <w:sz w:val="24"/>
          <w:szCs w:val="24"/>
        </w:rPr>
        <w:t xml:space="preserve"> </w:t>
      </w:r>
      <w:r w:rsidR="00733963" w:rsidRPr="005B299E">
        <w:rPr>
          <w:rFonts w:ascii="Arial" w:hAnsi="Arial" w:cs="Arial"/>
          <w:sz w:val="24"/>
          <w:szCs w:val="24"/>
        </w:rPr>
        <w:t xml:space="preserve">to </w:t>
      </w:r>
      <w:r w:rsidR="00D22E0A" w:rsidRPr="005B299E">
        <w:rPr>
          <w:rFonts w:ascii="Arial" w:hAnsi="Arial" w:cs="Arial"/>
          <w:sz w:val="24"/>
          <w:szCs w:val="24"/>
        </w:rPr>
        <w:t>202</w:t>
      </w:r>
      <w:r w:rsidR="00D22E0A" w:rsidRPr="00C92ECE">
        <w:rPr>
          <w:rFonts w:ascii="Arial" w:hAnsi="Arial" w:cs="Arial"/>
          <w:sz w:val="24"/>
          <w:szCs w:val="24"/>
        </w:rPr>
        <w:t>5</w:t>
      </w:r>
      <w:r w:rsidRPr="005B299E">
        <w:rPr>
          <w:rFonts w:ascii="Arial" w:hAnsi="Arial" w:cs="Arial"/>
          <w:sz w:val="24"/>
          <w:szCs w:val="24"/>
        </w:rPr>
        <w:t>,</w:t>
      </w:r>
      <w:r w:rsidR="00F33787" w:rsidRPr="005B299E">
        <w:rPr>
          <w:rFonts w:ascii="Arial" w:hAnsi="Arial" w:cs="Arial"/>
          <w:sz w:val="24"/>
          <w:szCs w:val="24"/>
        </w:rPr>
        <w:t xml:space="preserve"> </w:t>
      </w:r>
      <w:r w:rsidR="0099681B">
        <w:rPr>
          <w:rFonts w:ascii="Arial" w:hAnsi="Arial" w:cs="Arial"/>
          <w:sz w:val="24"/>
          <w:szCs w:val="24"/>
        </w:rPr>
        <w:t>a</w:t>
      </w:r>
      <w:r w:rsidR="001D7AC6">
        <w:rPr>
          <w:rFonts w:ascii="Arial" w:hAnsi="Arial" w:cs="Arial"/>
          <w:sz w:val="24"/>
          <w:szCs w:val="24"/>
        </w:rPr>
        <w:t xml:space="preserve">nd collecting </w:t>
      </w:r>
      <w:r w:rsidR="00876161" w:rsidRPr="005B299E">
        <w:rPr>
          <w:rFonts w:ascii="Arial" w:hAnsi="Arial" w:cs="Arial"/>
          <w:sz w:val="24"/>
          <w:szCs w:val="24"/>
        </w:rPr>
        <w:t>feedback with the regional workforce leads</w:t>
      </w:r>
      <w:r w:rsidR="00733963" w:rsidRPr="005B299E">
        <w:rPr>
          <w:rFonts w:ascii="Arial" w:hAnsi="Arial" w:cs="Arial"/>
          <w:sz w:val="24"/>
          <w:szCs w:val="24"/>
        </w:rPr>
        <w:t>,</w:t>
      </w:r>
      <w:r w:rsidR="00876161" w:rsidRPr="005B299E">
        <w:rPr>
          <w:rFonts w:ascii="Arial" w:hAnsi="Arial" w:cs="Arial"/>
          <w:sz w:val="24"/>
          <w:szCs w:val="24"/>
        </w:rPr>
        <w:t xml:space="preserve"> we</w:t>
      </w:r>
      <w:r w:rsidR="001D7AC6">
        <w:rPr>
          <w:rFonts w:ascii="Arial" w:hAnsi="Arial" w:cs="Arial"/>
          <w:sz w:val="24"/>
          <w:szCs w:val="24"/>
        </w:rPr>
        <w:t>’ve</w:t>
      </w:r>
      <w:r w:rsidR="00876161" w:rsidRPr="005B299E">
        <w:rPr>
          <w:rFonts w:ascii="Arial" w:hAnsi="Arial" w:cs="Arial"/>
          <w:sz w:val="24"/>
          <w:szCs w:val="24"/>
        </w:rPr>
        <w:t xml:space="preserve"> </w:t>
      </w:r>
      <w:r w:rsidR="00876161" w:rsidRPr="00012594">
        <w:rPr>
          <w:rFonts w:ascii="Arial" w:hAnsi="Arial" w:cs="Arial"/>
          <w:sz w:val="24"/>
          <w:szCs w:val="24"/>
        </w:rPr>
        <w:t xml:space="preserve">identified </w:t>
      </w:r>
      <w:r w:rsidR="00570343" w:rsidRPr="00012594">
        <w:rPr>
          <w:rFonts w:ascii="Arial" w:hAnsi="Arial" w:cs="Arial"/>
          <w:sz w:val="24"/>
          <w:szCs w:val="24"/>
        </w:rPr>
        <w:t>five</w:t>
      </w:r>
      <w:r w:rsidR="00E35C7E" w:rsidRPr="00012594">
        <w:rPr>
          <w:rFonts w:ascii="Arial" w:hAnsi="Arial" w:cs="Arial"/>
          <w:sz w:val="24"/>
          <w:szCs w:val="24"/>
        </w:rPr>
        <w:t xml:space="preserve"> </w:t>
      </w:r>
      <w:r w:rsidR="00110724" w:rsidRPr="00012594">
        <w:rPr>
          <w:rFonts w:ascii="Arial" w:hAnsi="Arial" w:cs="Arial"/>
          <w:sz w:val="24"/>
          <w:szCs w:val="24"/>
        </w:rPr>
        <w:t xml:space="preserve">areas </w:t>
      </w:r>
      <w:r w:rsidR="001D7AC6">
        <w:rPr>
          <w:rFonts w:ascii="Arial" w:hAnsi="Arial" w:cs="Arial"/>
          <w:sz w:val="24"/>
          <w:szCs w:val="24"/>
        </w:rPr>
        <w:t>to focus on. W</w:t>
      </w:r>
      <w:r w:rsidRPr="005B299E">
        <w:rPr>
          <w:rFonts w:ascii="Arial" w:hAnsi="Arial" w:cs="Arial"/>
          <w:sz w:val="24"/>
          <w:szCs w:val="24"/>
        </w:rPr>
        <w:t>e’ll</w:t>
      </w:r>
      <w:r w:rsidR="00110724" w:rsidRPr="005B299E">
        <w:rPr>
          <w:rFonts w:ascii="Arial" w:hAnsi="Arial" w:cs="Arial"/>
          <w:sz w:val="24"/>
          <w:szCs w:val="24"/>
        </w:rPr>
        <w:t xml:space="preserve"> </w:t>
      </w:r>
      <w:r w:rsidR="00D734F3">
        <w:rPr>
          <w:rFonts w:ascii="Arial" w:hAnsi="Arial" w:cs="Arial"/>
          <w:sz w:val="24"/>
          <w:szCs w:val="24"/>
        </w:rPr>
        <w:t xml:space="preserve">continue to </w:t>
      </w:r>
      <w:r w:rsidR="00B457B3" w:rsidRPr="005B299E">
        <w:rPr>
          <w:rFonts w:ascii="Arial" w:hAnsi="Arial" w:cs="Arial"/>
          <w:sz w:val="24"/>
          <w:szCs w:val="24"/>
        </w:rPr>
        <w:t>work</w:t>
      </w:r>
      <w:r w:rsidR="00110724" w:rsidRPr="005B299E">
        <w:rPr>
          <w:rFonts w:ascii="Arial" w:hAnsi="Arial" w:cs="Arial"/>
          <w:sz w:val="24"/>
          <w:szCs w:val="24"/>
        </w:rPr>
        <w:t xml:space="preserve"> on</w:t>
      </w:r>
      <w:r w:rsidR="00CA54B5">
        <w:rPr>
          <w:rFonts w:ascii="Arial" w:hAnsi="Arial" w:cs="Arial"/>
          <w:sz w:val="24"/>
          <w:szCs w:val="24"/>
        </w:rPr>
        <w:t xml:space="preserve"> </w:t>
      </w:r>
      <w:r w:rsidR="001D7AC6">
        <w:rPr>
          <w:rFonts w:ascii="Arial" w:hAnsi="Arial" w:cs="Arial"/>
          <w:sz w:val="24"/>
          <w:szCs w:val="24"/>
        </w:rPr>
        <w:t xml:space="preserve">these </w:t>
      </w:r>
      <w:r w:rsidR="003A6DAD">
        <w:rPr>
          <w:rFonts w:ascii="Arial" w:hAnsi="Arial" w:cs="Arial"/>
          <w:sz w:val="24"/>
          <w:szCs w:val="24"/>
        </w:rPr>
        <w:t xml:space="preserve">with </w:t>
      </w:r>
      <w:r w:rsidR="00CA54B5">
        <w:rPr>
          <w:rFonts w:ascii="Arial" w:hAnsi="Arial" w:cs="Arial"/>
          <w:sz w:val="24"/>
          <w:szCs w:val="24"/>
        </w:rPr>
        <w:t>organisations</w:t>
      </w:r>
      <w:r w:rsidR="003A6DAD">
        <w:rPr>
          <w:rFonts w:ascii="Arial" w:hAnsi="Arial" w:cs="Arial"/>
          <w:sz w:val="24"/>
          <w:szCs w:val="24"/>
        </w:rPr>
        <w:t xml:space="preserve"> and partners</w:t>
      </w:r>
      <w:r w:rsidR="00110724" w:rsidRPr="005B299E">
        <w:rPr>
          <w:rFonts w:ascii="Arial" w:hAnsi="Arial" w:cs="Arial"/>
          <w:sz w:val="24"/>
          <w:szCs w:val="24"/>
        </w:rPr>
        <w:t xml:space="preserve"> in </w:t>
      </w:r>
      <w:r w:rsidR="005B299E" w:rsidRPr="005B299E">
        <w:rPr>
          <w:rFonts w:ascii="Arial" w:hAnsi="Arial" w:cs="Arial"/>
          <w:sz w:val="24"/>
          <w:szCs w:val="24"/>
        </w:rPr>
        <w:t>202</w:t>
      </w:r>
      <w:r w:rsidR="005B299E" w:rsidRPr="00C92ECE">
        <w:rPr>
          <w:rFonts w:ascii="Arial" w:hAnsi="Arial" w:cs="Arial"/>
          <w:sz w:val="24"/>
          <w:szCs w:val="24"/>
        </w:rPr>
        <w:t>6</w:t>
      </w:r>
      <w:r w:rsidR="005B299E" w:rsidRPr="005B299E">
        <w:rPr>
          <w:rFonts w:ascii="Arial" w:hAnsi="Arial" w:cs="Arial"/>
          <w:sz w:val="24"/>
          <w:szCs w:val="24"/>
        </w:rPr>
        <w:t xml:space="preserve"> </w:t>
      </w:r>
      <w:r w:rsidR="001E54DC" w:rsidRPr="005B299E">
        <w:rPr>
          <w:rFonts w:ascii="Arial" w:hAnsi="Arial" w:cs="Arial"/>
          <w:sz w:val="24"/>
          <w:szCs w:val="24"/>
        </w:rPr>
        <w:t>to</w:t>
      </w:r>
      <w:r w:rsidR="00733963" w:rsidRPr="005B299E">
        <w:rPr>
          <w:rFonts w:ascii="Arial" w:hAnsi="Arial" w:cs="Arial"/>
          <w:sz w:val="24"/>
          <w:szCs w:val="24"/>
        </w:rPr>
        <w:t xml:space="preserve"> </w:t>
      </w:r>
      <w:r w:rsidR="005B299E" w:rsidRPr="005B299E">
        <w:rPr>
          <w:rFonts w:ascii="Arial" w:hAnsi="Arial" w:cs="Arial"/>
          <w:sz w:val="24"/>
          <w:szCs w:val="24"/>
        </w:rPr>
        <w:t>202</w:t>
      </w:r>
      <w:r w:rsidR="005B299E" w:rsidRPr="00C92ECE">
        <w:rPr>
          <w:rFonts w:ascii="Arial" w:hAnsi="Arial" w:cs="Arial"/>
          <w:sz w:val="24"/>
          <w:szCs w:val="24"/>
        </w:rPr>
        <w:t>7</w:t>
      </w:r>
      <w:r w:rsidR="0047032A" w:rsidRPr="005B299E">
        <w:rPr>
          <w:rFonts w:ascii="Arial" w:hAnsi="Arial" w:cs="Arial"/>
          <w:sz w:val="24"/>
          <w:szCs w:val="24"/>
        </w:rPr>
        <w:t>.</w:t>
      </w:r>
      <w:r w:rsidR="00F33787" w:rsidRPr="005B299E">
        <w:rPr>
          <w:rFonts w:ascii="Arial" w:hAnsi="Arial" w:cs="Arial"/>
          <w:sz w:val="24"/>
          <w:szCs w:val="24"/>
        </w:rPr>
        <w:t xml:space="preserve"> </w:t>
      </w:r>
    </w:p>
    <w:p w14:paraId="5D129D4E" w14:textId="77777777" w:rsidR="006370B4" w:rsidRDefault="006370B4" w:rsidP="002D1B1F">
      <w:pPr>
        <w:spacing w:after="0" w:line="240" w:lineRule="auto"/>
        <w:rPr>
          <w:rFonts w:ascii="Arial" w:hAnsi="Arial" w:cs="Arial"/>
          <w:sz w:val="24"/>
          <w:szCs w:val="24"/>
          <w:highlight w:val="yellow"/>
        </w:rPr>
      </w:pPr>
    </w:p>
    <w:p w14:paraId="51EA0912" w14:textId="0B64E70E" w:rsidR="0080796C" w:rsidRDefault="0080796C" w:rsidP="00EA2985">
      <w:pPr>
        <w:pStyle w:val="Heading3"/>
      </w:pPr>
      <w:bookmarkStart w:id="56" w:name="_Toc210987786"/>
      <w:bookmarkStart w:id="57" w:name="_Toc211279639"/>
      <w:r>
        <w:t>Building a digitally ready workforce</w:t>
      </w:r>
      <w:bookmarkEnd w:id="56"/>
      <w:bookmarkEnd w:id="57"/>
    </w:p>
    <w:p w14:paraId="73E42A13" w14:textId="6771DFAC" w:rsidR="006C02AB" w:rsidRDefault="0080796C" w:rsidP="006C02AB">
      <w:pPr>
        <w:numPr>
          <w:ilvl w:val="0"/>
          <w:numId w:val="6"/>
        </w:numPr>
        <w:spacing w:after="200" w:line="276" w:lineRule="auto"/>
        <w:ind w:left="567" w:hanging="425"/>
        <w:contextualSpacing/>
        <w:rPr>
          <w:rFonts w:ascii="Arial" w:eastAsia="Calibri" w:hAnsi="Arial" w:cs="Arial"/>
          <w:sz w:val="24"/>
          <w:szCs w:val="24"/>
          <w:lang w:eastAsia="en-GB"/>
        </w:rPr>
      </w:pPr>
      <w:r w:rsidRPr="006C02AB">
        <w:rPr>
          <w:rFonts w:ascii="Arial" w:eastAsia="Calibri" w:hAnsi="Arial" w:cs="Arial"/>
          <w:sz w:val="24"/>
          <w:szCs w:val="24"/>
          <w:lang w:eastAsia="en-GB"/>
        </w:rPr>
        <w:t xml:space="preserve">In 2024 to 2025 the most significant decline in SCWWDP spend </w:t>
      </w:r>
      <w:r w:rsidR="005B1FDE">
        <w:rPr>
          <w:rFonts w:ascii="Arial" w:eastAsia="Calibri" w:hAnsi="Arial" w:cs="Arial"/>
          <w:sz w:val="24"/>
          <w:szCs w:val="24"/>
          <w:lang w:eastAsia="en-GB"/>
        </w:rPr>
        <w:t xml:space="preserve">and </w:t>
      </w:r>
      <w:r w:rsidRPr="006C02AB">
        <w:rPr>
          <w:rFonts w:ascii="Arial" w:eastAsia="Calibri" w:hAnsi="Arial" w:cs="Arial"/>
          <w:sz w:val="24"/>
          <w:szCs w:val="24"/>
          <w:lang w:eastAsia="en-GB"/>
        </w:rPr>
        <w:t xml:space="preserve">additional local authority funding on national priorities was in building a digitally ready workforce. </w:t>
      </w:r>
      <w:r w:rsidR="00FC43EF">
        <w:rPr>
          <w:rFonts w:ascii="Arial" w:eastAsia="Calibri" w:hAnsi="Arial" w:cs="Arial"/>
          <w:sz w:val="24"/>
          <w:szCs w:val="24"/>
          <w:lang w:eastAsia="en-GB"/>
        </w:rPr>
        <w:t>Regions</w:t>
      </w:r>
      <w:r w:rsidRPr="006C02AB">
        <w:rPr>
          <w:rFonts w:ascii="Arial" w:eastAsia="Calibri" w:hAnsi="Arial" w:cs="Arial"/>
          <w:sz w:val="24"/>
          <w:szCs w:val="24"/>
          <w:lang w:eastAsia="en-GB"/>
        </w:rPr>
        <w:t xml:space="preserve"> have shared </w:t>
      </w:r>
      <w:r w:rsidR="00FC43EF">
        <w:rPr>
          <w:rFonts w:ascii="Arial" w:eastAsia="Calibri" w:hAnsi="Arial" w:cs="Arial"/>
          <w:sz w:val="24"/>
          <w:szCs w:val="24"/>
          <w:lang w:eastAsia="en-GB"/>
        </w:rPr>
        <w:t>informally</w:t>
      </w:r>
      <w:r w:rsidR="00150208">
        <w:rPr>
          <w:rFonts w:ascii="Arial" w:eastAsia="Calibri" w:hAnsi="Arial" w:cs="Arial"/>
          <w:sz w:val="24"/>
          <w:szCs w:val="24"/>
          <w:lang w:eastAsia="en-GB"/>
        </w:rPr>
        <w:t xml:space="preserve"> </w:t>
      </w:r>
      <w:r w:rsidR="00801C5E">
        <w:rPr>
          <w:rFonts w:ascii="Arial" w:eastAsia="Calibri" w:hAnsi="Arial" w:cs="Arial"/>
          <w:sz w:val="24"/>
          <w:szCs w:val="24"/>
          <w:lang w:eastAsia="en-GB"/>
        </w:rPr>
        <w:t xml:space="preserve">that </w:t>
      </w:r>
      <w:r w:rsidR="00150208">
        <w:rPr>
          <w:rFonts w:ascii="Arial" w:eastAsia="Calibri" w:hAnsi="Arial" w:cs="Arial"/>
          <w:sz w:val="24"/>
          <w:szCs w:val="24"/>
          <w:lang w:eastAsia="en-GB"/>
        </w:rPr>
        <w:t>developing</w:t>
      </w:r>
      <w:r w:rsidRPr="006C02AB">
        <w:rPr>
          <w:rFonts w:ascii="Arial" w:eastAsia="Calibri" w:hAnsi="Arial" w:cs="Arial"/>
          <w:sz w:val="24"/>
          <w:szCs w:val="24"/>
          <w:lang w:eastAsia="en-GB"/>
        </w:rPr>
        <w:t xml:space="preserve"> digital skills and building a digitally ready workforce </w:t>
      </w:r>
      <w:r w:rsidR="00150208">
        <w:rPr>
          <w:rFonts w:ascii="Arial" w:eastAsia="Calibri" w:hAnsi="Arial" w:cs="Arial"/>
          <w:sz w:val="24"/>
          <w:szCs w:val="24"/>
          <w:lang w:eastAsia="en-GB"/>
        </w:rPr>
        <w:t xml:space="preserve">is </w:t>
      </w:r>
      <w:r w:rsidRPr="006C02AB">
        <w:rPr>
          <w:rFonts w:ascii="Arial" w:eastAsia="Calibri" w:hAnsi="Arial" w:cs="Arial"/>
          <w:sz w:val="24"/>
          <w:szCs w:val="24"/>
          <w:lang w:eastAsia="en-GB"/>
        </w:rPr>
        <w:t xml:space="preserve">often </w:t>
      </w:r>
      <w:r w:rsidR="00150208">
        <w:rPr>
          <w:rFonts w:ascii="Arial" w:eastAsia="Calibri" w:hAnsi="Arial" w:cs="Arial"/>
          <w:sz w:val="24"/>
          <w:szCs w:val="24"/>
          <w:lang w:eastAsia="en-GB"/>
        </w:rPr>
        <w:t xml:space="preserve">the lowest </w:t>
      </w:r>
      <w:r w:rsidRPr="006C02AB">
        <w:rPr>
          <w:rFonts w:ascii="Arial" w:eastAsia="Calibri" w:hAnsi="Arial" w:cs="Arial"/>
          <w:sz w:val="24"/>
          <w:szCs w:val="24"/>
          <w:lang w:eastAsia="en-GB"/>
        </w:rPr>
        <w:t>priorit</w:t>
      </w:r>
      <w:r w:rsidR="00ED4161">
        <w:rPr>
          <w:rFonts w:ascii="Arial" w:eastAsia="Calibri" w:hAnsi="Arial" w:cs="Arial"/>
          <w:sz w:val="24"/>
          <w:szCs w:val="24"/>
          <w:lang w:eastAsia="en-GB"/>
        </w:rPr>
        <w:t>y</w:t>
      </w:r>
      <w:r w:rsidRPr="006C02AB">
        <w:rPr>
          <w:rFonts w:ascii="Arial" w:eastAsia="Calibri" w:hAnsi="Arial" w:cs="Arial"/>
          <w:sz w:val="24"/>
          <w:szCs w:val="24"/>
          <w:lang w:eastAsia="en-GB"/>
        </w:rPr>
        <w:t xml:space="preserve">, </w:t>
      </w:r>
      <w:r w:rsidR="00ED4161">
        <w:rPr>
          <w:rFonts w:ascii="Arial" w:eastAsia="Calibri" w:hAnsi="Arial" w:cs="Arial"/>
          <w:sz w:val="24"/>
          <w:szCs w:val="24"/>
          <w:lang w:eastAsia="en-GB"/>
        </w:rPr>
        <w:t>mainly because of</w:t>
      </w:r>
      <w:r w:rsidRPr="006C02AB">
        <w:rPr>
          <w:rFonts w:ascii="Arial" w:eastAsia="Calibri" w:hAnsi="Arial" w:cs="Arial"/>
          <w:sz w:val="24"/>
          <w:szCs w:val="24"/>
          <w:lang w:eastAsia="en-GB"/>
        </w:rPr>
        <w:t xml:space="preserve"> limited funding. </w:t>
      </w:r>
    </w:p>
    <w:p w14:paraId="568C709F" w14:textId="77777777" w:rsidR="006C02AB" w:rsidRDefault="006C02AB" w:rsidP="00C92ECE">
      <w:pPr>
        <w:spacing w:after="200" w:line="276" w:lineRule="auto"/>
        <w:ind w:left="567"/>
        <w:contextualSpacing/>
        <w:rPr>
          <w:rFonts w:ascii="Arial" w:eastAsia="Calibri" w:hAnsi="Arial" w:cs="Arial"/>
          <w:sz w:val="24"/>
          <w:szCs w:val="24"/>
          <w:lang w:eastAsia="en-GB"/>
        </w:rPr>
      </w:pPr>
    </w:p>
    <w:p w14:paraId="745EE25E" w14:textId="031FBC6B" w:rsidR="00ED2D0C" w:rsidRDefault="0080796C" w:rsidP="00ED2D0C">
      <w:pPr>
        <w:numPr>
          <w:ilvl w:val="0"/>
          <w:numId w:val="6"/>
        </w:numPr>
        <w:spacing w:after="200" w:line="276" w:lineRule="auto"/>
        <w:ind w:left="567" w:hanging="425"/>
        <w:contextualSpacing/>
        <w:rPr>
          <w:rFonts w:ascii="Arial" w:eastAsia="Calibri" w:hAnsi="Arial" w:cs="Arial"/>
          <w:sz w:val="24"/>
          <w:szCs w:val="24"/>
          <w:lang w:eastAsia="en-GB"/>
        </w:rPr>
      </w:pPr>
      <w:r w:rsidRPr="006C02AB">
        <w:rPr>
          <w:rFonts w:ascii="Arial" w:eastAsia="Calibri" w:hAnsi="Arial" w:cs="Arial"/>
          <w:sz w:val="24"/>
          <w:szCs w:val="24"/>
          <w:lang w:eastAsia="en-GB"/>
        </w:rPr>
        <w:t>However, during 2024 to 2025, regions and local authorities were aware of, and in some cases actively involved in develop</w:t>
      </w:r>
      <w:r w:rsidR="002231B0">
        <w:rPr>
          <w:rFonts w:ascii="Arial" w:eastAsia="Calibri" w:hAnsi="Arial" w:cs="Arial"/>
          <w:sz w:val="24"/>
          <w:szCs w:val="24"/>
          <w:lang w:eastAsia="en-GB"/>
        </w:rPr>
        <w:t>ing</w:t>
      </w:r>
      <w:r w:rsidRPr="006C02AB">
        <w:rPr>
          <w:rFonts w:ascii="Arial" w:eastAsia="Calibri" w:hAnsi="Arial" w:cs="Arial"/>
          <w:sz w:val="24"/>
          <w:szCs w:val="24"/>
          <w:lang w:eastAsia="en-GB"/>
        </w:rPr>
        <w:t xml:space="preserve"> the </w:t>
      </w:r>
      <w:r w:rsidR="001E32E5">
        <w:rPr>
          <w:rFonts w:ascii="Arial" w:eastAsia="Calibri" w:hAnsi="Arial" w:cs="Arial"/>
          <w:sz w:val="24"/>
          <w:szCs w:val="24"/>
          <w:lang w:eastAsia="en-GB"/>
        </w:rPr>
        <w:t>d</w:t>
      </w:r>
      <w:r w:rsidRPr="006C02AB">
        <w:rPr>
          <w:rFonts w:ascii="Arial" w:eastAsia="Calibri" w:hAnsi="Arial" w:cs="Arial"/>
          <w:sz w:val="24"/>
          <w:szCs w:val="24"/>
          <w:lang w:eastAsia="en-GB"/>
        </w:rPr>
        <w:t xml:space="preserve">igital </w:t>
      </w:r>
      <w:r w:rsidR="001E32E5">
        <w:rPr>
          <w:rFonts w:ascii="Arial" w:eastAsia="Calibri" w:hAnsi="Arial" w:cs="Arial"/>
          <w:sz w:val="24"/>
          <w:szCs w:val="24"/>
          <w:lang w:eastAsia="en-GB"/>
        </w:rPr>
        <w:t>p</w:t>
      </w:r>
      <w:r w:rsidRPr="006C02AB">
        <w:rPr>
          <w:rFonts w:ascii="Arial" w:eastAsia="Calibri" w:hAnsi="Arial" w:cs="Arial"/>
          <w:sz w:val="24"/>
          <w:szCs w:val="24"/>
          <w:lang w:eastAsia="en-GB"/>
        </w:rPr>
        <w:t xml:space="preserve">otential </w:t>
      </w:r>
      <w:r w:rsidR="001E32E5">
        <w:rPr>
          <w:rFonts w:ascii="Arial" w:eastAsia="Calibri" w:hAnsi="Arial" w:cs="Arial"/>
          <w:sz w:val="24"/>
          <w:szCs w:val="24"/>
          <w:lang w:eastAsia="en-GB"/>
        </w:rPr>
        <w:t>t</w:t>
      </w:r>
      <w:r w:rsidRPr="006C02AB">
        <w:rPr>
          <w:rFonts w:ascii="Arial" w:eastAsia="Calibri" w:hAnsi="Arial" w:cs="Arial"/>
          <w:sz w:val="24"/>
          <w:szCs w:val="24"/>
          <w:lang w:eastAsia="en-GB"/>
        </w:rPr>
        <w:t xml:space="preserve">ool. Many </w:t>
      </w:r>
      <w:r w:rsidR="006C02AB">
        <w:rPr>
          <w:rFonts w:ascii="Arial" w:eastAsia="Calibri" w:hAnsi="Arial" w:cs="Arial"/>
          <w:sz w:val="24"/>
          <w:szCs w:val="24"/>
          <w:lang w:eastAsia="en-GB"/>
        </w:rPr>
        <w:t xml:space="preserve">regions </w:t>
      </w:r>
      <w:r w:rsidR="009D2926">
        <w:rPr>
          <w:rFonts w:ascii="Arial" w:eastAsia="Calibri" w:hAnsi="Arial" w:cs="Arial"/>
          <w:sz w:val="24"/>
          <w:szCs w:val="24"/>
          <w:lang w:eastAsia="en-GB"/>
        </w:rPr>
        <w:t>said they were waiting</w:t>
      </w:r>
      <w:r w:rsidR="00827EB6">
        <w:rPr>
          <w:rFonts w:ascii="Arial" w:eastAsia="Calibri" w:hAnsi="Arial" w:cs="Arial"/>
          <w:sz w:val="24"/>
          <w:szCs w:val="24"/>
          <w:lang w:eastAsia="en-GB"/>
        </w:rPr>
        <w:t xml:space="preserve"> </w:t>
      </w:r>
      <w:r w:rsidR="00785062">
        <w:rPr>
          <w:rFonts w:ascii="Arial" w:eastAsia="Calibri" w:hAnsi="Arial" w:cs="Arial"/>
          <w:sz w:val="24"/>
          <w:szCs w:val="24"/>
          <w:lang w:eastAsia="en-GB"/>
        </w:rPr>
        <w:t>for its</w:t>
      </w:r>
      <w:r w:rsidRPr="006C02AB">
        <w:rPr>
          <w:rFonts w:ascii="Arial" w:eastAsia="Calibri" w:hAnsi="Arial" w:cs="Arial"/>
          <w:sz w:val="24"/>
          <w:szCs w:val="24"/>
          <w:lang w:eastAsia="en-GB"/>
        </w:rPr>
        <w:t xml:space="preserve"> findings, </w:t>
      </w:r>
      <w:r w:rsidR="00827EB6">
        <w:rPr>
          <w:rFonts w:ascii="Arial" w:eastAsia="Calibri" w:hAnsi="Arial" w:cs="Arial"/>
          <w:sz w:val="24"/>
          <w:szCs w:val="24"/>
          <w:lang w:eastAsia="en-GB"/>
        </w:rPr>
        <w:t>as the</w:t>
      </w:r>
      <w:r w:rsidRPr="006C02AB">
        <w:rPr>
          <w:rFonts w:ascii="Arial" w:eastAsia="Calibri" w:hAnsi="Arial" w:cs="Arial"/>
          <w:sz w:val="24"/>
          <w:szCs w:val="24"/>
          <w:lang w:eastAsia="en-GB"/>
        </w:rPr>
        <w:t xml:space="preserve"> recommendations would </w:t>
      </w:r>
      <w:r w:rsidR="00827EB6">
        <w:rPr>
          <w:rFonts w:ascii="Arial" w:eastAsia="Calibri" w:hAnsi="Arial" w:cs="Arial"/>
          <w:sz w:val="24"/>
          <w:szCs w:val="24"/>
          <w:lang w:eastAsia="en-GB"/>
        </w:rPr>
        <w:t>be important</w:t>
      </w:r>
      <w:r w:rsidRPr="006C02AB">
        <w:rPr>
          <w:rFonts w:ascii="Arial" w:eastAsia="Calibri" w:hAnsi="Arial" w:cs="Arial"/>
          <w:sz w:val="24"/>
          <w:szCs w:val="24"/>
          <w:lang w:eastAsia="en-GB"/>
        </w:rPr>
        <w:t xml:space="preserve"> in shaping future workforce development</w:t>
      </w:r>
      <w:r w:rsidR="002C5711">
        <w:rPr>
          <w:rFonts w:ascii="Arial" w:eastAsia="Calibri" w:hAnsi="Arial" w:cs="Arial"/>
          <w:sz w:val="24"/>
          <w:szCs w:val="24"/>
          <w:lang w:eastAsia="en-GB"/>
        </w:rPr>
        <w:t>,</w:t>
      </w:r>
      <w:r w:rsidRPr="006C02AB">
        <w:rPr>
          <w:rFonts w:ascii="Arial" w:eastAsia="Calibri" w:hAnsi="Arial" w:cs="Arial"/>
          <w:sz w:val="24"/>
          <w:szCs w:val="24"/>
          <w:lang w:eastAsia="en-GB"/>
        </w:rPr>
        <w:t xml:space="preserve"> and guiding the commissioning of digital skills training from 2026 to 2027 onwards.</w:t>
      </w:r>
    </w:p>
    <w:p w14:paraId="615DCB56" w14:textId="77777777" w:rsidR="00ED2D0C" w:rsidRDefault="00ED2D0C" w:rsidP="00C92ECE">
      <w:pPr>
        <w:spacing w:after="200" w:line="276" w:lineRule="auto"/>
        <w:ind w:left="567"/>
        <w:contextualSpacing/>
        <w:rPr>
          <w:rFonts w:ascii="Arial" w:eastAsia="Calibri" w:hAnsi="Arial" w:cs="Arial"/>
          <w:sz w:val="24"/>
          <w:szCs w:val="24"/>
          <w:lang w:eastAsia="en-GB"/>
        </w:rPr>
      </w:pPr>
    </w:p>
    <w:p w14:paraId="323811C8" w14:textId="32347DF2" w:rsidR="004C4098" w:rsidRDefault="004C4098" w:rsidP="00F818EE">
      <w:pPr>
        <w:numPr>
          <w:ilvl w:val="0"/>
          <w:numId w:val="6"/>
        </w:numPr>
        <w:spacing w:after="200" w:line="276" w:lineRule="auto"/>
        <w:ind w:left="567" w:hanging="425"/>
        <w:contextualSpacing/>
        <w:rPr>
          <w:rFonts w:ascii="Arial" w:eastAsia="Calibri" w:hAnsi="Arial" w:cs="Arial"/>
          <w:sz w:val="24"/>
          <w:szCs w:val="24"/>
          <w:lang w:eastAsia="en-GB"/>
        </w:rPr>
      </w:pPr>
      <w:r>
        <w:rPr>
          <w:rFonts w:ascii="Arial" w:eastAsia="Calibri" w:hAnsi="Arial" w:cs="Arial"/>
          <w:sz w:val="24"/>
          <w:szCs w:val="24"/>
          <w:lang w:eastAsia="en-GB"/>
        </w:rPr>
        <w:t xml:space="preserve">The </w:t>
      </w:r>
      <w:hyperlink r:id="rId35" w:history="1">
        <w:r w:rsidRPr="00714A05">
          <w:rPr>
            <w:rStyle w:val="Hyperlink"/>
            <w:rFonts w:ascii="Arial" w:eastAsia="Calibri" w:hAnsi="Arial" w:cs="Arial"/>
            <w:sz w:val="24"/>
            <w:szCs w:val="24"/>
            <w:lang w:eastAsia="en-GB"/>
          </w:rPr>
          <w:t>national report</w:t>
        </w:r>
      </w:hyperlink>
      <w:r>
        <w:rPr>
          <w:rFonts w:ascii="Arial" w:eastAsia="Calibri" w:hAnsi="Arial" w:cs="Arial"/>
          <w:sz w:val="24"/>
          <w:szCs w:val="24"/>
          <w:lang w:eastAsia="en-GB"/>
        </w:rPr>
        <w:t xml:space="preserve"> </w:t>
      </w:r>
      <w:r w:rsidR="000F332E">
        <w:rPr>
          <w:rFonts w:ascii="Arial" w:eastAsia="Calibri" w:hAnsi="Arial" w:cs="Arial"/>
          <w:sz w:val="24"/>
          <w:szCs w:val="24"/>
          <w:lang w:eastAsia="en-GB"/>
        </w:rPr>
        <w:t xml:space="preserve">on the digital potential tool </w:t>
      </w:r>
      <w:r>
        <w:rPr>
          <w:rFonts w:ascii="Arial" w:eastAsia="Calibri" w:hAnsi="Arial" w:cs="Arial"/>
          <w:sz w:val="24"/>
          <w:szCs w:val="24"/>
          <w:lang w:eastAsia="en-GB"/>
        </w:rPr>
        <w:t xml:space="preserve">was published in </w:t>
      </w:r>
      <w:r w:rsidR="00714A05">
        <w:rPr>
          <w:rFonts w:ascii="Arial" w:eastAsia="Calibri" w:hAnsi="Arial" w:cs="Arial"/>
          <w:sz w:val="24"/>
          <w:szCs w:val="24"/>
          <w:lang w:eastAsia="en-GB"/>
        </w:rPr>
        <w:t>July 2025</w:t>
      </w:r>
      <w:r>
        <w:rPr>
          <w:rFonts w:ascii="Arial" w:eastAsia="Calibri" w:hAnsi="Arial" w:cs="Arial"/>
          <w:sz w:val="24"/>
          <w:szCs w:val="24"/>
          <w:lang w:eastAsia="en-GB"/>
        </w:rPr>
        <w:t xml:space="preserve"> and </w:t>
      </w:r>
      <w:r w:rsidR="00F818EE" w:rsidRPr="00F818EE">
        <w:rPr>
          <w:rFonts w:ascii="Arial" w:eastAsia="Calibri" w:hAnsi="Arial" w:cs="Arial"/>
          <w:sz w:val="24"/>
          <w:szCs w:val="24"/>
          <w:lang w:eastAsia="en-GB"/>
        </w:rPr>
        <w:t>outlines recommendations, including:</w:t>
      </w:r>
    </w:p>
    <w:p w14:paraId="6DE16939" w14:textId="22D0803D" w:rsidR="004C4098" w:rsidRPr="00C92ECE" w:rsidRDefault="001E32E5" w:rsidP="00C92ECE">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d</w:t>
      </w:r>
      <w:r w:rsidR="00F818EE" w:rsidRPr="00C92ECE">
        <w:rPr>
          <w:rFonts w:ascii="Arial" w:eastAsia="Calibri" w:hAnsi="Arial" w:cs="Arial"/>
          <w:bCs/>
          <w:sz w:val="24"/>
          <w:szCs w:val="24"/>
        </w:rPr>
        <w:t xml:space="preserve">eveloping a ‘what good look </w:t>
      </w:r>
      <w:r w:rsidR="004C4098" w:rsidRPr="00C92ECE">
        <w:rPr>
          <w:rFonts w:ascii="Arial" w:eastAsia="Calibri" w:hAnsi="Arial" w:cs="Arial"/>
          <w:bCs/>
          <w:sz w:val="24"/>
          <w:szCs w:val="24"/>
        </w:rPr>
        <w:t>l</w:t>
      </w:r>
      <w:r w:rsidR="00F818EE" w:rsidRPr="00C92ECE">
        <w:rPr>
          <w:rFonts w:ascii="Arial" w:eastAsia="Calibri" w:hAnsi="Arial" w:cs="Arial"/>
          <w:bCs/>
          <w:sz w:val="24"/>
          <w:szCs w:val="24"/>
        </w:rPr>
        <w:t>ike’ framework for digital working in social care</w:t>
      </w:r>
    </w:p>
    <w:p w14:paraId="7D637A21" w14:textId="33D4570A" w:rsidR="004C4098" w:rsidRDefault="001E32E5" w:rsidP="004C4098">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c</w:t>
      </w:r>
      <w:r w:rsidR="00F818EE" w:rsidRPr="00C92ECE">
        <w:rPr>
          <w:rFonts w:ascii="Arial" w:eastAsia="Calibri" w:hAnsi="Arial" w:cs="Arial"/>
          <w:bCs/>
          <w:sz w:val="24"/>
          <w:szCs w:val="24"/>
        </w:rPr>
        <w:t>reating a digital capability framework</w:t>
      </w:r>
    </w:p>
    <w:p w14:paraId="7D39733A" w14:textId="741BDAEB" w:rsidR="004C4098" w:rsidRDefault="005C7B99" w:rsidP="004C4098">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d</w:t>
      </w:r>
      <w:r w:rsidR="00F818EE" w:rsidRPr="00C92ECE">
        <w:rPr>
          <w:rFonts w:ascii="Arial" w:eastAsia="Calibri" w:hAnsi="Arial" w:cs="Arial"/>
          <w:bCs/>
          <w:sz w:val="24"/>
          <w:szCs w:val="24"/>
        </w:rPr>
        <w:t>eveloping a skills development programme that builds on existing initiatives, including support for leaders</w:t>
      </w:r>
    </w:p>
    <w:p w14:paraId="3286E1D4" w14:textId="6BAA63BA" w:rsidR="004C4098" w:rsidRDefault="005C7B99" w:rsidP="004C4098">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d</w:t>
      </w:r>
      <w:r w:rsidR="00F818EE" w:rsidRPr="00C92ECE">
        <w:rPr>
          <w:rFonts w:ascii="Arial" w:eastAsia="Calibri" w:hAnsi="Arial" w:cs="Arial"/>
          <w:bCs/>
          <w:sz w:val="24"/>
          <w:szCs w:val="24"/>
        </w:rPr>
        <w:t>evelop</w:t>
      </w:r>
      <w:r>
        <w:rPr>
          <w:rFonts w:ascii="Arial" w:eastAsia="Calibri" w:hAnsi="Arial" w:cs="Arial"/>
          <w:bCs/>
          <w:sz w:val="24"/>
          <w:szCs w:val="24"/>
        </w:rPr>
        <w:t>ing</w:t>
      </w:r>
      <w:r w:rsidR="00F818EE" w:rsidRPr="00C92ECE">
        <w:rPr>
          <w:rFonts w:ascii="Arial" w:eastAsia="Calibri" w:hAnsi="Arial" w:cs="Arial"/>
          <w:bCs/>
          <w:sz w:val="24"/>
          <w:szCs w:val="24"/>
        </w:rPr>
        <w:t xml:space="preserve"> a guide for AI in social care</w:t>
      </w:r>
    </w:p>
    <w:p w14:paraId="4ABCBA1A" w14:textId="02C0C83E" w:rsidR="00F818EE" w:rsidRPr="00C92ECE" w:rsidRDefault="005C7B99" w:rsidP="00C92ECE">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e</w:t>
      </w:r>
      <w:r w:rsidR="00F818EE" w:rsidRPr="00C92ECE">
        <w:rPr>
          <w:rFonts w:ascii="Arial" w:eastAsia="Calibri" w:hAnsi="Arial" w:cs="Arial"/>
          <w:bCs/>
          <w:sz w:val="24"/>
          <w:szCs w:val="24"/>
        </w:rPr>
        <w:t>stablishing a national community of practice for digital working in social care to share learning, resources, and support.</w:t>
      </w:r>
    </w:p>
    <w:p w14:paraId="6BA890F8" w14:textId="2FC35244" w:rsidR="00C63076" w:rsidRPr="007D3336" w:rsidRDefault="002F2839" w:rsidP="007D3336">
      <w:pPr>
        <w:numPr>
          <w:ilvl w:val="0"/>
          <w:numId w:val="6"/>
        </w:numPr>
        <w:spacing w:after="200" w:line="276" w:lineRule="auto"/>
        <w:ind w:left="567" w:hanging="425"/>
        <w:contextualSpacing/>
        <w:rPr>
          <w:rFonts w:ascii="Arial" w:eastAsia="Calibri" w:hAnsi="Arial" w:cs="Arial"/>
          <w:sz w:val="24"/>
          <w:szCs w:val="24"/>
          <w:lang w:eastAsia="en-GB"/>
        </w:rPr>
      </w:pPr>
      <w:r w:rsidRPr="00C92ECE">
        <w:rPr>
          <w:rFonts w:ascii="Arial" w:eastAsia="Calibri" w:hAnsi="Arial" w:cs="Arial"/>
          <w:sz w:val="24"/>
          <w:szCs w:val="24"/>
          <w:lang w:eastAsia="en-GB"/>
        </w:rPr>
        <w:t>We</w:t>
      </w:r>
      <w:r w:rsidR="00FF2599">
        <w:rPr>
          <w:rFonts w:ascii="Arial" w:eastAsia="Calibri" w:hAnsi="Arial" w:cs="Arial"/>
          <w:sz w:val="24"/>
          <w:szCs w:val="24"/>
          <w:lang w:eastAsia="en-GB"/>
        </w:rPr>
        <w:t>’ve</w:t>
      </w:r>
      <w:r w:rsidRPr="00C92ECE">
        <w:rPr>
          <w:rFonts w:ascii="Arial" w:eastAsia="Calibri" w:hAnsi="Arial" w:cs="Arial"/>
          <w:sz w:val="24"/>
          <w:szCs w:val="24"/>
          <w:lang w:eastAsia="en-GB"/>
        </w:rPr>
        <w:t xml:space="preserve"> drafted an action plan </w:t>
      </w:r>
      <w:r w:rsidR="00050AA8">
        <w:rPr>
          <w:rFonts w:ascii="Arial" w:eastAsia="Calibri" w:hAnsi="Arial" w:cs="Arial"/>
          <w:sz w:val="24"/>
          <w:szCs w:val="24"/>
          <w:lang w:eastAsia="en-GB"/>
        </w:rPr>
        <w:t>in</w:t>
      </w:r>
      <w:r w:rsidRPr="007D3336">
        <w:rPr>
          <w:rFonts w:ascii="Arial" w:eastAsia="Calibri" w:hAnsi="Arial" w:cs="Arial"/>
          <w:sz w:val="24"/>
          <w:szCs w:val="24"/>
          <w:lang w:eastAsia="en-GB"/>
        </w:rPr>
        <w:t xml:space="preserve"> respon</w:t>
      </w:r>
      <w:r w:rsidR="00050AA8">
        <w:rPr>
          <w:rFonts w:ascii="Arial" w:eastAsia="Calibri" w:hAnsi="Arial" w:cs="Arial"/>
          <w:sz w:val="24"/>
          <w:szCs w:val="24"/>
          <w:lang w:eastAsia="en-GB"/>
        </w:rPr>
        <w:t>se</w:t>
      </w:r>
      <w:r w:rsidRPr="007D3336">
        <w:rPr>
          <w:rFonts w:ascii="Arial" w:eastAsia="Calibri" w:hAnsi="Arial" w:cs="Arial"/>
          <w:sz w:val="24"/>
          <w:szCs w:val="24"/>
          <w:lang w:eastAsia="en-GB"/>
        </w:rPr>
        <w:t xml:space="preserve"> to the recommendations </w:t>
      </w:r>
      <w:r w:rsidRPr="00C92ECE">
        <w:rPr>
          <w:rFonts w:ascii="Arial" w:eastAsia="Calibri" w:hAnsi="Arial" w:cs="Arial"/>
          <w:sz w:val="24"/>
          <w:szCs w:val="24"/>
          <w:lang w:eastAsia="en-GB"/>
        </w:rPr>
        <w:t xml:space="preserve">and </w:t>
      </w:r>
      <w:r w:rsidR="00050AA8">
        <w:rPr>
          <w:rFonts w:ascii="Arial" w:eastAsia="Calibri" w:hAnsi="Arial" w:cs="Arial"/>
          <w:sz w:val="24"/>
          <w:szCs w:val="24"/>
          <w:lang w:eastAsia="en-GB"/>
        </w:rPr>
        <w:t>we’re</w:t>
      </w:r>
      <w:r w:rsidRPr="00C92ECE">
        <w:rPr>
          <w:rFonts w:ascii="Arial" w:eastAsia="Calibri" w:hAnsi="Arial" w:cs="Arial"/>
          <w:sz w:val="24"/>
          <w:szCs w:val="24"/>
          <w:lang w:eastAsia="en-GB"/>
        </w:rPr>
        <w:t xml:space="preserve"> working on a communications and engagement plan to share with our partners.</w:t>
      </w:r>
      <w:r w:rsidRPr="007D3336">
        <w:rPr>
          <w:rFonts w:ascii="Arial" w:eastAsia="Calibri" w:hAnsi="Arial" w:cs="Arial"/>
          <w:sz w:val="24"/>
          <w:szCs w:val="24"/>
          <w:lang w:eastAsia="en-GB"/>
        </w:rPr>
        <w:t xml:space="preserve"> </w:t>
      </w:r>
      <w:r w:rsidR="00CF07CA" w:rsidRPr="007D3336">
        <w:rPr>
          <w:rFonts w:ascii="Arial" w:eastAsia="Calibri" w:hAnsi="Arial" w:cs="Arial"/>
          <w:sz w:val="24"/>
          <w:szCs w:val="24"/>
          <w:lang w:eastAsia="en-GB"/>
        </w:rPr>
        <w:t>The work to be able to respo</w:t>
      </w:r>
      <w:r w:rsidR="00C63076" w:rsidRPr="007D3336">
        <w:rPr>
          <w:rFonts w:ascii="Arial" w:eastAsia="Calibri" w:hAnsi="Arial" w:cs="Arial"/>
          <w:sz w:val="24"/>
          <w:szCs w:val="24"/>
          <w:lang w:eastAsia="en-GB"/>
        </w:rPr>
        <w:t>nd to the recommendations is subject to funding and:</w:t>
      </w:r>
    </w:p>
    <w:p w14:paraId="3EFD9452" w14:textId="2AAAAB85" w:rsidR="00797BFF" w:rsidRDefault="00312738" w:rsidP="00C63076">
      <w:pPr>
        <w:pStyle w:val="ListParagraph"/>
        <w:numPr>
          <w:ilvl w:val="1"/>
          <w:numId w:val="112"/>
        </w:numPr>
        <w:spacing w:after="200" w:line="276" w:lineRule="auto"/>
        <w:rPr>
          <w:rFonts w:ascii="Arial" w:eastAsia="Calibri" w:hAnsi="Arial" w:cs="Arial"/>
          <w:bCs/>
          <w:sz w:val="24"/>
          <w:szCs w:val="24"/>
        </w:rPr>
      </w:pPr>
      <w:r w:rsidRPr="00C92ECE">
        <w:rPr>
          <w:rFonts w:ascii="Arial" w:eastAsia="Calibri" w:hAnsi="Arial" w:cs="Arial"/>
          <w:bCs/>
          <w:sz w:val="24"/>
          <w:szCs w:val="24"/>
        </w:rPr>
        <w:t>We</w:t>
      </w:r>
      <w:r w:rsidR="00050AA8">
        <w:rPr>
          <w:rFonts w:ascii="Arial" w:eastAsia="Calibri" w:hAnsi="Arial" w:cs="Arial"/>
          <w:bCs/>
          <w:sz w:val="24"/>
          <w:szCs w:val="24"/>
        </w:rPr>
        <w:t>’ve</w:t>
      </w:r>
      <w:r w:rsidRPr="00C92ECE">
        <w:rPr>
          <w:rFonts w:ascii="Arial" w:eastAsia="Calibri" w:hAnsi="Arial" w:cs="Arial"/>
          <w:bCs/>
          <w:sz w:val="24"/>
          <w:szCs w:val="24"/>
        </w:rPr>
        <w:t xml:space="preserve"> secured funding </w:t>
      </w:r>
      <w:r w:rsidR="00C63076">
        <w:rPr>
          <w:rFonts w:ascii="Arial" w:eastAsia="Calibri" w:hAnsi="Arial" w:cs="Arial"/>
          <w:bCs/>
          <w:sz w:val="24"/>
          <w:szCs w:val="24"/>
        </w:rPr>
        <w:t>to</w:t>
      </w:r>
      <w:r w:rsidR="00721888">
        <w:rPr>
          <w:rFonts w:ascii="Arial" w:eastAsia="Calibri" w:hAnsi="Arial" w:cs="Arial"/>
          <w:bCs/>
          <w:sz w:val="24"/>
          <w:szCs w:val="24"/>
        </w:rPr>
        <w:t>:</w:t>
      </w:r>
      <w:r w:rsidR="002A3680">
        <w:rPr>
          <w:rFonts w:ascii="Arial" w:eastAsia="Calibri" w:hAnsi="Arial" w:cs="Arial"/>
          <w:bCs/>
          <w:sz w:val="24"/>
          <w:szCs w:val="24"/>
        </w:rPr>
        <w:t xml:space="preserve"> </w:t>
      </w:r>
    </w:p>
    <w:p w14:paraId="40527181" w14:textId="77777777" w:rsidR="00797BFF" w:rsidRDefault="00C63076" w:rsidP="00797BFF">
      <w:pPr>
        <w:pStyle w:val="ListParagraph"/>
        <w:numPr>
          <w:ilvl w:val="2"/>
          <w:numId w:val="112"/>
        </w:numPr>
        <w:spacing w:after="200" w:line="276" w:lineRule="auto"/>
        <w:rPr>
          <w:rFonts w:ascii="Arial" w:eastAsia="Calibri" w:hAnsi="Arial" w:cs="Arial"/>
          <w:bCs/>
          <w:sz w:val="24"/>
          <w:szCs w:val="24"/>
        </w:rPr>
      </w:pPr>
      <w:r>
        <w:rPr>
          <w:rFonts w:ascii="Arial" w:eastAsia="Calibri" w:hAnsi="Arial" w:cs="Arial"/>
          <w:bCs/>
          <w:sz w:val="24"/>
          <w:szCs w:val="24"/>
        </w:rPr>
        <w:t xml:space="preserve"> </w:t>
      </w:r>
      <w:r w:rsidR="00CF07CA" w:rsidRPr="00C92ECE">
        <w:rPr>
          <w:rFonts w:ascii="Arial" w:eastAsia="Calibri" w:hAnsi="Arial" w:cs="Arial"/>
          <w:bCs/>
          <w:sz w:val="24"/>
          <w:szCs w:val="24"/>
        </w:rPr>
        <w:t>s</w:t>
      </w:r>
      <w:r w:rsidR="00312738" w:rsidRPr="00C92ECE">
        <w:rPr>
          <w:rFonts w:ascii="Arial" w:eastAsia="Calibri" w:hAnsi="Arial" w:cs="Arial"/>
          <w:bCs/>
          <w:sz w:val="24"/>
          <w:szCs w:val="24"/>
        </w:rPr>
        <w:t>cop</w:t>
      </w:r>
      <w:r>
        <w:rPr>
          <w:rFonts w:ascii="Arial" w:eastAsia="Calibri" w:hAnsi="Arial" w:cs="Arial"/>
          <w:bCs/>
          <w:sz w:val="24"/>
          <w:szCs w:val="24"/>
        </w:rPr>
        <w:t>e</w:t>
      </w:r>
      <w:r w:rsidR="00312738" w:rsidRPr="00C92ECE">
        <w:rPr>
          <w:rFonts w:ascii="Arial" w:eastAsia="Calibri" w:hAnsi="Arial" w:cs="Arial"/>
          <w:bCs/>
          <w:sz w:val="24"/>
          <w:szCs w:val="24"/>
        </w:rPr>
        <w:t xml:space="preserve"> how to develop a ‘what good looks like’ framework for digital working in social care</w:t>
      </w:r>
    </w:p>
    <w:p w14:paraId="4229D6C4" w14:textId="7082E415" w:rsidR="00CA381A" w:rsidRDefault="00721888" w:rsidP="00CA381A">
      <w:pPr>
        <w:pStyle w:val="ListParagraph"/>
        <w:numPr>
          <w:ilvl w:val="2"/>
          <w:numId w:val="112"/>
        </w:numPr>
        <w:spacing w:after="200" w:line="276" w:lineRule="auto"/>
        <w:rPr>
          <w:rFonts w:ascii="Arial" w:eastAsia="Calibri" w:hAnsi="Arial" w:cs="Arial"/>
          <w:bCs/>
          <w:sz w:val="24"/>
          <w:szCs w:val="24"/>
        </w:rPr>
      </w:pPr>
      <w:r>
        <w:rPr>
          <w:rFonts w:ascii="Arial" w:eastAsia="Calibri" w:hAnsi="Arial" w:cs="Arial"/>
          <w:bCs/>
          <w:sz w:val="24"/>
          <w:szCs w:val="24"/>
        </w:rPr>
        <w:t>s</w:t>
      </w:r>
      <w:r w:rsidR="00CA3716">
        <w:rPr>
          <w:rFonts w:ascii="Arial" w:eastAsia="Calibri" w:hAnsi="Arial" w:cs="Arial"/>
          <w:bCs/>
          <w:sz w:val="24"/>
          <w:szCs w:val="24"/>
        </w:rPr>
        <w:t xml:space="preserve">cope the development of a </w:t>
      </w:r>
      <w:r w:rsidR="00CA381A">
        <w:rPr>
          <w:rFonts w:ascii="Arial" w:eastAsia="Calibri" w:hAnsi="Arial" w:cs="Arial"/>
          <w:bCs/>
          <w:sz w:val="24"/>
          <w:szCs w:val="24"/>
        </w:rPr>
        <w:t>digital leadership competency framework</w:t>
      </w:r>
    </w:p>
    <w:p w14:paraId="20C41A4A" w14:textId="75425376" w:rsidR="000847E9" w:rsidRDefault="00797BFF" w:rsidP="000847E9">
      <w:pPr>
        <w:pStyle w:val="ListParagraph"/>
        <w:numPr>
          <w:ilvl w:val="2"/>
          <w:numId w:val="112"/>
        </w:numPr>
        <w:spacing w:after="200" w:line="276" w:lineRule="auto"/>
        <w:rPr>
          <w:rFonts w:ascii="Arial" w:eastAsia="Calibri" w:hAnsi="Arial" w:cs="Arial"/>
          <w:bCs/>
          <w:sz w:val="24"/>
          <w:szCs w:val="24"/>
        </w:rPr>
      </w:pPr>
      <w:r>
        <w:rPr>
          <w:rFonts w:ascii="Arial" w:eastAsia="Calibri" w:hAnsi="Arial" w:cs="Arial"/>
          <w:bCs/>
          <w:sz w:val="24"/>
          <w:szCs w:val="24"/>
        </w:rPr>
        <w:t xml:space="preserve">provide </w:t>
      </w:r>
      <w:r w:rsidR="00B73E57">
        <w:rPr>
          <w:rFonts w:ascii="Arial" w:eastAsia="Calibri" w:hAnsi="Arial" w:cs="Arial"/>
          <w:bCs/>
          <w:sz w:val="24"/>
          <w:szCs w:val="24"/>
        </w:rPr>
        <w:t>digital leadership support</w:t>
      </w:r>
      <w:r w:rsidR="000847E9">
        <w:rPr>
          <w:rFonts w:ascii="Arial" w:eastAsia="Calibri" w:hAnsi="Arial" w:cs="Arial"/>
          <w:bCs/>
          <w:sz w:val="24"/>
          <w:szCs w:val="24"/>
        </w:rPr>
        <w:t>.</w:t>
      </w:r>
    </w:p>
    <w:p w14:paraId="7A4D6FD5" w14:textId="77777777" w:rsidR="000847E9" w:rsidRDefault="000847E9" w:rsidP="00BB471B">
      <w:pPr>
        <w:pStyle w:val="ListParagraph"/>
        <w:spacing w:after="200" w:line="276" w:lineRule="auto"/>
        <w:ind w:left="2160"/>
        <w:rPr>
          <w:rFonts w:ascii="Arial" w:eastAsia="Calibri" w:hAnsi="Arial" w:cs="Arial"/>
          <w:bCs/>
          <w:sz w:val="24"/>
          <w:szCs w:val="24"/>
        </w:rPr>
      </w:pPr>
    </w:p>
    <w:p w14:paraId="3671FAFD" w14:textId="77777777" w:rsidR="00785062" w:rsidRPr="00BB471B" w:rsidRDefault="00785062" w:rsidP="00BB471B">
      <w:pPr>
        <w:pStyle w:val="ListParagraph"/>
        <w:spacing w:after="200" w:line="276" w:lineRule="auto"/>
        <w:ind w:left="2160"/>
        <w:rPr>
          <w:rFonts w:ascii="Arial" w:eastAsia="Calibri" w:hAnsi="Arial" w:cs="Arial"/>
          <w:bCs/>
          <w:sz w:val="24"/>
          <w:szCs w:val="24"/>
        </w:rPr>
      </w:pPr>
    </w:p>
    <w:p w14:paraId="5FB2AF4F" w14:textId="6874E081" w:rsidR="000851A7" w:rsidRDefault="00312738" w:rsidP="00C63076">
      <w:pPr>
        <w:pStyle w:val="ListParagraph"/>
        <w:numPr>
          <w:ilvl w:val="1"/>
          <w:numId w:val="112"/>
        </w:numPr>
        <w:spacing w:after="200" w:line="276" w:lineRule="auto"/>
        <w:rPr>
          <w:rFonts w:ascii="Arial" w:eastAsia="Calibri" w:hAnsi="Arial" w:cs="Arial"/>
          <w:bCs/>
          <w:sz w:val="24"/>
          <w:szCs w:val="24"/>
        </w:rPr>
      </w:pPr>
      <w:r w:rsidRPr="00C92ECE">
        <w:rPr>
          <w:rFonts w:ascii="Arial" w:eastAsia="Calibri" w:hAnsi="Arial" w:cs="Arial"/>
          <w:bCs/>
          <w:sz w:val="24"/>
          <w:szCs w:val="24"/>
        </w:rPr>
        <w:lastRenderedPageBreak/>
        <w:t>We</w:t>
      </w:r>
      <w:r w:rsidR="00CA3716">
        <w:rPr>
          <w:rFonts w:ascii="Arial" w:eastAsia="Calibri" w:hAnsi="Arial" w:cs="Arial"/>
          <w:bCs/>
          <w:sz w:val="24"/>
          <w:szCs w:val="24"/>
        </w:rPr>
        <w:t>’re</w:t>
      </w:r>
      <w:r w:rsidR="000847E9">
        <w:rPr>
          <w:rFonts w:ascii="Arial" w:eastAsia="Calibri" w:hAnsi="Arial" w:cs="Arial"/>
          <w:bCs/>
          <w:sz w:val="24"/>
          <w:szCs w:val="24"/>
        </w:rPr>
        <w:t xml:space="preserve"> wating for</w:t>
      </w:r>
      <w:r w:rsidR="00CA3716">
        <w:rPr>
          <w:rFonts w:ascii="Arial" w:eastAsia="Calibri" w:hAnsi="Arial" w:cs="Arial"/>
          <w:bCs/>
          <w:sz w:val="24"/>
          <w:szCs w:val="24"/>
        </w:rPr>
        <w:t xml:space="preserve"> confirmation o</w:t>
      </w:r>
      <w:r w:rsidR="000851A7">
        <w:rPr>
          <w:rFonts w:ascii="Arial" w:eastAsia="Calibri" w:hAnsi="Arial" w:cs="Arial"/>
          <w:bCs/>
          <w:sz w:val="24"/>
          <w:szCs w:val="24"/>
        </w:rPr>
        <w:t>n:</w:t>
      </w:r>
    </w:p>
    <w:p w14:paraId="47EE3F50" w14:textId="2C1506F1" w:rsidR="0099278B" w:rsidRDefault="00326385" w:rsidP="0099278B">
      <w:pPr>
        <w:pStyle w:val="ListParagraph"/>
        <w:numPr>
          <w:ilvl w:val="2"/>
          <w:numId w:val="112"/>
        </w:numPr>
        <w:spacing w:after="200" w:line="276" w:lineRule="auto"/>
        <w:rPr>
          <w:rFonts w:ascii="Arial" w:eastAsia="Calibri" w:hAnsi="Arial" w:cs="Arial"/>
          <w:bCs/>
          <w:sz w:val="24"/>
          <w:szCs w:val="24"/>
        </w:rPr>
      </w:pPr>
      <w:r>
        <w:rPr>
          <w:rFonts w:ascii="Arial" w:eastAsia="Calibri" w:hAnsi="Arial" w:cs="Arial"/>
          <w:bCs/>
          <w:sz w:val="24"/>
          <w:szCs w:val="24"/>
        </w:rPr>
        <w:t>a</w:t>
      </w:r>
      <w:r w:rsidR="000851A7">
        <w:rPr>
          <w:rFonts w:ascii="Arial" w:eastAsia="Calibri" w:hAnsi="Arial" w:cs="Arial"/>
          <w:bCs/>
          <w:sz w:val="24"/>
          <w:szCs w:val="24"/>
        </w:rPr>
        <w:t xml:space="preserve"> </w:t>
      </w:r>
      <w:r w:rsidR="007D3336" w:rsidRPr="007D3336">
        <w:rPr>
          <w:rFonts w:ascii="Arial" w:eastAsia="Calibri" w:hAnsi="Arial" w:cs="Arial"/>
          <w:bCs/>
          <w:sz w:val="24"/>
          <w:szCs w:val="24"/>
        </w:rPr>
        <w:t>funding proposal</w:t>
      </w:r>
      <w:r w:rsidR="00312738" w:rsidRPr="00C92ECE">
        <w:rPr>
          <w:rFonts w:ascii="Arial" w:eastAsia="Calibri" w:hAnsi="Arial" w:cs="Arial"/>
          <w:bCs/>
          <w:sz w:val="24"/>
          <w:szCs w:val="24"/>
        </w:rPr>
        <w:t xml:space="preserve"> </w:t>
      </w:r>
      <w:r w:rsidR="00910F63">
        <w:rPr>
          <w:rFonts w:ascii="Arial" w:eastAsia="Calibri" w:hAnsi="Arial" w:cs="Arial"/>
          <w:bCs/>
          <w:sz w:val="24"/>
          <w:szCs w:val="24"/>
        </w:rPr>
        <w:t>to t</w:t>
      </w:r>
      <w:r w:rsidR="008A0071">
        <w:rPr>
          <w:rFonts w:ascii="Arial" w:eastAsia="Calibri" w:hAnsi="Arial" w:cs="Arial"/>
          <w:bCs/>
          <w:sz w:val="24"/>
          <w:szCs w:val="24"/>
        </w:rPr>
        <w:t xml:space="preserve">he </w:t>
      </w:r>
      <w:r w:rsidR="00312738" w:rsidRPr="00C92ECE">
        <w:rPr>
          <w:rFonts w:ascii="Arial" w:eastAsia="Calibri" w:hAnsi="Arial" w:cs="Arial"/>
          <w:bCs/>
          <w:sz w:val="24"/>
          <w:szCs w:val="24"/>
        </w:rPr>
        <w:t xml:space="preserve">WLGA </w:t>
      </w:r>
      <w:r w:rsidR="008A0071">
        <w:rPr>
          <w:rFonts w:ascii="Arial" w:eastAsia="Calibri" w:hAnsi="Arial" w:cs="Arial"/>
          <w:bCs/>
          <w:sz w:val="24"/>
          <w:szCs w:val="24"/>
        </w:rPr>
        <w:t>to d</w:t>
      </w:r>
      <w:r w:rsidR="00312738" w:rsidRPr="00C92ECE">
        <w:rPr>
          <w:rFonts w:ascii="Arial" w:eastAsia="Calibri" w:hAnsi="Arial" w:cs="Arial"/>
          <w:bCs/>
          <w:sz w:val="24"/>
          <w:szCs w:val="24"/>
        </w:rPr>
        <w:t>esign and set up a national community of practice for digital working in social care in Wales</w:t>
      </w:r>
    </w:p>
    <w:p w14:paraId="2C828B82" w14:textId="3DB80A1E" w:rsidR="0080796C" w:rsidRDefault="0099278B" w:rsidP="0099278B">
      <w:pPr>
        <w:pStyle w:val="ListParagraph"/>
        <w:numPr>
          <w:ilvl w:val="2"/>
          <w:numId w:val="112"/>
        </w:numPr>
        <w:spacing w:after="200" w:line="276" w:lineRule="auto"/>
        <w:rPr>
          <w:rFonts w:ascii="Arial" w:eastAsia="Calibri" w:hAnsi="Arial" w:cs="Arial"/>
          <w:bCs/>
          <w:sz w:val="24"/>
          <w:szCs w:val="24"/>
        </w:rPr>
      </w:pPr>
      <w:r>
        <w:rPr>
          <w:rFonts w:ascii="Arial" w:eastAsia="Calibri" w:hAnsi="Arial" w:cs="Arial"/>
          <w:bCs/>
          <w:sz w:val="24"/>
          <w:szCs w:val="24"/>
        </w:rPr>
        <w:t xml:space="preserve">A </w:t>
      </w:r>
      <w:r w:rsidR="003D5E6E">
        <w:rPr>
          <w:rFonts w:ascii="Arial" w:eastAsia="Calibri" w:hAnsi="Arial" w:cs="Arial"/>
          <w:bCs/>
          <w:sz w:val="24"/>
          <w:szCs w:val="24"/>
        </w:rPr>
        <w:t>three-year</w:t>
      </w:r>
      <w:r w:rsidR="00312738" w:rsidRPr="00C92ECE">
        <w:rPr>
          <w:rFonts w:ascii="Arial" w:eastAsia="Calibri" w:hAnsi="Arial" w:cs="Arial"/>
          <w:bCs/>
          <w:sz w:val="24"/>
          <w:szCs w:val="24"/>
        </w:rPr>
        <w:t xml:space="preserve"> funding proposal </w:t>
      </w:r>
      <w:r w:rsidR="00A62783" w:rsidRPr="00C92ECE">
        <w:rPr>
          <w:rFonts w:ascii="Arial" w:eastAsia="Calibri" w:hAnsi="Arial" w:cs="Arial"/>
          <w:bCs/>
          <w:sz w:val="24"/>
          <w:szCs w:val="24"/>
        </w:rPr>
        <w:t xml:space="preserve">to the </w:t>
      </w:r>
      <w:r w:rsidR="00312738" w:rsidRPr="00C92ECE">
        <w:rPr>
          <w:rFonts w:ascii="Arial" w:eastAsia="Calibri" w:hAnsi="Arial" w:cs="Arial"/>
          <w:bCs/>
          <w:sz w:val="24"/>
          <w:szCs w:val="24"/>
        </w:rPr>
        <w:t>WLGA</w:t>
      </w:r>
      <w:r w:rsidR="00B73E57" w:rsidRPr="00C92ECE">
        <w:rPr>
          <w:rFonts w:ascii="Arial" w:eastAsia="Calibri" w:hAnsi="Arial" w:cs="Arial"/>
          <w:bCs/>
          <w:sz w:val="24"/>
          <w:szCs w:val="24"/>
        </w:rPr>
        <w:t xml:space="preserve"> that </w:t>
      </w:r>
      <w:r w:rsidR="00312738" w:rsidRPr="00C92ECE">
        <w:rPr>
          <w:rFonts w:ascii="Arial" w:eastAsia="Calibri" w:hAnsi="Arial" w:cs="Arial"/>
          <w:bCs/>
          <w:sz w:val="24"/>
          <w:szCs w:val="24"/>
        </w:rPr>
        <w:t>would enable us to develop a programme of work to increase digital confidence and skills.</w:t>
      </w:r>
    </w:p>
    <w:p w14:paraId="1EC4036B" w14:textId="77777777" w:rsidR="00910F63" w:rsidRPr="00C92ECE" w:rsidRDefault="00910F63" w:rsidP="00C92ECE">
      <w:pPr>
        <w:pStyle w:val="ListParagraph"/>
        <w:spacing w:after="200" w:line="276" w:lineRule="auto"/>
        <w:ind w:left="2160"/>
        <w:rPr>
          <w:rFonts w:ascii="Arial" w:eastAsia="Calibri" w:hAnsi="Arial" w:cs="Arial"/>
          <w:bCs/>
          <w:sz w:val="24"/>
          <w:szCs w:val="24"/>
        </w:rPr>
      </w:pPr>
    </w:p>
    <w:p w14:paraId="3FC7E7C4" w14:textId="49851BD3" w:rsidR="006370B4" w:rsidRPr="00C92ECE" w:rsidRDefault="00EA2985" w:rsidP="00EA2985">
      <w:pPr>
        <w:pStyle w:val="Heading3"/>
      </w:pPr>
      <w:bookmarkStart w:id="58" w:name="_Toc210987787"/>
      <w:bookmarkStart w:id="59" w:name="_Toc211279640"/>
      <w:r w:rsidRPr="00C92ECE">
        <w:t xml:space="preserve">Investigating </w:t>
      </w:r>
      <w:r w:rsidR="00862FAC">
        <w:t xml:space="preserve">and responding to </w:t>
      </w:r>
      <w:r w:rsidR="003927F3">
        <w:t>qualification challenges</w:t>
      </w:r>
      <w:bookmarkEnd w:id="58"/>
      <w:bookmarkEnd w:id="59"/>
    </w:p>
    <w:p w14:paraId="4A46323F" w14:textId="4C0891A2" w:rsidR="00D22E0A" w:rsidRPr="00D22E0A" w:rsidRDefault="008D7994" w:rsidP="00D22E0A">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 xml:space="preserve">The </w:t>
      </w:r>
      <w:proofErr w:type="gramStart"/>
      <w:r w:rsidR="00D22E0A" w:rsidRPr="00D22E0A">
        <w:rPr>
          <w:rFonts w:ascii="Arial" w:eastAsia="Calibri" w:hAnsi="Arial" w:cs="Arial"/>
          <w:bCs/>
          <w:sz w:val="24"/>
          <w:szCs w:val="24"/>
        </w:rPr>
        <w:t>All</w:t>
      </w:r>
      <w:r w:rsidR="00DF029F">
        <w:rPr>
          <w:rFonts w:ascii="Arial" w:eastAsia="Calibri" w:hAnsi="Arial" w:cs="Arial"/>
          <w:bCs/>
          <w:sz w:val="24"/>
          <w:szCs w:val="24"/>
        </w:rPr>
        <w:t xml:space="preserve"> </w:t>
      </w:r>
      <w:r w:rsidR="00D22E0A" w:rsidRPr="00D22E0A">
        <w:rPr>
          <w:rFonts w:ascii="Arial" w:eastAsia="Calibri" w:hAnsi="Arial" w:cs="Arial"/>
          <w:bCs/>
          <w:sz w:val="24"/>
          <w:szCs w:val="24"/>
        </w:rPr>
        <w:t>Wales</w:t>
      </w:r>
      <w:proofErr w:type="gramEnd"/>
      <w:r w:rsidR="006370B4" w:rsidRPr="00D22E0A">
        <w:rPr>
          <w:rFonts w:ascii="Arial" w:eastAsia="Calibri" w:hAnsi="Arial" w:cs="Arial"/>
          <w:bCs/>
          <w:sz w:val="24"/>
          <w:szCs w:val="24"/>
        </w:rPr>
        <w:t xml:space="preserve"> </w:t>
      </w:r>
      <w:r w:rsidR="00AB00A7">
        <w:rPr>
          <w:rFonts w:ascii="Arial" w:eastAsia="Calibri" w:hAnsi="Arial" w:cs="Arial"/>
          <w:bCs/>
          <w:sz w:val="24"/>
          <w:szCs w:val="24"/>
        </w:rPr>
        <w:t>i</w:t>
      </w:r>
      <w:r w:rsidR="006370B4" w:rsidRPr="00D22E0A">
        <w:rPr>
          <w:rFonts w:ascii="Arial" w:eastAsia="Calibri" w:hAnsi="Arial" w:cs="Arial"/>
          <w:bCs/>
          <w:sz w:val="24"/>
          <w:szCs w:val="24"/>
        </w:rPr>
        <w:t xml:space="preserve">nduction </w:t>
      </w:r>
      <w:r w:rsidR="00DF029F">
        <w:rPr>
          <w:rFonts w:ascii="Arial" w:eastAsia="Calibri" w:hAnsi="Arial" w:cs="Arial"/>
          <w:bCs/>
          <w:sz w:val="24"/>
          <w:szCs w:val="24"/>
        </w:rPr>
        <w:t>f</w:t>
      </w:r>
      <w:r w:rsidR="006370B4" w:rsidRPr="00D22E0A">
        <w:rPr>
          <w:rFonts w:ascii="Arial" w:eastAsia="Calibri" w:hAnsi="Arial" w:cs="Arial"/>
          <w:bCs/>
          <w:sz w:val="24"/>
          <w:szCs w:val="24"/>
        </w:rPr>
        <w:t xml:space="preserve">ramework (AWIF) </w:t>
      </w:r>
      <w:r w:rsidR="00410252">
        <w:rPr>
          <w:rFonts w:ascii="Arial" w:eastAsia="Calibri" w:hAnsi="Arial" w:cs="Arial"/>
          <w:bCs/>
          <w:sz w:val="24"/>
          <w:szCs w:val="24"/>
        </w:rPr>
        <w:t>is still</w:t>
      </w:r>
      <w:r w:rsidR="006370B4" w:rsidRPr="00D22E0A">
        <w:rPr>
          <w:rFonts w:ascii="Arial" w:eastAsia="Calibri" w:hAnsi="Arial" w:cs="Arial"/>
          <w:bCs/>
          <w:sz w:val="24"/>
          <w:szCs w:val="24"/>
        </w:rPr>
        <w:t xml:space="preserve"> widely </w:t>
      </w:r>
      <w:r w:rsidR="008A4E3E">
        <w:rPr>
          <w:rFonts w:ascii="Arial" w:eastAsia="Calibri" w:hAnsi="Arial" w:cs="Arial"/>
          <w:bCs/>
          <w:sz w:val="24"/>
          <w:szCs w:val="24"/>
        </w:rPr>
        <w:t>used</w:t>
      </w:r>
      <w:r w:rsidR="006370B4" w:rsidRPr="00D22E0A">
        <w:rPr>
          <w:rFonts w:ascii="Arial" w:eastAsia="Calibri" w:hAnsi="Arial" w:cs="Arial"/>
          <w:bCs/>
          <w:sz w:val="24"/>
          <w:szCs w:val="24"/>
        </w:rPr>
        <w:t xml:space="preserve"> and </w:t>
      </w:r>
      <w:r w:rsidR="00785062" w:rsidRPr="00D22E0A">
        <w:rPr>
          <w:rFonts w:ascii="Arial" w:eastAsia="Calibri" w:hAnsi="Arial" w:cs="Arial"/>
          <w:bCs/>
          <w:sz w:val="24"/>
          <w:szCs w:val="24"/>
        </w:rPr>
        <w:t>supported</w:t>
      </w:r>
      <w:r w:rsidR="00785062">
        <w:rPr>
          <w:rFonts w:ascii="Arial" w:eastAsia="Calibri" w:hAnsi="Arial" w:cs="Arial"/>
          <w:bCs/>
          <w:sz w:val="24"/>
          <w:szCs w:val="24"/>
        </w:rPr>
        <w:t>, alongside</w:t>
      </w:r>
      <w:r w:rsidR="006370B4" w:rsidRPr="00D22E0A">
        <w:rPr>
          <w:rFonts w:ascii="Arial" w:eastAsia="Calibri" w:hAnsi="Arial" w:cs="Arial"/>
          <w:bCs/>
          <w:sz w:val="24"/>
          <w:szCs w:val="24"/>
        </w:rPr>
        <w:t xml:space="preserve"> locally tailored induction programmes</w:t>
      </w:r>
      <w:r w:rsidR="008A4E3E">
        <w:rPr>
          <w:rFonts w:ascii="Arial" w:eastAsia="Calibri" w:hAnsi="Arial" w:cs="Arial"/>
          <w:bCs/>
          <w:sz w:val="24"/>
          <w:szCs w:val="24"/>
        </w:rPr>
        <w:t>.  H</w:t>
      </w:r>
      <w:r w:rsidR="007224AE" w:rsidRPr="00D22E0A">
        <w:rPr>
          <w:rFonts w:ascii="Arial" w:eastAsia="Calibri" w:hAnsi="Arial" w:cs="Arial"/>
          <w:bCs/>
          <w:sz w:val="24"/>
          <w:szCs w:val="24"/>
        </w:rPr>
        <w:t>owever</w:t>
      </w:r>
      <w:r w:rsidR="00B40658">
        <w:rPr>
          <w:rFonts w:ascii="Arial" w:eastAsia="Calibri" w:hAnsi="Arial" w:cs="Arial"/>
          <w:bCs/>
          <w:sz w:val="24"/>
          <w:szCs w:val="24"/>
        </w:rPr>
        <w:t>,</w:t>
      </w:r>
      <w:r w:rsidR="007224AE" w:rsidRPr="00D22E0A">
        <w:rPr>
          <w:rFonts w:ascii="Arial" w:eastAsia="Calibri" w:hAnsi="Arial" w:cs="Arial"/>
          <w:bCs/>
          <w:sz w:val="24"/>
          <w:szCs w:val="24"/>
        </w:rPr>
        <w:t xml:space="preserve"> over the </w:t>
      </w:r>
      <w:r w:rsidR="00B40658">
        <w:rPr>
          <w:rFonts w:ascii="Arial" w:eastAsia="Calibri" w:hAnsi="Arial" w:cs="Arial"/>
          <w:bCs/>
          <w:sz w:val="24"/>
          <w:szCs w:val="24"/>
        </w:rPr>
        <w:t>p</w:t>
      </w:r>
      <w:r w:rsidR="007224AE" w:rsidRPr="00D22E0A">
        <w:rPr>
          <w:rFonts w:ascii="Arial" w:eastAsia="Calibri" w:hAnsi="Arial" w:cs="Arial"/>
          <w:bCs/>
          <w:sz w:val="24"/>
          <w:szCs w:val="24"/>
        </w:rPr>
        <w:t>ast two financial years</w:t>
      </w:r>
      <w:r w:rsidR="00B40658">
        <w:rPr>
          <w:rFonts w:ascii="Arial" w:eastAsia="Calibri" w:hAnsi="Arial" w:cs="Arial"/>
          <w:bCs/>
          <w:sz w:val="24"/>
          <w:szCs w:val="24"/>
        </w:rPr>
        <w:t>, data shows</w:t>
      </w:r>
      <w:r w:rsidR="00AE41CE" w:rsidRPr="00D22E0A">
        <w:rPr>
          <w:rFonts w:ascii="Arial" w:eastAsia="Calibri" w:hAnsi="Arial" w:cs="Arial"/>
          <w:bCs/>
          <w:sz w:val="24"/>
          <w:szCs w:val="24"/>
        </w:rPr>
        <w:t xml:space="preserve"> a declin</w:t>
      </w:r>
      <w:r w:rsidR="0050390F">
        <w:rPr>
          <w:rFonts w:ascii="Arial" w:eastAsia="Calibri" w:hAnsi="Arial" w:cs="Arial"/>
          <w:bCs/>
          <w:sz w:val="24"/>
          <w:szCs w:val="24"/>
        </w:rPr>
        <w:t>e</w:t>
      </w:r>
      <w:r w:rsidR="00AE41CE" w:rsidRPr="00D22E0A">
        <w:rPr>
          <w:rFonts w:ascii="Arial" w:eastAsia="Calibri" w:hAnsi="Arial" w:cs="Arial"/>
          <w:bCs/>
          <w:sz w:val="24"/>
          <w:szCs w:val="24"/>
        </w:rPr>
        <w:t xml:space="preserve"> in its use to </w:t>
      </w:r>
      <w:r w:rsidR="00BD5CF1" w:rsidRPr="00D22E0A">
        <w:rPr>
          <w:rFonts w:ascii="Arial" w:eastAsia="Calibri" w:hAnsi="Arial" w:cs="Arial"/>
          <w:bCs/>
          <w:sz w:val="24"/>
          <w:szCs w:val="24"/>
        </w:rPr>
        <w:t xml:space="preserve">support </w:t>
      </w:r>
      <w:r w:rsidR="0050390F">
        <w:rPr>
          <w:rFonts w:ascii="Arial" w:eastAsia="Calibri" w:hAnsi="Arial" w:cs="Arial"/>
          <w:bCs/>
          <w:sz w:val="24"/>
          <w:szCs w:val="24"/>
        </w:rPr>
        <w:t xml:space="preserve">people start </w:t>
      </w:r>
      <w:r w:rsidR="00FC4300">
        <w:rPr>
          <w:rFonts w:ascii="Arial" w:eastAsia="Calibri" w:hAnsi="Arial" w:cs="Arial"/>
          <w:bCs/>
          <w:sz w:val="24"/>
          <w:szCs w:val="24"/>
        </w:rPr>
        <w:t xml:space="preserve">in </w:t>
      </w:r>
      <w:r w:rsidR="00BD5CF1" w:rsidRPr="00D22E0A">
        <w:rPr>
          <w:rFonts w:ascii="Arial" w:eastAsia="Calibri" w:hAnsi="Arial" w:cs="Arial"/>
          <w:bCs/>
          <w:sz w:val="24"/>
          <w:szCs w:val="24"/>
        </w:rPr>
        <w:t>the</w:t>
      </w:r>
      <w:r w:rsidR="0050390F">
        <w:rPr>
          <w:rFonts w:ascii="Arial" w:eastAsia="Calibri" w:hAnsi="Arial" w:cs="Arial"/>
          <w:bCs/>
          <w:sz w:val="24"/>
          <w:szCs w:val="24"/>
        </w:rPr>
        <w:t>ir</w:t>
      </w:r>
      <w:r w:rsidR="007E31E1">
        <w:rPr>
          <w:rFonts w:ascii="Arial" w:eastAsia="Calibri" w:hAnsi="Arial" w:cs="Arial"/>
          <w:bCs/>
          <w:sz w:val="24"/>
          <w:szCs w:val="24"/>
        </w:rPr>
        <w:t xml:space="preserve"> </w:t>
      </w:r>
      <w:r w:rsidR="00BD5CF1" w:rsidRPr="00D22E0A">
        <w:rPr>
          <w:rFonts w:ascii="Arial" w:eastAsia="Calibri" w:hAnsi="Arial" w:cs="Arial"/>
          <w:bCs/>
          <w:sz w:val="24"/>
          <w:szCs w:val="24"/>
        </w:rPr>
        <w:t xml:space="preserve">journey </w:t>
      </w:r>
      <w:r w:rsidR="006370B4" w:rsidRPr="00D22E0A">
        <w:rPr>
          <w:rFonts w:ascii="Arial" w:eastAsia="Calibri" w:hAnsi="Arial" w:cs="Arial"/>
          <w:bCs/>
          <w:sz w:val="24"/>
          <w:szCs w:val="24"/>
        </w:rPr>
        <w:t xml:space="preserve">toward full qualifications. </w:t>
      </w:r>
    </w:p>
    <w:p w14:paraId="01A13AED" w14:textId="77777777" w:rsidR="00D22E0A" w:rsidRPr="00D22E0A" w:rsidRDefault="00D22E0A" w:rsidP="00C92ECE">
      <w:pPr>
        <w:spacing w:after="200" w:line="276" w:lineRule="auto"/>
        <w:ind w:left="567"/>
        <w:contextualSpacing/>
        <w:rPr>
          <w:rFonts w:ascii="Arial" w:eastAsia="Calibri" w:hAnsi="Arial" w:cs="Arial"/>
          <w:bCs/>
          <w:sz w:val="24"/>
          <w:szCs w:val="24"/>
        </w:rPr>
      </w:pPr>
    </w:p>
    <w:p w14:paraId="3A4277FC" w14:textId="5916B773" w:rsidR="00786FC7" w:rsidRDefault="00BA7B7F" w:rsidP="00D22E0A">
      <w:pPr>
        <w:numPr>
          <w:ilvl w:val="0"/>
          <w:numId w:val="6"/>
        </w:numPr>
        <w:spacing w:after="200" w:line="276" w:lineRule="auto"/>
        <w:ind w:left="567" w:hanging="425"/>
        <w:contextualSpacing/>
        <w:rPr>
          <w:rFonts w:ascii="Arial" w:eastAsia="Calibri" w:hAnsi="Arial" w:cs="Arial"/>
          <w:bCs/>
          <w:sz w:val="24"/>
          <w:szCs w:val="24"/>
        </w:rPr>
      </w:pPr>
      <w:r>
        <w:rPr>
          <w:rFonts w:ascii="Arial" w:eastAsia="Calibri" w:hAnsi="Arial" w:cs="Arial"/>
          <w:bCs/>
          <w:sz w:val="24"/>
          <w:szCs w:val="24"/>
        </w:rPr>
        <w:t>To understand</w:t>
      </w:r>
      <w:r w:rsidR="00882191" w:rsidRPr="00D22E0A">
        <w:rPr>
          <w:rFonts w:ascii="Arial" w:eastAsia="Calibri" w:hAnsi="Arial" w:cs="Arial"/>
          <w:bCs/>
          <w:sz w:val="24"/>
          <w:szCs w:val="24"/>
        </w:rPr>
        <w:t xml:space="preserve"> the decline</w:t>
      </w:r>
      <w:r>
        <w:rPr>
          <w:rFonts w:ascii="Arial" w:eastAsia="Calibri" w:hAnsi="Arial" w:cs="Arial"/>
          <w:bCs/>
          <w:sz w:val="24"/>
          <w:szCs w:val="24"/>
        </w:rPr>
        <w:t>,</w:t>
      </w:r>
      <w:r w:rsidR="00882191" w:rsidRPr="00D22E0A">
        <w:rPr>
          <w:rFonts w:ascii="Arial" w:eastAsia="Calibri" w:hAnsi="Arial" w:cs="Arial"/>
          <w:bCs/>
          <w:sz w:val="24"/>
          <w:szCs w:val="24"/>
        </w:rPr>
        <w:t xml:space="preserve"> we</w:t>
      </w:r>
      <w:r>
        <w:rPr>
          <w:rFonts w:ascii="Arial" w:eastAsia="Calibri" w:hAnsi="Arial" w:cs="Arial"/>
          <w:bCs/>
          <w:sz w:val="24"/>
          <w:szCs w:val="24"/>
        </w:rPr>
        <w:t>’ll</w:t>
      </w:r>
      <w:r w:rsidR="001A0741" w:rsidRPr="00D22E0A">
        <w:rPr>
          <w:rFonts w:ascii="Arial" w:eastAsia="Calibri" w:hAnsi="Arial" w:cs="Arial"/>
          <w:bCs/>
          <w:sz w:val="24"/>
          <w:szCs w:val="24"/>
        </w:rPr>
        <w:t xml:space="preserve"> r</w:t>
      </w:r>
      <w:r w:rsidR="00882191" w:rsidRPr="00D22E0A">
        <w:rPr>
          <w:rFonts w:ascii="Arial" w:eastAsia="Calibri" w:hAnsi="Arial" w:cs="Arial"/>
          <w:bCs/>
          <w:sz w:val="24"/>
          <w:szCs w:val="24"/>
        </w:rPr>
        <w:t xml:space="preserve">eview </w:t>
      </w:r>
      <w:r w:rsidR="0079641E" w:rsidRPr="00D22E0A">
        <w:rPr>
          <w:rFonts w:ascii="Arial" w:eastAsia="Calibri" w:hAnsi="Arial" w:cs="Arial"/>
          <w:bCs/>
          <w:sz w:val="24"/>
          <w:szCs w:val="24"/>
        </w:rPr>
        <w:t>the data from the regions to c</w:t>
      </w:r>
      <w:r w:rsidR="009B39F5">
        <w:rPr>
          <w:rFonts w:ascii="Arial" w:eastAsia="Calibri" w:hAnsi="Arial" w:cs="Arial"/>
          <w:bCs/>
          <w:sz w:val="24"/>
          <w:szCs w:val="24"/>
        </w:rPr>
        <w:t>heck its</w:t>
      </w:r>
      <w:r w:rsidR="0079641E" w:rsidRPr="00D22E0A">
        <w:rPr>
          <w:rFonts w:ascii="Arial" w:eastAsia="Calibri" w:hAnsi="Arial" w:cs="Arial"/>
          <w:bCs/>
          <w:sz w:val="24"/>
          <w:szCs w:val="24"/>
        </w:rPr>
        <w:t xml:space="preserve"> accuracy</w:t>
      </w:r>
      <w:r w:rsidR="001A0741" w:rsidRPr="00D22E0A">
        <w:rPr>
          <w:rFonts w:ascii="Arial" w:eastAsia="Calibri" w:hAnsi="Arial" w:cs="Arial"/>
          <w:bCs/>
          <w:sz w:val="24"/>
          <w:szCs w:val="24"/>
        </w:rPr>
        <w:t xml:space="preserve"> </w:t>
      </w:r>
      <w:r w:rsidR="00D22E0A" w:rsidRPr="00D22E0A">
        <w:rPr>
          <w:rFonts w:ascii="Arial" w:eastAsia="Calibri" w:hAnsi="Arial" w:cs="Arial"/>
          <w:bCs/>
          <w:sz w:val="24"/>
          <w:szCs w:val="24"/>
        </w:rPr>
        <w:t>and</w:t>
      </w:r>
      <w:r w:rsidR="001A0741" w:rsidRPr="00D22E0A">
        <w:rPr>
          <w:rFonts w:ascii="Arial" w:eastAsia="Calibri" w:hAnsi="Arial" w:cs="Arial"/>
          <w:bCs/>
          <w:sz w:val="24"/>
          <w:szCs w:val="24"/>
        </w:rPr>
        <w:t xml:space="preserve"> consult with the </w:t>
      </w:r>
      <w:proofErr w:type="gramStart"/>
      <w:r w:rsidR="00190774" w:rsidRPr="00D22E0A">
        <w:rPr>
          <w:rFonts w:ascii="Arial" w:eastAsia="Calibri" w:hAnsi="Arial" w:cs="Arial"/>
          <w:bCs/>
          <w:sz w:val="24"/>
          <w:szCs w:val="24"/>
        </w:rPr>
        <w:t>All</w:t>
      </w:r>
      <w:r w:rsidR="00DA63BD">
        <w:rPr>
          <w:rFonts w:ascii="Arial" w:eastAsia="Calibri" w:hAnsi="Arial" w:cs="Arial"/>
          <w:bCs/>
          <w:sz w:val="24"/>
          <w:szCs w:val="24"/>
        </w:rPr>
        <w:t xml:space="preserve"> </w:t>
      </w:r>
      <w:r w:rsidR="00190774" w:rsidRPr="00D22E0A">
        <w:rPr>
          <w:rFonts w:ascii="Arial" w:eastAsia="Calibri" w:hAnsi="Arial" w:cs="Arial"/>
          <w:bCs/>
          <w:sz w:val="24"/>
          <w:szCs w:val="24"/>
        </w:rPr>
        <w:t>Wales</w:t>
      </w:r>
      <w:proofErr w:type="gramEnd"/>
      <w:r w:rsidR="00967896">
        <w:rPr>
          <w:rFonts w:ascii="Arial" w:eastAsia="Calibri" w:hAnsi="Arial" w:cs="Arial"/>
          <w:bCs/>
          <w:sz w:val="24"/>
          <w:szCs w:val="24"/>
        </w:rPr>
        <w:t xml:space="preserve"> Training </w:t>
      </w:r>
      <w:r w:rsidR="009766C9" w:rsidRPr="00D22E0A">
        <w:rPr>
          <w:rFonts w:ascii="Arial" w:eastAsia="Calibri" w:hAnsi="Arial" w:cs="Arial"/>
          <w:bCs/>
          <w:sz w:val="24"/>
          <w:szCs w:val="24"/>
        </w:rPr>
        <w:t xml:space="preserve">Managers network </w:t>
      </w:r>
      <w:r w:rsidR="00DA63BD">
        <w:rPr>
          <w:rFonts w:ascii="Arial" w:eastAsia="Calibri" w:hAnsi="Arial" w:cs="Arial"/>
          <w:bCs/>
          <w:sz w:val="24"/>
          <w:szCs w:val="24"/>
        </w:rPr>
        <w:t xml:space="preserve">for feedback </w:t>
      </w:r>
      <w:r w:rsidR="00785062">
        <w:rPr>
          <w:rFonts w:ascii="Arial" w:eastAsia="Calibri" w:hAnsi="Arial" w:cs="Arial"/>
          <w:bCs/>
          <w:sz w:val="24"/>
          <w:szCs w:val="24"/>
        </w:rPr>
        <w:t xml:space="preserve">and </w:t>
      </w:r>
      <w:r w:rsidR="00785062" w:rsidRPr="00D22E0A">
        <w:rPr>
          <w:rFonts w:ascii="Arial" w:eastAsia="Calibri" w:hAnsi="Arial" w:cs="Arial"/>
          <w:bCs/>
          <w:sz w:val="24"/>
          <w:szCs w:val="24"/>
        </w:rPr>
        <w:t>insights</w:t>
      </w:r>
      <w:r w:rsidR="00DA63BD">
        <w:rPr>
          <w:rFonts w:ascii="Arial" w:eastAsia="Calibri" w:hAnsi="Arial" w:cs="Arial"/>
          <w:bCs/>
          <w:sz w:val="24"/>
          <w:szCs w:val="24"/>
        </w:rPr>
        <w:t>.</w:t>
      </w:r>
    </w:p>
    <w:p w14:paraId="0C43F95F" w14:textId="77777777" w:rsidR="006D4EFA" w:rsidRDefault="006D4EFA" w:rsidP="0019368B">
      <w:pPr>
        <w:spacing w:after="200" w:line="276" w:lineRule="auto"/>
        <w:contextualSpacing/>
        <w:rPr>
          <w:rFonts w:ascii="Arial" w:eastAsia="Calibri" w:hAnsi="Arial" w:cs="Arial"/>
          <w:bCs/>
          <w:sz w:val="24"/>
          <w:szCs w:val="24"/>
        </w:rPr>
      </w:pPr>
    </w:p>
    <w:p w14:paraId="3462E1D9" w14:textId="46AB0489" w:rsidR="009F3856" w:rsidRPr="005F0496" w:rsidRDefault="008B5489" w:rsidP="009F3856">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bCs/>
          <w:sz w:val="24"/>
          <w:szCs w:val="24"/>
        </w:rPr>
        <w:t>A</w:t>
      </w:r>
      <w:r w:rsidR="009F3856" w:rsidRPr="006B2749">
        <w:rPr>
          <w:rFonts w:ascii="Arial" w:eastAsia="Calibri" w:hAnsi="Arial" w:cs="Arial"/>
          <w:bCs/>
          <w:sz w:val="24"/>
          <w:szCs w:val="24"/>
        </w:rPr>
        <w:t xml:space="preserve">pprenticeship funding </w:t>
      </w:r>
      <w:r>
        <w:rPr>
          <w:rFonts w:ascii="Arial" w:eastAsia="Calibri" w:hAnsi="Arial" w:cs="Arial"/>
          <w:bCs/>
          <w:sz w:val="24"/>
          <w:szCs w:val="24"/>
        </w:rPr>
        <w:t xml:space="preserve">has dropped </w:t>
      </w:r>
      <w:r w:rsidR="000C466D">
        <w:rPr>
          <w:rFonts w:ascii="Arial" w:eastAsia="Calibri" w:hAnsi="Arial" w:cs="Arial"/>
          <w:bCs/>
          <w:sz w:val="24"/>
          <w:szCs w:val="24"/>
        </w:rPr>
        <w:t>since</w:t>
      </w:r>
      <w:r>
        <w:rPr>
          <w:rFonts w:ascii="Arial" w:eastAsia="Calibri" w:hAnsi="Arial" w:cs="Arial"/>
          <w:bCs/>
          <w:sz w:val="24"/>
          <w:szCs w:val="24"/>
        </w:rPr>
        <w:t xml:space="preserve"> </w:t>
      </w:r>
      <w:r w:rsidR="009F3856" w:rsidRPr="006B2749">
        <w:rPr>
          <w:rFonts w:ascii="Arial" w:eastAsia="Calibri" w:hAnsi="Arial" w:cs="Arial"/>
          <w:bCs/>
          <w:sz w:val="24"/>
          <w:szCs w:val="24"/>
        </w:rPr>
        <w:t xml:space="preserve">European Social Funding ended in 2023. This </w:t>
      </w:r>
      <w:r>
        <w:rPr>
          <w:rFonts w:ascii="Arial" w:eastAsia="Calibri" w:hAnsi="Arial" w:cs="Arial"/>
          <w:bCs/>
          <w:sz w:val="24"/>
          <w:szCs w:val="24"/>
        </w:rPr>
        <w:t>means</w:t>
      </w:r>
      <w:r w:rsidR="00E22DA5">
        <w:rPr>
          <w:rFonts w:ascii="Arial" w:eastAsia="Calibri" w:hAnsi="Arial" w:cs="Arial"/>
          <w:bCs/>
          <w:sz w:val="24"/>
          <w:szCs w:val="24"/>
        </w:rPr>
        <w:t xml:space="preserve"> </w:t>
      </w:r>
      <w:r w:rsidR="00785062">
        <w:rPr>
          <w:rFonts w:ascii="Arial" w:eastAsia="Calibri" w:hAnsi="Arial" w:cs="Arial"/>
          <w:bCs/>
          <w:sz w:val="24"/>
          <w:szCs w:val="24"/>
        </w:rPr>
        <w:t>fewer apprenticeship</w:t>
      </w:r>
      <w:r w:rsidR="009F3856" w:rsidRPr="006B2749">
        <w:rPr>
          <w:rFonts w:ascii="Arial" w:eastAsia="Calibri" w:hAnsi="Arial" w:cs="Arial"/>
          <w:bCs/>
          <w:sz w:val="24"/>
          <w:szCs w:val="24"/>
        </w:rPr>
        <w:t xml:space="preserve"> </w:t>
      </w:r>
      <w:r w:rsidR="00785062" w:rsidRPr="006B2749">
        <w:rPr>
          <w:rFonts w:ascii="Arial" w:eastAsia="Calibri" w:hAnsi="Arial" w:cs="Arial"/>
          <w:bCs/>
          <w:sz w:val="24"/>
          <w:szCs w:val="24"/>
        </w:rPr>
        <w:t>places</w:t>
      </w:r>
      <w:r w:rsidR="00785062">
        <w:rPr>
          <w:rFonts w:ascii="Arial" w:eastAsia="Calibri" w:hAnsi="Arial" w:cs="Arial"/>
          <w:bCs/>
          <w:sz w:val="24"/>
          <w:szCs w:val="24"/>
        </w:rPr>
        <w:t xml:space="preserve"> and</w:t>
      </w:r>
      <w:r w:rsidR="009F3856" w:rsidRPr="006B2749">
        <w:rPr>
          <w:rFonts w:ascii="Arial" w:eastAsia="Calibri" w:hAnsi="Arial" w:cs="Arial"/>
          <w:bCs/>
          <w:sz w:val="24"/>
          <w:szCs w:val="24"/>
        </w:rPr>
        <w:t xml:space="preserve"> waiting lists for key qualifications. </w:t>
      </w:r>
      <w:r w:rsidR="00906A69">
        <w:rPr>
          <w:rFonts w:ascii="Arial" w:eastAsia="Calibri" w:hAnsi="Arial" w:cs="Arial"/>
          <w:bCs/>
          <w:sz w:val="24"/>
          <w:szCs w:val="24"/>
        </w:rPr>
        <w:t xml:space="preserve">It’s having the </w:t>
      </w:r>
      <w:r w:rsidR="00E81263">
        <w:rPr>
          <w:rFonts w:ascii="Arial" w:eastAsia="Calibri" w:hAnsi="Arial" w:cs="Arial"/>
          <w:bCs/>
          <w:sz w:val="24"/>
          <w:szCs w:val="24"/>
        </w:rPr>
        <w:t>biggest</w:t>
      </w:r>
      <w:r w:rsidR="00906A69">
        <w:rPr>
          <w:rFonts w:ascii="Arial" w:eastAsia="Calibri" w:hAnsi="Arial" w:cs="Arial"/>
          <w:bCs/>
          <w:sz w:val="24"/>
          <w:szCs w:val="24"/>
        </w:rPr>
        <w:t xml:space="preserve"> impact on</w:t>
      </w:r>
      <w:r w:rsidR="009F3856" w:rsidRPr="00523294">
        <w:rPr>
          <w:rFonts w:ascii="Arial" w:eastAsia="Calibri" w:hAnsi="Arial" w:cs="Arial"/>
          <w:bCs/>
          <w:sz w:val="24"/>
          <w:szCs w:val="24"/>
        </w:rPr>
        <w:t xml:space="preserve"> managers and residential care for children and young people. We</w:t>
      </w:r>
      <w:r w:rsidR="00906A69">
        <w:rPr>
          <w:rFonts w:ascii="Arial" w:eastAsia="Calibri" w:hAnsi="Arial" w:cs="Arial"/>
          <w:bCs/>
          <w:sz w:val="24"/>
          <w:szCs w:val="24"/>
        </w:rPr>
        <w:t>’re working with</w:t>
      </w:r>
      <w:r w:rsidR="009F3856" w:rsidRPr="00523294">
        <w:rPr>
          <w:rFonts w:ascii="Arial" w:eastAsia="Calibri" w:hAnsi="Arial" w:cs="Arial"/>
          <w:bCs/>
          <w:sz w:val="24"/>
          <w:szCs w:val="24"/>
        </w:rPr>
        <w:t xml:space="preserve"> external partners to </w:t>
      </w:r>
      <w:r w:rsidR="00906A69">
        <w:rPr>
          <w:rFonts w:ascii="Arial" w:eastAsia="Calibri" w:hAnsi="Arial" w:cs="Arial"/>
          <w:bCs/>
          <w:sz w:val="24"/>
          <w:szCs w:val="24"/>
        </w:rPr>
        <w:t>find</w:t>
      </w:r>
      <w:r w:rsidR="009F3856" w:rsidRPr="00523294">
        <w:rPr>
          <w:rFonts w:ascii="Arial" w:eastAsia="Calibri" w:hAnsi="Arial" w:cs="Arial"/>
          <w:bCs/>
          <w:sz w:val="24"/>
          <w:szCs w:val="24"/>
        </w:rPr>
        <w:t xml:space="preserve"> solutions and </w:t>
      </w:r>
      <w:r w:rsidR="000A43A3">
        <w:rPr>
          <w:rFonts w:ascii="Arial" w:eastAsia="Calibri" w:hAnsi="Arial" w:cs="Arial"/>
          <w:bCs/>
          <w:sz w:val="24"/>
          <w:szCs w:val="24"/>
        </w:rPr>
        <w:t>reduce</w:t>
      </w:r>
      <w:r w:rsidR="009F3856" w:rsidRPr="00523294">
        <w:rPr>
          <w:rFonts w:ascii="Arial" w:eastAsia="Calibri" w:hAnsi="Arial" w:cs="Arial"/>
          <w:bCs/>
          <w:sz w:val="24"/>
          <w:szCs w:val="24"/>
        </w:rPr>
        <w:t xml:space="preserve"> the impact on the registration of workers.</w:t>
      </w:r>
      <w:r w:rsidR="009F3856" w:rsidRPr="005F0496">
        <w:rPr>
          <w:rFonts w:ascii="Arial" w:eastAsia="Calibri" w:hAnsi="Arial" w:cs="Arial"/>
          <w:bCs/>
          <w:sz w:val="24"/>
          <w:szCs w:val="24"/>
        </w:rPr>
        <w:t xml:space="preserve"> </w:t>
      </w:r>
    </w:p>
    <w:p w14:paraId="3A3BBA1B" w14:textId="0D8A8553" w:rsidR="00112B0A" w:rsidRPr="00847CC3" w:rsidRDefault="00112B0A" w:rsidP="00847CC3">
      <w:pPr>
        <w:rPr>
          <w:rFonts w:ascii="Arial" w:eastAsia="Calibri" w:hAnsi="Arial" w:cs="Arial"/>
          <w:sz w:val="24"/>
          <w:szCs w:val="24"/>
        </w:rPr>
      </w:pPr>
    </w:p>
    <w:p w14:paraId="57CB54B9" w14:textId="77777777" w:rsidR="00112B0A" w:rsidRPr="00ED4B56" w:rsidRDefault="00112B0A" w:rsidP="00112B0A">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Apprenticeship f</w:t>
      </w:r>
      <w:r w:rsidRPr="00ED4B56">
        <w:rPr>
          <w:rFonts w:ascii="Arial" w:eastAsia="Calibri" w:hAnsi="Arial" w:cs="Arial"/>
          <w:sz w:val="24"/>
          <w:szCs w:val="24"/>
        </w:rPr>
        <w:t>unding decisions sit with Welsh Government and since</w:t>
      </w:r>
      <w:r w:rsidRPr="00ED4B56" w:rsidDel="003D03A0">
        <w:rPr>
          <w:rFonts w:ascii="Arial" w:eastAsia="Calibri" w:hAnsi="Arial" w:cs="Arial"/>
          <w:sz w:val="24"/>
          <w:szCs w:val="24"/>
        </w:rPr>
        <w:t xml:space="preserve"> </w:t>
      </w:r>
      <w:r w:rsidRPr="00ED4B56">
        <w:rPr>
          <w:rFonts w:ascii="Arial" w:eastAsia="Calibri" w:hAnsi="Arial" w:cs="Arial"/>
          <w:sz w:val="24"/>
          <w:szCs w:val="24"/>
        </w:rPr>
        <w:t>1</w:t>
      </w:r>
      <w:r w:rsidRPr="00ED4B56" w:rsidDel="004368F1">
        <w:rPr>
          <w:rFonts w:ascii="Arial" w:eastAsia="Calibri" w:hAnsi="Arial" w:cs="Arial"/>
          <w:sz w:val="24"/>
          <w:szCs w:val="24"/>
        </w:rPr>
        <w:t xml:space="preserve"> </w:t>
      </w:r>
      <w:r w:rsidRPr="00ED4B56">
        <w:rPr>
          <w:rFonts w:ascii="Arial" w:eastAsia="Calibri" w:hAnsi="Arial" w:cs="Arial"/>
          <w:sz w:val="24"/>
          <w:szCs w:val="24"/>
        </w:rPr>
        <w:t xml:space="preserve">August 2024, </w:t>
      </w:r>
      <w:hyperlink r:id="rId36" w:history="1">
        <w:proofErr w:type="spellStart"/>
        <w:r w:rsidRPr="00ED4B56">
          <w:rPr>
            <w:rStyle w:val="Hyperlink"/>
            <w:rFonts w:ascii="Arial" w:eastAsia="Calibri" w:hAnsi="Arial" w:cs="Arial"/>
            <w:sz w:val="24"/>
            <w:szCs w:val="24"/>
          </w:rPr>
          <w:t>Medr</w:t>
        </w:r>
        <w:proofErr w:type="spellEnd"/>
      </w:hyperlink>
      <w:r w:rsidRPr="005F0496">
        <w:rPr>
          <w:rFonts w:ascii="Arial" w:eastAsia="Calibri" w:hAnsi="Arial" w:cs="Arial"/>
          <w:sz w:val="24"/>
          <w:szCs w:val="24"/>
        </w:rPr>
        <w:t xml:space="preserve"> </w:t>
      </w:r>
      <w:r w:rsidRPr="00ED4B56">
        <w:rPr>
          <w:rFonts w:ascii="Arial" w:eastAsia="Calibri" w:hAnsi="Arial" w:cs="Arial"/>
          <w:sz w:val="24"/>
          <w:szCs w:val="24"/>
        </w:rPr>
        <w:t>is the arm’s length body responsible for funding and regulating tertiary education and research. We</w:t>
      </w:r>
      <w:r w:rsidRPr="005F0496">
        <w:rPr>
          <w:rFonts w:ascii="Arial" w:eastAsia="Calibri" w:hAnsi="Arial" w:cs="Arial"/>
          <w:sz w:val="24"/>
          <w:szCs w:val="24"/>
        </w:rPr>
        <w:t xml:space="preserve"> </w:t>
      </w:r>
      <w:r w:rsidRPr="00ED4B56">
        <w:rPr>
          <w:rFonts w:ascii="Arial" w:eastAsia="Calibri" w:hAnsi="Arial" w:cs="Arial"/>
          <w:sz w:val="24"/>
          <w:szCs w:val="24"/>
        </w:rPr>
        <w:t xml:space="preserve">continue </w:t>
      </w:r>
      <w:r w:rsidRPr="005F0496">
        <w:rPr>
          <w:rFonts w:ascii="Arial" w:eastAsia="Calibri" w:hAnsi="Arial" w:cs="Arial"/>
          <w:sz w:val="24"/>
          <w:szCs w:val="24"/>
        </w:rPr>
        <w:t xml:space="preserve">to work </w:t>
      </w:r>
      <w:r w:rsidRPr="00ED4B56">
        <w:rPr>
          <w:rFonts w:ascii="Arial" w:eastAsia="Calibri" w:hAnsi="Arial" w:cs="Arial"/>
          <w:sz w:val="24"/>
          <w:szCs w:val="24"/>
        </w:rPr>
        <w:t xml:space="preserve">closely with Welsh Government and with </w:t>
      </w:r>
      <w:proofErr w:type="spellStart"/>
      <w:r w:rsidRPr="00ED4B56">
        <w:rPr>
          <w:rFonts w:ascii="Arial" w:eastAsia="Calibri" w:hAnsi="Arial" w:cs="Arial"/>
          <w:sz w:val="24"/>
          <w:szCs w:val="24"/>
        </w:rPr>
        <w:t>Medr</w:t>
      </w:r>
      <w:proofErr w:type="spellEnd"/>
      <w:r w:rsidRPr="00ED4B56">
        <w:rPr>
          <w:rFonts w:ascii="Arial" w:eastAsia="Calibri" w:hAnsi="Arial" w:cs="Arial"/>
          <w:sz w:val="24"/>
          <w:szCs w:val="24"/>
        </w:rPr>
        <w:t xml:space="preserve"> </w:t>
      </w:r>
      <w:r w:rsidRPr="005F0496">
        <w:rPr>
          <w:rFonts w:ascii="Arial" w:eastAsia="Calibri" w:hAnsi="Arial" w:cs="Arial"/>
          <w:sz w:val="24"/>
          <w:szCs w:val="24"/>
        </w:rPr>
        <w:t>and have worked with</w:t>
      </w:r>
      <w:r>
        <w:rPr>
          <w:rFonts w:ascii="Arial" w:eastAsia="Calibri" w:hAnsi="Arial" w:cs="Arial"/>
          <w:sz w:val="24"/>
          <w:szCs w:val="24"/>
        </w:rPr>
        <w:t xml:space="preserve"> them</w:t>
      </w:r>
      <w:r w:rsidRPr="00ED4B56">
        <w:rPr>
          <w:rFonts w:ascii="Arial" w:eastAsia="Calibri" w:hAnsi="Arial" w:cs="Arial"/>
          <w:sz w:val="24"/>
          <w:szCs w:val="24"/>
        </w:rPr>
        <w:t xml:space="preserve"> to consult with the sector </w:t>
      </w:r>
      <w:r>
        <w:rPr>
          <w:rFonts w:ascii="Arial" w:eastAsia="Calibri" w:hAnsi="Arial" w:cs="Arial"/>
          <w:sz w:val="24"/>
          <w:szCs w:val="24"/>
        </w:rPr>
        <w:t>to review the</w:t>
      </w:r>
      <w:r w:rsidRPr="00ED4B56">
        <w:rPr>
          <w:rFonts w:ascii="Arial" w:eastAsia="Calibri" w:hAnsi="Arial" w:cs="Arial"/>
          <w:sz w:val="24"/>
          <w:szCs w:val="24"/>
        </w:rPr>
        <w:t xml:space="preserve"> apprenticeship frameworks for Health and Social Care and Children’s Care, Play, Learning and Development (Wales)</w:t>
      </w:r>
      <w:r w:rsidRPr="005F0496">
        <w:rPr>
          <w:rFonts w:ascii="Arial" w:eastAsia="Calibri" w:hAnsi="Arial" w:cs="Arial"/>
          <w:sz w:val="24"/>
          <w:szCs w:val="24"/>
        </w:rPr>
        <w:t xml:space="preserve">.  After the consultation, we’ll work with </w:t>
      </w:r>
      <w:proofErr w:type="spellStart"/>
      <w:r w:rsidRPr="005F0496">
        <w:rPr>
          <w:rFonts w:ascii="Arial" w:eastAsia="Calibri" w:hAnsi="Arial" w:cs="Arial"/>
          <w:sz w:val="24"/>
          <w:szCs w:val="24"/>
        </w:rPr>
        <w:t>Medr</w:t>
      </w:r>
      <w:proofErr w:type="spellEnd"/>
      <w:r w:rsidRPr="005F0496">
        <w:rPr>
          <w:rFonts w:ascii="Arial" w:eastAsia="Calibri" w:hAnsi="Arial" w:cs="Arial"/>
          <w:sz w:val="24"/>
          <w:szCs w:val="24"/>
        </w:rPr>
        <w:t xml:space="preserve"> to change the framework documents. </w:t>
      </w:r>
      <w:proofErr w:type="spellStart"/>
      <w:r w:rsidRPr="005F0496">
        <w:rPr>
          <w:rFonts w:ascii="Arial" w:eastAsia="Calibri" w:hAnsi="Arial" w:cs="Arial"/>
          <w:sz w:val="24"/>
          <w:szCs w:val="24"/>
        </w:rPr>
        <w:t>Medr</w:t>
      </w:r>
      <w:proofErr w:type="spellEnd"/>
      <w:r w:rsidRPr="005F0496">
        <w:rPr>
          <w:rFonts w:ascii="Arial" w:eastAsia="Calibri" w:hAnsi="Arial" w:cs="Arial"/>
          <w:sz w:val="24"/>
          <w:szCs w:val="24"/>
        </w:rPr>
        <w:t xml:space="preserve"> will publish the updated framework on its website</w:t>
      </w:r>
      <w:r>
        <w:rPr>
          <w:rFonts w:ascii="Arial" w:eastAsia="Calibri" w:hAnsi="Arial" w:cs="Arial"/>
          <w:sz w:val="24"/>
          <w:szCs w:val="24"/>
        </w:rPr>
        <w:t>. T</w:t>
      </w:r>
      <w:r w:rsidRPr="005F0496">
        <w:rPr>
          <w:rFonts w:ascii="Arial" w:eastAsia="Calibri" w:hAnsi="Arial" w:cs="Arial"/>
          <w:sz w:val="24"/>
          <w:szCs w:val="24"/>
        </w:rPr>
        <w:t>he current framework will remain in place until the new frameworks are published.</w:t>
      </w:r>
    </w:p>
    <w:p w14:paraId="2E7E2B47" w14:textId="77777777" w:rsidR="00112B0A" w:rsidRDefault="00112B0A" w:rsidP="00112B0A">
      <w:pPr>
        <w:spacing w:after="200" w:line="276" w:lineRule="auto"/>
        <w:contextualSpacing/>
        <w:rPr>
          <w:rFonts w:ascii="Arial" w:eastAsia="Calibri" w:hAnsi="Arial" w:cs="Arial"/>
          <w:sz w:val="24"/>
          <w:szCs w:val="24"/>
        </w:rPr>
      </w:pPr>
    </w:p>
    <w:p w14:paraId="394F161D" w14:textId="77777777" w:rsidR="00112B0A" w:rsidRDefault="00112B0A" w:rsidP="00112B0A">
      <w:pPr>
        <w:numPr>
          <w:ilvl w:val="0"/>
          <w:numId w:val="6"/>
        </w:numPr>
        <w:spacing w:after="200" w:line="276" w:lineRule="auto"/>
        <w:ind w:left="567" w:hanging="425"/>
        <w:contextualSpacing/>
        <w:rPr>
          <w:rFonts w:ascii="Arial" w:eastAsia="Calibri" w:hAnsi="Arial" w:cs="Arial"/>
          <w:sz w:val="24"/>
          <w:szCs w:val="24"/>
        </w:rPr>
      </w:pPr>
      <w:r>
        <w:rPr>
          <w:rFonts w:ascii="Arial" w:eastAsia="Calibri" w:hAnsi="Arial" w:cs="Arial"/>
          <w:sz w:val="24"/>
          <w:szCs w:val="24"/>
        </w:rPr>
        <w:t>One region has</w:t>
      </w:r>
      <w:r w:rsidRPr="5E7DC569">
        <w:rPr>
          <w:rFonts w:ascii="Arial" w:eastAsia="Calibri" w:hAnsi="Arial" w:cs="Arial"/>
          <w:sz w:val="24"/>
          <w:szCs w:val="24"/>
        </w:rPr>
        <w:t xml:space="preserve"> raised </w:t>
      </w:r>
      <w:r>
        <w:rPr>
          <w:rFonts w:ascii="Arial" w:eastAsia="Calibri" w:hAnsi="Arial" w:cs="Arial"/>
          <w:sz w:val="24"/>
          <w:szCs w:val="24"/>
        </w:rPr>
        <w:t>concerns about</w:t>
      </w:r>
      <w:r w:rsidRPr="5E7DC569">
        <w:rPr>
          <w:rFonts w:ascii="Arial" w:eastAsia="Calibri" w:hAnsi="Arial" w:cs="Arial"/>
          <w:sz w:val="24"/>
          <w:szCs w:val="24"/>
        </w:rPr>
        <w:t xml:space="preserve"> qualification misalignment</w:t>
      </w:r>
      <w:r>
        <w:rPr>
          <w:rFonts w:ascii="Arial" w:eastAsia="Calibri" w:hAnsi="Arial" w:cs="Arial"/>
          <w:sz w:val="24"/>
          <w:szCs w:val="24"/>
        </w:rPr>
        <w:t>. The</w:t>
      </w:r>
      <w:r w:rsidRPr="5E7DC569">
        <w:rPr>
          <w:rFonts w:ascii="Arial" w:eastAsia="Calibri" w:hAnsi="Arial" w:cs="Arial"/>
          <w:sz w:val="24"/>
          <w:szCs w:val="24"/>
        </w:rPr>
        <w:t xml:space="preserve"> full-time Level 3 Health </w:t>
      </w:r>
      <w:r>
        <w:rPr>
          <w:rFonts w:ascii="Arial" w:eastAsia="Calibri" w:hAnsi="Arial" w:cs="Arial"/>
          <w:sz w:val="24"/>
          <w:szCs w:val="24"/>
        </w:rPr>
        <w:t>and</w:t>
      </w:r>
      <w:r w:rsidRPr="5E7DC569">
        <w:rPr>
          <w:rFonts w:ascii="Arial" w:eastAsia="Calibri" w:hAnsi="Arial" w:cs="Arial"/>
          <w:sz w:val="24"/>
          <w:szCs w:val="24"/>
        </w:rPr>
        <w:t xml:space="preserve"> Social Care qualification does</w:t>
      </w:r>
      <w:r>
        <w:rPr>
          <w:rFonts w:ascii="Arial" w:eastAsia="Calibri" w:hAnsi="Arial" w:cs="Arial"/>
          <w:sz w:val="24"/>
          <w:szCs w:val="24"/>
        </w:rPr>
        <w:t xml:space="preserve">n’t </w:t>
      </w:r>
      <w:r w:rsidRPr="5E7DC569">
        <w:rPr>
          <w:rFonts w:ascii="Arial" w:eastAsia="Calibri" w:hAnsi="Arial" w:cs="Arial"/>
          <w:sz w:val="24"/>
          <w:szCs w:val="24"/>
        </w:rPr>
        <w:t>currently ma</w:t>
      </w:r>
      <w:r>
        <w:rPr>
          <w:rFonts w:ascii="Arial" w:eastAsia="Calibri" w:hAnsi="Arial" w:cs="Arial"/>
          <w:sz w:val="24"/>
          <w:szCs w:val="24"/>
        </w:rPr>
        <w:t>tch</w:t>
      </w:r>
      <w:r w:rsidRPr="5E7DC569">
        <w:rPr>
          <w:rFonts w:ascii="Arial" w:eastAsia="Calibri" w:hAnsi="Arial" w:cs="Arial"/>
          <w:sz w:val="24"/>
          <w:szCs w:val="24"/>
        </w:rPr>
        <w:t xml:space="preserve"> the core work-based Health </w:t>
      </w:r>
      <w:r>
        <w:rPr>
          <w:rFonts w:ascii="Arial" w:eastAsia="Calibri" w:hAnsi="Arial" w:cs="Arial"/>
          <w:sz w:val="24"/>
          <w:szCs w:val="24"/>
        </w:rPr>
        <w:t>and</w:t>
      </w:r>
      <w:r w:rsidRPr="5E7DC569">
        <w:rPr>
          <w:rFonts w:ascii="Arial" w:eastAsia="Calibri" w:hAnsi="Arial" w:cs="Arial"/>
          <w:sz w:val="24"/>
          <w:szCs w:val="24"/>
        </w:rPr>
        <w:t xml:space="preserve"> Social Care qualification. </w:t>
      </w:r>
      <w:r>
        <w:rPr>
          <w:rFonts w:ascii="Arial" w:eastAsia="Calibri" w:hAnsi="Arial" w:cs="Arial"/>
          <w:sz w:val="24"/>
          <w:szCs w:val="24"/>
        </w:rPr>
        <w:t>This means</w:t>
      </w:r>
      <w:r w:rsidRPr="5E7DC569">
        <w:rPr>
          <w:rFonts w:ascii="Arial" w:eastAsia="Calibri" w:hAnsi="Arial" w:cs="Arial"/>
          <w:sz w:val="24"/>
          <w:szCs w:val="24"/>
        </w:rPr>
        <w:t xml:space="preserve"> workers who hold a Level 3 qualification </w:t>
      </w:r>
      <w:r>
        <w:rPr>
          <w:rFonts w:ascii="Arial" w:eastAsia="Calibri" w:hAnsi="Arial" w:cs="Arial"/>
          <w:sz w:val="24"/>
          <w:szCs w:val="24"/>
        </w:rPr>
        <w:t xml:space="preserve">still </w:t>
      </w:r>
      <w:proofErr w:type="gramStart"/>
      <w:r>
        <w:rPr>
          <w:rFonts w:ascii="Arial" w:eastAsia="Calibri" w:hAnsi="Arial" w:cs="Arial"/>
          <w:sz w:val="24"/>
          <w:szCs w:val="24"/>
        </w:rPr>
        <w:t>have to</w:t>
      </w:r>
      <w:proofErr w:type="gramEnd"/>
      <w:r>
        <w:rPr>
          <w:rFonts w:ascii="Arial" w:eastAsia="Calibri" w:hAnsi="Arial" w:cs="Arial"/>
          <w:sz w:val="24"/>
          <w:szCs w:val="24"/>
        </w:rPr>
        <w:t xml:space="preserve"> complete</w:t>
      </w:r>
      <w:r w:rsidRPr="5E7DC569">
        <w:rPr>
          <w:rFonts w:ascii="Arial" w:eastAsia="Calibri" w:hAnsi="Arial" w:cs="Arial"/>
          <w:sz w:val="24"/>
          <w:szCs w:val="24"/>
        </w:rPr>
        <w:t xml:space="preserve"> the full Level 2 work-based qualification, which has raised concerns around duplication and inefficiency. We continue to support the sector and work with awarding bodies to </w:t>
      </w:r>
      <w:r>
        <w:rPr>
          <w:rFonts w:ascii="Arial" w:eastAsia="Calibri" w:hAnsi="Arial" w:cs="Arial"/>
          <w:sz w:val="24"/>
          <w:szCs w:val="24"/>
        </w:rPr>
        <w:t>make</w:t>
      </w:r>
      <w:r w:rsidRPr="5E7DC569">
        <w:rPr>
          <w:rFonts w:ascii="Arial" w:eastAsia="Calibri" w:hAnsi="Arial" w:cs="Arial"/>
          <w:sz w:val="24"/>
          <w:szCs w:val="24"/>
        </w:rPr>
        <w:t xml:space="preserve"> improvements </w:t>
      </w:r>
      <w:r>
        <w:rPr>
          <w:rFonts w:ascii="Arial" w:eastAsia="Calibri" w:hAnsi="Arial" w:cs="Arial"/>
          <w:sz w:val="24"/>
          <w:szCs w:val="24"/>
        </w:rPr>
        <w:t>as needed</w:t>
      </w:r>
      <w:r w:rsidRPr="5E7DC569">
        <w:rPr>
          <w:rFonts w:ascii="Arial" w:eastAsia="Calibri" w:hAnsi="Arial" w:cs="Arial"/>
          <w:sz w:val="24"/>
          <w:szCs w:val="24"/>
        </w:rPr>
        <w:t>. It</w:t>
      </w:r>
      <w:r>
        <w:rPr>
          <w:rFonts w:ascii="Arial" w:eastAsia="Calibri" w:hAnsi="Arial" w:cs="Arial"/>
          <w:sz w:val="24"/>
          <w:szCs w:val="24"/>
        </w:rPr>
        <w:t>’s</w:t>
      </w:r>
      <w:r w:rsidRPr="5E7DC569">
        <w:rPr>
          <w:rFonts w:ascii="Arial" w:eastAsia="Calibri" w:hAnsi="Arial" w:cs="Arial"/>
          <w:sz w:val="24"/>
          <w:szCs w:val="24"/>
        </w:rPr>
        <w:t xml:space="preserve"> important to emphasise that there are no concerns or challenges with the content of the qualifications</w:t>
      </w:r>
    </w:p>
    <w:p w14:paraId="06C7CE23" w14:textId="77777777" w:rsidR="00112B0A" w:rsidRPr="00ED4B56" w:rsidRDefault="00112B0A" w:rsidP="00BB471B">
      <w:pPr>
        <w:spacing w:after="200" w:line="276" w:lineRule="auto"/>
        <w:ind w:left="142"/>
        <w:contextualSpacing/>
        <w:rPr>
          <w:rFonts w:ascii="Arial" w:eastAsia="Calibri" w:hAnsi="Arial" w:cs="Arial"/>
          <w:sz w:val="24"/>
          <w:szCs w:val="24"/>
        </w:rPr>
      </w:pPr>
    </w:p>
    <w:p w14:paraId="1C1A69EC" w14:textId="41AAC40F" w:rsidR="00F95E3F" w:rsidRPr="00C92ECE" w:rsidRDefault="004F0524" w:rsidP="00C92ECE">
      <w:pPr>
        <w:pStyle w:val="Heading3"/>
      </w:pPr>
      <w:bookmarkStart w:id="60" w:name="_Toc210987788"/>
      <w:bookmarkStart w:id="61" w:name="_Toc211279641"/>
      <w:r w:rsidRPr="00C92ECE">
        <w:lastRenderedPageBreak/>
        <w:t>Access to</w:t>
      </w:r>
      <w:r w:rsidR="00B63C15">
        <w:t xml:space="preserve"> and improving</w:t>
      </w:r>
      <w:r w:rsidRPr="00C92ECE">
        <w:t xml:space="preserve"> </w:t>
      </w:r>
      <w:r w:rsidR="00A44A7D">
        <w:t xml:space="preserve">workforce </w:t>
      </w:r>
      <w:r w:rsidRPr="00C92ECE">
        <w:t>data</w:t>
      </w:r>
      <w:bookmarkEnd w:id="60"/>
      <w:bookmarkEnd w:id="61"/>
      <w:r w:rsidR="00B826A7">
        <w:t xml:space="preserve"> </w:t>
      </w:r>
    </w:p>
    <w:p w14:paraId="50B92F25" w14:textId="280020DB" w:rsidR="00C771B2" w:rsidRDefault="005702C4" w:rsidP="00C771B2">
      <w:pPr>
        <w:pStyle w:val="ListParagraph"/>
        <w:numPr>
          <w:ilvl w:val="0"/>
          <w:numId w:val="112"/>
        </w:numPr>
        <w:spacing w:after="200" w:line="276" w:lineRule="auto"/>
        <w:rPr>
          <w:rFonts w:ascii="Arial" w:eastAsia="Calibri" w:hAnsi="Arial" w:cs="Arial"/>
          <w:bCs/>
          <w:sz w:val="24"/>
          <w:szCs w:val="24"/>
        </w:rPr>
      </w:pPr>
      <w:r w:rsidRPr="005702C4">
        <w:rPr>
          <w:rFonts w:ascii="Arial" w:eastAsia="Calibri" w:hAnsi="Arial" w:cs="Arial"/>
          <w:bCs/>
          <w:sz w:val="24"/>
          <w:szCs w:val="24"/>
        </w:rPr>
        <w:t xml:space="preserve">The Performance and Improvement </w:t>
      </w:r>
      <w:r w:rsidR="00313D56" w:rsidRPr="005702C4">
        <w:rPr>
          <w:rFonts w:ascii="Arial" w:eastAsia="Calibri" w:hAnsi="Arial" w:cs="Arial"/>
          <w:bCs/>
          <w:sz w:val="24"/>
          <w:szCs w:val="24"/>
        </w:rPr>
        <w:t>Framework</w:t>
      </w:r>
      <w:r w:rsidR="007A766D">
        <w:rPr>
          <w:rFonts w:ascii="Arial" w:eastAsia="Calibri" w:hAnsi="Arial" w:cs="Arial"/>
          <w:bCs/>
          <w:sz w:val="24"/>
          <w:szCs w:val="24"/>
        </w:rPr>
        <w:t>, introduced</w:t>
      </w:r>
      <w:r w:rsidR="00313D56" w:rsidRPr="005702C4">
        <w:rPr>
          <w:rFonts w:ascii="Arial" w:eastAsia="Calibri" w:hAnsi="Arial" w:cs="Arial"/>
          <w:bCs/>
          <w:sz w:val="24"/>
          <w:szCs w:val="24"/>
        </w:rPr>
        <w:t xml:space="preserve"> in</w:t>
      </w:r>
      <w:r w:rsidRPr="005702C4">
        <w:rPr>
          <w:rFonts w:ascii="Arial" w:eastAsia="Calibri" w:hAnsi="Arial" w:cs="Arial"/>
          <w:bCs/>
          <w:sz w:val="24"/>
          <w:szCs w:val="24"/>
        </w:rPr>
        <w:t xml:space="preserve"> April 2020</w:t>
      </w:r>
      <w:r w:rsidR="00DB2FA2">
        <w:rPr>
          <w:rFonts w:ascii="Arial" w:eastAsia="Calibri" w:hAnsi="Arial" w:cs="Arial"/>
          <w:bCs/>
          <w:sz w:val="24"/>
          <w:szCs w:val="24"/>
        </w:rPr>
        <w:t>,</w:t>
      </w:r>
      <w:r w:rsidRPr="005702C4">
        <w:rPr>
          <w:rFonts w:ascii="Arial" w:eastAsia="Calibri" w:hAnsi="Arial" w:cs="Arial"/>
          <w:bCs/>
          <w:sz w:val="24"/>
          <w:szCs w:val="24"/>
        </w:rPr>
        <w:t xml:space="preserve"> </w:t>
      </w:r>
      <w:r w:rsidR="00DB2FA2">
        <w:rPr>
          <w:rFonts w:ascii="Arial" w:eastAsia="Calibri" w:hAnsi="Arial" w:cs="Arial"/>
          <w:bCs/>
          <w:sz w:val="24"/>
          <w:szCs w:val="24"/>
        </w:rPr>
        <w:t xml:space="preserve">created a </w:t>
      </w:r>
      <w:r w:rsidR="00426B8A">
        <w:rPr>
          <w:rFonts w:ascii="Arial" w:eastAsia="Calibri" w:hAnsi="Arial" w:cs="Arial"/>
          <w:bCs/>
          <w:sz w:val="24"/>
          <w:szCs w:val="24"/>
        </w:rPr>
        <w:t>joined-up</w:t>
      </w:r>
      <w:r w:rsidR="00DB2FA2">
        <w:rPr>
          <w:rFonts w:ascii="Arial" w:eastAsia="Calibri" w:hAnsi="Arial" w:cs="Arial"/>
          <w:bCs/>
          <w:sz w:val="24"/>
          <w:szCs w:val="24"/>
        </w:rPr>
        <w:t xml:space="preserve"> way to </w:t>
      </w:r>
      <w:r w:rsidR="000F3819">
        <w:rPr>
          <w:rFonts w:ascii="Arial" w:eastAsia="Calibri" w:hAnsi="Arial" w:cs="Arial"/>
          <w:bCs/>
          <w:sz w:val="24"/>
          <w:szCs w:val="24"/>
        </w:rPr>
        <w:t xml:space="preserve">collect </w:t>
      </w:r>
      <w:r w:rsidRPr="005702C4">
        <w:rPr>
          <w:rFonts w:ascii="Arial" w:eastAsia="Calibri" w:hAnsi="Arial" w:cs="Arial"/>
          <w:bCs/>
          <w:sz w:val="24"/>
          <w:szCs w:val="24"/>
        </w:rPr>
        <w:t>social care workforce</w:t>
      </w:r>
      <w:r w:rsidR="00563072">
        <w:rPr>
          <w:rFonts w:ascii="Arial" w:eastAsia="Calibri" w:hAnsi="Arial" w:cs="Arial"/>
          <w:bCs/>
          <w:sz w:val="24"/>
          <w:szCs w:val="24"/>
        </w:rPr>
        <w:t xml:space="preserve"> data. The </w:t>
      </w:r>
      <w:r w:rsidR="00313D56">
        <w:rPr>
          <w:rFonts w:ascii="Arial" w:eastAsia="Calibri" w:hAnsi="Arial" w:cs="Arial"/>
          <w:bCs/>
          <w:sz w:val="24"/>
          <w:szCs w:val="24"/>
        </w:rPr>
        <w:t>2024</w:t>
      </w:r>
      <w:r w:rsidR="00563072">
        <w:rPr>
          <w:rFonts w:ascii="Arial" w:eastAsia="Calibri" w:hAnsi="Arial" w:cs="Arial"/>
          <w:bCs/>
          <w:sz w:val="24"/>
          <w:szCs w:val="24"/>
        </w:rPr>
        <w:t xml:space="preserve"> collection </w:t>
      </w:r>
      <w:r w:rsidR="00813482">
        <w:rPr>
          <w:rFonts w:ascii="Arial" w:eastAsia="Calibri" w:hAnsi="Arial" w:cs="Arial"/>
          <w:bCs/>
          <w:sz w:val="24"/>
          <w:szCs w:val="24"/>
        </w:rPr>
        <w:t>was</w:t>
      </w:r>
      <w:r w:rsidR="00563072">
        <w:rPr>
          <w:rFonts w:ascii="Arial" w:eastAsia="Calibri" w:hAnsi="Arial" w:cs="Arial"/>
          <w:bCs/>
          <w:sz w:val="24"/>
          <w:szCs w:val="24"/>
        </w:rPr>
        <w:t xml:space="preserve"> the </w:t>
      </w:r>
      <w:r w:rsidR="00313D56">
        <w:rPr>
          <w:rFonts w:ascii="Arial" w:eastAsia="Calibri" w:hAnsi="Arial" w:cs="Arial"/>
          <w:bCs/>
          <w:sz w:val="24"/>
          <w:szCs w:val="24"/>
        </w:rPr>
        <w:t>fourth</w:t>
      </w:r>
      <w:r w:rsidR="00563072">
        <w:rPr>
          <w:rFonts w:ascii="Arial" w:eastAsia="Calibri" w:hAnsi="Arial" w:cs="Arial"/>
          <w:bCs/>
          <w:sz w:val="24"/>
          <w:szCs w:val="24"/>
        </w:rPr>
        <w:t xml:space="preserve"> year</w:t>
      </w:r>
      <w:r w:rsidR="00426B8A">
        <w:rPr>
          <w:rFonts w:ascii="Arial" w:eastAsia="Calibri" w:hAnsi="Arial" w:cs="Arial"/>
          <w:bCs/>
          <w:sz w:val="24"/>
          <w:szCs w:val="24"/>
        </w:rPr>
        <w:t xml:space="preserve"> </w:t>
      </w:r>
      <w:r w:rsidR="00813482">
        <w:rPr>
          <w:rFonts w:ascii="Arial" w:eastAsia="Calibri" w:hAnsi="Arial" w:cs="Arial"/>
          <w:bCs/>
          <w:sz w:val="24"/>
          <w:szCs w:val="24"/>
        </w:rPr>
        <w:t xml:space="preserve">we’ve </w:t>
      </w:r>
      <w:r w:rsidR="00563072">
        <w:rPr>
          <w:rFonts w:ascii="Arial" w:eastAsia="Calibri" w:hAnsi="Arial" w:cs="Arial"/>
          <w:bCs/>
          <w:sz w:val="24"/>
          <w:szCs w:val="24"/>
        </w:rPr>
        <w:t xml:space="preserve">gathered </w:t>
      </w:r>
      <w:r w:rsidR="00813482">
        <w:rPr>
          <w:rFonts w:ascii="Arial" w:eastAsia="Calibri" w:hAnsi="Arial" w:cs="Arial"/>
          <w:bCs/>
          <w:sz w:val="24"/>
          <w:szCs w:val="24"/>
        </w:rPr>
        <w:t xml:space="preserve">data </w:t>
      </w:r>
      <w:r w:rsidR="00563072">
        <w:rPr>
          <w:rFonts w:ascii="Arial" w:eastAsia="Calibri" w:hAnsi="Arial" w:cs="Arial"/>
          <w:bCs/>
          <w:sz w:val="24"/>
          <w:szCs w:val="24"/>
        </w:rPr>
        <w:t xml:space="preserve">under this </w:t>
      </w:r>
      <w:r w:rsidR="00313D56">
        <w:rPr>
          <w:rFonts w:ascii="Arial" w:eastAsia="Calibri" w:hAnsi="Arial" w:cs="Arial"/>
          <w:bCs/>
          <w:sz w:val="24"/>
          <w:szCs w:val="24"/>
        </w:rPr>
        <w:t>framework.</w:t>
      </w:r>
    </w:p>
    <w:p w14:paraId="5C1B462E" w14:textId="4ED36197" w:rsidR="00687080" w:rsidRDefault="00687080" w:rsidP="0001724A">
      <w:pPr>
        <w:pStyle w:val="ListParagraph"/>
        <w:rPr>
          <w:rFonts w:ascii="Arial" w:eastAsia="Calibri" w:hAnsi="Arial" w:cs="Arial"/>
          <w:bCs/>
          <w:sz w:val="24"/>
          <w:szCs w:val="24"/>
        </w:rPr>
      </w:pPr>
    </w:p>
    <w:p w14:paraId="42939251" w14:textId="233E3495" w:rsidR="0001724A" w:rsidRDefault="00687080" w:rsidP="00507D5B">
      <w:pPr>
        <w:pStyle w:val="ListParagraph"/>
        <w:numPr>
          <w:ilvl w:val="0"/>
          <w:numId w:val="112"/>
        </w:numPr>
        <w:spacing w:after="200" w:line="276" w:lineRule="auto"/>
        <w:rPr>
          <w:rFonts w:ascii="Arial" w:eastAsia="Calibri" w:hAnsi="Arial" w:cs="Arial"/>
          <w:bCs/>
          <w:sz w:val="24"/>
          <w:szCs w:val="24"/>
        </w:rPr>
      </w:pPr>
      <w:r w:rsidRPr="00126136">
        <w:rPr>
          <w:rFonts w:ascii="Arial" w:eastAsia="Calibri" w:hAnsi="Arial" w:cs="Arial"/>
          <w:bCs/>
          <w:sz w:val="24"/>
          <w:szCs w:val="24"/>
        </w:rPr>
        <w:t>Re</w:t>
      </w:r>
      <w:r w:rsidR="00D07129" w:rsidRPr="00126136">
        <w:rPr>
          <w:rFonts w:ascii="Arial" w:eastAsia="Calibri" w:hAnsi="Arial" w:cs="Arial"/>
          <w:bCs/>
          <w:sz w:val="24"/>
          <w:szCs w:val="24"/>
        </w:rPr>
        <w:t xml:space="preserve">gions have </w:t>
      </w:r>
      <w:r w:rsidR="006912CE" w:rsidRPr="00126136">
        <w:rPr>
          <w:rFonts w:ascii="Arial" w:eastAsia="Calibri" w:hAnsi="Arial" w:cs="Arial"/>
          <w:bCs/>
          <w:sz w:val="24"/>
          <w:szCs w:val="24"/>
        </w:rPr>
        <w:t xml:space="preserve">raised concerns about the accuracy of the sector profile from the annual workforce data collection, </w:t>
      </w:r>
      <w:r w:rsidR="00743CA5">
        <w:rPr>
          <w:rFonts w:ascii="Arial" w:eastAsia="Calibri" w:hAnsi="Arial" w:cs="Arial"/>
          <w:bCs/>
          <w:sz w:val="24"/>
          <w:szCs w:val="24"/>
        </w:rPr>
        <w:t>because</w:t>
      </w:r>
      <w:r w:rsidR="006912CE" w:rsidRPr="00126136">
        <w:rPr>
          <w:rFonts w:ascii="Arial" w:eastAsia="Calibri" w:hAnsi="Arial" w:cs="Arial"/>
          <w:bCs/>
          <w:sz w:val="24"/>
          <w:szCs w:val="24"/>
        </w:rPr>
        <w:t xml:space="preserve"> not all commissioned service providers </w:t>
      </w:r>
      <w:r w:rsidR="00EE49E1">
        <w:rPr>
          <w:rFonts w:ascii="Arial" w:eastAsia="Calibri" w:hAnsi="Arial" w:cs="Arial"/>
          <w:bCs/>
          <w:sz w:val="24"/>
          <w:szCs w:val="24"/>
        </w:rPr>
        <w:t>take part</w:t>
      </w:r>
      <w:r w:rsidR="00784EE2">
        <w:rPr>
          <w:rFonts w:ascii="Arial" w:eastAsia="Calibri" w:hAnsi="Arial" w:cs="Arial"/>
          <w:bCs/>
          <w:sz w:val="24"/>
          <w:szCs w:val="24"/>
        </w:rPr>
        <w:t xml:space="preserve">. </w:t>
      </w:r>
      <w:r w:rsidR="00E5448D" w:rsidRPr="00E63053">
        <w:rPr>
          <w:rFonts w:ascii="Arial" w:eastAsia="Calibri" w:hAnsi="Arial" w:cs="Arial"/>
          <w:bCs/>
          <w:sz w:val="24"/>
          <w:szCs w:val="24"/>
        </w:rPr>
        <w:t xml:space="preserve">Providers have </w:t>
      </w:r>
      <w:r w:rsidR="00E5448D">
        <w:rPr>
          <w:rFonts w:ascii="Arial" w:eastAsia="Calibri" w:hAnsi="Arial" w:cs="Arial"/>
          <w:bCs/>
          <w:sz w:val="24"/>
          <w:szCs w:val="24"/>
        </w:rPr>
        <w:t xml:space="preserve">also </w:t>
      </w:r>
      <w:r w:rsidR="00E5448D" w:rsidRPr="00E63053">
        <w:rPr>
          <w:rFonts w:ascii="Arial" w:eastAsia="Calibri" w:hAnsi="Arial" w:cs="Arial"/>
          <w:bCs/>
          <w:sz w:val="24"/>
          <w:szCs w:val="24"/>
        </w:rPr>
        <w:t xml:space="preserve">told us that submitting </w:t>
      </w:r>
      <w:r w:rsidR="00E5448D">
        <w:rPr>
          <w:rFonts w:ascii="Arial" w:eastAsia="Calibri" w:hAnsi="Arial" w:cs="Arial"/>
          <w:bCs/>
          <w:sz w:val="24"/>
          <w:szCs w:val="24"/>
        </w:rPr>
        <w:t xml:space="preserve">workforce data to both Social Care Wales and </w:t>
      </w:r>
      <w:r w:rsidR="00E5448D" w:rsidRPr="00E63053">
        <w:rPr>
          <w:rFonts w:ascii="Arial" w:eastAsia="Calibri" w:hAnsi="Arial" w:cs="Arial"/>
          <w:bCs/>
          <w:sz w:val="24"/>
          <w:szCs w:val="24"/>
        </w:rPr>
        <w:t>C</w:t>
      </w:r>
      <w:r w:rsidR="007A47B9">
        <w:rPr>
          <w:rFonts w:ascii="Arial" w:eastAsia="Calibri" w:hAnsi="Arial" w:cs="Arial"/>
          <w:bCs/>
          <w:sz w:val="24"/>
          <w:szCs w:val="24"/>
        </w:rPr>
        <w:t xml:space="preserve">are </w:t>
      </w:r>
      <w:r w:rsidR="00E5448D" w:rsidRPr="00E63053">
        <w:rPr>
          <w:rFonts w:ascii="Arial" w:eastAsia="Calibri" w:hAnsi="Arial" w:cs="Arial"/>
          <w:bCs/>
          <w:sz w:val="24"/>
          <w:szCs w:val="24"/>
        </w:rPr>
        <w:t>I</w:t>
      </w:r>
      <w:r w:rsidR="007A47B9">
        <w:rPr>
          <w:rFonts w:ascii="Arial" w:eastAsia="Calibri" w:hAnsi="Arial" w:cs="Arial"/>
          <w:bCs/>
          <w:sz w:val="24"/>
          <w:szCs w:val="24"/>
        </w:rPr>
        <w:t xml:space="preserve">nspectorate </w:t>
      </w:r>
      <w:r w:rsidR="00E5448D" w:rsidRPr="00E63053">
        <w:rPr>
          <w:rFonts w:ascii="Arial" w:eastAsia="Calibri" w:hAnsi="Arial" w:cs="Arial"/>
          <w:bCs/>
          <w:sz w:val="24"/>
          <w:szCs w:val="24"/>
        </w:rPr>
        <w:t>W</w:t>
      </w:r>
      <w:r w:rsidR="007A47B9">
        <w:rPr>
          <w:rFonts w:ascii="Arial" w:eastAsia="Calibri" w:hAnsi="Arial" w:cs="Arial"/>
          <w:bCs/>
          <w:sz w:val="24"/>
          <w:szCs w:val="24"/>
        </w:rPr>
        <w:t>ales (CIW)</w:t>
      </w:r>
      <w:r w:rsidR="00E5448D" w:rsidRPr="00E63053">
        <w:rPr>
          <w:rFonts w:ascii="Arial" w:eastAsia="Calibri" w:hAnsi="Arial" w:cs="Arial"/>
          <w:bCs/>
          <w:sz w:val="24"/>
          <w:szCs w:val="24"/>
        </w:rPr>
        <w:t>as part of their annual return</w:t>
      </w:r>
      <w:r w:rsidR="00E5448D">
        <w:rPr>
          <w:rFonts w:ascii="Arial" w:eastAsia="Calibri" w:hAnsi="Arial" w:cs="Arial"/>
          <w:bCs/>
          <w:sz w:val="24"/>
          <w:szCs w:val="24"/>
        </w:rPr>
        <w:t>s</w:t>
      </w:r>
      <w:r w:rsidR="007A47B9">
        <w:rPr>
          <w:rFonts w:ascii="Arial" w:eastAsia="Calibri" w:hAnsi="Arial" w:cs="Arial"/>
          <w:bCs/>
          <w:sz w:val="24"/>
          <w:szCs w:val="24"/>
        </w:rPr>
        <w:t>,</w:t>
      </w:r>
      <w:r w:rsidR="00E5448D" w:rsidRPr="00E63053">
        <w:rPr>
          <w:rFonts w:ascii="Arial" w:eastAsia="Calibri" w:hAnsi="Arial" w:cs="Arial"/>
          <w:bCs/>
          <w:sz w:val="24"/>
          <w:szCs w:val="24"/>
        </w:rPr>
        <w:t xml:space="preserve"> is time-consuming and confusing. </w:t>
      </w:r>
      <w:r w:rsidR="00C7505F">
        <w:rPr>
          <w:rFonts w:ascii="Arial" w:eastAsia="Calibri" w:hAnsi="Arial" w:cs="Arial"/>
          <w:bCs/>
          <w:sz w:val="24"/>
          <w:szCs w:val="24"/>
        </w:rPr>
        <w:t>When we</w:t>
      </w:r>
      <w:r w:rsidR="00784EE2">
        <w:rPr>
          <w:rFonts w:ascii="Arial" w:eastAsia="Calibri" w:hAnsi="Arial" w:cs="Arial"/>
          <w:bCs/>
          <w:sz w:val="24"/>
          <w:szCs w:val="24"/>
        </w:rPr>
        <w:t xml:space="preserve"> compar</w:t>
      </w:r>
      <w:r w:rsidR="00C7505F">
        <w:rPr>
          <w:rFonts w:ascii="Arial" w:eastAsia="Calibri" w:hAnsi="Arial" w:cs="Arial"/>
          <w:bCs/>
          <w:sz w:val="24"/>
          <w:szCs w:val="24"/>
        </w:rPr>
        <w:t>ed</w:t>
      </w:r>
      <w:r w:rsidR="00F362C1">
        <w:rPr>
          <w:rFonts w:ascii="Arial" w:eastAsia="Calibri" w:hAnsi="Arial" w:cs="Arial"/>
          <w:bCs/>
          <w:sz w:val="24"/>
          <w:szCs w:val="24"/>
        </w:rPr>
        <w:t xml:space="preserve"> workforce data with CIW</w:t>
      </w:r>
      <w:r w:rsidR="00C7505F">
        <w:rPr>
          <w:rFonts w:ascii="Arial" w:eastAsia="Calibri" w:hAnsi="Arial" w:cs="Arial"/>
          <w:bCs/>
          <w:sz w:val="24"/>
          <w:szCs w:val="24"/>
        </w:rPr>
        <w:t>’</w:t>
      </w:r>
      <w:r w:rsidR="00F362C1">
        <w:rPr>
          <w:rFonts w:ascii="Arial" w:eastAsia="Calibri" w:hAnsi="Arial" w:cs="Arial"/>
          <w:bCs/>
          <w:sz w:val="24"/>
          <w:szCs w:val="24"/>
        </w:rPr>
        <w:t>s data on the number of settings</w:t>
      </w:r>
      <w:r w:rsidR="00C7505F">
        <w:rPr>
          <w:rFonts w:ascii="Arial" w:eastAsia="Calibri" w:hAnsi="Arial" w:cs="Arial"/>
          <w:bCs/>
          <w:sz w:val="24"/>
          <w:szCs w:val="24"/>
        </w:rPr>
        <w:t>, we found</w:t>
      </w:r>
      <w:r w:rsidR="00126136" w:rsidRPr="00126136">
        <w:rPr>
          <w:rFonts w:ascii="Arial" w:eastAsia="Calibri" w:hAnsi="Arial" w:cs="Arial"/>
          <w:bCs/>
          <w:sz w:val="24"/>
          <w:szCs w:val="24"/>
        </w:rPr>
        <w:t xml:space="preserve"> lower return rates in </w:t>
      </w:r>
      <w:r w:rsidR="00126136">
        <w:rPr>
          <w:rFonts w:ascii="Arial" w:eastAsia="Calibri" w:hAnsi="Arial" w:cs="Arial"/>
          <w:bCs/>
          <w:sz w:val="24"/>
          <w:szCs w:val="24"/>
        </w:rPr>
        <w:t xml:space="preserve">the </w:t>
      </w:r>
      <w:r w:rsidR="00126136" w:rsidRPr="00126136">
        <w:rPr>
          <w:rFonts w:ascii="Arial" w:eastAsia="Calibri" w:hAnsi="Arial" w:cs="Arial"/>
          <w:bCs/>
          <w:sz w:val="24"/>
          <w:szCs w:val="24"/>
        </w:rPr>
        <w:t>2024</w:t>
      </w:r>
      <w:r w:rsidR="00126136">
        <w:rPr>
          <w:rFonts w:ascii="Arial" w:eastAsia="Calibri" w:hAnsi="Arial" w:cs="Arial"/>
          <w:bCs/>
          <w:sz w:val="24"/>
          <w:szCs w:val="24"/>
        </w:rPr>
        <w:t xml:space="preserve"> collection</w:t>
      </w:r>
      <w:r w:rsidR="00126136" w:rsidRPr="00126136">
        <w:rPr>
          <w:rFonts w:ascii="Arial" w:eastAsia="Calibri" w:hAnsi="Arial" w:cs="Arial"/>
          <w:bCs/>
          <w:sz w:val="24"/>
          <w:szCs w:val="24"/>
        </w:rPr>
        <w:t>.</w:t>
      </w:r>
      <w:r w:rsidR="00CA0D35">
        <w:rPr>
          <w:rFonts w:ascii="Arial" w:eastAsia="Calibri" w:hAnsi="Arial" w:cs="Arial"/>
          <w:bCs/>
          <w:sz w:val="24"/>
          <w:szCs w:val="24"/>
        </w:rPr>
        <w:t xml:space="preserve"> </w:t>
      </w:r>
    </w:p>
    <w:p w14:paraId="0669BFEF" w14:textId="77777777" w:rsidR="00126136" w:rsidRPr="00C92ECE" w:rsidRDefault="00126136" w:rsidP="00C92ECE">
      <w:pPr>
        <w:pStyle w:val="ListParagraph"/>
        <w:rPr>
          <w:rFonts w:ascii="Arial" w:eastAsia="Calibri" w:hAnsi="Arial" w:cs="Arial"/>
          <w:bCs/>
          <w:sz w:val="24"/>
          <w:szCs w:val="24"/>
        </w:rPr>
      </w:pPr>
    </w:p>
    <w:p w14:paraId="26849B91" w14:textId="51814695" w:rsidR="00F7365B" w:rsidRDefault="00913E08" w:rsidP="009719F9">
      <w:pPr>
        <w:pStyle w:val="ListParagraph"/>
        <w:numPr>
          <w:ilvl w:val="0"/>
          <w:numId w:val="112"/>
        </w:numPr>
        <w:spacing w:after="200" w:line="276" w:lineRule="auto"/>
        <w:rPr>
          <w:rFonts w:ascii="Arial" w:eastAsia="Calibri" w:hAnsi="Arial" w:cs="Arial"/>
          <w:bCs/>
          <w:sz w:val="24"/>
          <w:szCs w:val="24"/>
        </w:rPr>
      </w:pPr>
      <w:r>
        <w:rPr>
          <w:rFonts w:ascii="Arial" w:eastAsia="Calibri" w:hAnsi="Arial" w:cs="Arial"/>
          <w:bCs/>
          <w:sz w:val="24"/>
          <w:szCs w:val="24"/>
        </w:rPr>
        <w:t>H</w:t>
      </w:r>
      <w:r w:rsidR="000A5CB0" w:rsidRPr="009719F9">
        <w:rPr>
          <w:rFonts w:ascii="Arial" w:eastAsia="Calibri" w:hAnsi="Arial" w:cs="Arial"/>
          <w:bCs/>
          <w:sz w:val="24"/>
          <w:szCs w:val="24"/>
        </w:rPr>
        <w:t xml:space="preserve">igh quality data is essential for understanding the social care workforce in Wales and is </w:t>
      </w:r>
      <w:r w:rsidR="000E2FAD">
        <w:rPr>
          <w:rFonts w:ascii="Arial" w:eastAsia="Calibri" w:hAnsi="Arial" w:cs="Arial"/>
          <w:bCs/>
          <w:sz w:val="24"/>
          <w:szCs w:val="24"/>
        </w:rPr>
        <w:t>fundamental</w:t>
      </w:r>
      <w:r w:rsidR="00BC6AF8">
        <w:rPr>
          <w:rFonts w:ascii="Arial" w:eastAsia="Calibri" w:hAnsi="Arial" w:cs="Arial"/>
          <w:bCs/>
          <w:sz w:val="24"/>
          <w:szCs w:val="24"/>
        </w:rPr>
        <w:t xml:space="preserve"> to effective </w:t>
      </w:r>
      <w:r w:rsidR="000A5CB0" w:rsidRPr="009719F9">
        <w:rPr>
          <w:rFonts w:ascii="Arial" w:eastAsia="Calibri" w:hAnsi="Arial" w:cs="Arial"/>
          <w:bCs/>
          <w:sz w:val="24"/>
          <w:szCs w:val="24"/>
        </w:rPr>
        <w:t>workforce planning. Without r</w:t>
      </w:r>
      <w:r w:rsidR="008A7EFB">
        <w:rPr>
          <w:rFonts w:ascii="Arial" w:eastAsia="Calibri" w:hAnsi="Arial" w:cs="Arial"/>
          <w:bCs/>
          <w:sz w:val="24"/>
          <w:szCs w:val="24"/>
        </w:rPr>
        <w:t>eliable</w:t>
      </w:r>
      <w:r w:rsidR="000A5CB0" w:rsidRPr="009719F9">
        <w:rPr>
          <w:rFonts w:ascii="Arial" w:eastAsia="Calibri" w:hAnsi="Arial" w:cs="Arial"/>
          <w:bCs/>
          <w:sz w:val="24"/>
          <w:szCs w:val="24"/>
        </w:rPr>
        <w:t xml:space="preserve"> data, </w:t>
      </w:r>
      <w:r w:rsidR="004A0621">
        <w:rPr>
          <w:rFonts w:ascii="Arial" w:eastAsia="Calibri" w:hAnsi="Arial" w:cs="Arial"/>
          <w:bCs/>
          <w:sz w:val="24"/>
          <w:szCs w:val="24"/>
        </w:rPr>
        <w:t>we can’t</w:t>
      </w:r>
      <w:r w:rsidR="000A5CB0" w:rsidRPr="009719F9">
        <w:rPr>
          <w:rFonts w:ascii="Arial" w:eastAsia="Calibri" w:hAnsi="Arial" w:cs="Arial"/>
          <w:bCs/>
          <w:sz w:val="24"/>
          <w:szCs w:val="24"/>
        </w:rPr>
        <w:t xml:space="preserve"> fully understand the shape and size of the sector at the local, regional or national level. </w:t>
      </w:r>
      <w:r w:rsidR="00930521" w:rsidRPr="009719F9">
        <w:rPr>
          <w:rFonts w:ascii="Arial" w:eastAsia="Calibri" w:hAnsi="Arial" w:cs="Arial"/>
          <w:bCs/>
          <w:sz w:val="24"/>
          <w:szCs w:val="24"/>
        </w:rPr>
        <w:t xml:space="preserve">To address </w:t>
      </w:r>
      <w:r w:rsidR="009719F9">
        <w:rPr>
          <w:rFonts w:ascii="Arial" w:eastAsia="Calibri" w:hAnsi="Arial" w:cs="Arial"/>
          <w:bCs/>
          <w:sz w:val="24"/>
          <w:szCs w:val="24"/>
        </w:rPr>
        <w:t>concerns</w:t>
      </w:r>
      <w:r w:rsidR="00930521" w:rsidRPr="009719F9">
        <w:rPr>
          <w:rFonts w:ascii="Arial" w:eastAsia="Calibri" w:hAnsi="Arial" w:cs="Arial"/>
          <w:bCs/>
          <w:sz w:val="24"/>
          <w:szCs w:val="24"/>
        </w:rPr>
        <w:t xml:space="preserve">, </w:t>
      </w:r>
      <w:r w:rsidR="00B86AFA" w:rsidRPr="009719F9">
        <w:rPr>
          <w:rFonts w:ascii="Arial" w:eastAsia="Calibri" w:hAnsi="Arial" w:cs="Arial"/>
          <w:bCs/>
          <w:sz w:val="24"/>
          <w:szCs w:val="24"/>
        </w:rPr>
        <w:t>we’re working closely with CIW</w:t>
      </w:r>
      <w:r w:rsidR="00930521" w:rsidRPr="009719F9">
        <w:rPr>
          <w:rFonts w:ascii="Arial" w:eastAsia="Calibri" w:hAnsi="Arial" w:cs="Arial"/>
          <w:bCs/>
          <w:sz w:val="24"/>
          <w:szCs w:val="24"/>
        </w:rPr>
        <w:t xml:space="preserve"> colleagues </w:t>
      </w:r>
      <w:r w:rsidR="00B86AFA" w:rsidRPr="009719F9">
        <w:rPr>
          <w:rFonts w:ascii="Arial" w:eastAsia="Calibri" w:hAnsi="Arial" w:cs="Arial"/>
          <w:bCs/>
          <w:sz w:val="24"/>
          <w:szCs w:val="24"/>
        </w:rPr>
        <w:t>to</w:t>
      </w:r>
      <w:r w:rsidR="00930521" w:rsidRPr="009719F9">
        <w:rPr>
          <w:rFonts w:ascii="Arial" w:eastAsia="Calibri" w:hAnsi="Arial" w:cs="Arial"/>
          <w:bCs/>
          <w:sz w:val="24"/>
          <w:szCs w:val="24"/>
        </w:rPr>
        <w:t xml:space="preserve"> develop a </w:t>
      </w:r>
      <w:r w:rsidR="00B86AFA" w:rsidRPr="009719F9">
        <w:rPr>
          <w:rFonts w:ascii="Arial" w:eastAsia="Calibri" w:hAnsi="Arial" w:cs="Arial"/>
          <w:bCs/>
          <w:sz w:val="24"/>
          <w:szCs w:val="24"/>
        </w:rPr>
        <w:t>single</w:t>
      </w:r>
      <w:r w:rsidR="00930521" w:rsidRPr="009719F9">
        <w:rPr>
          <w:rFonts w:ascii="Arial" w:eastAsia="Calibri" w:hAnsi="Arial" w:cs="Arial"/>
          <w:bCs/>
          <w:sz w:val="24"/>
          <w:szCs w:val="24"/>
        </w:rPr>
        <w:t>,</w:t>
      </w:r>
      <w:r w:rsidR="00B86AFA" w:rsidRPr="009719F9">
        <w:rPr>
          <w:rFonts w:ascii="Arial" w:eastAsia="Calibri" w:hAnsi="Arial" w:cs="Arial"/>
          <w:bCs/>
          <w:sz w:val="24"/>
          <w:szCs w:val="24"/>
        </w:rPr>
        <w:t xml:space="preserve"> unified</w:t>
      </w:r>
      <w:r w:rsidR="00930521" w:rsidRPr="009719F9">
        <w:rPr>
          <w:rFonts w:ascii="Arial" w:eastAsia="Calibri" w:hAnsi="Arial" w:cs="Arial"/>
          <w:bCs/>
          <w:sz w:val="24"/>
          <w:szCs w:val="24"/>
        </w:rPr>
        <w:t xml:space="preserve"> data</w:t>
      </w:r>
      <w:r w:rsidR="00B86AFA" w:rsidRPr="009719F9">
        <w:rPr>
          <w:rFonts w:ascii="Arial" w:eastAsia="Calibri" w:hAnsi="Arial" w:cs="Arial"/>
          <w:bCs/>
          <w:sz w:val="24"/>
          <w:szCs w:val="24"/>
        </w:rPr>
        <w:t xml:space="preserve"> collection in the future. In the meantime, we’ll continue working to make it easier to use the same data across both collections.</w:t>
      </w:r>
    </w:p>
    <w:p w14:paraId="2B9D107E" w14:textId="77777777" w:rsidR="001823A8" w:rsidRPr="00C92ECE" w:rsidRDefault="001823A8" w:rsidP="00C92ECE">
      <w:pPr>
        <w:pStyle w:val="ListParagraph"/>
        <w:rPr>
          <w:rFonts w:ascii="Arial" w:eastAsia="Calibri" w:hAnsi="Arial" w:cs="Arial"/>
          <w:bCs/>
          <w:sz w:val="24"/>
          <w:szCs w:val="24"/>
        </w:rPr>
      </w:pPr>
    </w:p>
    <w:p w14:paraId="0762B53F" w14:textId="22B385E6" w:rsidR="004A355C" w:rsidRPr="004A355C" w:rsidRDefault="00F91269" w:rsidP="004A355C">
      <w:pPr>
        <w:pStyle w:val="ListParagraph"/>
        <w:numPr>
          <w:ilvl w:val="0"/>
          <w:numId w:val="112"/>
        </w:numPr>
        <w:spacing w:after="200" w:line="276" w:lineRule="auto"/>
        <w:rPr>
          <w:rFonts w:ascii="Arial" w:eastAsia="Calibri" w:hAnsi="Arial" w:cs="Arial"/>
          <w:bCs/>
          <w:sz w:val="24"/>
          <w:szCs w:val="24"/>
        </w:rPr>
      </w:pPr>
      <w:r w:rsidRPr="00F91269">
        <w:rPr>
          <w:rFonts w:ascii="Arial" w:eastAsia="Calibri" w:hAnsi="Arial" w:cs="Arial"/>
          <w:bCs/>
          <w:sz w:val="24"/>
          <w:szCs w:val="24"/>
        </w:rPr>
        <w:t>It</w:t>
      </w:r>
      <w:r>
        <w:rPr>
          <w:rFonts w:ascii="Arial" w:eastAsia="Calibri" w:hAnsi="Arial" w:cs="Arial"/>
          <w:bCs/>
          <w:sz w:val="24"/>
          <w:szCs w:val="24"/>
        </w:rPr>
        <w:t xml:space="preserve">’s </w:t>
      </w:r>
      <w:r w:rsidRPr="00F91269">
        <w:rPr>
          <w:rFonts w:ascii="Arial" w:eastAsia="Calibri" w:hAnsi="Arial" w:cs="Arial"/>
          <w:bCs/>
          <w:sz w:val="24"/>
          <w:szCs w:val="24"/>
        </w:rPr>
        <w:t xml:space="preserve">important to note that national and regional data </w:t>
      </w:r>
      <w:r w:rsidR="002119AF">
        <w:rPr>
          <w:rFonts w:ascii="Arial" w:eastAsia="Calibri" w:hAnsi="Arial" w:cs="Arial"/>
          <w:bCs/>
          <w:sz w:val="24"/>
          <w:szCs w:val="24"/>
        </w:rPr>
        <w:t>comes</w:t>
      </w:r>
      <w:r w:rsidRPr="00F91269">
        <w:rPr>
          <w:rFonts w:ascii="Arial" w:eastAsia="Calibri" w:hAnsi="Arial" w:cs="Arial"/>
          <w:bCs/>
          <w:sz w:val="24"/>
          <w:szCs w:val="24"/>
        </w:rPr>
        <w:t xml:space="preserve"> from local data, and the quality of this information </w:t>
      </w:r>
      <w:r w:rsidR="002119AF">
        <w:rPr>
          <w:rFonts w:ascii="Arial" w:eastAsia="Calibri" w:hAnsi="Arial" w:cs="Arial"/>
          <w:bCs/>
          <w:sz w:val="24"/>
          <w:szCs w:val="24"/>
        </w:rPr>
        <w:t>i</w:t>
      </w:r>
      <w:r w:rsidRPr="00F91269">
        <w:rPr>
          <w:rFonts w:ascii="Arial" w:eastAsia="Calibri" w:hAnsi="Arial" w:cs="Arial"/>
          <w:bCs/>
          <w:sz w:val="24"/>
          <w:szCs w:val="24"/>
        </w:rPr>
        <w:t xml:space="preserve">s the responsibility of </w:t>
      </w:r>
      <w:r w:rsidR="002119AF">
        <w:rPr>
          <w:rFonts w:ascii="Arial" w:eastAsia="Calibri" w:hAnsi="Arial" w:cs="Arial"/>
          <w:bCs/>
          <w:sz w:val="24"/>
          <w:szCs w:val="24"/>
        </w:rPr>
        <w:t>each</w:t>
      </w:r>
      <w:r w:rsidRPr="00F91269">
        <w:rPr>
          <w:rFonts w:ascii="Arial" w:eastAsia="Calibri" w:hAnsi="Arial" w:cs="Arial"/>
          <w:bCs/>
          <w:sz w:val="24"/>
          <w:szCs w:val="24"/>
        </w:rPr>
        <w:t xml:space="preserve"> local authorit</w:t>
      </w:r>
      <w:r w:rsidR="002119AF">
        <w:rPr>
          <w:rFonts w:ascii="Arial" w:eastAsia="Calibri" w:hAnsi="Arial" w:cs="Arial"/>
          <w:bCs/>
          <w:sz w:val="24"/>
          <w:szCs w:val="24"/>
        </w:rPr>
        <w:t>y</w:t>
      </w:r>
      <w:r w:rsidRPr="00F91269">
        <w:rPr>
          <w:rFonts w:ascii="Arial" w:eastAsia="Calibri" w:hAnsi="Arial" w:cs="Arial"/>
          <w:bCs/>
          <w:sz w:val="24"/>
          <w:szCs w:val="24"/>
        </w:rPr>
        <w:t xml:space="preserve"> and commissioned providers. The National Framework for the Commissioning of Care and Support in Wales: Code of Practice </w:t>
      </w:r>
      <w:r w:rsidR="00ED52FD">
        <w:rPr>
          <w:rFonts w:ascii="Arial" w:eastAsia="Calibri" w:hAnsi="Arial" w:cs="Arial"/>
          <w:bCs/>
          <w:sz w:val="24"/>
          <w:szCs w:val="24"/>
        </w:rPr>
        <w:t xml:space="preserve">also </w:t>
      </w:r>
      <w:r w:rsidRPr="00F91269">
        <w:rPr>
          <w:rFonts w:ascii="Arial" w:eastAsia="Calibri" w:hAnsi="Arial" w:cs="Arial"/>
          <w:bCs/>
          <w:sz w:val="24"/>
          <w:szCs w:val="24"/>
        </w:rPr>
        <w:t>states:</w:t>
      </w:r>
    </w:p>
    <w:p w14:paraId="70CFF3F9" w14:textId="77777777" w:rsidR="004A355C" w:rsidRPr="004A355C" w:rsidRDefault="004A355C" w:rsidP="00C92ECE">
      <w:pPr>
        <w:pStyle w:val="ListParagraph"/>
        <w:spacing w:after="200" w:line="276" w:lineRule="auto"/>
        <w:rPr>
          <w:rFonts w:ascii="Arial" w:eastAsia="Calibri" w:hAnsi="Arial" w:cs="Arial"/>
          <w:bCs/>
          <w:sz w:val="24"/>
          <w:szCs w:val="24"/>
        </w:rPr>
      </w:pPr>
    </w:p>
    <w:p w14:paraId="53457B6E" w14:textId="52CB5CAA" w:rsidR="001823A8" w:rsidRPr="00BB471B" w:rsidRDefault="004A355C" w:rsidP="004A355C">
      <w:pPr>
        <w:pStyle w:val="ListParagraph"/>
        <w:spacing w:after="200" w:line="276" w:lineRule="auto"/>
        <w:rPr>
          <w:rFonts w:ascii="Arial" w:eastAsia="Calibri" w:hAnsi="Arial" w:cs="Arial"/>
          <w:bCs/>
          <w:sz w:val="24"/>
          <w:szCs w:val="24"/>
        </w:rPr>
      </w:pPr>
      <w:r w:rsidRPr="002A5572">
        <w:rPr>
          <w:rFonts w:ascii="Arial" w:eastAsia="Calibri" w:hAnsi="Arial" w:cs="Arial"/>
          <w:bCs/>
          <w:sz w:val="24"/>
          <w:szCs w:val="24"/>
        </w:rPr>
        <w:t>“</w:t>
      </w:r>
      <w:r w:rsidRPr="00BB471B">
        <w:rPr>
          <w:rFonts w:ascii="Arial" w:eastAsia="Calibri" w:hAnsi="Arial" w:cs="Arial"/>
          <w:bCs/>
          <w:sz w:val="24"/>
          <w:szCs w:val="24"/>
        </w:rPr>
        <w:t xml:space="preserve">Commissioners </w:t>
      </w:r>
      <w:r w:rsidRPr="00BB471B">
        <w:rPr>
          <w:rFonts w:ascii="Arial" w:eastAsia="Calibri" w:hAnsi="Arial" w:cs="Arial"/>
          <w:b/>
          <w:sz w:val="24"/>
          <w:szCs w:val="24"/>
        </w:rPr>
        <w:t xml:space="preserve">must </w:t>
      </w:r>
      <w:r w:rsidRPr="00BB471B">
        <w:rPr>
          <w:rFonts w:ascii="Arial" w:eastAsia="Calibri" w:hAnsi="Arial" w:cs="Arial"/>
          <w:bCs/>
          <w:sz w:val="24"/>
          <w:szCs w:val="24"/>
        </w:rPr>
        <w:t>proactively encourage their providers to complete and return the annual Social Care Wales workforce data collection undertaken by Social Care Wales. Having an accurate and up to date national dataset relating to the social care workforce supports robust workforce planning at national, regional and local levels</w:t>
      </w:r>
      <w:r w:rsidR="00602A5D" w:rsidRPr="00BB471B">
        <w:rPr>
          <w:rFonts w:ascii="Arial" w:eastAsia="Calibri" w:hAnsi="Arial" w:cs="Arial"/>
          <w:bCs/>
          <w:sz w:val="24"/>
          <w:szCs w:val="24"/>
        </w:rPr>
        <w:t xml:space="preserve"> (</w:t>
      </w:r>
      <w:proofErr w:type="spellStart"/>
      <w:r w:rsidR="00602A5D" w:rsidRPr="00BB471B">
        <w:rPr>
          <w:rFonts w:ascii="Arial" w:eastAsia="Calibri" w:hAnsi="Arial" w:cs="Arial"/>
          <w:bCs/>
          <w:sz w:val="24"/>
          <w:szCs w:val="24"/>
        </w:rPr>
        <w:t>pg</w:t>
      </w:r>
      <w:proofErr w:type="spellEnd"/>
      <w:r w:rsidR="00602A5D" w:rsidRPr="00BB471B">
        <w:rPr>
          <w:rFonts w:ascii="Arial" w:eastAsia="Calibri" w:hAnsi="Arial" w:cs="Arial"/>
          <w:bCs/>
          <w:sz w:val="24"/>
          <w:szCs w:val="24"/>
        </w:rPr>
        <w:t xml:space="preserve"> 17)</w:t>
      </w:r>
      <w:r w:rsidR="00CD00AE" w:rsidRPr="00BB471B">
        <w:rPr>
          <w:rStyle w:val="FootnoteReference"/>
          <w:rFonts w:ascii="Arial" w:eastAsia="Calibri" w:hAnsi="Arial" w:cs="Arial"/>
          <w:bCs/>
          <w:sz w:val="24"/>
          <w:szCs w:val="24"/>
        </w:rPr>
        <w:footnoteReference w:id="11"/>
      </w:r>
      <w:r w:rsidRPr="00BB471B">
        <w:rPr>
          <w:rFonts w:ascii="Arial" w:eastAsia="Calibri" w:hAnsi="Arial" w:cs="Arial"/>
          <w:bCs/>
          <w:sz w:val="24"/>
          <w:szCs w:val="24"/>
        </w:rPr>
        <w:t>.”</w:t>
      </w:r>
    </w:p>
    <w:p w14:paraId="5727D29C" w14:textId="77777777" w:rsidR="00F31BAD" w:rsidRDefault="00F31BAD" w:rsidP="004A355C">
      <w:pPr>
        <w:pStyle w:val="ListParagraph"/>
        <w:spacing w:after="200" w:line="276" w:lineRule="auto"/>
        <w:rPr>
          <w:rFonts w:ascii="Arial" w:eastAsia="Calibri" w:hAnsi="Arial" w:cs="Arial"/>
          <w:bCs/>
          <w:sz w:val="24"/>
          <w:szCs w:val="24"/>
        </w:rPr>
      </w:pPr>
    </w:p>
    <w:p w14:paraId="77CBE313" w14:textId="5E5AEF24" w:rsidR="00301186" w:rsidRPr="00C92ECE" w:rsidRDefault="00301186" w:rsidP="00C92ECE">
      <w:pPr>
        <w:pStyle w:val="ListParagraph"/>
        <w:numPr>
          <w:ilvl w:val="0"/>
          <w:numId w:val="112"/>
        </w:numPr>
        <w:spacing w:after="200" w:line="276" w:lineRule="auto"/>
        <w:rPr>
          <w:rFonts w:ascii="Arial" w:eastAsia="Calibri" w:hAnsi="Arial" w:cs="Arial"/>
          <w:bCs/>
          <w:sz w:val="24"/>
          <w:szCs w:val="24"/>
        </w:rPr>
      </w:pPr>
      <w:r w:rsidRPr="00C92ECE">
        <w:rPr>
          <w:rFonts w:ascii="Arial" w:eastAsia="Calibri" w:hAnsi="Arial" w:cs="Arial"/>
          <w:bCs/>
          <w:sz w:val="24"/>
          <w:szCs w:val="24"/>
        </w:rPr>
        <w:t xml:space="preserve">As part of the Health and Social Care Workforce Strategy launched in October 2020, workforce planning approaches </w:t>
      </w:r>
      <w:r w:rsidR="000C7F0A">
        <w:rPr>
          <w:rFonts w:ascii="Arial" w:eastAsia="Calibri" w:hAnsi="Arial" w:cs="Arial"/>
          <w:bCs/>
          <w:sz w:val="24"/>
          <w:szCs w:val="24"/>
        </w:rPr>
        <w:t>in</w:t>
      </w:r>
      <w:r w:rsidRPr="00C92ECE">
        <w:rPr>
          <w:rFonts w:ascii="Arial" w:eastAsia="Calibri" w:hAnsi="Arial" w:cs="Arial"/>
          <w:bCs/>
          <w:sz w:val="24"/>
          <w:szCs w:val="24"/>
        </w:rPr>
        <w:t xml:space="preserve"> </w:t>
      </w:r>
      <w:r w:rsidR="00E80FBD">
        <w:rPr>
          <w:rFonts w:ascii="Arial" w:eastAsia="Calibri" w:hAnsi="Arial" w:cs="Arial"/>
          <w:bCs/>
          <w:sz w:val="24"/>
          <w:szCs w:val="24"/>
        </w:rPr>
        <w:t>l</w:t>
      </w:r>
      <w:r w:rsidRPr="00C92ECE">
        <w:rPr>
          <w:rFonts w:ascii="Arial" w:eastAsia="Calibri" w:hAnsi="Arial" w:cs="Arial"/>
          <w:bCs/>
          <w:sz w:val="24"/>
          <w:szCs w:val="24"/>
        </w:rPr>
        <w:t xml:space="preserve">ocal </w:t>
      </w:r>
      <w:r w:rsidR="00E80FBD">
        <w:rPr>
          <w:rFonts w:ascii="Arial" w:eastAsia="Calibri" w:hAnsi="Arial" w:cs="Arial"/>
          <w:bCs/>
          <w:sz w:val="24"/>
          <w:szCs w:val="24"/>
        </w:rPr>
        <w:t>a</w:t>
      </w:r>
      <w:r w:rsidRPr="00C92ECE">
        <w:rPr>
          <w:rFonts w:ascii="Arial" w:eastAsia="Calibri" w:hAnsi="Arial" w:cs="Arial"/>
          <w:bCs/>
          <w:sz w:val="24"/>
          <w:szCs w:val="24"/>
        </w:rPr>
        <w:t xml:space="preserve">uthorities in Wales were identified as a key priority. </w:t>
      </w:r>
      <w:r w:rsidR="000C7F0A">
        <w:rPr>
          <w:rFonts w:ascii="Arial" w:eastAsia="Calibri" w:hAnsi="Arial" w:cs="Arial"/>
          <w:bCs/>
          <w:sz w:val="24"/>
          <w:szCs w:val="24"/>
        </w:rPr>
        <w:t>In 2023</w:t>
      </w:r>
      <w:r w:rsidRPr="00C92ECE">
        <w:rPr>
          <w:rFonts w:ascii="Arial" w:eastAsia="Calibri" w:hAnsi="Arial" w:cs="Arial"/>
          <w:bCs/>
          <w:sz w:val="24"/>
          <w:szCs w:val="24"/>
        </w:rPr>
        <w:t>, we</w:t>
      </w:r>
      <w:r w:rsidR="00D0546A">
        <w:rPr>
          <w:rFonts w:ascii="Arial" w:eastAsia="Calibri" w:hAnsi="Arial" w:cs="Arial"/>
          <w:bCs/>
          <w:sz w:val="24"/>
          <w:szCs w:val="24"/>
        </w:rPr>
        <w:t xml:space="preserve"> </w:t>
      </w:r>
      <w:r w:rsidR="00A86560">
        <w:rPr>
          <w:rFonts w:ascii="Arial" w:eastAsia="Calibri" w:hAnsi="Arial" w:cs="Arial"/>
          <w:bCs/>
          <w:sz w:val="24"/>
          <w:szCs w:val="24"/>
        </w:rPr>
        <w:t>carried out</w:t>
      </w:r>
      <w:r w:rsidRPr="00C92ECE">
        <w:rPr>
          <w:rFonts w:ascii="Arial" w:eastAsia="Calibri" w:hAnsi="Arial" w:cs="Arial"/>
          <w:bCs/>
          <w:sz w:val="24"/>
          <w:szCs w:val="24"/>
        </w:rPr>
        <w:t xml:space="preserve"> a maturity scoping exercise to </w:t>
      </w:r>
      <w:r w:rsidR="00272463">
        <w:rPr>
          <w:rFonts w:ascii="Arial" w:eastAsia="Calibri" w:hAnsi="Arial" w:cs="Arial"/>
          <w:bCs/>
          <w:sz w:val="24"/>
          <w:szCs w:val="24"/>
        </w:rPr>
        <w:t>see</w:t>
      </w:r>
      <w:r w:rsidRPr="00C92ECE">
        <w:rPr>
          <w:rFonts w:ascii="Arial" w:eastAsia="Calibri" w:hAnsi="Arial" w:cs="Arial"/>
          <w:bCs/>
          <w:sz w:val="24"/>
          <w:szCs w:val="24"/>
        </w:rPr>
        <w:t xml:space="preserve"> where each </w:t>
      </w:r>
      <w:r w:rsidR="00E80FBD">
        <w:rPr>
          <w:rFonts w:ascii="Arial" w:eastAsia="Calibri" w:hAnsi="Arial" w:cs="Arial"/>
          <w:bCs/>
          <w:sz w:val="24"/>
          <w:szCs w:val="24"/>
        </w:rPr>
        <w:t>l</w:t>
      </w:r>
      <w:r w:rsidRPr="00C92ECE">
        <w:rPr>
          <w:rFonts w:ascii="Arial" w:eastAsia="Calibri" w:hAnsi="Arial" w:cs="Arial"/>
          <w:bCs/>
          <w:sz w:val="24"/>
          <w:szCs w:val="24"/>
        </w:rPr>
        <w:t xml:space="preserve">ocal </w:t>
      </w:r>
      <w:r w:rsidR="00E80FBD">
        <w:rPr>
          <w:rFonts w:ascii="Arial" w:eastAsia="Calibri" w:hAnsi="Arial" w:cs="Arial"/>
          <w:bCs/>
          <w:sz w:val="24"/>
          <w:szCs w:val="24"/>
        </w:rPr>
        <w:t>a</w:t>
      </w:r>
      <w:r w:rsidRPr="00C92ECE">
        <w:rPr>
          <w:rFonts w:ascii="Arial" w:eastAsia="Calibri" w:hAnsi="Arial" w:cs="Arial"/>
          <w:bCs/>
          <w:sz w:val="24"/>
          <w:szCs w:val="24"/>
        </w:rPr>
        <w:t xml:space="preserve">uthority is on its workforce planning journey. Building on this, </w:t>
      </w:r>
      <w:r w:rsidR="00B0301D">
        <w:rPr>
          <w:rFonts w:ascii="Arial" w:eastAsia="Calibri" w:hAnsi="Arial" w:cs="Arial"/>
          <w:bCs/>
          <w:sz w:val="24"/>
          <w:szCs w:val="24"/>
        </w:rPr>
        <w:t xml:space="preserve">in 2024 to 2025 </w:t>
      </w:r>
      <w:r w:rsidRPr="00C92ECE">
        <w:rPr>
          <w:rFonts w:ascii="Arial" w:eastAsia="Calibri" w:hAnsi="Arial" w:cs="Arial"/>
          <w:bCs/>
          <w:sz w:val="24"/>
          <w:szCs w:val="24"/>
        </w:rPr>
        <w:t>we commissioned with the WLGA the Local Government Association (England) </w:t>
      </w:r>
      <w:r w:rsidR="00272463">
        <w:rPr>
          <w:rFonts w:ascii="Arial" w:eastAsia="Calibri" w:hAnsi="Arial" w:cs="Arial"/>
          <w:bCs/>
          <w:sz w:val="24"/>
          <w:szCs w:val="24"/>
        </w:rPr>
        <w:t>run</w:t>
      </w:r>
      <w:r w:rsidRPr="00C92ECE">
        <w:rPr>
          <w:rFonts w:ascii="Arial" w:eastAsia="Calibri" w:hAnsi="Arial" w:cs="Arial"/>
          <w:bCs/>
          <w:sz w:val="24"/>
          <w:szCs w:val="24"/>
        </w:rPr>
        <w:t xml:space="preserve"> workshops and sessions to further support workforce planning approaches, </w:t>
      </w:r>
      <w:r w:rsidR="00FC1B9C">
        <w:rPr>
          <w:rFonts w:ascii="Arial" w:eastAsia="Calibri" w:hAnsi="Arial" w:cs="Arial"/>
          <w:bCs/>
          <w:sz w:val="24"/>
          <w:szCs w:val="24"/>
        </w:rPr>
        <w:t>especially in</w:t>
      </w:r>
      <w:r w:rsidRPr="00C92ECE">
        <w:rPr>
          <w:rFonts w:ascii="Arial" w:eastAsia="Calibri" w:hAnsi="Arial" w:cs="Arial"/>
          <w:bCs/>
          <w:sz w:val="24"/>
          <w:szCs w:val="24"/>
        </w:rPr>
        <w:t xml:space="preserve"> social services. </w:t>
      </w:r>
    </w:p>
    <w:p w14:paraId="072BB21D" w14:textId="77777777" w:rsidR="00301186" w:rsidRPr="00301186" w:rsidRDefault="00301186" w:rsidP="00301186">
      <w:pPr>
        <w:pStyle w:val="ListParagraph"/>
        <w:rPr>
          <w:rFonts w:ascii="Arial" w:eastAsia="Times New Roman" w:hAnsi="Arial" w:cs="Arial"/>
          <w:sz w:val="24"/>
          <w:szCs w:val="24"/>
          <w:highlight w:val="yellow"/>
          <w:lang w:eastAsia="en-GB"/>
        </w:rPr>
      </w:pPr>
    </w:p>
    <w:p w14:paraId="1ED605F0" w14:textId="4DE9DB4B" w:rsidR="0031225E" w:rsidRDefault="00301186" w:rsidP="0031225E">
      <w:pPr>
        <w:pStyle w:val="ListParagraph"/>
        <w:numPr>
          <w:ilvl w:val="0"/>
          <w:numId w:val="112"/>
        </w:numPr>
        <w:spacing w:after="200" w:line="276" w:lineRule="auto"/>
        <w:rPr>
          <w:rFonts w:ascii="Arial" w:eastAsia="Calibri" w:hAnsi="Arial" w:cs="Arial"/>
          <w:bCs/>
          <w:sz w:val="24"/>
          <w:szCs w:val="24"/>
        </w:rPr>
      </w:pPr>
      <w:r w:rsidRPr="00C92ECE">
        <w:rPr>
          <w:rFonts w:ascii="Arial" w:eastAsia="Calibri" w:hAnsi="Arial" w:cs="Arial"/>
          <w:bCs/>
          <w:sz w:val="24"/>
          <w:szCs w:val="24"/>
        </w:rPr>
        <w:lastRenderedPageBreak/>
        <w:t>We</w:t>
      </w:r>
      <w:r w:rsidR="00657769">
        <w:rPr>
          <w:rFonts w:ascii="Arial" w:eastAsia="Calibri" w:hAnsi="Arial" w:cs="Arial"/>
          <w:bCs/>
          <w:sz w:val="24"/>
          <w:szCs w:val="24"/>
        </w:rPr>
        <w:t>’re</w:t>
      </w:r>
      <w:r w:rsidR="0072270D">
        <w:rPr>
          <w:rFonts w:ascii="Arial" w:eastAsia="Calibri" w:hAnsi="Arial" w:cs="Arial"/>
          <w:bCs/>
          <w:sz w:val="24"/>
          <w:szCs w:val="24"/>
        </w:rPr>
        <w:t xml:space="preserve"> </w:t>
      </w:r>
      <w:r w:rsidRPr="00C92ECE">
        <w:rPr>
          <w:rFonts w:ascii="Arial" w:eastAsia="Calibri" w:hAnsi="Arial" w:cs="Arial"/>
          <w:bCs/>
          <w:sz w:val="24"/>
          <w:szCs w:val="24"/>
        </w:rPr>
        <w:t xml:space="preserve">now </w:t>
      </w:r>
      <w:r w:rsidR="00657769">
        <w:rPr>
          <w:rFonts w:ascii="Arial" w:eastAsia="Calibri" w:hAnsi="Arial" w:cs="Arial"/>
          <w:bCs/>
          <w:sz w:val="24"/>
          <w:szCs w:val="24"/>
        </w:rPr>
        <w:t>moving into</w:t>
      </w:r>
      <w:r w:rsidRPr="00C92ECE">
        <w:rPr>
          <w:rFonts w:ascii="Arial" w:eastAsia="Calibri" w:hAnsi="Arial" w:cs="Arial"/>
          <w:bCs/>
          <w:sz w:val="24"/>
          <w:szCs w:val="24"/>
        </w:rPr>
        <w:t xml:space="preserve"> the next phase of this work and </w:t>
      </w:r>
      <w:r w:rsidR="008752F7" w:rsidRPr="00C92ECE">
        <w:rPr>
          <w:rFonts w:ascii="Arial" w:eastAsia="Calibri" w:hAnsi="Arial" w:cs="Arial"/>
          <w:bCs/>
          <w:sz w:val="24"/>
          <w:szCs w:val="24"/>
        </w:rPr>
        <w:t xml:space="preserve">have </w:t>
      </w:r>
      <w:r w:rsidR="00681DAE">
        <w:rPr>
          <w:rFonts w:ascii="Arial" w:eastAsia="Calibri" w:hAnsi="Arial" w:cs="Arial"/>
          <w:bCs/>
          <w:sz w:val="24"/>
          <w:szCs w:val="24"/>
        </w:rPr>
        <w:t>c</w:t>
      </w:r>
      <w:r w:rsidR="008752F7" w:rsidRPr="00C92ECE">
        <w:rPr>
          <w:rFonts w:ascii="Arial" w:eastAsia="Calibri" w:hAnsi="Arial" w:cs="Arial"/>
          <w:bCs/>
          <w:sz w:val="24"/>
          <w:szCs w:val="24"/>
        </w:rPr>
        <w:t>ommissioned Practice Solutions</w:t>
      </w:r>
      <w:r w:rsidR="004E284F" w:rsidRPr="00C92ECE">
        <w:rPr>
          <w:rFonts w:ascii="Arial" w:eastAsia="Calibri" w:hAnsi="Arial" w:cs="Arial"/>
          <w:bCs/>
          <w:sz w:val="24"/>
          <w:szCs w:val="24"/>
        </w:rPr>
        <w:t xml:space="preserve"> to work with us</w:t>
      </w:r>
      <w:r w:rsidR="008752F7" w:rsidRPr="00C92ECE">
        <w:rPr>
          <w:rFonts w:ascii="Arial" w:eastAsia="Calibri" w:hAnsi="Arial" w:cs="Arial"/>
          <w:bCs/>
          <w:sz w:val="24"/>
          <w:szCs w:val="24"/>
        </w:rPr>
        <w:t xml:space="preserve"> to </w:t>
      </w:r>
      <w:r w:rsidRPr="00C92ECE">
        <w:rPr>
          <w:rFonts w:ascii="Arial" w:eastAsia="Calibri" w:hAnsi="Arial" w:cs="Arial"/>
          <w:bCs/>
          <w:sz w:val="24"/>
          <w:szCs w:val="24"/>
        </w:rPr>
        <w:t>engag</w:t>
      </w:r>
      <w:r w:rsidR="008752F7" w:rsidRPr="00C92ECE">
        <w:rPr>
          <w:rFonts w:ascii="Arial" w:eastAsia="Calibri" w:hAnsi="Arial" w:cs="Arial"/>
          <w:bCs/>
          <w:sz w:val="24"/>
          <w:szCs w:val="24"/>
        </w:rPr>
        <w:t>e</w:t>
      </w:r>
      <w:r w:rsidRPr="00C92ECE">
        <w:rPr>
          <w:rFonts w:ascii="Arial" w:eastAsia="Calibri" w:hAnsi="Arial" w:cs="Arial"/>
          <w:bCs/>
          <w:sz w:val="24"/>
          <w:szCs w:val="24"/>
        </w:rPr>
        <w:t xml:space="preserve"> directly with </w:t>
      </w:r>
      <w:r w:rsidR="00E80FBD">
        <w:rPr>
          <w:rFonts w:ascii="Arial" w:eastAsia="Calibri" w:hAnsi="Arial" w:cs="Arial"/>
          <w:bCs/>
          <w:sz w:val="24"/>
          <w:szCs w:val="24"/>
        </w:rPr>
        <w:t>l</w:t>
      </w:r>
      <w:r w:rsidRPr="00C92ECE">
        <w:rPr>
          <w:rFonts w:ascii="Arial" w:eastAsia="Calibri" w:hAnsi="Arial" w:cs="Arial"/>
          <w:bCs/>
          <w:sz w:val="24"/>
          <w:szCs w:val="24"/>
        </w:rPr>
        <w:t xml:space="preserve">ocal </w:t>
      </w:r>
      <w:r w:rsidR="00E80FBD">
        <w:rPr>
          <w:rFonts w:ascii="Arial" w:eastAsia="Calibri" w:hAnsi="Arial" w:cs="Arial"/>
          <w:bCs/>
          <w:sz w:val="24"/>
          <w:szCs w:val="24"/>
        </w:rPr>
        <w:t>a</w:t>
      </w:r>
      <w:r w:rsidRPr="00C92ECE">
        <w:rPr>
          <w:rFonts w:ascii="Arial" w:eastAsia="Calibri" w:hAnsi="Arial" w:cs="Arial"/>
          <w:bCs/>
          <w:sz w:val="24"/>
          <w:szCs w:val="24"/>
        </w:rPr>
        <w:t xml:space="preserve">uthorities to </w:t>
      </w:r>
      <w:r w:rsidR="00227F09">
        <w:rPr>
          <w:rFonts w:ascii="Arial" w:eastAsia="Calibri" w:hAnsi="Arial" w:cs="Arial"/>
          <w:bCs/>
          <w:sz w:val="24"/>
          <w:szCs w:val="24"/>
        </w:rPr>
        <w:t>find out</w:t>
      </w:r>
      <w:r w:rsidR="00227F09" w:rsidRPr="00C92ECE">
        <w:rPr>
          <w:rFonts w:ascii="Arial" w:eastAsia="Calibri" w:hAnsi="Arial" w:cs="Arial"/>
          <w:bCs/>
          <w:sz w:val="24"/>
          <w:szCs w:val="24"/>
        </w:rPr>
        <w:t xml:space="preserve"> </w:t>
      </w:r>
      <w:r w:rsidRPr="00C92ECE">
        <w:rPr>
          <w:rFonts w:ascii="Arial" w:eastAsia="Calibri" w:hAnsi="Arial" w:cs="Arial"/>
          <w:bCs/>
          <w:sz w:val="24"/>
          <w:szCs w:val="24"/>
        </w:rPr>
        <w:t xml:space="preserve">what tailored support </w:t>
      </w:r>
      <w:r w:rsidR="00227F09">
        <w:rPr>
          <w:rFonts w:ascii="Arial" w:eastAsia="Calibri" w:hAnsi="Arial" w:cs="Arial"/>
          <w:bCs/>
          <w:sz w:val="24"/>
          <w:szCs w:val="24"/>
        </w:rPr>
        <w:t>they need</w:t>
      </w:r>
      <w:r w:rsidRPr="00C92ECE">
        <w:rPr>
          <w:rFonts w:ascii="Arial" w:eastAsia="Calibri" w:hAnsi="Arial" w:cs="Arial"/>
          <w:bCs/>
          <w:sz w:val="24"/>
          <w:szCs w:val="24"/>
        </w:rPr>
        <w:t xml:space="preserve"> to </w:t>
      </w:r>
      <w:r w:rsidR="00616880">
        <w:rPr>
          <w:rFonts w:ascii="Arial" w:eastAsia="Calibri" w:hAnsi="Arial" w:cs="Arial"/>
          <w:bCs/>
          <w:sz w:val="24"/>
          <w:szCs w:val="24"/>
        </w:rPr>
        <w:t>improve</w:t>
      </w:r>
      <w:r w:rsidR="008752F7" w:rsidRPr="00C92ECE">
        <w:rPr>
          <w:rFonts w:ascii="Arial" w:eastAsia="Calibri" w:hAnsi="Arial" w:cs="Arial"/>
          <w:bCs/>
          <w:sz w:val="24"/>
          <w:szCs w:val="24"/>
        </w:rPr>
        <w:t xml:space="preserve"> </w:t>
      </w:r>
      <w:r w:rsidRPr="00C92ECE">
        <w:rPr>
          <w:rFonts w:ascii="Arial" w:eastAsia="Calibri" w:hAnsi="Arial" w:cs="Arial"/>
          <w:bCs/>
          <w:sz w:val="24"/>
          <w:szCs w:val="24"/>
        </w:rPr>
        <w:t>workforce planning approach</w:t>
      </w:r>
      <w:r w:rsidR="008752F7" w:rsidRPr="00C92ECE">
        <w:rPr>
          <w:rFonts w:ascii="Arial" w:eastAsia="Calibri" w:hAnsi="Arial" w:cs="Arial"/>
          <w:bCs/>
          <w:sz w:val="24"/>
          <w:szCs w:val="24"/>
        </w:rPr>
        <w:t>es</w:t>
      </w:r>
      <w:r w:rsidRPr="00C92ECE">
        <w:rPr>
          <w:rFonts w:ascii="Arial" w:eastAsia="Calibri" w:hAnsi="Arial" w:cs="Arial"/>
          <w:bCs/>
          <w:sz w:val="24"/>
          <w:szCs w:val="24"/>
        </w:rPr>
        <w:t xml:space="preserve"> in social services. </w:t>
      </w:r>
      <w:r w:rsidR="00616880">
        <w:rPr>
          <w:rFonts w:ascii="Arial" w:eastAsia="Calibri" w:hAnsi="Arial" w:cs="Arial"/>
          <w:bCs/>
          <w:sz w:val="24"/>
          <w:szCs w:val="24"/>
        </w:rPr>
        <w:t xml:space="preserve">To </w:t>
      </w:r>
      <w:r w:rsidR="00F62AA5">
        <w:rPr>
          <w:rFonts w:ascii="Arial" w:eastAsia="Calibri" w:hAnsi="Arial" w:cs="Arial"/>
          <w:bCs/>
          <w:sz w:val="24"/>
          <w:szCs w:val="24"/>
        </w:rPr>
        <w:t>tackle</w:t>
      </w:r>
      <w:r w:rsidR="00616880">
        <w:rPr>
          <w:rFonts w:ascii="Arial" w:eastAsia="Calibri" w:hAnsi="Arial" w:cs="Arial"/>
          <w:bCs/>
          <w:sz w:val="24"/>
          <w:szCs w:val="24"/>
        </w:rPr>
        <w:t xml:space="preserve"> challenges around</w:t>
      </w:r>
      <w:r w:rsidR="001B69FE" w:rsidRPr="00C92ECE">
        <w:rPr>
          <w:rFonts w:ascii="Arial" w:eastAsia="Calibri" w:hAnsi="Arial" w:cs="Arial"/>
          <w:bCs/>
          <w:sz w:val="24"/>
          <w:szCs w:val="24"/>
        </w:rPr>
        <w:t xml:space="preserve"> accessing data</w:t>
      </w:r>
      <w:r w:rsidR="00AB7253">
        <w:rPr>
          <w:rFonts w:ascii="Arial" w:eastAsia="Calibri" w:hAnsi="Arial" w:cs="Arial"/>
          <w:bCs/>
          <w:sz w:val="24"/>
          <w:szCs w:val="24"/>
        </w:rPr>
        <w:t>,</w:t>
      </w:r>
      <w:r w:rsidR="001B69FE" w:rsidRPr="00C92ECE">
        <w:rPr>
          <w:rFonts w:ascii="Arial" w:eastAsia="Calibri" w:hAnsi="Arial" w:cs="Arial"/>
          <w:bCs/>
          <w:sz w:val="24"/>
          <w:szCs w:val="24"/>
        </w:rPr>
        <w:t xml:space="preserve"> we</w:t>
      </w:r>
      <w:r w:rsidR="00AB7253">
        <w:rPr>
          <w:rFonts w:ascii="Arial" w:eastAsia="Calibri" w:hAnsi="Arial" w:cs="Arial"/>
          <w:bCs/>
          <w:sz w:val="24"/>
          <w:szCs w:val="24"/>
        </w:rPr>
        <w:t>’</w:t>
      </w:r>
      <w:r w:rsidR="001B69FE" w:rsidRPr="00C92ECE">
        <w:rPr>
          <w:rFonts w:ascii="Arial" w:eastAsia="Calibri" w:hAnsi="Arial" w:cs="Arial"/>
          <w:bCs/>
          <w:sz w:val="24"/>
          <w:szCs w:val="24"/>
        </w:rPr>
        <w:t xml:space="preserve">ll </w:t>
      </w:r>
      <w:r w:rsidR="00AB7253">
        <w:rPr>
          <w:rFonts w:ascii="Arial" w:eastAsia="Calibri" w:hAnsi="Arial" w:cs="Arial"/>
          <w:bCs/>
          <w:sz w:val="24"/>
          <w:szCs w:val="24"/>
        </w:rPr>
        <w:t>also look at</w:t>
      </w:r>
      <w:r w:rsidR="001B69FE" w:rsidRPr="00C92ECE">
        <w:rPr>
          <w:rFonts w:ascii="Arial" w:eastAsia="Calibri" w:hAnsi="Arial" w:cs="Arial"/>
          <w:bCs/>
          <w:sz w:val="24"/>
          <w:szCs w:val="24"/>
        </w:rPr>
        <w:t xml:space="preserve"> the options for </w:t>
      </w:r>
      <w:r w:rsidR="00864264" w:rsidRPr="00C92ECE">
        <w:rPr>
          <w:rFonts w:ascii="Arial" w:eastAsia="Calibri" w:hAnsi="Arial" w:cs="Arial"/>
          <w:bCs/>
          <w:sz w:val="24"/>
          <w:szCs w:val="24"/>
        </w:rPr>
        <w:t xml:space="preserve">building a Power BI-based solution that could </w:t>
      </w:r>
      <w:r w:rsidR="00AB7253">
        <w:rPr>
          <w:rFonts w:ascii="Arial" w:eastAsia="Calibri" w:hAnsi="Arial" w:cs="Arial"/>
          <w:bCs/>
          <w:sz w:val="24"/>
          <w:szCs w:val="24"/>
        </w:rPr>
        <w:t>give</w:t>
      </w:r>
      <w:r w:rsidR="00864264" w:rsidRPr="00C92ECE">
        <w:rPr>
          <w:rFonts w:ascii="Arial" w:eastAsia="Calibri" w:hAnsi="Arial" w:cs="Arial"/>
          <w:bCs/>
          <w:sz w:val="24"/>
          <w:szCs w:val="24"/>
        </w:rPr>
        <w:t xml:space="preserve"> some solutions </w:t>
      </w:r>
      <w:r w:rsidR="00FD14E1" w:rsidRPr="00C92ECE">
        <w:rPr>
          <w:rFonts w:ascii="Arial" w:eastAsia="Calibri" w:hAnsi="Arial" w:cs="Arial"/>
          <w:bCs/>
          <w:sz w:val="24"/>
          <w:szCs w:val="24"/>
        </w:rPr>
        <w:t>for a c</w:t>
      </w:r>
      <w:r w:rsidR="00864264" w:rsidRPr="00C92ECE">
        <w:rPr>
          <w:rFonts w:ascii="Arial" w:eastAsia="Calibri" w:hAnsi="Arial" w:cs="Arial"/>
          <w:bCs/>
          <w:sz w:val="24"/>
          <w:szCs w:val="24"/>
        </w:rPr>
        <w:t>onsistent, flexible view of workforce data across Wales</w:t>
      </w:r>
      <w:r w:rsidR="007903E4">
        <w:rPr>
          <w:rFonts w:ascii="Arial" w:eastAsia="Calibri" w:hAnsi="Arial" w:cs="Arial"/>
          <w:bCs/>
          <w:sz w:val="24"/>
          <w:szCs w:val="24"/>
        </w:rPr>
        <w:t>.</w:t>
      </w:r>
    </w:p>
    <w:p w14:paraId="74889B76" w14:textId="77777777" w:rsidR="0031225E" w:rsidRPr="0031225E" w:rsidRDefault="0031225E" w:rsidP="0031225E">
      <w:pPr>
        <w:pStyle w:val="ListParagraph"/>
        <w:rPr>
          <w:rFonts w:ascii="Arial" w:eastAsia="Calibri" w:hAnsi="Arial" w:cs="Arial"/>
          <w:bCs/>
          <w:sz w:val="24"/>
          <w:szCs w:val="24"/>
        </w:rPr>
      </w:pPr>
    </w:p>
    <w:p w14:paraId="7D322F7D" w14:textId="180DC5DD" w:rsidR="0031225E" w:rsidRDefault="00124A77" w:rsidP="0031225E">
      <w:pPr>
        <w:pStyle w:val="ListParagraph"/>
        <w:numPr>
          <w:ilvl w:val="0"/>
          <w:numId w:val="112"/>
        </w:numPr>
      </w:pPr>
      <w:r>
        <w:rPr>
          <w:rFonts w:ascii="Arial" w:eastAsia="Calibri" w:hAnsi="Arial" w:cs="Arial"/>
          <w:bCs/>
          <w:sz w:val="24"/>
          <w:szCs w:val="24"/>
        </w:rPr>
        <w:t>Comparing</w:t>
      </w:r>
      <w:r w:rsidR="0031225E" w:rsidRPr="00C469EC">
        <w:rPr>
          <w:rFonts w:ascii="Arial" w:eastAsia="Calibri" w:hAnsi="Arial" w:cs="Arial"/>
          <w:bCs/>
          <w:sz w:val="24"/>
          <w:szCs w:val="24"/>
        </w:rPr>
        <w:t xml:space="preserve"> the data submitted through the end-of-year regional reports with other sources has </w:t>
      </w:r>
      <w:r w:rsidR="00B42BD0">
        <w:rPr>
          <w:rFonts w:ascii="Arial" w:eastAsia="Calibri" w:hAnsi="Arial" w:cs="Arial"/>
          <w:bCs/>
          <w:sz w:val="24"/>
          <w:szCs w:val="24"/>
        </w:rPr>
        <w:t>shown some inconsistencies</w:t>
      </w:r>
      <w:proofErr w:type="gramStart"/>
      <w:r w:rsidR="00B42BD0">
        <w:rPr>
          <w:rFonts w:ascii="Arial" w:eastAsia="Calibri" w:hAnsi="Arial" w:cs="Arial"/>
          <w:bCs/>
          <w:sz w:val="24"/>
          <w:szCs w:val="24"/>
        </w:rPr>
        <w:t xml:space="preserve">. </w:t>
      </w:r>
      <w:r w:rsidR="0031225E" w:rsidRPr="00C469EC">
        <w:rPr>
          <w:rFonts w:ascii="Arial" w:eastAsia="Calibri" w:hAnsi="Arial" w:cs="Arial"/>
          <w:bCs/>
          <w:sz w:val="24"/>
          <w:szCs w:val="24"/>
        </w:rPr>
        <w:t>.</w:t>
      </w:r>
      <w:proofErr w:type="gramEnd"/>
      <w:r w:rsidR="0031225E" w:rsidRPr="00C469EC">
        <w:rPr>
          <w:rFonts w:ascii="Arial" w:eastAsia="Calibri" w:hAnsi="Arial" w:cs="Arial"/>
          <w:bCs/>
          <w:sz w:val="24"/>
          <w:szCs w:val="24"/>
        </w:rPr>
        <w:t xml:space="preserve"> As a result, we</w:t>
      </w:r>
      <w:r w:rsidR="00B25D03">
        <w:rPr>
          <w:rFonts w:ascii="Arial" w:eastAsia="Calibri" w:hAnsi="Arial" w:cs="Arial"/>
          <w:bCs/>
          <w:sz w:val="24"/>
          <w:szCs w:val="24"/>
        </w:rPr>
        <w:t>’ll carry out an</w:t>
      </w:r>
      <w:r w:rsidR="0031225E" w:rsidRPr="00C469EC">
        <w:rPr>
          <w:rFonts w:ascii="Arial" w:eastAsia="Calibri" w:hAnsi="Arial" w:cs="Arial"/>
          <w:bCs/>
          <w:sz w:val="24"/>
          <w:szCs w:val="24"/>
        </w:rPr>
        <w:t xml:space="preserve"> internal review to better understand the data being reported by local authorities and regions.</w:t>
      </w:r>
    </w:p>
    <w:p w14:paraId="5F9F1229" w14:textId="77777777" w:rsidR="0031225E" w:rsidRPr="0031225E" w:rsidRDefault="0031225E" w:rsidP="0031225E">
      <w:pPr>
        <w:pStyle w:val="ListParagraph"/>
        <w:spacing w:after="200" w:line="276" w:lineRule="auto"/>
        <w:rPr>
          <w:rFonts w:ascii="Arial" w:eastAsia="Calibri" w:hAnsi="Arial" w:cs="Arial"/>
          <w:bCs/>
          <w:sz w:val="24"/>
          <w:szCs w:val="24"/>
        </w:rPr>
      </w:pPr>
    </w:p>
    <w:p w14:paraId="655563CF" w14:textId="3C3B6391" w:rsidR="00115854" w:rsidRDefault="00115854" w:rsidP="00724796">
      <w:pPr>
        <w:pStyle w:val="Heading3"/>
      </w:pPr>
      <w:bookmarkStart w:id="62" w:name="_Toc210987789"/>
      <w:bookmarkStart w:id="63" w:name="_Toc211279642"/>
      <w:r>
        <w:t>A focus on social work</w:t>
      </w:r>
      <w:bookmarkEnd w:id="62"/>
      <w:bookmarkEnd w:id="63"/>
    </w:p>
    <w:p w14:paraId="2F9AAC0F" w14:textId="1FBD7186" w:rsidR="00BA109F" w:rsidRPr="00C92ECE" w:rsidRDefault="00BA109F" w:rsidP="006C7576">
      <w:pPr>
        <w:pStyle w:val="ListParagraph"/>
        <w:numPr>
          <w:ilvl w:val="0"/>
          <w:numId w:val="112"/>
        </w:numPr>
        <w:spacing w:after="200" w:line="276" w:lineRule="auto"/>
        <w:rPr>
          <w:rFonts w:ascii="Arial" w:eastAsia="Calibri" w:hAnsi="Arial" w:cs="Arial"/>
          <w:bCs/>
          <w:sz w:val="24"/>
          <w:szCs w:val="24"/>
        </w:rPr>
      </w:pPr>
      <w:r w:rsidRPr="00C92ECE">
        <w:rPr>
          <w:rFonts w:ascii="Arial" w:eastAsia="Calibri" w:hAnsi="Arial" w:cs="Arial"/>
          <w:bCs/>
          <w:sz w:val="24"/>
          <w:szCs w:val="24"/>
        </w:rPr>
        <w:t xml:space="preserve">Social work is important, and the sector can’t function </w:t>
      </w:r>
      <w:r w:rsidR="00426B8A" w:rsidRPr="00C92ECE">
        <w:rPr>
          <w:rFonts w:ascii="Arial" w:eastAsia="Calibri" w:hAnsi="Arial" w:cs="Arial"/>
          <w:bCs/>
          <w:sz w:val="24"/>
          <w:szCs w:val="24"/>
        </w:rPr>
        <w:t>without social</w:t>
      </w:r>
      <w:r w:rsidRPr="00C92ECE">
        <w:rPr>
          <w:rFonts w:ascii="Arial" w:eastAsia="Calibri" w:hAnsi="Arial" w:cs="Arial"/>
          <w:bCs/>
          <w:sz w:val="24"/>
          <w:szCs w:val="24"/>
        </w:rPr>
        <w:t xml:space="preserve"> workers support</w:t>
      </w:r>
      <w:r w:rsidR="001C26DB">
        <w:rPr>
          <w:rFonts w:ascii="Arial" w:eastAsia="Calibri" w:hAnsi="Arial" w:cs="Arial"/>
          <w:bCs/>
          <w:sz w:val="24"/>
          <w:szCs w:val="24"/>
        </w:rPr>
        <w:t>ing</w:t>
      </w:r>
      <w:r w:rsidRPr="00C92ECE">
        <w:rPr>
          <w:rFonts w:ascii="Arial" w:eastAsia="Calibri" w:hAnsi="Arial" w:cs="Arial"/>
          <w:bCs/>
          <w:sz w:val="24"/>
          <w:szCs w:val="24"/>
        </w:rPr>
        <w:t xml:space="preserve"> adults, children and families.</w:t>
      </w:r>
      <w:r w:rsidR="00E17B3F" w:rsidRPr="00C92ECE">
        <w:rPr>
          <w:rFonts w:ascii="Arial" w:eastAsia="Calibri" w:hAnsi="Arial" w:cs="Arial"/>
          <w:bCs/>
          <w:sz w:val="24"/>
          <w:szCs w:val="24"/>
        </w:rPr>
        <w:t xml:space="preserve"> </w:t>
      </w:r>
      <w:r w:rsidR="005A5FE1">
        <w:rPr>
          <w:rFonts w:ascii="Arial" w:eastAsia="Calibri" w:hAnsi="Arial" w:cs="Arial"/>
          <w:bCs/>
          <w:sz w:val="24"/>
          <w:szCs w:val="24"/>
        </w:rPr>
        <w:t>While the share</w:t>
      </w:r>
      <w:r w:rsidR="001E7FF4" w:rsidRPr="00C92ECE">
        <w:rPr>
          <w:rFonts w:ascii="Arial" w:eastAsia="Calibri" w:hAnsi="Arial" w:cs="Arial"/>
          <w:bCs/>
          <w:sz w:val="24"/>
          <w:szCs w:val="24"/>
        </w:rPr>
        <w:t xml:space="preserve"> of the SCWWDP grant spent on qualifying and post-qualifying social work awards </w:t>
      </w:r>
      <w:r w:rsidR="00236494">
        <w:rPr>
          <w:rFonts w:ascii="Arial" w:eastAsia="Calibri" w:hAnsi="Arial" w:cs="Arial"/>
          <w:bCs/>
          <w:sz w:val="24"/>
          <w:szCs w:val="24"/>
        </w:rPr>
        <w:t>has stayed</w:t>
      </w:r>
      <w:r w:rsidR="001E7FF4" w:rsidRPr="00C92ECE">
        <w:rPr>
          <w:rFonts w:ascii="Arial" w:eastAsia="Calibri" w:hAnsi="Arial" w:cs="Arial"/>
          <w:bCs/>
          <w:sz w:val="24"/>
          <w:szCs w:val="24"/>
        </w:rPr>
        <w:t xml:space="preserve"> </w:t>
      </w:r>
      <w:proofErr w:type="gramStart"/>
      <w:r w:rsidR="001E7FF4" w:rsidRPr="00C92ECE">
        <w:rPr>
          <w:rFonts w:ascii="Arial" w:eastAsia="Calibri" w:hAnsi="Arial" w:cs="Arial"/>
          <w:bCs/>
          <w:sz w:val="24"/>
          <w:szCs w:val="24"/>
        </w:rPr>
        <w:t>fairly st</w:t>
      </w:r>
      <w:r w:rsidR="001C6D23">
        <w:rPr>
          <w:rFonts w:ascii="Arial" w:eastAsia="Calibri" w:hAnsi="Arial" w:cs="Arial"/>
          <w:bCs/>
          <w:sz w:val="24"/>
          <w:szCs w:val="24"/>
        </w:rPr>
        <w:t>eady</w:t>
      </w:r>
      <w:proofErr w:type="gramEnd"/>
      <w:r w:rsidR="001C6D23">
        <w:rPr>
          <w:rFonts w:ascii="Arial" w:eastAsia="Calibri" w:hAnsi="Arial" w:cs="Arial"/>
          <w:bCs/>
          <w:sz w:val="24"/>
          <w:szCs w:val="24"/>
        </w:rPr>
        <w:t xml:space="preserve"> overall, its</w:t>
      </w:r>
      <w:r w:rsidR="001E7FF4" w:rsidRPr="00C92ECE">
        <w:rPr>
          <w:rFonts w:ascii="Arial" w:eastAsia="Calibri" w:hAnsi="Arial" w:cs="Arial"/>
          <w:bCs/>
          <w:sz w:val="24"/>
          <w:szCs w:val="24"/>
        </w:rPr>
        <w:t xml:space="preserve"> proportion as a total of the national priority spend</w:t>
      </w:r>
      <w:r w:rsidR="00C74D18">
        <w:rPr>
          <w:rFonts w:ascii="Arial" w:eastAsia="Calibri" w:hAnsi="Arial" w:cs="Arial"/>
          <w:bCs/>
          <w:sz w:val="24"/>
          <w:szCs w:val="24"/>
        </w:rPr>
        <w:t>ing has</w:t>
      </w:r>
      <w:r w:rsidR="001E7FF4" w:rsidRPr="00C92ECE">
        <w:rPr>
          <w:rFonts w:ascii="Arial" w:eastAsia="Calibri" w:hAnsi="Arial" w:cs="Arial"/>
          <w:bCs/>
          <w:sz w:val="24"/>
          <w:szCs w:val="24"/>
        </w:rPr>
        <w:t xml:space="preserve"> increase</w:t>
      </w:r>
      <w:r w:rsidR="00C74D18">
        <w:rPr>
          <w:rFonts w:ascii="Arial" w:eastAsia="Calibri" w:hAnsi="Arial" w:cs="Arial"/>
          <w:bCs/>
          <w:sz w:val="24"/>
          <w:szCs w:val="24"/>
        </w:rPr>
        <w:t>d again</w:t>
      </w:r>
      <w:r w:rsidR="004D1DD2" w:rsidRPr="00C92ECE">
        <w:rPr>
          <w:rFonts w:ascii="Arial" w:eastAsia="Calibri" w:hAnsi="Arial" w:cs="Arial"/>
          <w:bCs/>
          <w:sz w:val="24"/>
          <w:szCs w:val="24"/>
        </w:rPr>
        <w:t xml:space="preserve"> this year</w:t>
      </w:r>
      <w:r w:rsidR="001E7FF4" w:rsidRPr="00C92ECE">
        <w:rPr>
          <w:rFonts w:ascii="Arial" w:eastAsia="Calibri" w:hAnsi="Arial" w:cs="Arial"/>
          <w:bCs/>
          <w:sz w:val="24"/>
          <w:szCs w:val="24"/>
        </w:rPr>
        <w:t xml:space="preserve">. </w:t>
      </w:r>
      <w:r w:rsidR="00725C23">
        <w:rPr>
          <w:rFonts w:ascii="Arial" w:eastAsia="Calibri" w:hAnsi="Arial" w:cs="Arial"/>
          <w:bCs/>
          <w:sz w:val="24"/>
          <w:szCs w:val="24"/>
        </w:rPr>
        <w:t>T</w:t>
      </w:r>
      <w:r w:rsidR="00725C23" w:rsidRPr="005725A1">
        <w:rPr>
          <w:rFonts w:ascii="Arial" w:eastAsia="Calibri" w:hAnsi="Arial" w:cs="Arial"/>
          <w:sz w:val="24"/>
          <w:szCs w:val="24"/>
          <w:lang w:eastAsia="en-GB"/>
        </w:rPr>
        <w:t>here</w:t>
      </w:r>
      <w:r w:rsidR="00C74D18">
        <w:rPr>
          <w:rFonts w:ascii="Arial" w:eastAsia="Calibri" w:hAnsi="Arial" w:cs="Arial"/>
          <w:sz w:val="24"/>
          <w:szCs w:val="24"/>
          <w:lang w:eastAsia="en-GB"/>
        </w:rPr>
        <w:t>’s</w:t>
      </w:r>
      <w:r w:rsidR="00D217C2">
        <w:rPr>
          <w:rFonts w:ascii="Arial" w:eastAsia="Calibri" w:hAnsi="Arial" w:cs="Arial"/>
          <w:sz w:val="24"/>
          <w:szCs w:val="24"/>
          <w:lang w:eastAsia="en-GB"/>
        </w:rPr>
        <w:t xml:space="preserve"> </w:t>
      </w:r>
      <w:r w:rsidR="00725C23" w:rsidRPr="005725A1">
        <w:rPr>
          <w:rFonts w:ascii="Arial" w:eastAsia="Calibri" w:hAnsi="Arial" w:cs="Arial"/>
          <w:sz w:val="24"/>
          <w:szCs w:val="24"/>
          <w:lang w:eastAsia="en-GB"/>
        </w:rPr>
        <w:t>risk that</w:t>
      </w:r>
      <w:r w:rsidR="00D217C2">
        <w:rPr>
          <w:rFonts w:ascii="Arial" w:eastAsia="Calibri" w:hAnsi="Arial" w:cs="Arial"/>
          <w:sz w:val="24"/>
          <w:szCs w:val="24"/>
          <w:lang w:eastAsia="en-GB"/>
        </w:rPr>
        <w:t xml:space="preserve"> continuing to</w:t>
      </w:r>
      <w:r w:rsidR="00E83E75">
        <w:rPr>
          <w:rFonts w:ascii="Arial" w:eastAsia="Calibri" w:hAnsi="Arial" w:cs="Arial"/>
          <w:sz w:val="24"/>
          <w:szCs w:val="24"/>
          <w:lang w:eastAsia="en-GB"/>
        </w:rPr>
        <w:t xml:space="preserve"> prioritise</w:t>
      </w:r>
      <w:r w:rsidR="00066E15">
        <w:rPr>
          <w:rFonts w:ascii="Arial" w:eastAsia="Calibri" w:hAnsi="Arial" w:cs="Arial"/>
          <w:sz w:val="24"/>
          <w:szCs w:val="24"/>
          <w:lang w:eastAsia="en-GB"/>
        </w:rPr>
        <w:t xml:space="preserve"> </w:t>
      </w:r>
      <w:r w:rsidR="00725C23" w:rsidRPr="005725A1">
        <w:rPr>
          <w:rFonts w:ascii="Arial" w:eastAsia="Calibri" w:hAnsi="Arial" w:cs="Arial"/>
          <w:sz w:val="24"/>
          <w:szCs w:val="24"/>
          <w:lang w:eastAsia="en-GB"/>
        </w:rPr>
        <w:t>this area may lead to under-investment in the wider non-social worker workforce, which also plays a critical role in delivering high-quality care and support.</w:t>
      </w:r>
    </w:p>
    <w:p w14:paraId="060291EF" w14:textId="77777777" w:rsidR="0031225E" w:rsidRPr="00C92ECE" w:rsidRDefault="0031225E" w:rsidP="00C92ECE">
      <w:pPr>
        <w:pStyle w:val="ListParagraph"/>
        <w:spacing w:after="200" w:line="276" w:lineRule="auto"/>
        <w:rPr>
          <w:rFonts w:ascii="Arial" w:eastAsia="Calibri" w:hAnsi="Arial" w:cs="Arial"/>
          <w:bCs/>
          <w:sz w:val="24"/>
          <w:szCs w:val="24"/>
        </w:rPr>
      </w:pPr>
    </w:p>
    <w:p w14:paraId="5212D39A" w14:textId="5FF5077A" w:rsidR="006B06B2" w:rsidRPr="00C92ECE" w:rsidRDefault="00F37595" w:rsidP="006B06B2">
      <w:pPr>
        <w:pStyle w:val="ListParagraph"/>
        <w:numPr>
          <w:ilvl w:val="0"/>
          <w:numId w:val="112"/>
        </w:numPr>
        <w:spacing w:after="200" w:line="276" w:lineRule="auto"/>
        <w:rPr>
          <w:rFonts w:ascii="Arial" w:eastAsia="Calibri" w:hAnsi="Arial" w:cs="Arial"/>
          <w:bCs/>
          <w:sz w:val="24"/>
          <w:szCs w:val="24"/>
        </w:rPr>
      </w:pPr>
      <w:r>
        <w:rPr>
          <w:rFonts w:ascii="Arial" w:eastAsia="Calibri" w:hAnsi="Arial" w:cs="Arial"/>
          <w:sz w:val="24"/>
          <w:szCs w:val="24"/>
          <w:lang w:eastAsia="en-GB"/>
        </w:rPr>
        <w:t xml:space="preserve">The main </w:t>
      </w:r>
      <w:r w:rsidR="0027037E">
        <w:rPr>
          <w:rFonts w:ascii="Arial" w:eastAsia="Calibri" w:hAnsi="Arial" w:cs="Arial"/>
          <w:sz w:val="24"/>
          <w:szCs w:val="24"/>
          <w:lang w:eastAsia="en-GB"/>
        </w:rPr>
        <w:t>challenges associated with social work highlighted in the 2024 to 2025 SCWWDP</w:t>
      </w:r>
      <w:r w:rsidR="00A50980">
        <w:rPr>
          <w:rFonts w:ascii="Arial" w:eastAsia="Calibri" w:hAnsi="Arial" w:cs="Arial"/>
          <w:sz w:val="24"/>
          <w:szCs w:val="24"/>
          <w:lang w:eastAsia="en-GB"/>
        </w:rPr>
        <w:t xml:space="preserve"> </w:t>
      </w:r>
      <w:r w:rsidR="0027037E">
        <w:rPr>
          <w:rFonts w:ascii="Arial" w:eastAsia="Calibri" w:hAnsi="Arial" w:cs="Arial"/>
          <w:sz w:val="24"/>
          <w:szCs w:val="24"/>
          <w:lang w:eastAsia="en-GB"/>
        </w:rPr>
        <w:t>includ</w:t>
      </w:r>
      <w:r w:rsidR="004D7C0C">
        <w:rPr>
          <w:rFonts w:ascii="Arial" w:eastAsia="Calibri" w:hAnsi="Arial" w:cs="Arial"/>
          <w:sz w:val="24"/>
          <w:szCs w:val="24"/>
          <w:lang w:eastAsia="en-GB"/>
        </w:rPr>
        <w:t>e</w:t>
      </w:r>
      <w:r w:rsidR="0027037E">
        <w:rPr>
          <w:rFonts w:ascii="Arial" w:eastAsia="Calibri" w:hAnsi="Arial" w:cs="Arial"/>
          <w:sz w:val="24"/>
          <w:szCs w:val="24"/>
          <w:lang w:eastAsia="en-GB"/>
        </w:rPr>
        <w:t>:</w:t>
      </w:r>
    </w:p>
    <w:p w14:paraId="55F95D90" w14:textId="77777777" w:rsidR="004D7C0C" w:rsidRPr="00C92ECE" w:rsidRDefault="004D7C0C" w:rsidP="00C92ECE">
      <w:pPr>
        <w:pStyle w:val="ListParagraph"/>
        <w:rPr>
          <w:rFonts w:ascii="Arial" w:eastAsia="Calibri" w:hAnsi="Arial" w:cs="Arial"/>
          <w:bCs/>
          <w:sz w:val="24"/>
          <w:szCs w:val="24"/>
        </w:rPr>
      </w:pPr>
    </w:p>
    <w:p w14:paraId="65494C85" w14:textId="0FA1DA07" w:rsidR="0027037E" w:rsidRDefault="00A50980" w:rsidP="006B06B2">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sz w:val="24"/>
          <w:szCs w:val="24"/>
          <w:lang w:eastAsia="en-GB"/>
        </w:rPr>
        <w:t>s</w:t>
      </w:r>
      <w:r w:rsidR="006B06B2">
        <w:rPr>
          <w:rFonts w:ascii="Arial" w:eastAsia="Calibri" w:hAnsi="Arial" w:cs="Arial"/>
          <w:sz w:val="24"/>
          <w:szCs w:val="24"/>
          <w:lang w:eastAsia="en-GB"/>
        </w:rPr>
        <w:t xml:space="preserve">ocial work education and funding - </w:t>
      </w:r>
      <w:r w:rsidR="006B06B2" w:rsidRPr="00C92ECE">
        <w:rPr>
          <w:rFonts w:ascii="Arial" w:eastAsia="Calibri" w:hAnsi="Arial" w:cs="Arial"/>
          <w:bCs/>
          <w:sz w:val="24"/>
          <w:szCs w:val="24"/>
        </w:rPr>
        <w:t xml:space="preserve">concerns about falling numbers of social work students at traditional universities, with </w:t>
      </w:r>
      <w:r w:rsidR="00195E80">
        <w:rPr>
          <w:rFonts w:ascii="Arial" w:eastAsia="Calibri" w:hAnsi="Arial" w:cs="Arial"/>
          <w:bCs/>
          <w:sz w:val="24"/>
          <w:szCs w:val="24"/>
        </w:rPr>
        <w:t>costs noted as a</w:t>
      </w:r>
      <w:r w:rsidR="006B06B2" w:rsidRPr="00C92ECE">
        <w:rPr>
          <w:rFonts w:ascii="Arial" w:eastAsia="Calibri" w:hAnsi="Arial" w:cs="Arial"/>
          <w:bCs/>
          <w:sz w:val="24"/>
          <w:szCs w:val="24"/>
        </w:rPr>
        <w:t xml:space="preserve"> key barrier.</w:t>
      </w:r>
    </w:p>
    <w:p w14:paraId="30B27F9E" w14:textId="77777777" w:rsidR="004D7C0C" w:rsidRDefault="004D7C0C" w:rsidP="00C92ECE">
      <w:pPr>
        <w:pStyle w:val="ListParagraph"/>
        <w:spacing w:after="200" w:line="276" w:lineRule="auto"/>
        <w:ind w:left="1440"/>
        <w:rPr>
          <w:rFonts w:ascii="Arial" w:eastAsia="Calibri" w:hAnsi="Arial" w:cs="Arial"/>
          <w:bCs/>
          <w:sz w:val="24"/>
          <w:szCs w:val="24"/>
        </w:rPr>
      </w:pPr>
    </w:p>
    <w:p w14:paraId="74E7C69D" w14:textId="41B8F214" w:rsidR="00337DD5" w:rsidRPr="00C92ECE" w:rsidRDefault="00195E80" w:rsidP="00C92ECE">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p</w:t>
      </w:r>
      <w:r w:rsidR="00337DD5">
        <w:rPr>
          <w:rFonts w:ascii="Arial" w:eastAsia="Calibri" w:hAnsi="Arial" w:cs="Arial"/>
          <w:bCs/>
          <w:sz w:val="24"/>
          <w:szCs w:val="24"/>
        </w:rPr>
        <w:t>ractice education capacity - i</w:t>
      </w:r>
      <w:r w:rsidR="00337DD5" w:rsidRPr="00337DD5">
        <w:rPr>
          <w:rFonts w:ascii="Arial" w:eastAsia="Calibri" w:hAnsi="Arial" w:cs="Arial"/>
          <w:bCs/>
          <w:sz w:val="24"/>
          <w:szCs w:val="24"/>
        </w:rPr>
        <w:t xml:space="preserve">nternal practice educator capacity is under strain, </w:t>
      </w:r>
      <w:r w:rsidR="0019798A">
        <w:rPr>
          <w:rFonts w:ascii="Arial" w:eastAsia="Calibri" w:hAnsi="Arial" w:cs="Arial"/>
          <w:bCs/>
          <w:sz w:val="24"/>
          <w:szCs w:val="24"/>
        </w:rPr>
        <w:t>so more</w:t>
      </w:r>
      <w:r w:rsidR="00B80813">
        <w:rPr>
          <w:rFonts w:ascii="Arial" w:eastAsia="Calibri" w:hAnsi="Arial" w:cs="Arial"/>
          <w:bCs/>
          <w:sz w:val="24"/>
          <w:szCs w:val="24"/>
        </w:rPr>
        <w:t xml:space="preserve"> external </w:t>
      </w:r>
      <w:r w:rsidR="00426B8A">
        <w:rPr>
          <w:rFonts w:ascii="Arial" w:eastAsia="Calibri" w:hAnsi="Arial" w:cs="Arial"/>
          <w:bCs/>
          <w:sz w:val="24"/>
          <w:szCs w:val="24"/>
        </w:rPr>
        <w:t>services</w:t>
      </w:r>
      <w:r w:rsidR="00B80813">
        <w:rPr>
          <w:rFonts w:ascii="Arial" w:eastAsia="Calibri" w:hAnsi="Arial" w:cs="Arial"/>
          <w:bCs/>
          <w:sz w:val="24"/>
          <w:szCs w:val="24"/>
        </w:rPr>
        <w:t xml:space="preserve"> are being commissioned.</w:t>
      </w:r>
      <w:r w:rsidR="00337DD5">
        <w:rPr>
          <w:rFonts w:ascii="Arial" w:eastAsia="Calibri" w:hAnsi="Arial" w:cs="Arial"/>
          <w:bCs/>
          <w:sz w:val="24"/>
          <w:szCs w:val="24"/>
        </w:rPr>
        <w:t xml:space="preserve"> </w:t>
      </w:r>
      <w:r w:rsidR="00DA55F8" w:rsidRPr="00DA55F8">
        <w:rPr>
          <w:rFonts w:ascii="Arial" w:eastAsia="Calibri" w:hAnsi="Arial" w:cs="Arial"/>
          <w:bCs/>
          <w:sz w:val="24"/>
          <w:szCs w:val="24"/>
        </w:rPr>
        <w:t xml:space="preserve">Practice educator arrangements </w:t>
      </w:r>
      <w:r w:rsidR="007F47FD">
        <w:rPr>
          <w:rFonts w:ascii="Arial" w:eastAsia="Calibri" w:hAnsi="Arial" w:cs="Arial"/>
          <w:bCs/>
          <w:sz w:val="24"/>
          <w:szCs w:val="24"/>
        </w:rPr>
        <w:t>vary across</w:t>
      </w:r>
      <w:r w:rsidR="00DA55F8" w:rsidRPr="00DA55F8">
        <w:rPr>
          <w:rFonts w:ascii="Arial" w:eastAsia="Calibri" w:hAnsi="Arial" w:cs="Arial"/>
          <w:bCs/>
          <w:sz w:val="24"/>
          <w:szCs w:val="24"/>
        </w:rPr>
        <w:t xml:space="preserve"> regions, complicating workforce planning.</w:t>
      </w:r>
    </w:p>
    <w:p w14:paraId="15D9C98D" w14:textId="77777777" w:rsidR="00F225F0" w:rsidRPr="00C92ECE" w:rsidRDefault="00F225F0" w:rsidP="00C92ECE">
      <w:pPr>
        <w:pStyle w:val="ListParagraph"/>
        <w:spacing w:after="200" w:line="276" w:lineRule="auto"/>
        <w:rPr>
          <w:rFonts w:ascii="Arial" w:eastAsia="Calibri" w:hAnsi="Arial" w:cs="Arial"/>
          <w:bCs/>
          <w:sz w:val="24"/>
          <w:szCs w:val="24"/>
          <w:highlight w:val="yellow"/>
        </w:rPr>
      </w:pPr>
    </w:p>
    <w:p w14:paraId="6DF94AD7" w14:textId="0E5993BA" w:rsidR="00FB02F2" w:rsidRPr="00862FAC" w:rsidRDefault="00FB02F2" w:rsidP="00660010">
      <w:pPr>
        <w:pStyle w:val="ListParagraph"/>
        <w:numPr>
          <w:ilvl w:val="0"/>
          <w:numId w:val="112"/>
        </w:numPr>
        <w:spacing w:after="200" w:line="276" w:lineRule="auto"/>
        <w:rPr>
          <w:rFonts w:ascii="Arial" w:eastAsia="Calibri" w:hAnsi="Arial" w:cs="Arial"/>
          <w:bCs/>
          <w:sz w:val="24"/>
          <w:szCs w:val="24"/>
        </w:rPr>
      </w:pPr>
      <w:r w:rsidRPr="00862FAC">
        <w:rPr>
          <w:rFonts w:ascii="Arial" w:eastAsia="Calibri" w:hAnsi="Arial" w:cs="Arial"/>
          <w:bCs/>
          <w:sz w:val="24"/>
          <w:szCs w:val="24"/>
        </w:rPr>
        <w:t xml:space="preserve">The </w:t>
      </w:r>
      <w:r w:rsidR="009D00EE" w:rsidRPr="00862FAC">
        <w:rPr>
          <w:rFonts w:ascii="Arial" w:eastAsia="Calibri" w:hAnsi="Arial" w:cs="Arial"/>
          <w:bCs/>
          <w:sz w:val="24"/>
          <w:szCs w:val="24"/>
        </w:rPr>
        <w:t xml:space="preserve">current </w:t>
      </w:r>
      <w:r w:rsidRPr="00862FAC">
        <w:rPr>
          <w:rFonts w:ascii="Arial" w:eastAsia="Calibri" w:hAnsi="Arial" w:cs="Arial"/>
          <w:bCs/>
          <w:sz w:val="24"/>
          <w:szCs w:val="24"/>
        </w:rPr>
        <w:t xml:space="preserve">Social Work Workforce Plan </w:t>
      </w:r>
      <w:r w:rsidR="00A538D4">
        <w:rPr>
          <w:rFonts w:ascii="Arial" w:eastAsia="Calibri" w:hAnsi="Arial" w:cs="Arial"/>
          <w:bCs/>
          <w:sz w:val="24"/>
          <w:szCs w:val="24"/>
        </w:rPr>
        <w:t>ends</w:t>
      </w:r>
      <w:r w:rsidR="009D00EE" w:rsidRPr="00862FAC">
        <w:rPr>
          <w:rFonts w:ascii="Arial" w:eastAsia="Calibri" w:hAnsi="Arial" w:cs="Arial"/>
          <w:bCs/>
          <w:sz w:val="24"/>
          <w:szCs w:val="24"/>
        </w:rPr>
        <w:t xml:space="preserve"> this year</w:t>
      </w:r>
      <w:r w:rsidR="00A538D4">
        <w:rPr>
          <w:rFonts w:ascii="Arial" w:eastAsia="Calibri" w:hAnsi="Arial" w:cs="Arial"/>
          <w:bCs/>
          <w:sz w:val="24"/>
          <w:szCs w:val="24"/>
        </w:rPr>
        <w:t>. To keep it in line</w:t>
      </w:r>
      <w:r w:rsidR="00F75F45">
        <w:rPr>
          <w:rFonts w:ascii="Arial" w:eastAsia="Calibri" w:hAnsi="Arial" w:cs="Arial"/>
          <w:bCs/>
          <w:sz w:val="24"/>
          <w:szCs w:val="24"/>
        </w:rPr>
        <w:t xml:space="preserve"> with</w:t>
      </w:r>
      <w:r w:rsidRPr="00862FAC">
        <w:rPr>
          <w:rFonts w:ascii="Arial" w:eastAsia="Calibri" w:hAnsi="Arial" w:cs="Arial"/>
          <w:bCs/>
          <w:sz w:val="24"/>
          <w:szCs w:val="24"/>
        </w:rPr>
        <w:t xml:space="preserve"> </w:t>
      </w:r>
      <w:r w:rsidR="00A116F5" w:rsidRPr="00862FAC">
        <w:rPr>
          <w:rFonts w:ascii="Arial" w:eastAsia="Calibri" w:hAnsi="Arial" w:cs="Arial"/>
          <w:bCs/>
          <w:sz w:val="24"/>
          <w:szCs w:val="24"/>
        </w:rPr>
        <w:t>the priorities of the social work workforce</w:t>
      </w:r>
      <w:r w:rsidRPr="00862FAC">
        <w:rPr>
          <w:rFonts w:ascii="Arial" w:eastAsia="Calibri" w:hAnsi="Arial" w:cs="Arial"/>
          <w:bCs/>
          <w:sz w:val="24"/>
          <w:szCs w:val="24"/>
        </w:rPr>
        <w:t>, we</w:t>
      </w:r>
      <w:r w:rsidR="00F75F45">
        <w:rPr>
          <w:rFonts w:ascii="Arial" w:eastAsia="Calibri" w:hAnsi="Arial" w:cs="Arial"/>
          <w:bCs/>
          <w:sz w:val="24"/>
          <w:szCs w:val="24"/>
        </w:rPr>
        <w:t>’ll</w:t>
      </w:r>
      <w:r w:rsidR="00261F7D">
        <w:rPr>
          <w:rFonts w:ascii="Arial" w:eastAsia="Calibri" w:hAnsi="Arial" w:cs="Arial"/>
          <w:bCs/>
          <w:sz w:val="24"/>
          <w:szCs w:val="24"/>
        </w:rPr>
        <w:t xml:space="preserve"> start</w:t>
      </w:r>
      <w:r w:rsidRPr="00862FAC">
        <w:rPr>
          <w:rFonts w:ascii="Arial" w:eastAsia="Calibri" w:hAnsi="Arial" w:cs="Arial"/>
          <w:bCs/>
          <w:sz w:val="24"/>
          <w:szCs w:val="24"/>
        </w:rPr>
        <w:t xml:space="preserve"> engaging with stakeholders and the wider social work sector in </w:t>
      </w:r>
      <w:r w:rsidR="00261F7D">
        <w:rPr>
          <w:rFonts w:ascii="Arial" w:eastAsia="Calibri" w:hAnsi="Arial" w:cs="Arial"/>
          <w:bCs/>
          <w:sz w:val="24"/>
          <w:szCs w:val="24"/>
        </w:rPr>
        <w:t>a</w:t>
      </w:r>
      <w:r w:rsidRPr="00862FAC">
        <w:rPr>
          <w:rFonts w:ascii="Arial" w:eastAsia="Calibri" w:hAnsi="Arial" w:cs="Arial"/>
          <w:bCs/>
          <w:sz w:val="24"/>
          <w:szCs w:val="24"/>
        </w:rPr>
        <w:t>utumn/</w:t>
      </w:r>
      <w:r w:rsidR="00261F7D">
        <w:rPr>
          <w:rFonts w:ascii="Arial" w:eastAsia="Calibri" w:hAnsi="Arial" w:cs="Arial"/>
          <w:bCs/>
          <w:sz w:val="24"/>
          <w:szCs w:val="24"/>
        </w:rPr>
        <w:t>w</w:t>
      </w:r>
      <w:r w:rsidRPr="00862FAC">
        <w:rPr>
          <w:rFonts w:ascii="Arial" w:eastAsia="Calibri" w:hAnsi="Arial" w:cs="Arial"/>
          <w:bCs/>
          <w:sz w:val="24"/>
          <w:szCs w:val="24"/>
        </w:rPr>
        <w:t xml:space="preserve">inter 2025 to </w:t>
      </w:r>
      <w:r w:rsidR="006A3434">
        <w:rPr>
          <w:rFonts w:ascii="Arial" w:eastAsia="Calibri" w:hAnsi="Arial" w:cs="Arial"/>
          <w:bCs/>
          <w:sz w:val="24"/>
          <w:szCs w:val="24"/>
        </w:rPr>
        <w:t xml:space="preserve">help shape a </w:t>
      </w:r>
      <w:r w:rsidRPr="00862FAC">
        <w:rPr>
          <w:rFonts w:ascii="Arial" w:eastAsia="Calibri" w:hAnsi="Arial" w:cs="Arial"/>
          <w:bCs/>
          <w:sz w:val="24"/>
          <w:szCs w:val="24"/>
        </w:rPr>
        <w:t xml:space="preserve">refreshed Social Work Delivery Plan. This updated plan will </w:t>
      </w:r>
      <w:r w:rsidR="0041573F">
        <w:rPr>
          <w:rFonts w:ascii="Arial" w:eastAsia="Calibri" w:hAnsi="Arial" w:cs="Arial"/>
          <w:bCs/>
          <w:sz w:val="24"/>
          <w:szCs w:val="24"/>
        </w:rPr>
        <w:t>link to</w:t>
      </w:r>
      <w:r w:rsidRPr="00862FAC">
        <w:rPr>
          <w:rFonts w:ascii="Arial" w:eastAsia="Calibri" w:hAnsi="Arial" w:cs="Arial"/>
          <w:bCs/>
          <w:sz w:val="24"/>
          <w:szCs w:val="24"/>
        </w:rPr>
        <w:t xml:space="preserve"> the broader Social Care Workforce Delivery Plan 2024 to </w:t>
      </w:r>
      <w:r w:rsidR="00426B8A" w:rsidRPr="00862FAC">
        <w:rPr>
          <w:rFonts w:ascii="Arial" w:eastAsia="Calibri" w:hAnsi="Arial" w:cs="Arial"/>
          <w:bCs/>
          <w:sz w:val="24"/>
          <w:szCs w:val="24"/>
        </w:rPr>
        <w:t>2027</w:t>
      </w:r>
      <w:r w:rsidR="00426B8A">
        <w:rPr>
          <w:rFonts w:ascii="Arial" w:eastAsia="Calibri" w:hAnsi="Arial" w:cs="Arial"/>
          <w:bCs/>
          <w:sz w:val="24"/>
          <w:szCs w:val="24"/>
        </w:rPr>
        <w:t xml:space="preserve"> and</w:t>
      </w:r>
      <w:r w:rsidR="00A27749" w:rsidRPr="00862FAC">
        <w:rPr>
          <w:rFonts w:ascii="Arial" w:eastAsia="Calibri" w:hAnsi="Arial" w:cs="Arial"/>
          <w:bCs/>
          <w:sz w:val="24"/>
          <w:szCs w:val="24"/>
        </w:rPr>
        <w:t xml:space="preserve"> will </w:t>
      </w:r>
      <w:r w:rsidRPr="00862FAC">
        <w:rPr>
          <w:rFonts w:ascii="Arial" w:eastAsia="Calibri" w:hAnsi="Arial" w:cs="Arial"/>
          <w:bCs/>
          <w:sz w:val="24"/>
          <w:szCs w:val="24"/>
        </w:rPr>
        <w:t xml:space="preserve">ensure a coordinated and future-focused approach </w:t>
      </w:r>
      <w:r w:rsidR="00C718F5" w:rsidRPr="00862FAC">
        <w:rPr>
          <w:rFonts w:ascii="Arial" w:eastAsia="Calibri" w:hAnsi="Arial" w:cs="Arial"/>
          <w:bCs/>
          <w:sz w:val="24"/>
          <w:szCs w:val="24"/>
        </w:rPr>
        <w:t xml:space="preserve">to </w:t>
      </w:r>
      <w:r w:rsidR="00660010" w:rsidRPr="00862FAC">
        <w:rPr>
          <w:rFonts w:ascii="Arial" w:eastAsia="Calibri" w:hAnsi="Arial" w:cs="Arial"/>
          <w:bCs/>
          <w:sz w:val="24"/>
          <w:szCs w:val="24"/>
        </w:rPr>
        <w:t xml:space="preserve">capturing the </w:t>
      </w:r>
      <w:r w:rsidR="00C718F5" w:rsidRPr="00862FAC">
        <w:rPr>
          <w:rFonts w:ascii="Arial" w:eastAsia="Calibri" w:hAnsi="Arial" w:cs="Arial"/>
          <w:bCs/>
          <w:sz w:val="24"/>
          <w:szCs w:val="24"/>
        </w:rPr>
        <w:t xml:space="preserve">challenges </w:t>
      </w:r>
      <w:r w:rsidR="00944E97" w:rsidRPr="00862FAC">
        <w:rPr>
          <w:rFonts w:ascii="Arial" w:eastAsia="Calibri" w:hAnsi="Arial" w:cs="Arial"/>
          <w:bCs/>
          <w:sz w:val="24"/>
          <w:szCs w:val="24"/>
        </w:rPr>
        <w:t xml:space="preserve">facing the </w:t>
      </w:r>
      <w:r w:rsidRPr="00862FAC">
        <w:rPr>
          <w:rFonts w:ascii="Arial" w:eastAsia="Calibri" w:hAnsi="Arial" w:cs="Arial"/>
          <w:bCs/>
          <w:sz w:val="24"/>
          <w:szCs w:val="24"/>
        </w:rPr>
        <w:t>social work profession</w:t>
      </w:r>
      <w:r w:rsidR="00660010" w:rsidRPr="00862FAC">
        <w:rPr>
          <w:rFonts w:ascii="Arial" w:eastAsia="Calibri" w:hAnsi="Arial" w:cs="Arial"/>
          <w:bCs/>
          <w:sz w:val="24"/>
          <w:szCs w:val="24"/>
        </w:rPr>
        <w:t xml:space="preserve"> and identifying actions to </w:t>
      </w:r>
      <w:r w:rsidR="00EE70A8">
        <w:rPr>
          <w:rFonts w:ascii="Arial" w:eastAsia="Calibri" w:hAnsi="Arial" w:cs="Arial"/>
          <w:bCs/>
          <w:sz w:val="24"/>
          <w:szCs w:val="24"/>
        </w:rPr>
        <w:t>address them</w:t>
      </w:r>
      <w:r w:rsidR="00944E97" w:rsidRPr="00862FAC">
        <w:rPr>
          <w:rFonts w:ascii="Arial" w:eastAsia="Calibri" w:hAnsi="Arial" w:cs="Arial"/>
          <w:bCs/>
          <w:sz w:val="24"/>
          <w:szCs w:val="24"/>
        </w:rPr>
        <w:t>.</w:t>
      </w:r>
    </w:p>
    <w:p w14:paraId="2D5FC628" w14:textId="77777777" w:rsidR="009650F5" w:rsidRPr="00C92ECE" w:rsidRDefault="009650F5" w:rsidP="00C92ECE">
      <w:pPr>
        <w:pStyle w:val="ListParagraph"/>
        <w:rPr>
          <w:rFonts w:ascii="Arial" w:eastAsia="Calibri" w:hAnsi="Arial" w:cs="Arial"/>
          <w:bCs/>
          <w:sz w:val="24"/>
          <w:szCs w:val="24"/>
          <w:highlight w:val="yellow"/>
        </w:rPr>
      </w:pPr>
    </w:p>
    <w:p w14:paraId="4404D252" w14:textId="13ACD6B0" w:rsidR="00AF6892" w:rsidRPr="00D8759F" w:rsidRDefault="00AF6892" w:rsidP="00AF6892">
      <w:pPr>
        <w:numPr>
          <w:ilvl w:val="0"/>
          <w:numId w:val="112"/>
        </w:numPr>
        <w:spacing w:after="0" w:line="276" w:lineRule="auto"/>
        <w:contextualSpacing/>
        <w:rPr>
          <w:rFonts w:ascii="Arial" w:eastAsia="Calibri" w:hAnsi="Arial" w:cs="Arial"/>
          <w:bCs/>
          <w:sz w:val="24"/>
          <w:szCs w:val="24"/>
        </w:rPr>
      </w:pPr>
      <w:r w:rsidRPr="00D8759F">
        <w:rPr>
          <w:rFonts w:ascii="Arial" w:eastAsia="Calibri" w:hAnsi="Arial" w:cs="Arial"/>
          <w:bCs/>
          <w:sz w:val="24"/>
          <w:szCs w:val="24"/>
        </w:rPr>
        <w:lastRenderedPageBreak/>
        <w:t xml:space="preserve">Welsh Government </w:t>
      </w:r>
      <w:r w:rsidR="00E43217">
        <w:rPr>
          <w:rFonts w:ascii="Arial" w:eastAsia="Calibri" w:hAnsi="Arial" w:cs="Arial"/>
          <w:bCs/>
          <w:sz w:val="24"/>
          <w:szCs w:val="24"/>
        </w:rPr>
        <w:t>funds</w:t>
      </w:r>
      <w:r w:rsidRPr="00D8759F">
        <w:rPr>
          <w:rFonts w:ascii="Arial" w:eastAsia="Calibri" w:hAnsi="Arial" w:cs="Arial"/>
          <w:bCs/>
          <w:sz w:val="24"/>
          <w:szCs w:val="24"/>
        </w:rPr>
        <w:t xml:space="preserve"> the Social Work Bursary Scheme (SWBS). It sets the policy, de</w:t>
      </w:r>
      <w:r w:rsidR="008A3093">
        <w:rPr>
          <w:rFonts w:ascii="Arial" w:eastAsia="Calibri" w:hAnsi="Arial" w:cs="Arial"/>
          <w:bCs/>
          <w:sz w:val="24"/>
          <w:szCs w:val="24"/>
        </w:rPr>
        <w:t xml:space="preserve">cides on </w:t>
      </w:r>
      <w:r w:rsidR="00426B8A">
        <w:rPr>
          <w:rFonts w:ascii="Arial" w:eastAsia="Calibri" w:hAnsi="Arial" w:cs="Arial"/>
          <w:bCs/>
          <w:sz w:val="24"/>
          <w:szCs w:val="24"/>
        </w:rPr>
        <w:t xml:space="preserve">the </w:t>
      </w:r>
      <w:r w:rsidR="00426B8A" w:rsidRPr="00D8759F">
        <w:rPr>
          <w:rFonts w:ascii="Arial" w:eastAsia="Calibri" w:hAnsi="Arial" w:cs="Arial"/>
          <w:bCs/>
          <w:sz w:val="24"/>
          <w:szCs w:val="24"/>
        </w:rPr>
        <w:t>budget</w:t>
      </w:r>
      <w:r w:rsidRPr="00D8759F">
        <w:rPr>
          <w:rFonts w:ascii="Arial" w:eastAsia="Calibri" w:hAnsi="Arial" w:cs="Arial"/>
          <w:bCs/>
          <w:sz w:val="24"/>
          <w:szCs w:val="24"/>
        </w:rPr>
        <w:t>, and holds the legal authority to award</w:t>
      </w:r>
      <w:r w:rsidR="00CC17FA">
        <w:rPr>
          <w:rFonts w:ascii="Arial" w:eastAsia="Calibri" w:hAnsi="Arial" w:cs="Arial"/>
          <w:bCs/>
          <w:sz w:val="24"/>
          <w:szCs w:val="24"/>
        </w:rPr>
        <w:t xml:space="preserve"> funding</w:t>
      </w:r>
      <w:r w:rsidRPr="00D8759F">
        <w:rPr>
          <w:rFonts w:ascii="Arial" w:eastAsia="Calibri" w:hAnsi="Arial" w:cs="Arial"/>
          <w:bCs/>
          <w:sz w:val="24"/>
          <w:szCs w:val="24"/>
        </w:rPr>
        <w:t xml:space="preserve"> under the Regulation and Inspection of Social Care (Wales) Act 2016. Social Care Wales </w:t>
      </w:r>
      <w:r w:rsidR="00CC17FA">
        <w:rPr>
          <w:rFonts w:ascii="Arial" w:eastAsia="Calibri" w:hAnsi="Arial" w:cs="Arial"/>
          <w:bCs/>
          <w:sz w:val="24"/>
          <w:szCs w:val="24"/>
        </w:rPr>
        <w:t xml:space="preserve">runs and </w:t>
      </w:r>
      <w:r w:rsidRPr="00D8759F">
        <w:rPr>
          <w:rFonts w:ascii="Arial" w:eastAsia="Calibri" w:hAnsi="Arial" w:cs="Arial"/>
          <w:bCs/>
          <w:sz w:val="24"/>
          <w:szCs w:val="24"/>
        </w:rPr>
        <w:t xml:space="preserve">manages the </w:t>
      </w:r>
      <w:r w:rsidR="00CC17FA">
        <w:rPr>
          <w:rFonts w:ascii="Arial" w:eastAsia="Calibri" w:hAnsi="Arial" w:cs="Arial"/>
          <w:bCs/>
          <w:sz w:val="24"/>
          <w:szCs w:val="24"/>
        </w:rPr>
        <w:t>scheme</w:t>
      </w:r>
      <w:r w:rsidRPr="00D8759F">
        <w:rPr>
          <w:rFonts w:ascii="Arial" w:eastAsia="Calibri" w:hAnsi="Arial" w:cs="Arial"/>
          <w:bCs/>
          <w:sz w:val="24"/>
          <w:szCs w:val="24"/>
        </w:rPr>
        <w:t xml:space="preserve"> on behalf of Welsh Government.</w:t>
      </w:r>
    </w:p>
    <w:p w14:paraId="080560D2" w14:textId="77777777" w:rsidR="00AF6892" w:rsidRPr="00D8759F" w:rsidRDefault="00AF6892" w:rsidP="00AF6892">
      <w:pPr>
        <w:pStyle w:val="ListParagraph"/>
        <w:rPr>
          <w:rFonts w:ascii="Arial" w:eastAsia="Calibri" w:hAnsi="Arial" w:cs="Arial"/>
          <w:bCs/>
          <w:sz w:val="24"/>
          <w:szCs w:val="24"/>
        </w:rPr>
      </w:pPr>
    </w:p>
    <w:p w14:paraId="3A3D6B93" w14:textId="000678CF" w:rsidR="00AF6892" w:rsidRPr="00653B59" w:rsidRDefault="00A0042F" w:rsidP="009374D0">
      <w:pPr>
        <w:numPr>
          <w:ilvl w:val="0"/>
          <w:numId w:val="112"/>
        </w:numPr>
        <w:spacing w:after="0" w:line="276" w:lineRule="auto"/>
        <w:contextualSpacing/>
        <w:rPr>
          <w:rFonts w:ascii="Arial" w:eastAsia="Calibri" w:hAnsi="Arial" w:cs="Arial"/>
          <w:bCs/>
          <w:sz w:val="24"/>
          <w:szCs w:val="24"/>
        </w:rPr>
      </w:pPr>
      <w:r w:rsidRPr="00653B59">
        <w:rPr>
          <w:rFonts w:ascii="Arial" w:eastAsia="Calibri" w:hAnsi="Arial" w:cs="Arial"/>
          <w:bCs/>
          <w:sz w:val="24"/>
          <w:szCs w:val="24"/>
        </w:rPr>
        <w:t xml:space="preserve">Bursary fee levels are </w:t>
      </w:r>
      <w:r w:rsidR="00653B59" w:rsidRPr="00653B59">
        <w:rPr>
          <w:rFonts w:ascii="Arial" w:eastAsia="Calibri" w:hAnsi="Arial" w:cs="Arial"/>
          <w:bCs/>
          <w:sz w:val="24"/>
          <w:szCs w:val="24"/>
        </w:rPr>
        <w:t xml:space="preserve">agreed </w:t>
      </w:r>
      <w:r w:rsidR="005515B0">
        <w:rPr>
          <w:rFonts w:ascii="Arial" w:eastAsia="Calibri" w:hAnsi="Arial" w:cs="Arial"/>
          <w:bCs/>
          <w:sz w:val="24"/>
          <w:szCs w:val="24"/>
        </w:rPr>
        <w:t xml:space="preserve">each year </w:t>
      </w:r>
      <w:r w:rsidR="00653B59" w:rsidRPr="00653B59">
        <w:rPr>
          <w:rFonts w:ascii="Arial" w:eastAsia="Calibri" w:hAnsi="Arial" w:cs="Arial"/>
          <w:bCs/>
          <w:sz w:val="24"/>
          <w:szCs w:val="24"/>
        </w:rPr>
        <w:t>by the Welsh Government</w:t>
      </w:r>
      <w:r w:rsidR="0009462D">
        <w:rPr>
          <w:rFonts w:ascii="Arial" w:eastAsia="Calibri" w:hAnsi="Arial" w:cs="Arial"/>
          <w:bCs/>
          <w:sz w:val="24"/>
          <w:szCs w:val="24"/>
        </w:rPr>
        <w:t>.</w:t>
      </w:r>
      <w:r w:rsidR="00653B59" w:rsidRPr="00653B59">
        <w:rPr>
          <w:rFonts w:ascii="Arial" w:eastAsia="Calibri" w:hAnsi="Arial" w:cs="Arial"/>
          <w:bCs/>
          <w:sz w:val="24"/>
          <w:szCs w:val="24"/>
        </w:rPr>
        <w:t xml:space="preserve"> </w:t>
      </w:r>
      <w:r w:rsidR="0009462D">
        <w:rPr>
          <w:rFonts w:ascii="Arial" w:eastAsia="Calibri" w:hAnsi="Arial" w:cs="Arial"/>
          <w:bCs/>
          <w:sz w:val="24"/>
          <w:szCs w:val="24"/>
        </w:rPr>
        <w:t>T</w:t>
      </w:r>
      <w:r w:rsidR="00AF6892" w:rsidRPr="00653B59">
        <w:rPr>
          <w:rFonts w:ascii="Arial" w:eastAsia="Calibri" w:hAnsi="Arial" w:cs="Arial"/>
          <w:bCs/>
          <w:sz w:val="24"/>
          <w:szCs w:val="24"/>
        </w:rPr>
        <w:t xml:space="preserve">hrough ongoing engagement with the social work sector, we </w:t>
      </w:r>
      <w:r w:rsidR="0009462D">
        <w:rPr>
          <w:rFonts w:ascii="Arial" w:eastAsia="Calibri" w:hAnsi="Arial" w:cs="Arial"/>
          <w:bCs/>
          <w:sz w:val="24"/>
          <w:szCs w:val="24"/>
        </w:rPr>
        <w:t>collect</w:t>
      </w:r>
      <w:r w:rsidR="00AF6892" w:rsidRPr="00653B59">
        <w:rPr>
          <w:rFonts w:ascii="Arial" w:eastAsia="Calibri" w:hAnsi="Arial" w:cs="Arial"/>
          <w:bCs/>
          <w:sz w:val="24"/>
          <w:szCs w:val="24"/>
        </w:rPr>
        <w:t xml:space="preserve"> and share feedback on bursary levels and related funding issues. This includes highlighting </w:t>
      </w:r>
      <w:r w:rsidR="006F54A3">
        <w:rPr>
          <w:rFonts w:ascii="Arial" w:eastAsia="Calibri" w:hAnsi="Arial" w:cs="Arial"/>
          <w:bCs/>
          <w:sz w:val="24"/>
          <w:szCs w:val="24"/>
        </w:rPr>
        <w:t>how</w:t>
      </w:r>
      <w:r w:rsidR="00AF6892" w:rsidRPr="00653B59">
        <w:rPr>
          <w:rFonts w:ascii="Arial" w:eastAsia="Calibri" w:hAnsi="Arial" w:cs="Arial"/>
          <w:bCs/>
          <w:sz w:val="24"/>
          <w:szCs w:val="24"/>
        </w:rPr>
        <w:t xml:space="preserve"> current funding arrangements </w:t>
      </w:r>
      <w:r w:rsidR="00EF0BE1">
        <w:rPr>
          <w:rFonts w:ascii="Arial" w:eastAsia="Calibri" w:hAnsi="Arial" w:cs="Arial"/>
          <w:bCs/>
          <w:sz w:val="24"/>
          <w:szCs w:val="24"/>
        </w:rPr>
        <w:t>might affect</w:t>
      </w:r>
      <w:r w:rsidR="00AF6892" w:rsidRPr="00653B59">
        <w:rPr>
          <w:rFonts w:ascii="Arial" w:eastAsia="Calibri" w:hAnsi="Arial" w:cs="Arial"/>
          <w:bCs/>
          <w:sz w:val="24"/>
          <w:szCs w:val="24"/>
        </w:rPr>
        <w:t xml:space="preserve"> recruit</w:t>
      </w:r>
      <w:r w:rsidR="00296099">
        <w:rPr>
          <w:rFonts w:ascii="Arial" w:eastAsia="Calibri" w:hAnsi="Arial" w:cs="Arial"/>
          <w:bCs/>
          <w:sz w:val="24"/>
          <w:szCs w:val="24"/>
        </w:rPr>
        <w:t>ing</w:t>
      </w:r>
      <w:r w:rsidR="00AF6892" w:rsidRPr="00653B59">
        <w:rPr>
          <w:rFonts w:ascii="Arial" w:eastAsia="Calibri" w:hAnsi="Arial" w:cs="Arial"/>
          <w:bCs/>
          <w:sz w:val="24"/>
          <w:szCs w:val="24"/>
        </w:rPr>
        <w:t xml:space="preserve"> and </w:t>
      </w:r>
      <w:r w:rsidR="00296099">
        <w:rPr>
          <w:rFonts w:ascii="Arial" w:eastAsia="Calibri" w:hAnsi="Arial" w:cs="Arial"/>
          <w:bCs/>
          <w:sz w:val="24"/>
          <w:szCs w:val="24"/>
        </w:rPr>
        <w:t>keeping</w:t>
      </w:r>
      <w:r w:rsidR="00AF6892" w:rsidRPr="00653B59">
        <w:rPr>
          <w:rFonts w:ascii="Arial" w:eastAsia="Calibri" w:hAnsi="Arial" w:cs="Arial"/>
          <w:bCs/>
          <w:sz w:val="24"/>
          <w:szCs w:val="24"/>
        </w:rPr>
        <w:t xml:space="preserve"> social work students. All feedback is </w:t>
      </w:r>
      <w:r w:rsidR="00296099">
        <w:rPr>
          <w:rFonts w:ascii="Arial" w:eastAsia="Calibri" w:hAnsi="Arial" w:cs="Arial"/>
          <w:bCs/>
          <w:sz w:val="24"/>
          <w:szCs w:val="24"/>
        </w:rPr>
        <w:t>passed</w:t>
      </w:r>
      <w:r w:rsidR="00AF6892" w:rsidRPr="00653B59">
        <w:rPr>
          <w:rFonts w:ascii="Arial" w:eastAsia="Calibri" w:hAnsi="Arial" w:cs="Arial"/>
          <w:bCs/>
          <w:sz w:val="24"/>
          <w:szCs w:val="24"/>
        </w:rPr>
        <w:t xml:space="preserve"> to Welsh Government to </w:t>
      </w:r>
      <w:r w:rsidR="003E3480">
        <w:rPr>
          <w:rFonts w:ascii="Arial" w:eastAsia="Calibri" w:hAnsi="Arial" w:cs="Arial"/>
          <w:bCs/>
          <w:sz w:val="24"/>
          <w:szCs w:val="24"/>
        </w:rPr>
        <w:t>help shape</w:t>
      </w:r>
      <w:r w:rsidR="00AF6892" w:rsidRPr="00653B59">
        <w:rPr>
          <w:rFonts w:ascii="Arial" w:eastAsia="Calibri" w:hAnsi="Arial" w:cs="Arial"/>
          <w:bCs/>
          <w:sz w:val="24"/>
          <w:szCs w:val="24"/>
        </w:rPr>
        <w:t xml:space="preserve"> future policy decisions. </w:t>
      </w:r>
    </w:p>
    <w:p w14:paraId="0EE4B237" w14:textId="77777777" w:rsidR="00653B59" w:rsidRDefault="00653B59" w:rsidP="009374D0">
      <w:pPr>
        <w:pStyle w:val="ListParagraph"/>
        <w:spacing w:after="200" w:line="276" w:lineRule="auto"/>
        <w:rPr>
          <w:rFonts w:ascii="Arial" w:eastAsia="Calibri" w:hAnsi="Arial" w:cs="Arial"/>
          <w:bCs/>
          <w:sz w:val="24"/>
          <w:szCs w:val="24"/>
        </w:rPr>
      </w:pPr>
    </w:p>
    <w:p w14:paraId="056AC40A" w14:textId="478B7BDA" w:rsidR="00391EDD" w:rsidRPr="00BB471B" w:rsidRDefault="00244C05" w:rsidP="00BB471B">
      <w:pPr>
        <w:pStyle w:val="ListParagraph"/>
        <w:numPr>
          <w:ilvl w:val="0"/>
          <w:numId w:val="112"/>
        </w:numPr>
        <w:spacing w:after="200" w:line="276" w:lineRule="auto"/>
        <w:rPr>
          <w:rFonts w:ascii="Arial" w:eastAsia="Calibri" w:hAnsi="Arial" w:cs="Arial"/>
          <w:bCs/>
          <w:sz w:val="24"/>
          <w:szCs w:val="24"/>
        </w:rPr>
      </w:pPr>
      <w:r w:rsidRPr="004035B4">
        <w:rPr>
          <w:rFonts w:ascii="Arial" w:eastAsia="Calibri" w:hAnsi="Arial" w:cs="Arial"/>
          <w:bCs/>
          <w:sz w:val="24"/>
          <w:szCs w:val="24"/>
        </w:rPr>
        <w:t>We’re reviewing</w:t>
      </w:r>
      <w:r w:rsidR="009650F5" w:rsidRPr="004035B4">
        <w:rPr>
          <w:rFonts w:ascii="Arial" w:eastAsia="Calibri" w:hAnsi="Arial" w:cs="Arial"/>
          <w:bCs/>
          <w:sz w:val="24"/>
          <w:szCs w:val="24"/>
        </w:rPr>
        <w:t xml:space="preserve"> social work </w:t>
      </w:r>
      <w:r w:rsidR="00426B8A" w:rsidRPr="004035B4">
        <w:rPr>
          <w:rFonts w:ascii="Arial" w:eastAsia="Calibri" w:hAnsi="Arial" w:cs="Arial"/>
          <w:bCs/>
          <w:sz w:val="24"/>
          <w:szCs w:val="24"/>
        </w:rPr>
        <w:t>education,</w:t>
      </w:r>
      <w:r w:rsidR="009650F5" w:rsidRPr="004035B4">
        <w:rPr>
          <w:rFonts w:ascii="Arial" w:eastAsia="Calibri" w:hAnsi="Arial" w:cs="Arial"/>
          <w:bCs/>
          <w:sz w:val="24"/>
          <w:szCs w:val="24"/>
        </w:rPr>
        <w:t xml:space="preserve"> to help develop a more sustainable and inclusive </w:t>
      </w:r>
      <w:r w:rsidR="003B7BA9" w:rsidRPr="004035B4">
        <w:rPr>
          <w:rFonts w:ascii="Arial" w:eastAsia="Calibri" w:hAnsi="Arial" w:cs="Arial"/>
          <w:bCs/>
          <w:sz w:val="24"/>
          <w:szCs w:val="24"/>
        </w:rPr>
        <w:t xml:space="preserve">model </w:t>
      </w:r>
      <w:r w:rsidR="009650F5" w:rsidRPr="004035B4">
        <w:rPr>
          <w:rFonts w:ascii="Arial" w:eastAsia="Calibri" w:hAnsi="Arial" w:cs="Arial"/>
          <w:bCs/>
          <w:sz w:val="24"/>
          <w:szCs w:val="24"/>
        </w:rPr>
        <w:t xml:space="preserve">in Wales. The review </w:t>
      </w:r>
      <w:r w:rsidR="00426B8A" w:rsidRPr="004035B4">
        <w:rPr>
          <w:rFonts w:ascii="Arial" w:eastAsia="Calibri" w:hAnsi="Arial" w:cs="Arial"/>
          <w:bCs/>
          <w:sz w:val="24"/>
          <w:szCs w:val="24"/>
        </w:rPr>
        <w:t>responds to</w:t>
      </w:r>
      <w:r w:rsidR="009650F5" w:rsidRPr="004035B4">
        <w:rPr>
          <w:rFonts w:ascii="Arial" w:eastAsia="Calibri" w:hAnsi="Arial" w:cs="Arial"/>
          <w:bCs/>
          <w:sz w:val="24"/>
          <w:szCs w:val="24"/>
        </w:rPr>
        <w:t xml:space="preserve"> a long-term challenge with low </w:t>
      </w:r>
      <w:r w:rsidR="00F24B0C" w:rsidRPr="004035B4">
        <w:rPr>
          <w:rFonts w:ascii="Arial" w:eastAsia="Calibri" w:hAnsi="Arial" w:cs="Arial"/>
          <w:bCs/>
          <w:sz w:val="24"/>
          <w:szCs w:val="24"/>
        </w:rPr>
        <w:t>number</w:t>
      </w:r>
      <w:r w:rsidR="002974F6" w:rsidRPr="004035B4">
        <w:rPr>
          <w:rFonts w:ascii="Arial" w:eastAsia="Calibri" w:hAnsi="Arial" w:cs="Arial"/>
          <w:bCs/>
          <w:sz w:val="24"/>
          <w:szCs w:val="24"/>
        </w:rPr>
        <w:t xml:space="preserve">s of </w:t>
      </w:r>
      <w:r w:rsidR="009650F5" w:rsidRPr="004035B4">
        <w:rPr>
          <w:rFonts w:ascii="Arial" w:eastAsia="Calibri" w:hAnsi="Arial" w:cs="Arial"/>
          <w:bCs/>
          <w:sz w:val="24"/>
          <w:szCs w:val="24"/>
        </w:rPr>
        <w:t xml:space="preserve">direct-entry applications </w:t>
      </w:r>
      <w:r w:rsidR="007163BD" w:rsidRPr="004035B4">
        <w:rPr>
          <w:rFonts w:ascii="Arial" w:eastAsia="Calibri" w:hAnsi="Arial" w:cs="Arial"/>
          <w:bCs/>
          <w:sz w:val="24"/>
          <w:szCs w:val="24"/>
        </w:rPr>
        <w:t>for</w:t>
      </w:r>
      <w:r w:rsidR="009650F5" w:rsidRPr="004035B4">
        <w:rPr>
          <w:rFonts w:ascii="Arial" w:eastAsia="Calibri" w:hAnsi="Arial" w:cs="Arial"/>
          <w:bCs/>
          <w:sz w:val="24"/>
          <w:szCs w:val="24"/>
        </w:rPr>
        <w:t xml:space="preserve"> under-and post-graduate social work degrees, and concerns about workforce stability. It will </w:t>
      </w:r>
      <w:r w:rsidR="007163BD" w:rsidRPr="004035B4">
        <w:rPr>
          <w:rFonts w:ascii="Arial" w:eastAsia="Calibri" w:hAnsi="Arial" w:cs="Arial"/>
          <w:bCs/>
          <w:sz w:val="24"/>
          <w:szCs w:val="24"/>
        </w:rPr>
        <w:t>look at</w:t>
      </w:r>
      <w:r w:rsidR="009650F5" w:rsidRPr="004035B4">
        <w:rPr>
          <w:rFonts w:ascii="Arial" w:eastAsia="Calibri" w:hAnsi="Arial" w:cs="Arial"/>
          <w:bCs/>
          <w:sz w:val="24"/>
          <w:szCs w:val="24"/>
        </w:rPr>
        <w:t xml:space="preserve"> challenges such as limited study routes, financial barriers, and public perceptions and explore alternative education models through a three-stage process: reviewing existing evidence, engaging stakeholders to identify and evaluate options, and implementing a preferred approach. The goal is to increase student numbers, improve diversity, and maintain high standards in social work education to meet the </w:t>
      </w:r>
      <w:r w:rsidR="004035B4" w:rsidRPr="004035B4">
        <w:rPr>
          <w:rFonts w:ascii="Arial" w:eastAsia="Calibri" w:hAnsi="Arial" w:cs="Arial"/>
          <w:bCs/>
          <w:sz w:val="24"/>
          <w:szCs w:val="24"/>
        </w:rPr>
        <w:t xml:space="preserve">sector’s </w:t>
      </w:r>
      <w:r w:rsidR="009650F5" w:rsidRPr="004035B4">
        <w:rPr>
          <w:rFonts w:ascii="Arial" w:eastAsia="Calibri" w:hAnsi="Arial" w:cs="Arial"/>
          <w:bCs/>
          <w:sz w:val="24"/>
          <w:szCs w:val="24"/>
        </w:rPr>
        <w:t>future needs</w:t>
      </w:r>
      <w:r w:rsidR="004035B4" w:rsidRPr="004035B4">
        <w:rPr>
          <w:rFonts w:ascii="Arial" w:eastAsia="Calibri" w:hAnsi="Arial" w:cs="Arial"/>
          <w:bCs/>
          <w:sz w:val="24"/>
          <w:szCs w:val="24"/>
        </w:rPr>
        <w:t>.</w:t>
      </w:r>
    </w:p>
    <w:p w14:paraId="1F63F7FD" w14:textId="7F86568A" w:rsidR="00391EDD" w:rsidRPr="00D8759F" w:rsidRDefault="00391EDD" w:rsidP="00391EDD">
      <w:pPr>
        <w:numPr>
          <w:ilvl w:val="0"/>
          <w:numId w:val="112"/>
        </w:numPr>
        <w:spacing w:after="0" w:line="276" w:lineRule="auto"/>
        <w:contextualSpacing/>
        <w:rPr>
          <w:rFonts w:ascii="Arial" w:eastAsia="Calibri" w:hAnsi="Arial" w:cs="Arial"/>
          <w:bCs/>
          <w:sz w:val="24"/>
          <w:szCs w:val="24"/>
        </w:rPr>
      </w:pPr>
      <w:r w:rsidRPr="00D8759F">
        <w:rPr>
          <w:rFonts w:ascii="Arial" w:eastAsia="Calibri" w:hAnsi="Arial" w:cs="Arial"/>
          <w:bCs/>
          <w:sz w:val="24"/>
          <w:szCs w:val="24"/>
        </w:rPr>
        <w:t xml:space="preserve">To </w:t>
      </w:r>
      <w:r w:rsidR="00756D0A">
        <w:rPr>
          <w:rFonts w:ascii="Arial" w:eastAsia="Calibri" w:hAnsi="Arial" w:cs="Arial"/>
          <w:bCs/>
          <w:sz w:val="24"/>
          <w:szCs w:val="24"/>
        </w:rPr>
        <w:t>better</w:t>
      </w:r>
      <w:r w:rsidRPr="00D8759F">
        <w:rPr>
          <w:rFonts w:ascii="Arial" w:eastAsia="Calibri" w:hAnsi="Arial" w:cs="Arial"/>
          <w:bCs/>
          <w:sz w:val="24"/>
          <w:szCs w:val="24"/>
        </w:rPr>
        <w:t xml:space="preserve"> understand</w:t>
      </w:r>
      <w:r w:rsidR="00756D0A">
        <w:rPr>
          <w:rFonts w:ascii="Arial" w:eastAsia="Calibri" w:hAnsi="Arial" w:cs="Arial"/>
          <w:bCs/>
          <w:sz w:val="24"/>
          <w:szCs w:val="24"/>
        </w:rPr>
        <w:t xml:space="preserve"> </w:t>
      </w:r>
      <w:r w:rsidRPr="00D8759F">
        <w:rPr>
          <w:rFonts w:ascii="Arial" w:eastAsia="Calibri" w:hAnsi="Arial" w:cs="Arial"/>
          <w:bCs/>
          <w:sz w:val="24"/>
          <w:szCs w:val="24"/>
        </w:rPr>
        <w:t>the current practice education landscape, we</w:t>
      </w:r>
      <w:r w:rsidR="00736924">
        <w:rPr>
          <w:rFonts w:ascii="Arial" w:eastAsia="Calibri" w:hAnsi="Arial" w:cs="Arial"/>
          <w:bCs/>
          <w:sz w:val="24"/>
          <w:szCs w:val="24"/>
        </w:rPr>
        <w:t>’</w:t>
      </w:r>
      <w:r w:rsidRPr="00D8759F">
        <w:rPr>
          <w:rFonts w:ascii="Arial" w:eastAsia="Calibri" w:hAnsi="Arial" w:cs="Arial"/>
          <w:bCs/>
          <w:sz w:val="24"/>
          <w:szCs w:val="24"/>
        </w:rPr>
        <w:t xml:space="preserve">ll work with an external provider in 2025 to </w:t>
      </w:r>
      <w:r w:rsidR="007408C1">
        <w:rPr>
          <w:rFonts w:ascii="Arial" w:eastAsia="Calibri" w:hAnsi="Arial" w:cs="Arial"/>
          <w:bCs/>
          <w:sz w:val="24"/>
          <w:szCs w:val="24"/>
        </w:rPr>
        <w:t>create and share</w:t>
      </w:r>
      <w:r w:rsidRPr="00D8759F">
        <w:rPr>
          <w:rFonts w:ascii="Arial" w:eastAsia="Calibri" w:hAnsi="Arial" w:cs="Arial"/>
          <w:bCs/>
          <w:sz w:val="24"/>
          <w:szCs w:val="24"/>
        </w:rPr>
        <w:t xml:space="preserve"> a survey targeting both practice educators and employers. The </w:t>
      </w:r>
      <w:r w:rsidR="007408C1">
        <w:rPr>
          <w:rFonts w:ascii="Arial" w:eastAsia="Calibri" w:hAnsi="Arial" w:cs="Arial"/>
          <w:bCs/>
          <w:sz w:val="24"/>
          <w:szCs w:val="24"/>
        </w:rPr>
        <w:t>results</w:t>
      </w:r>
      <w:r w:rsidRPr="00D8759F">
        <w:rPr>
          <w:rFonts w:ascii="Arial" w:eastAsia="Calibri" w:hAnsi="Arial" w:cs="Arial"/>
          <w:bCs/>
          <w:sz w:val="24"/>
          <w:szCs w:val="24"/>
        </w:rPr>
        <w:t xml:space="preserve"> will </w:t>
      </w:r>
      <w:r w:rsidR="007408C1">
        <w:rPr>
          <w:rFonts w:ascii="Arial" w:eastAsia="Calibri" w:hAnsi="Arial" w:cs="Arial"/>
          <w:bCs/>
          <w:sz w:val="24"/>
          <w:szCs w:val="24"/>
        </w:rPr>
        <w:t>guide</w:t>
      </w:r>
      <w:r w:rsidRPr="00D8759F">
        <w:rPr>
          <w:rFonts w:ascii="Arial" w:eastAsia="Calibri" w:hAnsi="Arial" w:cs="Arial"/>
          <w:bCs/>
          <w:sz w:val="24"/>
          <w:szCs w:val="24"/>
        </w:rPr>
        <w:t xml:space="preserve"> future planning and support, with a report </w:t>
      </w:r>
      <w:r w:rsidR="00F64D14">
        <w:rPr>
          <w:rFonts w:ascii="Arial" w:eastAsia="Calibri" w:hAnsi="Arial" w:cs="Arial"/>
          <w:bCs/>
          <w:sz w:val="24"/>
          <w:szCs w:val="24"/>
        </w:rPr>
        <w:t xml:space="preserve">expected </w:t>
      </w:r>
      <w:r w:rsidRPr="00D8759F">
        <w:rPr>
          <w:rFonts w:ascii="Arial" w:eastAsia="Calibri" w:hAnsi="Arial" w:cs="Arial"/>
          <w:bCs/>
          <w:sz w:val="24"/>
          <w:szCs w:val="24"/>
        </w:rPr>
        <w:t>in early 2026.</w:t>
      </w:r>
    </w:p>
    <w:p w14:paraId="12ABCA66" w14:textId="77777777" w:rsidR="00BA109F" w:rsidRPr="00BA109F" w:rsidRDefault="00BA109F" w:rsidP="00C92ECE"/>
    <w:p w14:paraId="49EFDDE9" w14:textId="54EA1674" w:rsidR="00121968" w:rsidRPr="005C6D09" w:rsidRDefault="00A63103" w:rsidP="00724796">
      <w:pPr>
        <w:pStyle w:val="Heading3"/>
      </w:pPr>
      <w:bookmarkStart w:id="64" w:name="_Toc210987790"/>
      <w:bookmarkStart w:id="65" w:name="_Toc211279643"/>
      <w:r w:rsidRPr="005C6D09">
        <w:t>A full</w:t>
      </w:r>
      <w:r w:rsidR="00957465" w:rsidRPr="005C6D09">
        <w:t>er</w:t>
      </w:r>
      <w:r w:rsidRPr="005C6D09">
        <w:t xml:space="preserve"> picture of social care workforce development</w:t>
      </w:r>
      <w:bookmarkEnd w:id="64"/>
      <w:bookmarkEnd w:id="65"/>
      <w:r w:rsidRPr="005C6D09">
        <w:t xml:space="preserve"> </w:t>
      </w:r>
    </w:p>
    <w:p w14:paraId="1169E0E3" w14:textId="29807183" w:rsidR="00A63103" w:rsidRPr="005C6D09" w:rsidRDefault="00A63103" w:rsidP="002D1B1F">
      <w:pPr>
        <w:spacing w:after="0" w:line="240" w:lineRule="auto"/>
        <w:rPr>
          <w:rFonts w:ascii="Arial" w:hAnsi="Arial" w:cs="Arial"/>
        </w:rPr>
      </w:pPr>
    </w:p>
    <w:p w14:paraId="1F64F64E" w14:textId="27493336" w:rsidR="006D45A0" w:rsidRPr="00C92ECE" w:rsidRDefault="006D45A0" w:rsidP="0019368B">
      <w:pPr>
        <w:pStyle w:val="ListParagraph"/>
        <w:numPr>
          <w:ilvl w:val="0"/>
          <w:numId w:val="7"/>
        </w:numPr>
        <w:spacing w:afterLines="200" w:after="480" w:line="276" w:lineRule="auto"/>
        <w:rPr>
          <w:rFonts w:asciiTheme="minorBidi" w:eastAsia="Calibri" w:hAnsiTheme="minorBidi"/>
          <w:sz w:val="24"/>
          <w:szCs w:val="24"/>
        </w:rPr>
      </w:pPr>
      <w:r w:rsidRPr="00C92ECE">
        <w:rPr>
          <w:rFonts w:asciiTheme="minorBidi" w:eastAsia="Calibri" w:hAnsiTheme="minorBidi"/>
          <w:sz w:val="24"/>
          <w:szCs w:val="24"/>
        </w:rPr>
        <w:t xml:space="preserve">In 2024 to 2025, Welsh Government gave a £45m social care and workforce grant to local authorities. </w:t>
      </w:r>
      <w:r w:rsidR="009A6697" w:rsidRPr="009A6697">
        <w:rPr>
          <w:rFonts w:asciiTheme="minorBidi" w:eastAsia="Calibri" w:hAnsiTheme="minorBidi"/>
          <w:sz w:val="24"/>
          <w:szCs w:val="24"/>
        </w:rPr>
        <w:t>However, activities funded through this grant are not captured in SCWWDP reporting.</w:t>
      </w:r>
      <w:r w:rsidRPr="00C92ECE">
        <w:rPr>
          <w:rFonts w:asciiTheme="minorBidi" w:eastAsia="Calibri" w:hAnsiTheme="minorBidi"/>
          <w:sz w:val="24"/>
          <w:szCs w:val="24"/>
        </w:rPr>
        <w:t xml:space="preserve"> </w:t>
      </w:r>
      <w:r w:rsidR="00D42179" w:rsidRPr="00D42179">
        <w:rPr>
          <w:rFonts w:asciiTheme="minorBidi" w:eastAsia="Calibri" w:hAnsiTheme="minorBidi"/>
          <w:sz w:val="24"/>
          <w:szCs w:val="24"/>
        </w:rPr>
        <w:t>We</w:t>
      </w:r>
      <w:r w:rsidR="00012DCA">
        <w:rPr>
          <w:rFonts w:asciiTheme="minorBidi" w:eastAsia="Calibri" w:hAnsiTheme="minorBidi"/>
          <w:sz w:val="24"/>
          <w:szCs w:val="24"/>
        </w:rPr>
        <w:t>’ve</w:t>
      </w:r>
      <w:r w:rsidR="00D42179" w:rsidRPr="00D42179">
        <w:rPr>
          <w:rFonts w:asciiTheme="minorBidi" w:eastAsia="Calibri" w:hAnsiTheme="minorBidi"/>
          <w:sz w:val="24"/>
          <w:szCs w:val="24"/>
        </w:rPr>
        <w:t xml:space="preserve"> </w:t>
      </w:r>
      <w:r w:rsidR="00733190">
        <w:rPr>
          <w:rFonts w:asciiTheme="minorBidi" w:eastAsia="Calibri" w:hAnsiTheme="minorBidi"/>
          <w:sz w:val="24"/>
          <w:szCs w:val="24"/>
        </w:rPr>
        <w:t>started</w:t>
      </w:r>
      <w:r w:rsidR="00733190" w:rsidRPr="00D42179">
        <w:rPr>
          <w:rFonts w:asciiTheme="minorBidi" w:eastAsia="Calibri" w:hAnsiTheme="minorBidi"/>
          <w:sz w:val="24"/>
          <w:szCs w:val="24"/>
        </w:rPr>
        <w:t xml:space="preserve"> </w:t>
      </w:r>
      <w:r w:rsidR="00D42179" w:rsidRPr="00D42179">
        <w:rPr>
          <w:rFonts w:asciiTheme="minorBidi" w:eastAsia="Calibri" w:hAnsiTheme="minorBidi"/>
          <w:sz w:val="24"/>
          <w:szCs w:val="24"/>
        </w:rPr>
        <w:t xml:space="preserve">early discussions with </w:t>
      </w:r>
      <w:r w:rsidR="00012DCA">
        <w:rPr>
          <w:rFonts w:asciiTheme="minorBidi" w:eastAsia="Calibri" w:hAnsiTheme="minorBidi"/>
          <w:sz w:val="24"/>
          <w:szCs w:val="24"/>
        </w:rPr>
        <w:t xml:space="preserve">the </w:t>
      </w:r>
      <w:r w:rsidR="00D42179" w:rsidRPr="00D42179">
        <w:rPr>
          <w:rFonts w:asciiTheme="minorBidi" w:eastAsia="Calibri" w:hAnsiTheme="minorBidi"/>
          <w:sz w:val="24"/>
          <w:szCs w:val="24"/>
        </w:rPr>
        <w:t xml:space="preserve">Welsh Government to </w:t>
      </w:r>
      <w:r w:rsidR="00012DCA">
        <w:rPr>
          <w:rFonts w:asciiTheme="minorBidi" w:eastAsia="Calibri" w:hAnsiTheme="minorBidi"/>
          <w:sz w:val="24"/>
          <w:szCs w:val="24"/>
        </w:rPr>
        <w:t xml:space="preserve">see if </w:t>
      </w:r>
      <w:r w:rsidR="00D42179" w:rsidRPr="00D42179">
        <w:rPr>
          <w:rFonts w:asciiTheme="minorBidi" w:eastAsia="Calibri" w:hAnsiTheme="minorBidi"/>
          <w:sz w:val="24"/>
          <w:szCs w:val="24"/>
        </w:rPr>
        <w:t>information on the use of this funding can be shared</w:t>
      </w:r>
      <w:r w:rsidR="006F0BE4">
        <w:rPr>
          <w:rFonts w:asciiTheme="minorBidi" w:eastAsia="Calibri" w:hAnsiTheme="minorBidi"/>
          <w:sz w:val="24"/>
          <w:szCs w:val="24"/>
        </w:rPr>
        <w:t xml:space="preserve">. This would help </w:t>
      </w:r>
      <w:r w:rsidR="00426B8A" w:rsidRPr="00D42179">
        <w:rPr>
          <w:rFonts w:asciiTheme="minorBidi" w:eastAsia="Calibri" w:hAnsiTheme="minorBidi"/>
          <w:sz w:val="24"/>
          <w:szCs w:val="24"/>
        </w:rPr>
        <w:t>us understand</w:t>
      </w:r>
      <w:r w:rsidR="00D42179" w:rsidRPr="00D42179">
        <w:rPr>
          <w:rFonts w:asciiTheme="minorBidi" w:eastAsia="Calibri" w:hAnsiTheme="minorBidi"/>
          <w:sz w:val="24"/>
          <w:szCs w:val="24"/>
        </w:rPr>
        <w:t xml:space="preserve"> how both funding streams are being </w:t>
      </w:r>
      <w:r w:rsidR="006F0BE4">
        <w:rPr>
          <w:rFonts w:asciiTheme="minorBidi" w:eastAsia="Calibri" w:hAnsiTheme="minorBidi"/>
          <w:sz w:val="24"/>
          <w:szCs w:val="24"/>
        </w:rPr>
        <w:t>spent</w:t>
      </w:r>
      <w:r w:rsidR="00D42179" w:rsidRPr="00D42179">
        <w:rPr>
          <w:rFonts w:asciiTheme="minorBidi" w:eastAsia="Calibri" w:hAnsiTheme="minorBidi"/>
          <w:sz w:val="24"/>
          <w:szCs w:val="24"/>
        </w:rPr>
        <w:t>.</w:t>
      </w:r>
    </w:p>
    <w:p w14:paraId="54710954" w14:textId="77777777" w:rsidR="006D45A0" w:rsidRDefault="006D45A0" w:rsidP="0019368B">
      <w:pPr>
        <w:pStyle w:val="ListParagraph"/>
        <w:spacing w:afterLines="200" w:after="480" w:line="276" w:lineRule="auto"/>
        <w:rPr>
          <w:rFonts w:asciiTheme="minorBidi" w:eastAsia="Calibri" w:hAnsiTheme="minorBidi"/>
          <w:sz w:val="24"/>
          <w:szCs w:val="24"/>
        </w:rPr>
      </w:pPr>
    </w:p>
    <w:p w14:paraId="35FB684F" w14:textId="77777777" w:rsidR="00847CC3" w:rsidRDefault="00847CC3" w:rsidP="0019368B">
      <w:pPr>
        <w:pStyle w:val="ListParagraph"/>
        <w:spacing w:afterLines="200" w:after="480" w:line="276" w:lineRule="auto"/>
        <w:rPr>
          <w:rFonts w:asciiTheme="minorBidi" w:eastAsia="Calibri" w:hAnsiTheme="minorBidi"/>
          <w:sz w:val="24"/>
          <w:szCs w:val="24"/>
        </w:rPr>
      </w:pPr>
    </w:p>
    <w:p w14:paraId="6352C8F3" w14:textId="77777777" w:rsidR="00847CC3" w:rsidRDefault="00847CC3" w:rsidP="0019368B">
      <w:pPr>
        <w:pStyle w:val="ListParagraph"/>
        <w:spacing w:afterLines="200" w:after="480" w:line="276" w:lineRule="auto"/>
        <w:rPr>
          <w:rFonts w:asciiTheme="minorBidi" w:eastAsia="Calibri" w:hAnsiTheme="minorBidi"/>
          <w:sz w:val="24"/>
          <w:szCs w:val="24"/>
        </w:rPr>
      </w:pPr>
    </w:p>
    <w:p w14:paraId="2326E836" w14:textId="77777777" w:rsidR="00847CC3" w:rsidRDefault="00847CC3" w:rsidP="0019368B">
      <w:pPr>
        <w:pStyle w:val="ListParagraph"/>
        <w:spacing w:afterLines="200" w:after="480" w:line="276" w:lineRule="auto"/>
        <w:rPr>
          <w:rFonts w:asciiTheme="minorBidi" w:eastAsia="Calibri" w:hAnsiTheme="minorBidi"/>
          <w:sz w:val="24"/>
          <w:szCs w:val="24"/>
        </w:rPr>
      </w:pPr>
    </w:p>
    <w:p w14:paraId="30793C08" w14:textId="77777777" w:rsidR="00847CC3" w:rsidRPr="00C92ECE" w:rsidRDefault="00847CC3" w:rsidP="0019368B">
      <w:pPr>
        <w:pStyle w:val="ListParagraph"/>
        <w:spacing w:afterLines="200" w:after="480" w:line="276" w:lineRule="auto"/>
        <w:rPr>
          <w:rFonts w:asciiTheme="minorBidi" w:eastAsia="Calibri" w:hAnsiTheme="minorBidi"/>
          <w:sz w:val="24"/>
          <w:szCs w:val="24"/>
        </w:rPr>
      </w:pPr>
    </w:p>
    <w:p w14:paraId="6602A2A5" w14:textId="50FA1E1E" w:rsidR="00E467A0" w:rsidRPr="00C92ECE" w:rsidRDefault="00D42179" w:rsidP="0019368B">
      <w:pPr>
        <w:pStyle w:val="ListParagraph"/>
        <w:numPr>
          <w:ilvl w:val="0"/>
          <w:numId w:val="7"/>
        </w:numPr>
        <w:spacing w:afterLines="200" w:after="480" w:line="276" w:lineRule="auto"/>
        <w:rPr>
          <w:rFonts w:asciiTheme="minorBidi" w:hAnsiTheme="minorBidi"/>
          <w:sz w:val="24"/>
          <w:szCs w:val="24"/>
        </w:rPr>
      </w:pPr>
      <w:r w:rsidRPr="006E0EC3">
        <w:rPr>
          <w:rFonts w:asciiTheme="minorBidi" w:hAnsiTheme="minorBidi"/>
          <w:sz w:val="24"/>
          <w:szCs w:val="24"/>
        </w:rPr>
        <w:lastRenderedPageBreak/>
        <w:t>Additional funding provided by local authorities beyond the required 30</w:t>
      </w:r>
      <w:r w:rsidR="00185218">
        <w:rPr>
          <w:rFonts w:asciiTheme="minorBidi" w:hAnsiTheme="minorBidi"/>
          <w:sz w:val="24"/>
          <w:szCs w:val="24"/>
        </w:rPr>
        <w:t xml:space="preserve"> per cent</w:t>
      </w:r>
      <w:r w:rsidRPr="006E0EC3">
        <w:rPr>
          <w:rFonts w:asciiTheme="minorBidi" w:hAnsiTheme="minorBidi"/>
          <w:sz w:val="24"/>
          <w:szCs w:val="24"/>
        </w:rPr>
        <w:t xml:space="preserve"> match is</w:t>
      </w:r>
      <w:r w:rsidR="001D6675">
        <w:rPr>
          <w:rFonts w:asciiTheme="minorBidi" w:hAnsiTheme="minorBidi"/>
          <w:sz w:val="24"/>
          <w:szCs w:val="24"/>
        </w:rPr>
        <w:t>n’t</w:t>
      </w:r>
      <w:r w:rsidRPr="006E0EC3">
        <w:rPr>
          <w:rFonts w:asciiTheme="minorBidi" w:hAnsiTheme="minorBidi"/>
          <w:sz w:val="24"/>
          <w:szCs w:val="24"/>
        </w:rPr>
        <w:t xml:space="preserve"> </w:t>
      </w:r>
      <w:r w:rsidR="006E0EC3" w:rsidRPr="006E0EC3">
        <w:rPr>
          <w:rFonts w:asciiTheme="minorBidi" w:hAnsiTheme="minorBidi"/>
          <w:sz w:val="24"/>
          <w:szCs w:val="24"/>
        </w:rPr>
        <w:t xml:space="preserve">and can’t be </w:t>
      </w:r>
      <w:r w:rsidRPr="006E0EC3">
        <w:rPr>
          <w:rFonts w:asciiTheme="minorBidi" w:hAnsiTheme="minorBidi"/>
          <w:sz w:val="24"/>
          <w:szCs w:val="24"/>
        </w:rPr>
        <w:t>mandatory in SCWWDP reporting. This information is</w:t>
      </w:r>
      <w:r w:rsidR="00972CE6">
        <w:rPr>
          <w:rFonts w:asciiTheme="minorBidi" w:hAnsiTheme="minorBidi"/>
          <w:sz w:val="24"/>
          <w:szCs w:val="24"/>
        </w:rPr>
        <w:t>n’t</w:t>
      </w:r>
      <w:r w:rsidRPr="006E0EC3">
        <w:rPr>
          <w:rFonts w:asciiTheme="minorBidi" w:hAnsiTheme="minorBidi"/>
          <w:sz w:val="24"/>
          <w:szCs w:val="24"/>
        </w:rPr>
        <w:t xml:space="preserve"> always shared, limiting our ability to build a complete picture of workforce development outputs, outcomes, and trends across Wales.</w:t>
      </w:r>
      <w:r w:rsidR="006E0EC3" w:rsidRPr="006E0EC3">
        <w:rPr>
          <w:rFonts w:asciiTheme="minorBidi" w:hAnsiTheme="minorBidi"/>
          <w:sz w:val="24"/>
          <w:szCs w:val="24"/>
        </w:rPr>
        <w:t xml:space="preserve"> </w:t>
      </w:r>
      <w:r w:rsidRPr="006E0EC3">
        <w:rPr>
          <w:rFonts w:asciiTheme="minorBidi" w:hAnsiTheme="minorBidi"/>
          <w:sz w:val="24"/>
          <w:szCs w:val="24"/>
        </w:rPr>
        <w:t>Current reporting also does</w:t>
      </w:r>
      <w:r w:rsidR="00B4562E">
        <w:rPr>
          <w:rFonts w:asciiTheme="minorBidi" w:hAnsiTheme="minorBidi"/>
          <w:sz w:val="24"/>
          <w:szCs w:val="24"/>
        </w:rPr>
        <w:t>n’t</w:t>
      </w:r>
      <w:r w:rsidRPr="006E0EC3">
        <w:rPr>
          <w:rFonts w:asciiTheme="minorBidi" w:hAnsiTheme="minorBidi"/>
          <w:sz w:val="24"/>
          <w:szCs w:val="24"/>
        </w:rPr>
        <w:t xml:space="preserve"> capture investment made by private and third sector providers</w:t>
      </w:r>
      <w:r w:rsidR="006E0EC3">
        <w:rPr>
          <w:rFonts w:asciiTheme="minorBidi" w:hAnsiTheme="minorBidi"/>
          <w:sz w:val="24"/>
          <w:szCs w:val="24"/>
        </w:rPr>
        <w:t xml:space="preserve"> – information which local authorities also can’t </w:t>
      </w:r>
      <w:r w:rsidR="001D6675">
        <w:rPr>
          <w:rFonts w:asciiTheme="minorBidi" w:hAnsiTheme="minorBidi"/>
          <w:sz w:val="24"/>
          <w:szCs w:val="24"/>
        </w:rPr>
        <w:t>get</w:t>
      </w:r>
      <w:r w:rsidRPr="006E0EC3">
        <w:rPr>
          <w:rFonts w:asciiTheme="minorBidi" w:hAnsiTheme="minorBidi"/>
          <w:sz w:val="24"/>
          <w:szCs w:val="24"/>
        </w:rPr>
        <w:t>.</w:t>
      </w:r>
    </w:p>
    <w:p w14:paraId="197983E4" w14:textId="2976D679" w:rsidR="00E467A0" w:rsidRPr="005C6D09" w:rsidRDefault="00E467A0" w:rsidP="0019368B">
      <w:pPr>
        <w:pStyle w:val="ListParagraph"/>
        <w:spacing w:afterLines="200" w:after="480" w:line="276" w:lineRule="auto"/>
        <w:rPr>
          <w:rFonts w:ascii="Arial" w:eastAsia="Calibri" w:hAnsi="Arial" w:cs="Arial"/>
          <w:sz w:val="24"/>
          <w:szCs w:val="24"/>
        </w:rPr>
      </w:pPr>
    </w:p>
    <w:p w14:paraId="18C12DB3" w14:textId="4FF1827E" w:rsidR="0090480B" w:rsidRDefault="003D2F3E" w:rsidP="00632461">
      <w:pPr>
        <w:pStyle w:val="ListParagraph"/>
        <w:numPr>
          <w:ilvl w:val="0"/>
          <w:numId w:val="7"/>
        </w:numPr>
        <w:spacing w:after="0" w:line="240" w:lineRule="auto"/>
        <w:rPr>
          <w:rFonts w:ascii="Arial" w:eastAsia="Calibri" w:hAnsi="Arial" w:cs="Arial"/>
          <w:sz w:val="24"/>
          <w:szCs w:val="24"/>
        </w:rPr>
      </w:pPr>
      <w:r>
        <w:rPr>
          <w:rFonts w:ascii="Arial" w:eastAsia="Calibri" w:hAnsi="Arial" w:cs="Arial"/>
          <w:sz w:val="24"/>
          <w:szCs w:val="24"/>
        </w:rPr>
        <w:t>W</w:t>
      </w:r>
      <w:r w:rsidR="00C83A4E" w:rsidRPr="002F3B63">
        <w:rPr>
          <w:rFonts w:ascii="Arial" w:eastAsia="Calibri" w:hAnsi="Arial" w:cs="Arial"/>
          <w:sz w:val="24"/>
          <w:szCs w:val="24"/>
        </w:rPr>
        <w:t>e plan to</w:t>
      </w:r>
      <w:r w:rsidR="002F3B63">
        <w:rPr>
          <w:rFonts w:ascii="Arial" w:eastAsia="Calibri" w:hAnsi="Arial" w:cs="Arial"/>
          <w:sz w:val="24"/>
          <w:szCs w:val="24"/>
        </w:rPr>
        <w:t xml:space="preserve"> </w:t>
      </w:r>
      <w:r w:rsidR="00121968" w:rsidRPr="005C6D09">
        <w:rPr>
          <w:rFonts w:ascii="Arial" w:eastAsia="Calibri" w:hAnsi="Arial" w:cs="Arial"/>
          <w:sz w:val="24"/>
          <w:szCs w:val="24"/>
        </w:rPr>
        <w:t xml:space="preserve">explore </w:t>
      </w:r>
      <w:r w:rsidR="00E04DFC" w:rsidRPr="005C6D09">
        <w:rPr>
          <w:rFonts w:ascii="Arial" w:eastAsia="Calibri" w:hAnsi="Arial" w:cs="Arial"/>
          <w:sz w:val="24"/>
          <w:szCs w:val="24"/>
        </w:rPr>
        <w:t xml:space="preserve">how we can build a more detailed and fuller </w:t>
      </w:r>
      <w:r w:rsidR="00D04244">
        <w:rPr>
          <w:rFonts w:ascii="Arial" w:eastAsia="Calibri" w:hAnsi="Arial" w:cs="Arial"/>
          <w:sz w:val="24"/>
          <w:szCs w:val="24"/>
        </w:rPr>
        <w:t xml:space="preserve">understanding of workforce investment </w:t>
      </w:r>
      <w:r w:rsidR="00121968" w:rsidRPr="005C6D09">
        <w:rPr>
          <w:rFonts w:ascii="Arial" w:eastAsia="Calibri" w:hAnsi="Arial" w:cs="Arial"/>
          <w:sz w:val="24"/>
          <w:szCs w:val="24"/>
        </w:rPr>
        <w:t xml:space="preserve">with local authorities, regions and Welsh </w:t>
      </w:r>
      <w:r w:rsidR="006E12C9" w:rsidRPr="005C6D09">
        <w:rPr>
          <w:rFonts w:ascii="Arial" w:eastAsia="Calibri" w:hAnsi="Arial" w:cs="Arial"/>
          <w:sz w:val="24"/>
          <w:szCs w:val="24"/>
        </w:rPr>
        <w:t>Government.</w:t>
      </w:r>
      <w:r w:rsidR="00121968" w:rsidRPr="005C6D09">
        <w:rPr>
          <w:rFonts w:ascii="Arial" w:eastAsia="Calibri" w:hAnsi="Arial" w:cs="Arial"/>
          <w:sz w:val="24"/>
          <w:szCs w:val="24"/>
        </w:rPr>
        <w:t xml:space="preserve"> </w:t>
      </w:r>
      <w:r w:rsidR="0090480B">
        <w:rPr>
          <w:rFonts w:ascii="Arial" w:eastAsia="Calibri" w:hAnsi="Arial" w:cs="Arial"/>
          <w:sz w:val="24"/>
          <w:szCs w:val="24"/>
        </w:rPr>
        <w:t>This will include:</w:t>
      </w:r>
    </w:p>
    <w:p w14:paraId="4602E832" w14:textId="77777777" w:rsidR="0090480B" w:rsidRPr="00C92ECE" w:rsidRDefault="0090480B" w:rsidP="00C92ECE">
      <w:pPr>
        <w:pStyle w:val="ListParagraph"/>
        <w:rPr>
          <w:rFonts w:ascii="Arial" w:eastAsia="Calibri" w:hAnsi="Arial" w:cs="Arial"/>
          <w:sz w:val="24"/>
          <w:szCs w:val="24"/>
        </w:rPr>
      </w:pPr>
    </w:p>
    <w:p w14:paraId="7AE71275" w14:textId="0FA41E8B" w:rsidR="006B26C3" w:rsidRDefault="00057691" w:rsidP="006B26C3">
      <w:pPr>
        <w:pStyle w:val="ListParagraph"/>
        <w:numPr>
          <w:ilvl w:val="1"/>
          <w:numId w:val="112"/>
        </w:numPr>
        <w:spacing w:after="200" w:line="276" w:lineRule="auto"/>
        <w:rPr>
          <w:rFonts w:ascii="Arial" w:eastAsia="Calibri" w:hAnsi="Arial" w:cs="Arial"/>
          <w:bCs/>
          <w:sz w:val="24"/>
          <w:szCs w:val="24"/>
        </w:rPr>
      </w:pPr>
      <w:r>
        <w:rPr>
          <w:rFonts w:ascii="Arial" w:eastAsia="Calibri" w:hAnsi="Arial" w:cs="Arial"/>
          <w:bCs/>
          <w:sz w:val="24"/>
          <w:szCs w:val="24"/>
        </w:rPr>
        <w:t>engaging</w:t>
      </w:r>
      <w:r w:rsidR="00C83A4E" w:rsidRPr="00C92ECE">
        <w:rPr>
          <w:rFonts w:ascii="Arial" w:eastAsia="Calibri" w:hAnsi="Arial" w:cs="Arial"/>
          <w:bCs/>
          <w:sz w:val="24"/>
          <w:szCs w:val="24"/>
        </w:rPr>
        <w:t xml:space="preserve"> with Welsh Government to explore whether intelligence from the £45m social care and workforce grant can be included in the </w:t>
      </w:r>
      <w:r w:rsidR="006B26C3" w:rsidRPr="00C92ECE">
        <w:rPr>
          <w:rFonts w:ascii="Arial" w:eastAsia="Calibri" w:hAnsi="Arial" w:cs="Arial"/>
          <w:bCs/>
          <w:sz w:val="24"/>
          <w:szCs w:val="24"/>
        </w:rPr>
        <w:t xml:space="preserve">SCWWDP </w:t>
      </w:r>
      <w:r w:rsidR="00C83A4E" w:rsidRPr="00C92ECE">
        <w:rPr>
          <w:rFonts w:ascii="Arial" w:eastAsia="Calibri" w:hAnsi="Arial" w:cs="Arial"/>
          <w:bCs/>
          <w:sz w:val="24"/>
          <w:szCs w:val="24"/>
        </w:rPr>
        <w:t>2025</w:t>
      </w:r>
      <w:r>
        <w:rPr>
          <w:rFonts w:ascii="Arial" w:eastAsia="Calibri" w:hAnsi="Arial" w:cs="Arial"/>
          <w:bCs/>
          <w:sz w:val="24"/>
          <w:szCs w:val="24"/>
        </w:rPr>
        <w:t xml:space="preserve"> to </w:t>
      </w:r>
      <w:r w:rsidR="00C83A4E" w:rsidRPr="00C92ECE">
        <w:rPr>
          <w:rFonts w:ascii="Arial" w:eastAsia="Calibri" w:hAnsi="Arial" w:cs="Arial"/>
          <w:bCs/>
          <w:sz w:val="24"/>
          <w:szCs w:val="24"/>
        </w:rPr>
        <w:t>2026 end-of-year themes and trends report.</w:t>
      </w:r>
    </w:p>
    <w:p w14:paraId="1A43B139" w14:textId="77777777" w:rsidR="006B26C3" w:rsidRDefault="006B26C3" w:rsidP="00C92ECE">
      <w:pPr>
        <w:pStyle w:val="ListParagraph"/>
        <w:spacing w:after="200" w:line="276" w:lineRule="auto"/>
        <w:ind w:left="1440"/>
        <w:rPr>
          <w:rFonts w:ascii="Arial" w:eastAsia="Calibri" w:hAnsi="Arial" w:cs="Arial"/>
          <w:bCs/>
          <w:sz w:val="24"/>
          <w:szCs w:val="24"/>
        </w:rPr>
      </w:pPr>
    </w:p>
    <w:p w14:paraId="438E7382" w14:textId="3267B6D0" w:rsidR="00193077" w:rsidRPr="00B568F3" w:rsidRDefault="00057691" w:rsidP="0014664D">
      <w:pPr>
        <w:pStyle w:val="ListParagraph"/>
        <w:numPr>
          <w:ilvl w:val="1"/>
          <w:numId w:val="112"/>
        </w:numPr>
        <w:spacing w:after="200" w:line="276" w:lineRule="auto"/>
      </w:pPr>
      <w:r>
        <w:rPr>
          <w:rFonts w:ascii="Arial" w:eastAsia="Calibri" w:hAnsi="Arial" w:cs="Arial"/>
          <w:bCs/>
          <w:sz w:val="24"/>
          <w:szCs w:val="24"/>
        </w:rPr>
        <w:t>streng</w:t>
      </w:r>
      <w:r w:rsidR="002359EE">
        <w:rPr>
          <w:rFonts w:ascii="Arial" w:eastAsia="Calibri" w:hAnsi="Arial" w:cs="Arial"/>
          <w:bCs/>
          <w:sz w:val="24"/>
          <w:szCs w:val="24"/>
        </w:rPr>
        <w:t>thening</w:t>
      </w:r>
      <w:r w:rsidR="006B26C3" w:rsidRPr="00AF0D3C">
        <w:rPr>
          <w:rFonts w:ascii="Arial" w:eastAsia="Calibri" w:hAnsi="Arial" w:cs="Arial"/>
          <w:bCs/>
          <w:sz w:val="24"/>
          <w:szCs w:val="24"/>
        </w:rPr>
        <w:t xml:space="preserve"> the 2026 to 2027 SCWWDP </w:t>
      </w:r>
      <w:r w:rsidR="002359EE">
        <w:rPr>
          <w:rFonts w:ascii="Arial" w:eastAsia="Calibri" w:hAnsi="Arial" w:cs="Arial"/>
          <w:bCs/>
          <w:sz w:val="24"/>
          <w:szCs w:val="24"/>
        </w:rPr>
        <w:t>g</w:t>
      </w:r>
      <w:r w:rsidR="006B26C3" w:rsidRPr="00AF0D3C">
        <w:rPr>
          <w:rFonts w:ascii="Arial" w:eastAsia="Calibri" w:hAnsi="Arial" w:cs="Arial"/>
          <w:bCs/>
          <w:sz w:val="24"/>
          <w:szCs w:val="24"/>
        </w:rPr>
        <w:t xml:space="preserve">rant </w:t>
      </w:r>
      <w:r w:rsidR="002359EE">
        <w:rPr>
          <w:rFonts w:ascii="Arial" w:eastAsia="Calibri" w:hAnsi="Arial" w:cs="Arial"/>
          <w:bCs/>
          <w:sz w:val="24"/>
          <w:szCs w:val="24"/>
        </w:rPr>
        <w:t>c</w:t>
      </w:r>
      <w:r w:rsidR="006B26C3" w:rsidRPr="00AF0D3C">
        <w:rPr>
          <w:rFonts w:ascii="Arial" w:eastAsia="Calibri" w:hAnsi="Arial" w:cs="Arial"/>
          <w:bCs/>
          <w:sz w:val="24"/>
          <w:szCs w:val="24"/>
        </w:rPr>
        <w:t>ircular to encourage local authorities to share information on additional local funding as part of their SCWWDP reporting.</w:t>
      </w:r>
    </w:p>
    <w:sectPr w:rsidR="00193077" w:rsidRPr="00B568F3" w:rsidSect="00FF032B">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6065" w14:textId="77777777" w:rsidR="006B7073" w:rsidRDefault="006B7073" w:rsidP="002D1B1F">
      <w:pPr>
        <w:spacing w:after="0" w:line="240" w:lineRule="auto"/>
      </w:pPr>
      <w:r>
        <w:separator/>
      </w:r>
    </w:p>
  </w:endnote>
  <w:endnote w:type="continuationSeparator" w:id="0">
    <w:p w14:paraId="2E24E610" w14:textId="77777777" w:rsidR="006B7073" w:rsidRDefault="006B7073" w:rsidP="002D1B1F">
      <w:pPr>
        <w:spacing w:after="0" w:line="240" w:lineRule="auto"/>
      </w:pPr>
      <w:r>
        <w:continuationSeparator/>
      </w:r>
    </w:p>
  </w:endnote>
  <w:endnote w:type="continuationNotice" w:id="1">
    <w:p w14:paraId="4499DF4F" w14:textId="77777777" w:rsidR="006B7073" w:rsidRDefault="006B7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046340"/>
      <w:docPartObj>
        <w:docPartGallery w:val="Page Numbers (Bottom of Page)"/>
        <w:docPartUnique/>
      </w:docPartObj>
    </w:sdtPr>
    <w:sdtEndPr>
      <w:rPr>
        <w:rFonts w:asciiTheme="minorBidi" w:hAnsiTheme="minorBidi"/>
        <w:noProof/>
        <w:sz w:val="24"/>
        <w:szCs w:val="24"/>
      </w:rPr>
    </w:sdtEndPr>
    <w:sdtContent>
      <w:p w14:paraId="68F9F395" w14:textId="600267BA" w:rsidR="00083EF3" w:rsidRPr="00083EF3" w:rsidRDefault="00083EF3">
        <w:pPr>
          <w:pStyle w:val="Footer"/>
          <w:jc w:val="center"/>
          <w:rPr>
            <w:rFonts w:asciiTheme="minorBidi" w:hAnsiTheme="minorBidi"/>
            <w:sz w:val="24"/>
            <w:szCs w:val="24"/>
          </w:rPr>
        </w:pPr>
        <w:r w:rsidRPr="00083EF3">
          <w:rPr>
            <w:rFonts w:asciiTheme="minorBidi" w:hAnsiTheme="minorBidi"/>
            <w:sz w:val="24"/>
            <w:szCs w:val="24"/>
          </w:rPr>
          <w:fldChar w:fldCharType="begin"/>
        </w:r>
        <w:r w:rsidRPr="00083EF3">
          <w:rPr>
            <w:rFonts w:asciiTheme="minorBidi" w:hAnsiTheme="minorBidi"/>
            <w:sz w:val="24"/>
            <w:szCs w:val="24"/>
          </w:rPr>
          <w:instrText xml:space="preserve"> PAGE   \* MERGEFORMAT </w:instrText>
        </w:r>
        <w:r w:rsidRPr="00083EF3">
          <w:rPr>
            <w:rFonts w:asciiTheme="minorBidi" w:hAnsiTheme="minorBidi"/>
            <w:sz w:val="24"/>
            <w:szCs w:val="24"/>
          </w:rPr>
          <w:fldChar w:fldCharType="separate"/>
        </w:r>
        <w:r w:rsidRPr="00083EF3">
          <w:rPr>
            <w:rFonts w:asciiTheme="minorBidi" w:hAnsiTheme="minorBidi"/>
            <w:noProof/>
            <w:sz w:val="24"/>
            <w:szCs w:val="24"/>
          </w:rPr>
          <w:t>2</w:t>
        </w:r>
        <w:r w:rsidRPr="00083EF3">
          <w:rPr>
            <w:rFonts w:asciiTheme="minorBidi" w:hAnsiTheme="minorBidi"/>
            <w:noProof/>
            <w:sz w:val="24"/>
            <w:szCs w:val="24"/>
          </w:rPr>
          <w:fldChar w:fldCharType="end"/>
        </w:r>
      </w:p>
    </w:sdtContent>
  </w:sdt>
  <w:p w14:paraId="52EA9CEB" w14:textId="77777777" w:rsidR="00083EF3" w:rsidRDefault="0008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BCBD" w14:textId="77777777" w:rsidR="006B7073" w:rsidRDefault="006B7073" w:rsidP="002D1B1F">
      <w:pPr>
        <w:spacing w:after="0" w:line="240" w:lineRule="auto"/>
      </w:pPr>
      <w:r>
        <w:separator/>
      </w:r>
    </w:p>
  </w:footnote>
  <w:footnote w:type="continuationSeparator" w:id="0">
    <w:p w14:paraId="416A0E58" w14:textId="77777777" w:rsidR="006B7073" w:rsidRDefault="006B7073" w:rsidP="002D1B1F">
      <w:pPr>
        <w:spacing w:after="0" w:line="240" w:lineRule="auto"/>
      </w:pPr>
      <w:r>
        <w:continuationSeparator/>
      </w:r>
    </w:p>
  </w:footnote>
  <w:footnote w:type="continuationNotice" w:id="1">
    <w:p w14:paraId="6A8F6582" w14:textId="77777777" w:rsidR="006B7073" w:rsidRDefault="006B7073">
      <w:pPr>
        <w:spacing w:after="0" w:line="240" w:lineRule="auto"/>
      </w:pPr>
    </w:p>
  </w:footnote>
  <w:footnote w:id="2">
    <w:p w14:paraId="78A69436" w14:textId="3A40A1E8" w:rsidR="0046561C" w:rsidRDefault="0046561C">
      <w:pPr>
        <w:pStyle w:val="FootnoteText"/>
      </w:pPr>
      <w:r>
        <w:rPr>
          <w:rStyle w:val="FootnoteReference"/>
        </w:rPr>
        <w:footnoteRef/>
      </w:r>
      <w:r>
        <w:t xml:space="preserve"> </w:t>
      </w:r>
      <w:r w:rsidR="00DF5B57">
        <w:t>M</w:t>
      </w:r>
      <w:r w:rsidRPr="0046561C">
        <w:t xml:space="preserve">oney </w:t>
      </w:r>
      <w:r w:rsidR="00DF5B57">
        <w:t xml:space="preserve">Social Care Wales has </w:t>
      </w:r>
      <w:r w:rsidRPr="0046561C">
        <w:t>issued</w:t>
      </w:r>
    </w:p>
  </w:footnote>
  <w:footnote w:id="3">
    <w:p w14:paraId="7206AD2B" w14:textId="58BF954B" w:rsidR="00DF5B57" w:rsidRDefault="00DF5B57">
      <w:pPr>
        <w:pStyle w:val="FootnoteText"/>
      </w:pPr>
      <w:r>
        <w:rPr>
          <w:rStyle w:val="FootnoteReference"/>
        </w:rPr>
        <w:footnoteRef/>
      </w:r>
      <w:r>
        <w:t xml:space="preserve"> </w:t>
      </w:r>
      <w:r w:rsidRPr="00DF5B57">
        <w:t>30 per cent match funding contributed by each local authority</w:t>
      </w:r>
    </w:p>
  </w:footnote>
  <w:footnote w:id="4">
    <w:p w14:paraId="2B127720" w14:textId="498E754F" w:rsidR="00BF0983" w:rsidRDefault="00BF0983" w:rsidP="00564B70">
      <w:pPr>
        <w:pStyle w:val="FootnoteText"/>
      </w:pPr>
      <w:r>
        <w:rPr>
          <w:rStyle w:val="FootnoteReference"/>
        </w:rPr>
        <w:footnoteRef/>
      </w:r>
      <w:r>
        <w:t xml:space="preserve"> </w:t>
      </w:r>
      <w:r w:rsidR="00C9286E">
        <w:t xml:space="preserve">Additional funding spent by local authorities </w:t>
      </w:r>
      <w:r w:rsidR="00564B70">
        <w:t>over and above the expected 30</w:t>
      </w:r>
      <w:r w:rsidR="00C9286E">
        <w:t xml:space="preserve"> per cent</w:t>
      </w:r>
      <w:r w:rsidR="00564B70">
        <w:t xml:space="preserve"> match funding</w:t>
      </w:r>
    </w:p>
  </w:footnote>
  <w:footnote w:id="5">
    <w:p w14:paraId="0CBE4D4A" w14:textId="6846CF05" w:rsidR="002B24DC" w:rsidRDefault="002B24DC" w:rsidP="00E514BB">
      <w:pPr>
        <w:pStyle w:val="FootnoteText"/>
      </w:pPr>
      <w:r>
        <w:rPr>
          <w:rStyle w:val="FootnoteReference"/>
        </w:rPr>
        <w:footnoteRef/>
      </w:r>
      <w:r>
        <w:t xml:space="preserve"> </w:t>
      </w:r>
      <w:r w:rsidR="00B43F53" w:rsidRPr="00B43F53">
        <w:t xml:space="preserve">Delivery staff includes staff employed to provide learning and development, work-based and practice-based assessment, including accredited qualification assessment and should be delivering training for the statutory and non-statutory workforce.   </w:t>
      </w:r>
    </w:p>
  </w:footnote>
  <w:footnote w:id="6">
    <w:p w14:paraId="04133824" w14:textId="25EDB521" w:rsidR="00037A23" w:rsidRDefault="00037A23" w:rsidP="007A32A9">
      <w:pPr>
        <w:pStyle w:val="FootnoteText"/>
      </w:pPr>
      <w:r>
        <w:rPr>
          <w:rStyle w:val="FootnoteReference"/>
        </w:rPr>
        <w:footnoteRef/>
      </w:r>
      <w:r>
        <w:t xml:space="preserve"> </w:t>
      </w:r>
      <w:r w:rsidR="00C21737">
        <w:t>Management and administration costs are day-to-day operational costs of managing and administering the grant including financial administration, strategic oversight and coordination of grant activities</w:t>
      </w:r>
      <w:r w:rsidR="007A32A9">
        <w:t>, e</w:t>
      </w:r>
      <w:r w:rsidR="00C21737">
        <w:t>nsuring compliance with governance and reporting requirements including supporting grant applications and end of year reporting.</w:t>
      </w:r>
    </w:p>
  </w:footnote>
  <w:footnote w:id="7">
    <w:p w14:paraId="5DA4BC8C" w14:textId="65063FD7" w:rsidR="0042548C" w:rsidRDefault="0042548C">
      <w:pPr>
        <w:pStyle w:val="FootnoteText"/>
      </w:pPr>
      <w:r>
        <w:rPr>
          <w:rStyle w:val="FootnoteReference"/>
        </w:rPr>
        <w:footnoteRef/>
      </w:r>
      <w:r>
        <w:t xml:space="preserve"> </w:t>
      </w:r>
      <w:r w:rsidRPr="0042548C">
        <w:t>Health and safety spend is capped, and regions aren’t allowed to spend any more than 10 per cent of their grant on health and safety arrangements that the employers are responsible for.</w:t>
      </w:r>
    </w:p>
  </w:footnote>
  <w:footnote w:id="8">
    <w:p w14:paraId="4A380DD2" w14:textId="2B8D3BF3" w:rsidR="004A3300" w:rsidRDefault="004A3300">
      <w:pPr>
        <w:pStyle w:val="FootnoteText"/>
      </w:pPr>
      <w:r>
        <w:rPr>
          <w:rStyle w:val="FootnoteReference"/>
        </w:rPr>
        <w:footnoteRef/>
      </w:r>
      <w:r>
        <w:t xml:space="preserve"> S</w:t>
      </w:r>
      <w:r w:rsidRPr="004A3300">
        <w:t>pecific local and regional priorities</w:t>
      </w:r>
    </w:p>
  </w:footnote>
  <w:footnote w:id="9">
    <w:p w14:paraId="43FAB082" w14:textId="77777777" w:rsidR="001C499A" w:rsidRDefault="001C499A" w:rsidP="001C499A">
      <w:pPr>
        <w:pStyle w:val="FootnoteText"/>
      </w:pPr>
      <w:r>
        <w:rPr>
          <w:rStyle w:val="FootnoteReference"/>
        </w:rPr>
        <w:footnoteRef/>
      </w:r>
      <w:r>
        <w:t xml:space="preserve"> </w:t>
      </w:r>
      <w:r w:rsidRPr="000A1274">
        <w:t xml:space="preserve">Qualified Social Workers (as their lead registration) </w:t>
      </w:r>
      <w:r>
        <w:t>as of 31 March 2024 using Social Care Wales registration data</w:t>
      </w:r>
    </w:p>
  </w:footnote>
  <w:footnote w:id="10">
    <w:p w14:paraId="76C5DEEA" w14:textId="77777777" w:rsidR="00FB7C72" w:rsidRDefault="00FB7C72" w:rsidP="00FB7C72">
      <w:pPr>
        <w:pStyle w:val="FootnoteText"/>
      </w:pPr>
      <w:r>
        <w:rPr>
          <w:rStyle w:val="FootnoteReference"/>
        </w:rPr>
        <w:footnoteRef/>
      </w:r>
      <w:r>
        <w:t xml:space="preserve"> As of </w:t>
      </w:r>
      <w:proofErr w:type="gramStart"/>
      <w:r>
        <w:t>31 March 2024</w:t>
      </w:r>
      <w:proofErr w:type="gramEnd"/>
      <w:r>
        <w:t xml:space="preserve"> using Social Care Wales registration data</w:t>
      </w:r>
    </w:p>
  </w:footnote>
  <w:footnote w:id="11">
    <w:p w14:paraId="199869DA" w14:textId="594CB694" w:rsidR="00CD00AE" w:rsidRDefault="00CD00AE" w:rsidP="00CD00AE">
      <w:pPr>
        <w:pStyle w:val="FootnoteText"/>
      </w:pPr>
      <w:r>
        <w:rPr>
          <w:rStyle w:val="FootnoteReference"/>
        </w:rPr>
        <w:footnoteRef/>
      </w:r>
      <w:r>
        <w:t xml:space="preserve"> </w:t>
      </w:r>
      <w:r w:rsidR="00602A5D">
        <w:t>Welsh Government (</w:t>
      </w:r>
      <w:r w:rsidR="006005BD">
        <w:t>2024</w:t>
      </w:r>
      <w:r w:rsidR="00602A5D">
        <w:t xml:space="preserve">) </w:t>
      </w:r>
      <w:hyperlink r:id="rId1" w:history="1">
        <w:r w:rsidRPr="00CD00AE">
          <w:rPr>
            <w:rStyle w:val="Hyperlink"/>
          </w:rPr>
          <w:t>National framework for commissioning care and support: code of practice</w:t>
        </w:r>
      </w:hyperlink>
      <w:r w:rsidR="00602A5D">
        <w:t xml:space="preserve">, Available at: </w:t>
      </w:r>
      <w:hyperlink r:id="rId2" w:history="1">
        <w:r w:rsidR="006005BD" w:rsidRPr="003D16A1">
          <w:rPr>
            <w:rStyle w:val="Hyperlink"/>
          </w:rPr>
          <w:t>https://www.gov.wales/sites/default/files/publications/2024-07/national-framework-for-commissioning-care-and-support-code-of-practice.pdf</w:t>
        </w:r>
      </w:hyperlink>
      <w:r w:rsidR="006005BD">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jCD1h5i3CJQo9q" int2:id="uZmud8AC">
      <int2:state int2:value="Rejected" int2:type="AugLoop_Text_Critique"/>
    </int2:textHash>
    <int2:bookmark int2:bookmarkName="_Int_O9eKd173" int2:invalidationBookmarkName="" int2:hashCode="/tuY91W2RYiqfS" int2:id="AJXZXHGt">
      <int2:state int2:value="Rejected" int2:type="AugLoop_Text_Critique"/>
    </int2:bookmark>
    <int2:bookmark int2:bookmarkName="_Int_FbgM508O" int2:invalidationBookmarkName="" int2:hashCode="MX01YSdQdjXIeg" int2:id="SpLkPbf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53"/>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34682"/>
    <w:multiLevelType w:val="multilevel"/>
    <w:tmpl w:val="5FC2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21BED"/>
    <w:multiLevelType w:val="hybridMultilevel"/>
    <w:tmpl w:val="32A89F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1E26980"/>
    <w:multiLevelType w:val="multilevel"/>
    <w:tmpl w:val="26F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F3EC4"/>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AA5E51"/>
    <w:multiLevelType w:val="hybridMultilevel"/>
    <w:tmpl w:val="24C8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C37CB3"/>
    <w:multiLevelType w:val="hybridMultilevel"/>
    <w:tmpl w:val="0B7602A6"/>
    <w:lvl w:ilvl="0" w:tplc="B636D8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B42E9D"/>
    <w:multiLevelType w:val="hybridMultilevel"/>
    <w:tmpl w:val="953CCB6C"/>
    <w:lvl w:ilvl="0" w:tplc="08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59A27EA"/>
    <w:multiLevelType w:val="multilevel"/>
    <w:tmpl w:val="D49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DC0955"/>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5E5300"/>
    <w:multiLevelType w:val="hybridMultilevel"/>
    <w:tmpl w:val="FDBA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A291A"/>
    <w:multiLevelType w:val="hybridMultilevel"/>
    <w:tmpl w:val="5E02FECA"/>
    <w:lvl w:ilvl="0" w:tplc="41827CD8">
      <w:start w:val="1"/>
      <w:numFmt w:val="bullet"/>
      <w:lvlText w:val=""/>
      <w:lvlJc w:val="left"/>
      <w:pPr>
        <w:ind w:left="720" w:hanging="360"/>
      </w:pPr>
      <w:rPr>
        <w:rFonts w:ascii="Symbol" w:hAnsi="Symbol" w:hint="default"/>
      </w:rPr>
    </w:lvl>
    <w:lvl w:ilvl="1" w:tplc="04D237FE">
      <w:start w:val="1"/>
      <w:numFmt w:val="bullet"/>
      <w:lvlText w:val="o"/>
      <w:lvlJc w:val="left"/>
      <w:pPr>
        <w:ind w:left="1440" w:hanging="360"/>
      </w:pPr>
      <w:rPr>
        <w:rFonts w:ascii="Courier New" w:hAnsi="Courier New" w:hint="default"/>
      </w:rPr>
    </w:lvl>
    <w:lvl w:ilvl="2" w:tplc="56DA6C36">
      <w:start w:val="1"/>
      <w:numFmt w:val="bullet"/>
      <w:lvlText w:val=""/>
      <w:lvlJc w:val="left"/>
      <w:pPr>
        <w:ind w:left="2160" w:hanging="360"/>
      </w:pPr>
      <w:rPr>
        <w:rFonts w:ascii="Wingdings" w:hAnsi="Wingdings" w:hint="default"/>
      </w:rPr>
    </w:lvl>
    <w:lvl w:ilvl="3" w:tplc="DD0EE03C">
      <w:start w:val="1"/>
      <w:numFmt w:val="bullet"/>
      <w:lvlText w:val=""/>
      <w:lvlJc w:val="left"/>
      <w:pPr>
        <w:ind w:left="2880" w:hanging="360"/>
      </w:pPr>
      <w:rPr>
        <w:rFonts w:ascii="Symbol" w:hAnsi="Symbol" w:hint="default"/>
      </w:rPr>
    </w:lvl>
    <w:lvl w:ilvl="4" w:tplc="0AD011C8">
      <w:start w:val="1"/>
      <w:numFmt w:val="bullet"/>
      <w:lvlText w:val="o"/>
      <w:lvlJc w:val="left"/>
      <w:pPr>
        <w:ind w:left="3600" w:hanging="360"/>
      </w:pPr>
      <w:rPr>
        <w:rFonts w:ascii="Courier New" w:hAnsi="Courier New" w:hint="default"/>
      </w:rPr>
    </w:lvl>
    <w:lvl w:ilvl="5" w:tplc="7C0A0F74">
      <w:start w:val="1"/>
      <w:numFmt w:val="bullet"/>
      <w:lvlText w:val=""/>
      <w:lvlJc w:val="left"/>
      <w:pPr>
        <w:ind w:left="4320" w:hanging="360"/>
      </w:pPr>
      <w:rPr>
        <w:rFonts w:ascii="Wingdings" w:hAnsi="Wingdings" w:hint="default"/>
      </w:rPr>
    </w:lvl>
    <w:lvl w:ilvl="6" w:tplc="3F2AB090">
      <w:start w:val="1"/>
      <w:numFmt w:val="bullet"/>
      <w:lvlText w:val=""/>
      <w:lvlJc w:val="left"/>
      <w:pPr>
        <w:ind w:left="5040" w:hanging="360"/>
      </w:pPr>
      <w:rPr>
        <w:rFonts w:ascii="Symbol" w:hAnsi="Symbol" w:hint="default"/>
      </w:rPr>
    </w:lvl>
    <w:lvl w:ilvl="7" w:tplc="1ED06DB6">
      <w:start w:val="1"/>
      <w:numFmt w:val="bullet"/>
      <w:lvlText w:val="o"/>
      <w:lvlJc w:val="left"/>
      <w:pPr>
        <w:ind w:left="5760" w:hanging="360"/>
      </w:pPr>
      <w:rPr>
        <w:rFonts w:ascii="Courier New" w:hAnsi="Courier New" w:hint="default"/>
      </w:rPr>
    </w:lvl>
    <w:lvl w:ilvl="8" w:tplc="6AD6309C">
      <w:start w:val="1"/>
      <w:numFmt w:val="bullet"/>
      <w:lvlText w:val=""/>
      <w:lvlJc w:val="left"/>
      <w:pPr>
        <w:ind w:left="6480" w:hanging="360"/>
      </w:pPr>
      <w:rPr>
        <w:rFonts w:ascii="Wingdings" w:hAnsi="Wingdings" w:hint="default"/>
      </w:rPr>
    </w:lvl>
  </w:abstractNum>
  <w:abstractNum w:abstractNumId="12" w15:restartNumberingAfterBreak="0">
    <w:nsid w:val="07F86246"/>
    <w:multiLevelType w:val="multilevel"/>
    <w:tmpl w:val="B7D6290A"/>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82D5D8C"/>
    <w:multiLevelType w:val="multilevel"/>
    <w:tmpl w:val="37307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088754B0"/>
    <w:multiLevelType w:val="multilevel"/>
    <w:tmpl w:val="36E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9D0E81"/>
    <w:multiLevelType w:val="multilevel"/>
    <w:tmpl w:val="1682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9E3638"/>
    <w:multiLevelType w:val="multilevel"/>
    <w:tmpl w:val="7E5A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094C6F"/>
    <w:multiLevelType w:val="multilevel"/>
    <w:tmpl w:val="EA2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6C1471"/>
    <w:multiLevelType w:val="multilevel"/>
    <w:tmpl w:val="E556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0E7B17"/>
    <w:multiLevelType w:val="hybridMultilevel"/>
    <w:tmpl w:val="05DE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AD7D5A"/>
    <w:multiLevelType w:val="hybridMultilevel"/>
    <w:tmpl w:val="87EE388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1" w15:restartNumberingAfterBreak="0">
    <w:nsid w:val="0CED05E5"/>
    <w:multiLevelType w:val="multilevel"/>
    <w:tmpl w:val="9CCA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1E3E6D"/>
    <w:multiLevelType w:val="hybridMultilevel"/>
    <w:tmpl w:val="2040A57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3" w15:restartNumberingAfterBreak="0">
    <w:nsid w:val="0E561C21"/>
    <w:multiLevelType w:val="multilevel"/>
    <w:tmpl w:val="CC26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A80498"/>
    <w:multiLevelType w:val="multilevel"/>
    <w:tmpl w:val="D6E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D3170B"/>
    <w:multiLevelType w:val="hybridMultilevel"/>
    <w:tmpl w:val="96A0E8F8"/>
    <w:lvl w:ilvl="0" w:tplc="2506A3FC">
      <w:start w:val="1"/>
      <w:numFmt w:val="bullet"/>
      <w:lvlText w:val=""/>
      <w:lvlJc w:val="left"/>
      <w:pPr>
        <w:ind w:left="720" w:hanging="360"/>
      </w:pPr>
      <w:rPr>
        <w:rFonts w:ascii="Symbol" w:hAnsi="Symbol" w:hint="default"/>
      </w:rPr>
    </w:lvl>
    <w:lvl w:ilvl="1" w:tplc="7F322BEC">
      <w:start w:val="1"/>
      <w:numFmt w:val="bullet"/>
      <w:lvlText w:val="o"/>
      <w:lvlJc w:val="left"/>
      <w:pPr>
        <w:ind w:left="1440" w:hanging="360"/>
      </w:pPr>
      <w:rPr>
        <w:rFonts w:ascii="Courier New" w:hAnsi="Courier New" w:hint="default"/>
      </w:rPr>
    </w:lvl>
    <w:lvl w:ilvl="2" w:tplc="406032F6">
      <w:start w:val="1"/>
      <w:numFmt w:val="bullet"/>
      <w:lvlText w:val=""/>
      <w:lvlJc w:val="left"/>
      <w:pPr>
        <w:ind w:left="2160" w:hanging="360"/>
      </w:pPr>
      <w:rPr>
        <w:rFonts w:ascii="Wingdings" w:hAnsi="Wingdings" w:hint="default"/>
      </w:rPr>
    </w:lvl>
    <w:lvl w:ilvl="3" w:tplc="7BE44536">
      <w:start w:val="1"/>
      <w:numFmt w:val="bullet"/>
      <w:lvlText w:val=""/>
      <w:lvlJc w:val="left"/>
      <w:pPr>
        <w:ind w:left="2880" w:hanging="360"/>
      </w:pPr>
      <w:rPr>
        <w:rFonts w:ascii="Symbol" w:hAnsi="Symbol" w:hint="default"/>
      </w:rPr>
    </w:lvl>
    <w:lvl w:ilvl="4" w:tplc="9EE66A6C">
      <w:start w:val="1"/>
      <w:numFmt w:val="bullet"/>
      <w:lvlText w:val="o"/>
      <w:lvlJc w:val="left"/>
      <w:pPr>
        <w:ind w:left="3600" w:hanging="360"/>
      </w:pPr>
      <w:rPr>
        <w:rFonts w:ascii="Courier New" w:hAnsi="Courier New" w:hint="default"/>
      </w:rPr>
    </w:lvl>
    <w:lvl w:ilvl="5" w:tplc="0C800390">
      <w:start w:val="1"/>
      <w:numFmt w:val="bullet"/>
      <w:lvlText w:val=""/>
      <w:lvlJc w:val="left"/>
      <w:pPr>
        <w:ind w:left="4320" w:hanging="360"/>
      </w:pPr>
      <w:rPr>
        <w:rFonts w:ascii="Wingdings" w:hAnsi="Wingdings" w:hint="default"/>
      </w:rPr>
    </w:lvl>
    <w:lvl w:ilvl="6" w:tplc="EE969E50">
      <w:start w:val="1"/>
      <w:numFmt w:val="bullet"/>
      <w:lvlText w:val=""/>
      <w:lvlJc w:val="left"/>
      <w:pPr>
        <w:ind w:left="5040" w:hanging="360"/>
      </w:pPr>
      <w:rPr>
        <w:rFonts w:ascii="Symbol" w:hAnsi="Symbol" w:hint="default"/>
      </w:rPr>
    </w:lvl>
    <w:lvl w:ilvl="7" w:tplc="FA52E0F2">
      <w:start w:val="1"/>
      <w:numFmt w:val="bullet"/>
      <w:lvlText w:val="o"/>
      <w:lvlJc w:val="left"/>
      <w:pPr>
        <w:ind w:left="5760" w:hanging="360"/>
      </w:pPr>
      <w:rPr>
        <w:rFonts w:ascii="Courier New" w:hAnsi="Courier New" w:hint="default"/>
      </w:rPr>
    </w:lvl>
    <w:lvl w:ilvl="8" w:tplc="59E6222C">
      <w:start w:val="1"/>
      <w:numFmt w:val="bullet"/>
      <w:lvlText w:val=""/>
      <w:lvlJc w:val="left"/>
      <w:pPr>
        <w:ind w:left="6480" w:hanging="360"/>
      </w:pPr>
      <w:rPr>
        <w:rFonts w:ascii="Wingdings" w:hAnsi="Wingdings" w:hint="default"/>
      </w:rPr>
    </w:lvl>
  </w:abstractNum>
  <w:abstractNum w:abstractNumId="26" w15:restartNumberingAfterBreak="0">
    <w:nsid w:val="0F696404"/>
    <w:multiLevelType w:val="hybridMultilevel"/>
    <w:tmpl w:val="84D2E006"/>
    <w:lvl w:ilvl="0" w:tplc="BD12F0F4">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5E2936"/>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F42057"/>
    <w:multiLevelType w:val="hybridMultilevel"/>
    <w:tmpl w:val="1C36CC1E"/>
    <w:lvl w:ilvl="0" w:tplc="08090003">
      <w:start w:val="1"/>
      <w:numFmt w:val="bullet"/>
      <w:lvlText w:val="o"/>
      <w:lvlJc w:val="left"/>
      <w:pPr>
        <w:ind w:left="1581" w:hanging="360"/>
      </w:pPr>
      <w:rPr>
        <w:rFonts w:ascii="Courier New" w:hAnsi="Courier New" w:cs="Courier New" w:hint="default"/>
        <w:color w:val="auto"/>
      </w:rPr>
    </w:lvl>
    <w:lvl w:ilvl="1" w:tplc="FFFFFFFF">
      <w:start w:val="1"/>
      <w:numFmt w:val="bullet"/>
      <w:lvlText w:val="o"/>
      <w:lvlJc w:val="left"/>
      <w:pPr>
        <w:ind w:left="2301" w:hanging="360"/>
      </w:pPr>
      <w:rPr>
        <w:rFonts w:ascii="Courier New" w:hAnsi="Courier New" w:cs="Courier New" w:hint="default"/>
      </w:rPr>
    </w:lvl>
    <w:lvl w:ilvl="2" w:tplc="FFFFFFFF">
      <w:start w:val="1"/>
      <w:numFmt w:val="bullet"/>
      <w:lvlText w:val=""/>
      <w:lvlJc w:val="left"/>
      <w:pPr>
        <w:ind w:left="3021" w:hanging="360"/>
      </w:pPr>
      <w:rPr>
        <w:rFonts w:ascii="Wingdings" w:hAnsi="Wingdings" w:hint="default"/>
      </w:rPr>
    </w:lvl>
    <w:lvl w:ilvl="3" w:tplc="FFFFFFFF" w:tentative="1">
      <w:start w:val="1"/>
      <w:numFmt w:val="bullet"/>
      <w:lvlText w:val=""/>
      <w:lvlJc w:val="left"/>
      <w:pPr>
        <w:ind w:left="3741" w:hanging="360"/>
      </w:pPr>
      <w:rPr>
        <w:rFonts w:ascii="Symbol" w:hAnsi="Symbol" w:hint="default"/>
      </w:rPr>
    </w:lvl>
    <w:lvl w:ilvl="4" w:tplc="FFFFFFFF" w:tentative="1">
      <w:start w:val="1"/>
      <w:numFmt w:val="bullet"/>
      <w:lvlText w:val="o"/>
      <w:lvlJc w:val="left"/>
      <w:pPr>
        <w:ind w:left="4461" w:hanging="360"/>
      </w:pPr>
      <w:rPr>
        <w:rFonts w:ascii="Courier New" w:hAnsi="Courier New" w:cs="Courier New" w:hint="default"/>
      </w:rPr>
    </w:lvl>
    <w:lvl w:ilvl="5" w:tplc="FFFFFFFF" w:tentative="1">
      <w:start w:val="1"/>
      <w:numFmt w:val="bullet"/>
      <w:lvlText w:val=""/>
      <w:lvlJc w:val="left"/>
      <w:pPr>
        <w:ind w:left="5181" w:hanging="360"/>
      </w:pPr>
      <w:rPr>
        <w:rFonts w:ascii="Wingdings" w:hAnsi="Wingdings" w:hint="default"/>
      </w:rPr>
    </w:lvl>
    <w:lvl w:ilvl="6" w:tplc="FFFFFFFF" w:tentative="1">
      <w:start w:val="1"/>
      <w:numFmt w:val="bullet"/>
      <w:lvlText w:val=""/>
      <w:lvlJc w:val="left"/>
      <w:pPr>
        <w:ind w:left="5901" w:hanging="360"/>
      </w:pPr>
      <w:rPr>
        <w:rFonts w:ascii="Symbol" w:hAnsi="Symbol" w:hint="default"/>
      </w:rPr>
    </w:lvl>
    <w:lvl w:ilvl="7" w:tplc="FFFFFFFF" w:tentative="1">
      <w:start w:val="1"/>
      <w:numFmt w:val="bullet"/>
      <w:lvlText w:val="o"/>
      <w:lvlJc w:val="left"/>
      <w:pPr>
        <w:ind w:left="6621" w:hanging="360"/>
      </w:pPr>
      <w:rPr>
        <w:rFonts w:ascii="Courier New" w:hAnsi="Courier New" w:cs="Courier New" w:hint="default"/>
      </w:rPr>
    </w:lvl>
    <w:lvl w:ilvl="8" w:tplc="FFFFFFFF" w:tentative="1">
      <w:start w:val="1"/>
      <w:numFmt w:val="bullet"/>
      <w:lvlText w:val=""/>
      <w:lvlJc w:val="left"/>
      <w:pPr>
        <w:ind w:left="7341" w:hanging="360"/>
      </w:pPr>
      <w:rPr>
        <w:rFonts w:ascii="Wingdings" w:hAnsi="Wingdings" w:hint="default"/>
      </w:rPr>
    </w:lvl>
  </w:abstractNum>
  <w:abstractNum w:abstractNumId="29" w15:restartNumberingAfterBreak="0">
    <w:nsid w:val="11D71FD5"/>
    <w:multiLevelType w:val="multilevel"/>
    <w:tmpl w:val="A75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6A2A8B"/>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A0089A"/>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9C37DB"/>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CB3BCE"/>
    <w:multiLevelType w:val="hybridMultilevel"/>
    <w:tmpl w:val="F3302D7E"/>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7317880"/>
    <w:multiLevelType w:val="hybridMultilevel"/>
    <w:tmpl w:val="7CB6C076"/>
    <w:lvl w:ilvl="0" w:tplc="08090001">
      <w:start w:val="1"/>
      <w:numFmt w:val="bullet"/>
      <w:lvlText w:val=""/>
      <w:lvlJc w:val="left"/>
      <w:pPr>
        <w:ind w:left="720" w:hanging="360"/>
      </w:pPr>
      <w:rPr>
        <w:rFonts w:ascii="Symbol" w:hAnsi="Symbol" w:hint="default"/>
      </w:rPr>
    </w:lvl>
    <w:lvl w:ilvl="1" w:tplc="223A52CE">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8954459"/>
    <w:multiLevelType w:val="hybridMultilevel"/>
    <w:tmpl w:val="20FA6D3A"/>
    <w:lvl w:ilvl="0" w:tplc="B7782E24">
      <w:start w:val="1"/>
      <w:numFmt w:val="bullet"/>
      <w:lvlText w:val=""/>
      <w:lvlJc w:val="left"/>
      <w:pPr>
        <w:ind w:left="2006" w:hanging="360"/>
      </w:pPr>
      <w:rPr>
        <w:rFonts w:ascii="Symbol" w:hAnsi="Symbol" w:hint="default"/>
        <w:color w:val="auto"/>
      </w:rPr>
    </w:lvl>
    <w:lvl w:ilvl="1" w:tplc="04520003">
      <w:start w:val="1"/>
      <w:numFmt w:val="bullet"/>
      <w:lvlText w:val="o"/>
      <w:lvlJc w:val="left"/>
      <w:pPr>
        <w:ind w:left="2726" w:hanging="360"/>
      </w:pPr>
      <w:rPr>
        <w:rFonts w:ascii="Courier New" w:hAnsi="Courier New" w:cs="Courier New" w:hint="default"/>
      </w:rPr>
    </w:lvl>
    <w:lvl w:ilvl="2" w:tplc="04520005">
      <w:start w:val="1"/>
      <w:numFmt w:val="bullet"/>
      <w:lvlText w:val=""/>
      <w:lvlJc w:val="left"/>
      <w:pPr>
        <w:ind w:left="3446" w:hanging="360"/>
      </w:pPr>
      <w:rPr>
        <w:rFonts w:ascii="Wingdings" w:hAnsi="Wingdings" w:hint="default"/>
      </w:rPr>
    </w:lvl>
    <w:lvl w:ilvl="3" w:tplc="04520001" w:tentative="1">
      <w:start w:val="1"/>
      <w:numFmt w:val="bullet"/>
      <w:lvlText w:val=""/>
      <w:lvlJc w:val="left"/>
      <w:pPr>
        <w:ind w:left="4166" w:hanging="360"/>
      </w:pPr>
      <w:rPr>
        <w:rFonts w:ascii="Symbol" w:hAnsi="Symbol" w:hint="default"/>
      </w:rPr>
    </w:lvl>
    <w:lvl w:ilvl="4" w:tplc="04520003" w:tentative="1">
      <w:start w:val="1"/>
      <w:numFmt w:val="bullet"/>
      <w:lvlText w:val="o"/>
      <w:lvlJc w:val="left"/>
      <w:pPr>
        <w:ind w:left="4886" w:hanging="360"/>
      </w:pPr>
      <w:rPr>
        <w:rFonts w:ascii="Courier New" w:hAnsi="Courier New" w:cs="Courier New" w:hint="default"/>
      </w:rPr>
    </w:lvl>
    <w:lvl w:ilvl="5" w:tplc="04520005" w:tentative="1">
      <w:start w:val="1"/>
      <w:numFmt w:val="bullet"/>
      <w:lvlText w:val=""/>
      <w:lvlJc w:val="left"/>
      <w:pPr>
        <w:ind w:left="5606" w:hanging="360"/>
      </w:pPr>
      <w:rPr>
        <w:rFonts w:ascii="Wingdings" w:hAnsi="Wingdings" w:hint="default"/>
      </w:rPr>
    </w:lvl>
    <w:lvl w:ilvl="6" w:tplc="04520001" w:tentative="1">
      <w:start w:val="1"/>
      <w:numFmt w:val="bullet"/>
      <w:lvlText w:val=""/>
      <w:lvlJc w:val="left"/>
      <w:pPr>
        <w:ind w:left="6326" w:hanging="360"/>
      </w:pPr>
      <w:rPr>
        <w:rFonts w:ascii="Symbol" w:hAnsi="Symbol" w:hint="default"/>
      </w:rPr>
    </w:lvl>
    <w:lvl w:ilvl="7" w:tplc="04520003" w:tentative="1">
      <w:start w:val="1"/>
      <w:numFmt w:val="bullet"/>
      <w:lvlText w:val="o"/>
      <w:lvlJc w:val="left"/>
      <w:pPr>
        <w:ind w:left="7046" w:hanging="360"/>
      </w:pPr>
      <w:rPr>
        <w:rFonts w:ascii="Courier New" w:hAnsi="Courier New" w:cs="Courier New" w:hint="default"/>
      </w:rPr>
    </w:lvl>
    <w:lvl w:ilvl="8" w:tplc="04520005" w:tentative="1">
      <w:start w:val="1"/>
      <w:numFmt w:val="bullet"/>
      <w:lvlText w:val=""/>
      <w:lvlJc w:val="left"/>
      <w:pPr>
        <w:ind w:left="7766" w:hanging="360"/>
      </w:pPr>
      <w:rPr>
        <w:rFonts w:ascii="Wingdings" w:hAnsi="Wingdings" w:hint="default"/>
      </w:rPr>
    </w:lvl>
  </w:abstractNum>
  <w:abstractNum w:abstractNumId="36" w15:restartNumberingAfterBreak="0">
    <w:nsid w:val="196D23DA"/>
    <w:multiLevelType w:val="hybridMultilevel"/>
    <w:tmpl w:val="48C04BF2"/>
    <w:lvl w:ilvl="0" w:tplc="08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1C896056"/>
    <w:multiLevelType w:val="multilevel"/>
    <w:tmpl w:val="1650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B81D67"/>
    <w:multiLevelType w:val="multilevel"/>
    <w:tmpl w:val="5A90E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E746B6"/>
    <w:multiLevelType w:val="multilevel"/>
    <w:tmpl w:val="1478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05327E"/>
    <w:multiLevelType w:val="multilevel"/>
    <w:tmpl w:val="6DE2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8934A3"/>
    <w:multiLevelType w:val="hybridMultilevel"/>
    <w:tmpl w:val="D5F0029A"/>
    <w:lvl w:ilvl="0" w:tplc="3280B11C">
      <w:start w:val="1"/>
      <w:numFmt w:val="bullet"/>
      <w:lvlText w:val=""/>
      <w:lvlJc w:val="left"/>
      <w:pPr>
        <w:ind w:left="720" w:hanging="360"/>
      </w:pPr>
      <w:rPr>
        <w:rFonts w:ascii="Symbol" w:hAnsi="Symbol" w:hint="default"/>
      </w:rPr>
    </w:lvl>
    <w:lvl w:ilvl="1" w:tplc="073CF5F4">
      <w:start w:val="1"/>
      <w:numFmt w:val="bullet"/>
      <w:lvlText w:val="o"/>
      <w:lvlJc w:val="left"/>
      <w:pPr>
        <w:ind w:left="1440" w:hanging="360"/>
      </w:pPr>
      <w:rPr>
        <w:rFonts w:ascii="Courier New" w:hAnsi="Courier New" w:hint="default"/>
      </w:rPr>
    </w:lvl>
    <w:lvl w:ilvl="2" w:tplc="16006512">
      <w:start w:val="1"/>
      <w:numFmt w:val="bullet"/>
      <w:lvlText w:val=""/>
      <w:lvlJc w:val="left"/>
      <w:pPr>
        <w:ind w:left="2160" w:hanging="360"/>
      </w:pPr>
      <w:rPr>
        <w:rFonts w:ascii="Wingdings" w:hAnsi="Wingdings" w:hint="default"/>
      </w:rPr>
    </w:lvl>
    <w:lvl w:ilvl="3" w:tplc="F6F495E6">
      <w:start w:val="1"/>
      <w:numFmt w:val="bullet"/>
      <w:lvlText w:val=""/>
      <w:lvlJc w:val="left"/>
      <w:pPr>
        <w:ind w:left="2880" w:hanging="360"/>
      </w:pPr>
      <w:rPr>
        <w:rFonts w:ascii="Symbol" w:hAnsi="Symbol" w:hint="default"/>
      </w:rPr>
    </w:lvl>
    <w:lvl w:ilvl="4" w:tplc="1406ABF4">
      <w:start w:val="1"/>
      <w:numFmt w:val="bullet"/>
      <w:lvlText w:val="o"/>
      <w:lvlJc w:val="left"/>
      <w:pPr>
        <w:ind w:left="3600" w:hanging="360"/>
      </w:pPr>
      <w:rPr>
        <w:rFonts w:ascii="Courier New" w:hAnsi="Courier New" w:hint="default"/>
      </w:rPr>
    </w:lvl>
    <w:lvl w:ilvl="5" w:tplc="5C80364C">
      <w:start w:val="1"/>
      <w:numFmt w:val="bullet"/>
      <w:lvlText w:val=""/>
      <w:lvlJc w:val="left"/>
      <w:pPr>
        <w:ind w:left="4320" w:hanging="360"/>
      </w:pPr>
      <w:rPr>
        <w:rFonts w:ascii="Wingdings" w:hAnsi="Wingdings" w:hint="default"/>
      </w:rPr>
    </w:lvl>
    <w:lvl w:ilvl="6" w:tplc="82265DEA">
      <w:start w:val="1"/>
      <w:numFmt w:val="bullet"/>
      <w:lvlText w:val=""/>
      <w:lvlJc w:val="left"/>
      <w:pPr>
        <w:ind w:left="5040" w:hanging="360"/>
      </w:pPr>
      <w:rPr>
        <w:rFonts w:ascii="Symbol" w:hAnsi="Symbol" w:hint="default"/>
      </w:rPr>
    </w:lvl>
    <w:lvl w:ilvl="7" w:tplc="6E6EF476">
      <w:start w:val="1"/>
      <w:numFmt w:val="bullet"/>
      <w:lvlText w:val="o"/>
      <w:lvlJc w:val="left"/>
      <w:pPr>
        <w:ind w:left="5760" w:hanging="360"/>
      </w:pPr>
      <w:rPr>
        <w:rFonts w:ascii="Courier New" w:hAnsi="Courier New" w:hint="default"/>
      </w:rPr>
    </w:lvl>
    <w:lvl w:ilvl="8" w:tplc="1EC6E39E">
      <w:start w:val="1"/>
      <w:numFmt w:val="bullet"/>
      <w:lvlText w:val=""/>
      <w:lvlJc w:val="left"/>
      <w:pPr>
        <w:ind w:left="6480" w:hanging="360"/>
      </w:pPr>
      <w:rPr>
        <w:rFonts w:ascii="Wingdings" w:hAnsi="Wingdings" w:hint="default"/>
      </w:rPr>
    </w:lvl>
  </w:abstractNum>
  <w:abstractNum w:abstractNumId="42" w15:restartNumberingAfterBreak="0">
    <w:nsid w:val="24871B5E"/>
    <w:multiLevelType w:val="multilevel"/>
    <w:tmpl w:val="53D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8C0E5A"/>
    <w:multiLevelType w:val="multilevel"/>
    <w:tmpl w:val="686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184A30"/>
    <w:multiLevelType w:val="multilevel"/>
    <w:tmpl w:val="A82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197B1C"/>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9320BD6"/>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F2655C"/>
    <w:multiLevelType w:val="multilevel"/>
    <w:tmpl w:val="A19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FC6FA5"/>
    <w:multiLevelType w:val="hybridMultilevel"/>
    <w:tmpl w:val="4426B79A"/>
    <w:lvl w:ilvl="0" w:tplc="5B706B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AE0170D"/>
    <w:multiLevelType w:val="hybridMultilevel"/>
    <w:tmpl w:val="070472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AEC4CF1"/>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E3566E9"/>
    <w:multiLevelType w:val="multilevel"/>
    <w:tmpl w:val="8B9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E23E0E"/>
    <w:multiLevelType w:val="hybridMultilevel"/>
    <w:tmpl w:val="CB22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134EB1"/>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299CBF0"/>
    <w:multiLevelType w:val="hybridMultilevel"/>
    <w:tmpl w:val="1450BF18"/>
    <w:lvl w:ilvl="0" w:tplc="B5309EF6">
      <w:start w:val="1"/>
      <w:numFmt w:val="bullet"/>
      <w:lvlText w:val=""/>
      <w:lvlJc w:val="left"/>
      <w:pPr>
        <w:ind w:left="720" w:hanging="360"/>
      </w:pPr>
      <w:rPr>
        <w:rFonts w:ascii="Symbol" w:hAnsi="Symbol" w:hint="default"/>
      </w:rPr>
    </w:lvl>
    <w:lvl w:ilvl="1" w:tplc="F342B650">
      <w:start w:val="1"/>
      <w:numFmt w:val="bullet"/>
      <w:lvlText w:val="o"/>
      <w:lvlJc w:val="left"/>
      <w:pPr>
        <w:ind w:left="1440" w:hanging="360"/>
      </w:pPr>
      <w:rPr>
        <w:rFonts w:ascii="Courier New" w:hAnsi="Courier New" w:hint="default"/>
      </w:rPr>
    </w:lvl>
    <w:lvl w:ilvl="2" w:tplc="A9B8AB8E">
      <w:start w:val="1"/>
      <w:numFmt w:val="bullet"/>
      <w:lvlText w:val=""/>
      <w:lvlJc w:val="left"/>
      <w:pPr>
        <w:ind w:left="2160" w:hanging="360"/>
      </w:pPr>
      <w:rPr>
        <w:rFonts w:ascii="Wingdings" w:hAnsi="Wingdings" w:hint="default"/>
      </w:rPr>
    </w:lvl>
    <w:lvl w:ilvl="3" w:tplc="F364D824">
      <w:start w:val="1"/>
      <w:numFmt w:val="bullet"/>
      <w:lvlText w:val=""/>
      <w:lvlJc w:val="left"/>
      <w:pPr>
        <w:ind w:left="2880" w:hanging="360"/>
      </w:pPr>
      <w:rPr>
        <w:rFonts w:ascii="Symbol" w:hAnsi="Symbol" w:hint="default"/>
      </w:rPr>
    </w:lvl>
    <w:lvl w:ilvl="4" w:tplc="90B29FEE">
      <w:start w:val="1"/>
      <w:numFmt w:val="bullet"/>
      <w:lvlText w:val="o"/>
      <w:lvlJc w:val="left"/>
      <w:pPr>
        <w:ind w:left="3600" w:hanging="360"/>
      </w:pPr>
      <w:rPr>
        <w:rFonts w:ascii="Courier New" w:hAnsi="Courier New" w:hint="default"/>
      </w:rPr>
    </w:lvl>
    <w:lvl w:ilvl="5" w:tplc="0892261E">
      <w:start w:val="1"/>
      <w:numFmt w:val="bullet"/>
      <w:lvlText w:val=""/>
      <w:lvlJc w:val="left"/>
      <w:pPr>
        <w:ind w:left="4320" w:hanging="360"/>
      </w:pPr>
      <w:rPr>
        <w:rFonts w:ascii="Wingdings" w:hAnsi="Wingdings" w:hint="default"/>
      </w:rPr>
    </w:lvl>
    <w:lvl w:ilvl="6" w:tplc="A6DE1A7A">
      <w:start w:val="1"/>
      <w:numFmt w:val="bullet"/>
      <w:lvlText w:val=""/>
      <w:lvlJc w:val="left"/>
      <w:pPr>
        <w:ind w:left="5040" w:hanging="360"/>
      </w:pPr>
      <w:rPr>
        <w:rFonts w:ascii="Symbol" w:hAnsi="Symbol" w:hint="default"/>
      </w:rPr>
    </w:lvl>
    <w:lvl w:ilvl="7" w:tplc="1ED2DBE4">
      <w:start w:val="1"/>
      <w:numFmt w:val="bullet"/>
      <w:lvlText w:val="o"/>
      <w:lvlJc w:val="left"/>
      <w:pPr>
        <w:ind w:left="5760" w:hanging="360"/>
      </w:pPr>
      <w:rPr>
        <w:rFonts w:ascii="Courier New" w:hAnsi="Courier New" w:hint="default"/>
      </w:rPr>
    </w:lvl>
    <w:lvl w:ilvl="8" w:tplc="384AC5A8">
      <w:start w:val="1"/>
      <w:numFmt w:val="bullet"/>
      <w:lvlText w:val=""/>
      <w:lvlJc w:val="left"/>
      <w:pPr>
        <w:ind w:left="6480" w:hanging="360"/>
      </w:pPr>
      <w:rPr>
        <w:rFonts w:ascii="Wingdings" w:hAnsi="Wingdings" w:hint="default"/>
      </w:rPr>
    </w:lvl>
  </w:abstractNum>
  <w:abstractNum w:abstractNumId="55" w15:restartNumberingAfterBreak="0">
    <w:nsid w:val="355A02A7"/>
    <w:multiLevelType w:val="multilevel"/>
    <w:tmpl w:val="F668B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5814CD5"/>
    <w:multiLevelType w:val="multilevel"/>
    <w:tmpl w:val="601C8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6215A6D"/>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C704D8"/>
    <w:multiLevelType w:val="hybridMultilevel"/>
    <w:tmpl w:val="79C4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097177"/>
    <w:multiLevelType w:val="multilevel"/>
    <w:tmpl w:val="4E4622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0" w15:restartNumberingAfterBreak="0">
    <w:nsid w:val="3C566501"/>
    <w:multiLevelType w:val="multilevel"/>
    <w:tmpl w:val="448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F54515"/>
    <w:multiLevelType w:val="multilevel"/>
    <w:tmpl w:val="13DA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D5B1945"/>
    <w:multiLevelType w:val="multilevel"/>
    <w:tmpl w:val="2052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646A12"/>
    <w:multiLevelType w:val="multilevel"/>
    <w:tmpl w:val="2414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06324D"/>
    <w:multiLevelType w:val="hybridMultilevel"/>
    <w:tmpl w:val="AB348DA2"/>
    <w:lvl w:ilvl="0" w:tplc="0809000B">
      <w:start w:val="1"/>
      <w:numFmt w:val="bullet"/>
      <w:lvlText w:val=""/>
      <w:lvlJc w:val="left"/>
      <w:pPr>
        <w:ind w:left="1581" w:hanging="360"/>
      </w:pPr>
      <w:rPr>
        <w:rFonts w:ascii="Wingdings" w:hAnsi="Wingdings" w:hint="default"/>
        <w:color w:val="auto"/>
      </w:rPr>
    </w:lvl>
    <w:lvl w:ilvl="1" w:tplc="FFFFFFFF">
      <w:start w:val="1"/>
      <w:numFmt w:val="bullet"/>
      <w:lvlText w:val="o"/>
      <w:lvlJc w:val="left"/>
      <w:pPr>
        <w:ind w:left="2301" w:hanging="360"/>
      </w:pPr>
      <w:rPr>
        <w:rFonts w:ascii="Courier New" w:hAnsi="Courier New" w:cs="Courier New" w:hint="default"/>
      </w:rPr>
    </w:lvl>
    <w:lvl w:ilvl="2" w:tplc="FFFFFFFF">
      <w:start w:val="1"/>
      <w:numFmt w:val="bullet"/>
      <w:lvlText w:val=""/>
      <w:lvlJc w:val="left"/>
      <w:pPr>
        <w:ind w:left="3021" w:hanging="360"/>
      </w:pPr>
      <w:rPr>
        <w:rFonts w:ascii="Wingdings" w:hAnsi="Wingdings" w:hint="default"/>
      </w:rPr>
    </w:lvl>
    <w:lvl w:ilvl="3" w:tplc="FFFFFFFF" w:tentative="1">
      <w:start w:val="1"/>
      <w:numFmt w:val="bullet"/>
      <w:lvlText w:val=""/>
      <w:lvlJc w:val="left"/>
      <w:pPr>
        <w:ind w:left="3741" w:hanging="360"/>
      </w:pPr>
      <w:rPr>
        <w:rFonts w:ascii="Symbol" w:hAnsi="Symbol" w:hint="default"/>
      </w:rPr>
    </w:lvl>
    <w:lvl w:ilvl="4" w:tplc="FFFFFFFF" w:tentative="1">
      <w:start w:val="1"/>
      <w:numFmt w:val="bullet"/>
      <w:lvlText w:val="o"/>
      <w:lvlJc w:val="left"/>
      <w:pPr>
        <w:ind w:left="4461" w:hanging="360"/>
      </w:pPr>
      <w:rPr>
        <w:rFonts w:ascii="Courier New" w:hAnsi="Courier New" w:cs="Courier New" w:hint="default"/>
      </w:rPr>
    </w:lvl>
    <w:lvl w:ilvl="5" w:tplc="FFFFFFFF" w:tentative="1">
      <w:start w:val="1"/>
      <w:numFmt w:val="bullet"/>
      <w:lvlText w:val=""/>
      <w:lvlJc w:val="left"/>
      <w:pPr>
        <w:ind w:left="5181" w:hanging="360"/>
      </w:pPr>
      <w:rPr>
        <w:rFonts w:ascii="Wingdings" w:hAnsi="Wingdings" w:hint="default"/>
      </w:rPr>
    </w:lvl>
    <w:lvl w:ilvl="6" w:tplc="FFFFFFFF" w:tentative="1">
      <w:start w:val="1"/>
      <w:numFmt w:val="bullet"/>
      <w:lvlText w:val=""/>
      <w:lvlJc w:val="left"/>
      <w:pPr>
        <w:ind w:left="5901" w:hanging="360"/>
      </w:pPr>
      <w:rPr>
        <w:rFonts w:ascii="Symbol" w:hAnsi="Symbol" w:hint="default"/>
      </w:rPr>
    </w:lvl>
    <w:lvl w:ilvl="7" w:tplc="FFFFFFFF" w:tentative="1">
      <w:start w:val="1"/>
      <w:numFmt w:val="bullet"/>
      <w:lvlText w:val="o"/>
      <w:lvlJc w:val="left"/>
      <w:pPr>
        <w:ind w:left="6621" w:hanging="360"/>
      </w:pPr>
      <w:rPr>
        <w:rFonts w:ascii="Courier New" w:hAnsi="Courier New" w:cs="Courier New" w:hint="default"/>
      </w:rPr>
    </w:lvl>
    <w:lvl w:ilvl="8" w:tplc="FFFFFFFF" w:tentative="1">
      <w:start w:val="1"/>
      <w:numFmt w:val="bullet"/>
      <w:lvlText w:val=""/>
      <w:lvlJc w:val="left"/>
      <w:pPr>
        <w:ind w:left="7341" w:hanging="360"/>
      </w:pPr>
      <w:rPr>
        <w:rFonts w:ascii="Wingdings" w:hAnsi="Wingdings" w:hint="default"/>
      </w:rPr>
    </w:lvl>
  </w:abstractNum>
  <w:abstractNum w:abstractNumId="65" w15:restartNumberingAfterBreak="0">
    <w:nsid w:val="3E0C0349"/>
    <w:multiLevelType w:val="hybridMultilevel"/>
    <w:tmpl w:val="644C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F6B2E8E"/>
    <w:multiLevelType w:val="multilevel"/>
    <w:tmpl w:val="5B24D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FBD02E5"/>
    <w:multiLevelType w:val="multilevel"/>
    <w:tmpl w:val="A82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1F2982"/>
    <w:multiLevelType w:val="multilevel"/>
    <w:tmpl w:val="103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F53892"/>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11F76C9"/>
    <w:multiLevelType w:val="multilevel"/>
    <w:tmpl w:val="C17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5122D3"/>
    <w:multiLevelType w:val="multilevel"/>
    <w:tmpl w:val="4F66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701686"/>
    <w:multiLevelType w:val="hybridMultilevel"/>
    <w:tmpl w:val="A358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6045C28"/>
    <w:multiLevelType w:val="hybridMultilevel"/>
    <w:tmpl w:val="6A7ECA1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4" w15:restartNumberingAfterBreak="0">
    <w:nsid w:val="47821A38"/>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B9C6917"/>
    <w:multiLevelType w:val="multilevel"/>
    <w:tmpl w:val="A86E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A66645"/>
    <w:multiLevelType w:val="multilevel"/>
    <w:tmpl w:val="5D3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760AF6"/>
    <w:multiLevelType w:val="multilevel"/>
    <w:tmpl w:val="7FA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B27C8A"/>
    <w:multiLevelType w:val="multilevel"/>
    <w:tmpl w:val="04E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5F59D6"/>
    <w:multiLevelType w:val="hybridMultilevel"/>
    <w:tmpl w:val="614C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10F60F3"/>
    <w:multiLevelType w:val="multilevel"/>
    <w:tmpl w:val="48A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6D66D8"/>
    <w:multiLevelType w:val="multilevel"/>
    <w:tmpl w:val="87BE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C7156C"/>
    <w:multiLevelType w:val="hybridMultilevel"/>
    <w:tmpl w:val="009A79F6"/>
    <w:lvl w:ilvl="0" w:tplc="B7782E24">
      <w:start w:val="1"/>
      <w:numFmt w:val="bullet"/>
      <w:lvlText w:val=""/>
      <w:lvlJc w:val="left"/>
      <w:pPr>
        <w:ind w:left="158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5F0188A"/>
    <w:multiLevelType w:val="multilevel"/>
    <w:tmpl w:val="558A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5A4568"/>
    <w:multiLevelType w:val="hybridMultilevel"/>
    <w:tmpl w:val="EB54A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5B644626"/>
    <w:multiLevelType w:val="multilevel"/>
    <w:tmpl w:val="AAE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167DC9"/>
    <w:multiLevelType w:val="multilevel"/>
    <w:tmpl w:val="C158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B30B23"/>
    <w:multiLevelType w:val="multilevel"/>
    <w:tmpl w:val="D18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154529"/>
    <w:multiLevelType w:val="multilevel"/>
    <w:tmpl w:val="FB72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84595B"/>
    <w:multiLevelType w:val="multilevel"/>
    <w:tmpl w:val="8794DC1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5E66AE05"/>
    <w:multiLevelType w:val="hybridMultilevel"/>
    <w:tmpl w:val="5A56FA4A"/>
    <w:lvl w:ilvl="0" w:tplc="747AD6E0">
      <w:start w:val="1"/>
      <w:numFmt w:val="bullet"/>
      <w:lvlText w:val=""/>
      <w:lvlJc w:val="left"/>
      <w:pPr>
        <w:ind w:left="720" w:hanging="360"/>
      </w:pPr>
      <w:rPr>
        <w:rFonts w:ascii="Symbol" w:hAnsi="Symbol" w:hint="default"/>
      </w:rPr>
    </w:lvl>
    <w:lvl w:ilvl="1" w:tplc="D18C9652">
      <w:start w:val="1"/>
      <w:numFmt w:val="bullet"/>
      <w:lvlText w:val="o"/>
      <w:lvlJc w:val="left"/>
      <w:pPr>
        <w:ind w:left="1440" w:hanging="360"/>
      </w:pPr>
      <w:rPr>
        <w:rFonts w:ascii="Courier New" w:hAnsi="Courier New" w:hint="default"/>
      </w:rPr>
    </w:lvl>
    <w:lvl w:ilvl="2" w:tplc="72129132">
      <w:start w:val="1"/>
      <w:numFmt w:val="bullet"/>
      <w:lvlText w:val=""/>
      <w:lvlJc w:val="left"/>
      <w:pPr>
        <w:ind w:left="2160" w:hanging="360"/>
      </w:pPr>
      <w:rPr>
        <w:rFonts w:ascii="Wingdings" w:hAnsi="Wingdings" w:hint="default"/>
      </w:rPr>
    </w:lvl>
    <w:lvl w:ilvl="3" w:tplc="B22491D0">
      <w:start w:val="1"/>
      <w:numFmt w:val="bullet"/>
      <w:lvlText w:val=""/>
      <w:lvlJc w:val="left"/>
      <w:pPr>
        <w:ind w:left="2880" w:hanging="360"/>
      </w:pPr>
      <w:rPr>
        <w:rFonts w:ascii="Symbol" w:hAnsi="Symbol" w:hint="default"/>
      </w:rPr>
    </w:lvl>
    <w:lvl w:ilvl="4" w:tplc="6F5A5DFE">
      <w:start w:val="1"/>
      <w:numFmt w:val="bullet"/>
      <w:lvlText w:val="o"/>
      <w:lvlJc w:val="left"/>
      <w:pPr>
        <w:ind w:left="3600" w:hanging="360"/>
      </w:pPr>
      <w:rPr>
        <w:rFonts w:ascii="Courier New" w:hAnsi="Courier New" w:hint="default"/>
      </w:rPr>
    </w:lvl>
    <w:lvl w:ilvl="5" w:tplc="75D8790A">
      <w:start w:val="1"/>
      <w:numFmt w:val="bullet"/>
      <w:lvlText w:val=""/>
      <w:lvlJc w:val="left"/>
      <w:pPr>
        <w:ind w:left="4320" w:hanging="360"/>
      </w:pPr>
      <w:rPr>
        <w:rFonts w:ascii="Wingdings" w:hAnsi="Wingdings" w:hint="default"/>
      </w:rPr>
    </w:lvl>
    <w:lvl w:ilvl="6" w:tplc="D86C60B8">
      <w:start w:val="1"/>
      <w:numFmt w:val="bullet"/>
      <w:lvlText w:val=""/>
      <w:lvlJc w:val="left"/>
      <w:pPr>
        <w:ind w:left="5040" w:hanging="360"/>
      </w:pPr>
      <w:rPr>
        <w:rFonts w:ascii="Symbol" w:hAnsi="Symbol" w:hint="default"/>
      </w:rPr>
    </w:lvl>
    <w:lvl w:ilvl="7" w:tplc="021092E8">
      <w:start w:val="1"/>
      <w:numFmt w:val="bullet"/>
      <w:lvlText w:val="o"/>
      <w:lvlJc w:val="left"/>
      <w:pPr>
        <w:ind w:left="5760" w:hanging="360"/>
      </w:pPr>
      <w:rPr>
        <w:rFonts w:ascii="Courier New" w:hAnsi="Courier New" w:hint="default"/>
      </w:rPr>
    </w:lvl>
    <w:lvl w:ilvl="8" w:tplc="7C38156C">
      <w:start w:val="1"/>
      <w:numFmt w:val="bullet"/>
      <w:lvlText w:val=""/>
      <w:lvlJc w:val="left"/>
      <w:pPr>
        <w:ind w:left="6480" w:hanging="360"/>
      </w:pPr>
      <w:rPr>
        <w:rFonts w:ascii="Wingdings" w:hAnsi="Wingdings" w:hint="default"/>
      </w:rPr>
    </w:lvl>
  </w:abstractNum>
  <w:abstractNum w:abstractNumId="91" w15:restartNumberingAfterBreak="0">
    <w:nsid w:val="5E9C4886"/>
    <w:multiLevelType w:val="multilevel"/>
    <w:tmpl w:val="1D6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6D7B38"/>
    <w:multiLevelType w:val="multilevel"/>
    <w:tmpl w:val="DDA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7157EC"/>
    <w:multiLevelType w:val="multilevel"/>
    <w:tmpl w:val="95369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1560D8"/>
    <w:multiLevelType w:val="hybridMultilevel"/>
    <w:tmpl w:val="1F206C7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5" w15:restartNumberingAfterBreak="0">
    <w:nsid w:val="63660089"/>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3D35AF2"/>
    <w:multiLevelType w:val="multilevel"/>
    <w:tmpl w:val="9F8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A025D9"/>
    <w:multiLevelType w:val="multilevel"/>
    <w:tmpl w:val="5866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0E0615"/>
    <w:multiLevelType w:val="multilevel"/>
    <w:tmpl w:val="FB1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CB6602"/>
    <w:multiLevelType w:val="multilevel"/>
    <w:tmpl w:val="6F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53242F"/>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91059D6"/>
    <w:multiLevelType w:val="multilevel"/>
    <w:tmpl w:val="7530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BB042A"/>
    <w:multiLevelType w:val="hybridMultilevel"/>
    <w:tmpl w:val="CF68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A354581"/>
    <w:multiLevelType w:val="multilevel"/>
    <w:tmpl w:val="7734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346BF9"/>
    <w:multiLevelType w:val="multilevel"/>
    <w:tmpl w:val="E3F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D8A2102"/>
    <w:multiLevelType w:val="multilevel"/>
    <w:tmpl w:val="04FA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7F0CB2"/>
    <w:multiLevelType w:val="multilevel"/>
    <w:tmpl w:val="7E18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D2699D"/>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0F948FF"/>
    <w:multiLevelType w:val="multilevel"/>
    <w:tmpl w:val="36F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A14488"/>
    <w:multiLevelType w:val="hybridMultilevel"/>
    <w:tmpl w:val="B462C7EA"/>
    <w:lvl w:ilvl="0" w:tplc="B7782E24">
      <w:start w:val="1"/>
      <w:numFmt w:val="bullet"/>
      <w:lvlText w:val=""/>
      <w:lvlJc w:val="left"/>
      <w:pPr>
        <w:ind w:left="158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010C91"/>
    <w:multiLevelType w:val="multilevel"/>
    <w:tmpl w:val="6A4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5F33A1C"/>
    <w:multiLevelType w:val="multilevel"/>
    <w:tmpl w:val="E996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C53648"/>
    <w:multiLevelType w:val="hybridMultilevel"/>
    <w:tmpl w:val="BF6ACAD8"/>
    <w:lvl w:ilvl="0" w:tplc="7DB0313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415784"/>
    <w:multiLevelType w:val="multilevel"/>
    <w:tmpl w:val="6F7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734C58"/>
    <w:multiLevelType w:val="multilevel"/>
    <w:tmpl w:val="057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746CAE"/>
    <w:multiLevelType w:val="hybridMultilevel"/>
    <w:tmpl w:val="17D6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1C15FB"/>
    <w:multiLevelType w:val="multilevel"/>
    <w:tmpl w:val="D3D4E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C2036DF"/>
    <w:multiLevelType w:val="multilevel"/>
    <w:tmpl w:val="7340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E9B4496"/>
    <w:multiLevelType w:val="hybridMultilevel"/>
    <w:tmpl w:val="BEA8D23C"/>
    <w:lvl w:ilvl="0" w:tplc="FFFFFFFF">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Calibri Light" w:eastAsia="Calibri" w:hAnsi="Calibri Light" w:cs="Calibri Light" w:hint="default"/>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3418015">
    <w:abstractNumId w:val="25"/>
  </w:num>
  <w:num w:numId="2" w16cid:durableId="1705867567">
    <w:abstractNumId w:val="41"/>
  </w:num>
  <w:num w:numId="3" w16cid:durableId="1717582328">
    <w:abstractNumId w:val="54"/>
  </w:num>
  <w:num w:numId="4" w16cid:durableId="1457719541">
    <w:abstractNumId w:val="11"/>
  </w:num>
  <w:num w:numId="5" w16cid:durableId="920604439">
    <w:abstractNumId w:val="90"/>
  </w:num>
  <w:num w:numId="6" w16cid:durableId="942808395">
    <w:abstractNumId w:val="35"/>
  </w:num>
  <w:num w:numId="7" w16cid:durableId="1911184994">
    <w:abstractNumId w:val="48"/>
  </w:num>
  <w:num w:numId="8" w16cid:durableId="547256174">
    <w:abstractNumId w:val="115"/>
  </w:num>
  <w:num w:numId="9" w16cid:durableId="1766338446">
    <w:abstractNumId w:val="34"/>
  </w:num>
  <w:num w:numId="10" w16cid:durableId="367612617">
    <w:abstractNumId w:val="65"/>
  </w:num>
  <w:num w:numId="11" w16cid:durableId="1379668338">
    <w:abstractNumId w:val="112"/>
  </w:num>
  <w:num w:numId="12" w16cid:durableId="736055295">
    <w:abstractNumId w:val="36"/>
  </w:num>
  <w:num w:numId="13" w16cid:durableId="1724208632">
    <w:abstractNumId w:val="7"/>
  </w:num>
  <w:num w:numId="14" w16cid:durableId="832531069">
    <w:abstractNumId w:val="19"/>
  </w:num>
  <w:num w:numId="15" w16cid:durableId="577598962">
    <w:abstractNumId w:val="12"/>
  </w:num>
  <w:num w:numId="16" w16cid:durableId="1115446269">
    <w:abstractNumId w:val="89"/>
  </w:num>
  <w:num w:numId="17" w16cid:durableId="1947690592">
    <w:abstractNumId w:val="73"/>
  </w:num>
  <w:num w:numId="18" w16cid:durableId="1764062165">
    <w:abstractNumId w:val="20"/>
  </w:num>
  <w:num w:numId="19" w16cid:durableId="1460419770">
    <w:abstractNumId w:val="94"/>
  </w:num>
  <w:num w:numId="20" w16cid:durableId="1786389203">
    <w:abstractNumId w:val="118"/>
  </w:num>
  <w:num w:numId="21" w16cid:durableId="498886244">
    <w:abstractNumId w:val="102"/>
  </w:num>
  <w:num w:numId="22" w16cid:durableId="1559635393">
    <w:abstractNumId w:val="22"/>
  </w:num>
  <w:num w:numId="23" w16cid:durableId="516503101">
    <w:abstractNumId w:val="5"/>
  </w:num>
  <w:num w:numId="24" w16cid:durableId="1145581321">
    <w:abstractNumId w:val="52"/>
  </w:num>
  <w:num w:numId="25" w16cid:durableId="1297369087">
    <w:abstractNumId w:val="82"/>
  </w:num>
  <w:num w:numId="26" w16cid:durableId="1632783958">
    <w:abstractNumId w:val="28"/>
  </w:num>
  <w:num w:numId="27" w16cid:durableId="941374455">
    <w:abstractNumId w:val="49"/>
  </w:num>
  <w:num w:numId="28" w16cid:durableId="1696693428">
    <w:abstractNumId w:val="64"/>
  </w:num>
  <w:num w:numId="29" w16cid:durableId="1480726307">
    <w:abstractNumId w:val="79"/>
  </w:num>
  <w:num w:numId="30" w16cid:durableId="1931769946">
    <w:abstractNumId w:val="104"/>
  </w:num>
  <w:num w:numId="31" w16cid:durableId="446044797">
    <w:abstractNumId w:val="59"/>
  </w:num>
  <w:num w:numId="32" w16cid:durableId="696391066">
    <w:abstractNumId w:val="117"/>
  </w:num>
  <w:num w:numId="33" w16cid:durableId="2044279757">
    <w:abstractNumId w:val="116"/>
  </w:num>
  <w:num w:numId="34" w16cid:durableId="2131392763">
    <w:abstractNumId w:val="55"/>
  </w:num>
  <w:num w:numId="35" w16cid:durableId="1836069927">
    <w:abstractNumId w:val="61"/>
  </w:num>
  <w:num w:numId="36" w16cid:durableId="1072850745">
    <w:abstractNumId w:val="56"/>
  </w:num>
  <w:num w:numId="37" w16cid:durableId="1278103898">
    <w:abstractNumId w:val="110"/>
  </w:num>
  <w:num w:numId="38" w16cid:durableId="1532499585">
    <w:abstractNumId w:val="9"/>
  </w:num>
  <w:num w:numId="39" w16cid:durableId="682130090">
    <w:abstractNumId w:val="50"/>
  </w:num>
  <w:num w:numId="40" w16cid:durableId="2016765194">
    <w:abstractNumId w:val="107"/>
  </w:num>
  <w:num w:numId="41" w16cid:durableId="1309017412">
    <w:abstractNumId w:val="69"/>
  </w:num>
  <w:num w:numId="42" w16cid:durableId="379018386">
    <w:abstractNumId w:val="32"/>
  </w:num>
  <w:num w:numId="43" w16cid:durableId="28185918">
    <w:abstractNumId w:val="30"/>
  </w:num>
  <w:num w:numId="44" w16cid:durableId="1226260047">
    <w:abstractNumId w:val="66"/>
  </w:num>
  <w:num w:numId="45" w16cid:durableId="102921830">
    <w:abstractNumId w:val="0"/>
  </w:num>
  <w:num w:numId="46" w16cid:durableId="74784629">
    <w:abstractNumId w:val="27"/>
  </w:num>
  <w:num w:numId="47" w16cid:durableId="918518905">
    <w:abstractNumId w:val="31"/>
  </w:num>
  <w:num w:numId="48" w16cid:durableId="1723405117">
    <w:abstractNumId w:val="74"/>
  </w:num>
  <w:num w:numId="49" w16cid:durableId="1629975399">
    <w:abstractNumId w:val="38"/>
  </w:num>
  <w:num w:numId="50" w16cid:durableId="147524089">
    <w:abstractNumId w:val="57"/>
  </w:num>
  <w:num w:numId="51" w16cid:durableId="1444576085">
    <w:abstractNumId w:val="53"/>
  </w:num>
  <w:num w:numId="52" w16cid:durableId="1381515730">
    <w:abstractNumId w:val="100"/>
  </w:num>
  <w:num w:numId="53" w16cid:durableId="661351277">
    <w:abstractNumId w:val="4"/>
  </w:num>
  <w:num w:numId="54" w16cid:durableId="1026979421">
    <w:abstractNumId w:val="46"/>
  </w:num>
  <w:num w:numId="55" w16cid:durableId="817384295">
    <w:abstractNumId w:val="95"/>
  </w:num>
  <w:num w:numId="56" w16cid:durableId="947468519">
    <w:abstractNumId w:val="45"/>
  </w:num>
  <w:num w:numId="57" w16cid:durableId="561329914">
    <w:abstractNumId w:val="13"/>
  </w:num>
  <w:num w:numId="58" w16cid:durableId="1134443053">
    <w:abstractNumId w:val="10"/>
  </w:num>
  <w:num w:numId="59" w16cid:durableId="670255501">
    <w:abstractNumId w:val="109"/>
  </w:num>
  <w:num w:numId="60" w16cid:durableId="1730107037">
    <w:abstractNumId w:val="93"/>
  </w:num>
  <w:num w:numId="61" w16cid:durableId="185220938">
    <w:abstractNumId w:val="92"/>
  </w:num>
  <w:num w:numId="62" w16cid:durableId="1181355228">
    <w:abstractNumId w:val="106"/>
  </w:num>
  <w:num w:numId="63" w16cid:durableId="1030107762">
    <w:abstractNumId w:val="21"/>
  </w:num>
  <w:num w:numId="64" w16cid:durableId="409616246">
    <w:abstractNumId w:val="108"/>
  </w:num>
  <w:num w:numId="65" w16cid:durableId="389496842">
    <w:abstractNumId w:val="75"/>
  </w:num>
  <w:num w:numId="66" w16cid:durableId="678848908">
    <w:abstractNumId w:val="23"/>
  </w:num>
  <w:num w:numId="67" w16cid:durableId="322392144">
    <w:abstractNumId w:val="96"/>
  </w:num>
  <w:num w:numId="68" w16cid:durableId="1218474837">
    <w:abstractNumId w:val="70"/>
  </w:num>
  <w:num w:numId="69" w16cid:durableId="2003849716">
    <w:abstractNumId w:val="78"/>
  </w:num>
  <w:num w:numId="70" w16cid:durableId="1678920453">
    <w:abstractNumId w:val="58"/>
  </w:num>
  <w:num w:numId="71" w16cid:durableId="1781995370">
    <w:abstractNumId w:val="33"/>
  </w:num>
  <w:num w:numId="72" w16cid:durableId="714933909">
    <w:abstractNumId w:val="43"/>
  </w:num>
  <w:num w:numId="73" w16cid:durableId="1390811346">
    <w:abstractNumId w:val="60"/>
  </w:num>
  <w:num w:numId="74" w16cid:durableId="175771574">
    <w:abstractNumId w:val="99"/>
  </w:num>
  <w:num w:numId="75" w16cid:durableId="407113255">
    <w:abstractNumId w:val="85"/>
  </w:num>
  <w:num w:numId="76" w16cid:durableId="1131899603">
    <w:abstractNumId w:val="42"/>
  </w:num>
  <w:num w:numId="77" w16cid:durableId="99765071">
    <w:abstractNumId w:val="103"/>
  </w:num>
  <w:num w:numId="78" w16cid:durableId="1657223953">
    <w:abstractNumId w:val="83"/>
  </w:num>
  <w:num w:numId="79" w16cid:durableId="802888474">
    <w:abstractNumId w:val="68"/>
  </w:num>
  <w:num w:numId="80" w16cid:durableId="174000066">
    <w:abstractNumId w:val="113"/>
  </w:num>
  <w:num w:numId="81" w16cid:durableId="1366368572">
    <w:abstractNumId w:val="88"/>
  </w:num>
  <w:num w:numId="82" w16cid:durableId="685601644">
    <w:abstractNumId w:val="80"/>
  </w:num>
  <w:num w:numId="83" w16cid:durableId="1222902833">
    <w:abstractNumId w:val="17"/>
  </w:num>
  <w:num w:numId="84" w16cid:durableId="746538492">
    <w:abstractNumId w:val="77"/>
  </w:num>
  <w:num w:numId="85" w16cid:durableId="13964395">
    <w:abstractNumId w:val="40"/>
  </w:num>
  <w:num w:numId="86" w16cid:durableId="1002970800">
    <w:abstractNumId w:val="39"/>
  </w:num>
  <w:num w:numId="87" w16cid:durableId="807749469">
    <w:abstractNumId w:val="16"/>
  </w:num>
  <w:num w:numId="88" w16cid:durableId="8484020">
    <w:abstractNumId w:val="24"/>
  </w:num>
  <w:num w:numId="89" w16cid:durableId="897011784">
    <w:abstractNumId w:val="101"/>
  </w:num>
  <w:num w:numId="90" w16cid:durableId="698164637">
    <w:abstractNumId w:val="29"/>
  </w:num>
  <w:num w:numId="91" w16cid:durableId="586616193">
    <w:abstractNumId w:val="62"/>
  </w:num>
  <w:num w:numId="92" w16cid:durableId="711417159">
    <w:abstractNumId w:val="76"/>
  </w:num>
  <w:num w:numId="93" w16cid:durableId="1584798076">
    <w:abstractNumId w:val="47"/>
  </w:num>
  <w:num w:numId="94" w16cid:durableId="2097894645">
    <w:abstractNumId w:val="98"/>
  </w:num>
  <w:num w:numId="95" w16cid:durableId="1227493302">
    <w:abstractNumId w:val="8"/>
  </w:num>
  <w:num w:numId="96" w16cid:durableId="1342976787">
    <w:abstractNumId w:val="114"/>
  </w:num>
  <w:num w:numId="97" w16cid:durableId="35132513">
    <w:abstractNumId w:val="51"/>
  </w:num>
  <w:num w:numId="98" w16cid:durableId="1279606110">
    <w:abstractNumId w:val="18"/>
  </w:num>
  <w:num w:numId="99" w16cid:durableId="1371346331">
    <w:abstractNumId w:val="111"/>
  </w:num>
  <w:num w:numId="100" w16cid:durableId="1538539509">
    <w:abstractNumId w:val="14"/>
  </w:num>
  <w:num w:numId="101" w16cid:durableId="2031829455">
    <w:abstractNumId w:val="97"/>
  </w:num>
  <w:num w:numId="102" w16cid:durableId="1729760161">
    <w:abstractNumId w:val="87"/>
  </w:num>
  <w:num w:numId="103" w16cid:durableId="416557656">
    <w:abstractNumId w:val="71"/>
  </w:num>
  <w:num w:numId="104" w16cid:durableId="2064981678">
    <w:abstractNumId w:val="86"/>
  </w:num>
  <w:num w:numId="105" w16cid:durableId="1544488061">
    <w:abstractNumId w:val="63"/>
  </w:num>
  <w:num w:numId="106" w16cid:durableId="1974747417">
    <w:abstractNumId w:val="91"/>
  </w:num>
  <w:num w:numId="107" w16cid:durableId="216550240">
    <w:abstractNumId w:val="37"/>
  </w:num>
  <w:num w:numId="108" w16cid:durableId="993022283">
    <w:abstractNumId w:val="105"/>
  </w:num>
  <w:num w:numId="109" w16cid:durableId="1099639412">
    <w:abstractNumId w:val="1"/>
  </w:num>
  <w:num w:numId="110" w16cid:durableId="1679885658">
    <w:abstractNumId w:val="81"/>
  </w:num>
  <w:num w:numId="111" w16cid:durableId="1498183042">
    <w:abstractNumId w:val="3"/>
  </w:num>
  <w:num w:numId="112" w16cid:durableId="797185530">
    <w:abstractNumId w:val="72"/>
  </w:num>
  <w:num w:numId="113" w16cid:durableId="628367211">
    <w:abstractNumId w:val="26"/>
  </w:num>
  <w:num w:numId="114" w16cid:durableId="1519005733">
    <w:abstractNumId w:val="15"/>
  </w:num>
  <w:num w:numId="115" w16cid:durableId="1041516163">
    <w:abstractNumId w:val="84"/>
  </w:num>
  <w:num w:numId="116" w16cid:durableId="1766606807">
    <w:abstractNumId w:val="44"/>
  </w:num>
  <w:num w:numId="117" w16cid:durableId="946159199">
    <w:abstractNumId w:val="67"/>
  </w:num>
  <w:num w:numId="118" w16cid:durableId="465044896">
    <w:abstractNumId w:val="2"/>
  </w:num>
  <w:num w:numId="119" w16cid:durableId="811873188">
    <w:abstractNumId w:val="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1F"/>
    <w:rsid w:val="0000009C"/>
    <w:rsid w:val="000001C4"/>
    <w:rsid w:val="0000058A"/>
    <w:rsid w:val="000006AF"/>
    <w:rsid w:val="00000A44"/>
    <w:rsid w:val="00000B75"/>
    <w:rsid w:val="00000EA3"/>
    <w:rsid w:val="000010E8"/>
    <w:rsid w:val="000016F0"/>
    <w:rsid w:val="00001917"/>
    <w:rsid w:val="00001A7E"/>
    <w:rsid w:val="00002194"/>
    <w:rsid w:val="00002449"/>
    <w:rsid w:val="0000287C"/>
    <w:rsid w:val="00002BBB"/>
    <w:rsid w:val="00003093"/>
    <w:rsid w:val="00003F00"/>
    <w:rsid w:val="0000487D"/>
    <w:rsid w:val="00004B47"/>
    <w:rsid w:val="00004E3D"/>
    <w:rsid w:val="0000525B"/>
    <w:rsid w:val="000052AD"/>
    <w:rsid w:val="000053B5"/>
    <w:rsid w:val="0000574C"/>
    <w:rsid w:val="00005B21"/>
    <w:rsid w:val="000064A5"/>
    <w:rsid w:val="00006703"/>
    <w:rsid w:val="000068BD"/>
    <w:rsid w:val="00006977"/>
    <w:rsid w:val="00006982"/>
    <w:rsid w:val="00006A63"/>
    <w:rsid w:val="00006C3E"/>
    <w:rsid w:val="000072DF"/>
    <w:rsid w:val="000074CB"/>
    <w:rsid w:val="00007505"/>
    <w:rsid w:val="00010146"/>
    <w:rsid w:val="00010797"/>
    <w:rsid w:val="0001089E"/>
    <w:rsid w:val="000108D3"/>
    <w:rsid w:val="000111E1"/>
    <w:rsid w:val="00011566"/>
    <w:rsid w:val="00011914"/>
    <w:rsid w:val="00012594"/>
    <w:rsid w:val="00012DCA"/>
    <w:rsid w:val="00012DE0"/>
    <w:rsid w:val="00013292"/>
    <w:rsid w:val="00013378"/>
    <w:rsid w:val="00013684"/>
    <w:rsid w:val="000138E8"/>
    <w:rsid w:val="00013A3F"/>
    <w:rsid w:val="00013DB3"/>
    <w:rsid w:val="00013E77"/>
    <w:rsid w:val="00014873"/>
    <w:rsid w:val="00014A0E"/>
    <w:rsid w:val="00014C58"/>
    <w:rsid w:val="0001507A"/>
    <w:rsid w:val="000156CE"/>
    <w:rsid w:val="000159D0"/>
    <w:rsid w:val="00015A4B"/>
    <w:rsid w:val="00015B27"/>
    <w:rsid w:val="00015C96"/>
    <w:rsid w:val="00015D1F"/>
    <w:rsid w:val="00016A0B"/>
    <w:rsid w:val="000170C9"/>
    <w:rsid w:val="0001724A"/>
    <w:rsid w:val="000173F9"/>
    <w:rsid w:val="00017423"/>
    <w:rsid w:val="0001750E"/>
    <w:rsid w:val="000178CD"/>
    <w:rsid w:val="00017D0D"/>
    <w:rsid w:val="00020EEC"/>
    <w:rsid w:val="0002158F"/>
    <w:rsid w:val="0002168A"/>
    <w:rsid w:val="000216F3"/>
    <w:rsid w:val="000217C0"/>
    <w:rsid w:val="00021E04"/>
    <w:rsid w:val="00022446"/>
    <w:rsid w:val="000225FC"/>
    <w:rsid w:val="00022E02"/>
    <w:rsid w:val="0002304D"/>
    <w:rsid w:val="0002310D"/>
    <w:rsid w:val="000237AD"/>
    <w:rsid w:val="00024311"/>
    <w:rsid w:val="000245BA"/>
    <w:rsid w:val="00024629"/>
    <w:rsid w:val="00024642"/>
    <w:rsid w:val="00024729"/>
    <w:rsid w:val="00024C75"/>
    <w:rsid w:val="00024E97"/>
    <w:rsid w:val="000250AF"/>
    <w:rsid w:val="00025925"/>
    <w:rsid w:val="00025F54"/>
    <w:rsid w:val="00026616"/>
    <w:rsid w:val="000268B6"/>
    <w:rsid w:val="00026E2B"/>
    <w:rsid w:val="00026ED4"/>
    <w:rsid w:val="00027152"/>
    <w:rsid w:val="00027221"/>
    <w:rsid w:val="00027F98"/>
    <w:rsid w:val="0003017B"/>
    <w:rsid w:val="0003070E"/>
    <w:rsid w:val="000309C6"/>
    <w:rsid w:val="00030DBF"/>
    <w:rsid w:val="00030DC1"/>
    <w:rsid w:val="0003180F"/>
    <w:rsid w:val="000318E5"/>
    <w:rsid w:val="00031DF5"/>
    <w:rsid w:val="00032074"/>
    <w:rsid w:val="000325F6"/>
    <w:rsid w:val="00032DD6"/>
    <w:rsid w:val="00032F1F"/>
    <w:rsid w:val="000332FA"/>
    <w:rsid w:val="00033438"/>
    <w:rsid w:val="00033701"/>
    <w:rsid w:val="000338E0"/>
    <w:rsid w:val="00033940"/>
    <w:rsid w:val="000339D4"/>
    <w:rsid w:val="00033AD6"/>
    <w:rsid w:val="00033C5B"/>
    <w:rsid w:val="00033CD4"/>
    <w:rsid w:val="00033CDB"/>
    <w:rsid w:val="000342B8"/>
    <w:rsid w:val="000342BD"/>
    <w:rsid w:val="00034336"/>
    <w:rsid w:val="000345F7"/>
    <w:rsid w:val="000346A2"/>
    <w:rsid w:val="00034843"/>
    <w:rsid w:val="000348A0"/>
    <w:rsid w:val="00035889"/>
    <w:rsid w:val="00035F32"/>
    <w:rsid w:val="00036475"/>
    <w:rsid w:val="00036633"/>
    <w:rsid w:val="00036900"/>
    <w:rsid w:val="00036FEA"/>
    <w:rsid w:val="0003710E"/>
    <w:rsid w:val="00037406"/>
    <w:rsid w:val="00037556"/>
    <w:rsid w:val="0003755A"/>
    <w:rsid w:val="0003771D"/>
    <w:rsid w:val="00037A23"/>
    <w:rsid w:val="00037ADE"/>
    <w:rsid w:val="000405DA"/>
    <w:rsid w:val="00040B53"/>
    <w:rsid w:val="00040B7F"/>
    <w:rsid w:val="00040CE7"/>
    <w:rsid w:val="00040D76"/>
    <w:rsid w:val="00041B94"/>
    <w:rsid w:val="00041C0F"/>
    <w:rsid w:val="0004211F"/>
    <w:rsid w:val="000423DE"/>
    <w:rsid w:val="00042408"/>
    <w:rsid w:val="00042AD2"/>
    <w:rsid w:val="00043206"/>
    <w:rsid w:val="000438BA"/>
    <w:rsid w:val="00043A2D"/>
    <w:rsid w:val="00043E2F"/>
    <w:rsid w:val="0004430C"/>
    <w:rsid w:val="00044430"/>
    <w:rsid w:val="0004450A"/>
    <w:rsid w:val="00044BBF"/>
    <w:rsid w:val="00044F3E"/>
    <w:rsid w:val="000455C0"/>
    <w:rsid w:val="00045E18"/>
    <w:rsid w:val="00045FCC"/>
    <w:rsid w:val="00046341"/>
    <w:rsid w:val="00046526"/>
    <w:rsid w:val="00046BAC"/>
    <w:rsid w:val="00046C84"/>
    <w:rsid w:val="00046E8F"/>
    <w:rsid w:val="00047925"/>
    <w:rsid w:val="00047C68"/>
    <w:rsid w:val="00047C85"/>
    <w:rsid w:val="00047EE1"/>
    <w:rsid w:val="000508AC"/>
    <w:rsid w:val="000509F7"/>
    <w:rsid w:val="00050AA8"/>
    <w:rsid w:val="00050C04"/>
    <w:rsid w:val="00050D4F"/>
    <w:rsid w:val="00051AA3"/>
    <w:rsid w:val="00051ABE"/>
    <w:rsid w:val="00051B5A"/>
    <w:rsid w:val="00051B92"/>
    <w:rsid w:val="00051F16"/>
    <w:rsid w:val="000522E3"/>
    <w:rsid w:val="0005272F"/>
    <w:rsid w:val="0005273F"/>
    <w:rsid w:val="000528CB"/>
    <w:rsid w:val="00052A72"/>
    <w:rsid w:val="00052DC4"/>
    <w:rsid w:val="00053E7B"/>
    <w:rsid w:val="0005417D"/>
    <w:rsid w:val="000547CC"/>
    <w:rsid w:val="00054D69"/>
    <w:rsid w:val="00055956"/>
    <w:rsid w:val="00055E5D"/>
    <w:rsid w:val="00055E91"/>
    <w:rsid w:val="000560DD"/>
    <w:rsid w:val="0005654F"/>
    <w:rsid w:val="00056CED"/>
    <w:rsid w:val="00057691"/>
    <w:rsid w:val="00057AA4"/>
    <w:rsid w:val="00060195"/>
    <w:rsid w:val="00060300"/>
    <w:rsid w:val="0006066B"/>
    <w:rsid w:val="000606E0"/>
    <w:rsid w:val="00060F13"/>
    <w:rsid w:val="0006150F"/>
    <w:rsid w:val="000615D7"/>
    <w:rsid w:val="00062C80"/>
    <w:rsid w:val="00062D5F"/>
    <w:rsid w:val="000632F5"/>
    <w:rsid w:val="000634EB"/>
    <w:rsid w:val="00063665"/>
    <w:rsid w:val="000640F7"/>
    <w:rsid w:val="00064188"/>
    <w:rsid w:val="000643B7"/>
    <w:rsid w:val="00064AD2"/>
    <w:rsid w:val="00064FC2"/>
    <w:rsid w:val="0006593D"/>
    <w:rsid w:val="00065BFE"/>
    <w:rsid w:val="00065C69"/>
    <w:rsid w:val="00065F72"/>
    <w:rsid w:val="000664DB"/>
    <w:rsid w:val="00066927"/>
    <w:rsid w:val="00066981"/>
    <w:rsid w:val="00066B12"/>
    <w:rsid w:val="00066E15"/>
    <w:rsid w:val="00066EEA"/>
    <w:rsid w:val="000672F6"/>
    <w:rsid w:val="00067365"/>
    <w:rsid w:val="000676B5"/>
    <w:rsid w:val="00067ECD"/>
    <w:rsid w:val="00067FED"/>
    <w:rsid w:val="000701A3"/>
    <w:rsid w:val="00070DE8"/>
    <w:rsid w:val="00071204"/>
    <w:rsid w:val="000712A0"/>
    <w:rsid w:val="00071370"/>
    <w:rsid w:val="00071716"/>
    <w:rsid w:val="0007269B"/>
    <w:rsid w:val="00072990"/>
    <w:rsid w:val="00072F67"/>
    <w:rsid w:val="000730FF"/>
    <w:rsid w:val="00073152"/>
    <w:rsid w:val="0007390C"/>
    <w:rsid w:val="00074167"/>
    <w:rsid w:val="00074845"/>
    <w:rsid w:val="0007502B"/>
    <w:rsid w:val="000753AE"/>
    <w:rsid w:val="000753EB"/>
    <w:rsid w:val="000756DB"/>
    <w:rsid w:val="00075CA8"/>
    <w:rsid w:val="0007620A"/>
    <w:rsid w:val="00076389"/>
    <w:rsid w:val="00076794"/>
    <w:rsid w:val="00076EB2"/>
    <w:rsid w:val="0007706D"/>
    <w:rsid w:val="000774F4"/>
    <w:rsid w:val="00077701"/>
    <w:rsid w:val="00077811"/>
    <w:rsid w:val="000801F4"/>
    <w:rsid w:val="00080678"/>
    <w:rsid w:val="000807D8"/>
    <w:rsid w:val="00080B3D"/>
    <w:rsid w:val="00080D77"/>
    <w:rsid w:val="00080DCE"/>
    <w:rsid w:val="00080E51"/>
    <w:rsid w:val="0008102A"/>
    <w:rsid w:val="00081176"/>
    <w:rsid w:val="00081510"/>
    <w:rsid w:val="00081596"/>
    <w:rsid w:val="000817F7"/>
    <w:rsid w:val="000819E4"/>
    <w:rsid w:val="00082442"/>
    <w:rsid w:val="00082694"/>
    <w:rsid w:val="00082997"/>
    <w:rsid w:val="000829D8"/>
    <w:rsid w:val="0008311E"/>
    <w:rsid w:val="00083464"/>
    <w:rsid w:val="00083492"/>
    <w:rsid w:val="00083585"/>
    <w:rsid w:val="00083EF3"/>
    <w:rsid w:val="00084160"/>
    <w:rsid w:val="0008442C"/>
    <w:rsid w:val="000844B4"/>
    <w:rsid w:val="000847E9"/>
    <w:rsid w:val="00084823"/>
    <w:rsid w:val="00084F19"/>
    <w:rsid w:val="000851A7"/>
    <w:rsid w:val="00085245"/>
    <w:rsid w:val="000856F4"/>
    <w:rsid w:val="00085967"/>
    <w:rsid w:val="00085B62"/>
    <w:rsid w:val="00086989"/>
    <w:rsid w:val="00087AD4"/>
    <w:rsid w:val="00087C0A"/>
    <w:rsid w:val="000903BB"/>
    <w:rsid w:val="000913DB"/>
    <w:rsid w:val="00091AC8"/>
    <w:rsid w:val="00091C73"/>
    <w:rsid w:val="00092658"/>
    <w:rsid w:val="0009268D"/>
    <w:rsid w:val="000929E8"/>
    <w:rsid w:val="00092B27"/>
    <w:rsid w:val="00092F12"/>
    <w:rsid w:val="000936AE"/>
    <w:rsid w:val="000937D0"/>
    <w:rsid w:val="0009384C"/>
    <w:rsid w:val="00093DB7"/>
    <w:rsid w:val="00094194"/>
    <w:rsid w:val="0009462D"/>
    <w:rsid w:val="00094872"/>
    <w:rsid w:val="00095494"/>
    <w:rsid w:val="00096381"/>
    <w:rsid w:val="000A021A"/>
    <w:rsid w:val="000A037B"/>
    <w:rsid w:val="000A04CA"/>
    <w:rsid w:val="000A0756"/>
    <w:rsid w:val="000A09C4"/>
    <w:rsid w:val="000A0DE5"/>
    <w:rsid w:val="000A1274"/>
    <w:rsid w:val="000A1997"/>
    <w:rsid w:val="000A1D71"/>
    <w:rsid w:val="000A2305"/>
    <w:rsid w:val="000A2785"/>
    <w:rsid w:val="000A2AE5"/>
    <w:rsid w:val="000A2CD4"/>
    <w:rsid w:val="000A3745"/>
    <w:rsid w:val="000A3E2C"/>
    <w:rsid w:val="000A4359"/>
    <w:rsid w:val="000A43A3"/>
    <w:rsid w:val="000A4588"/>
    <w:rsid w:val="000A45A8"/>
    <w:rsid w:val="000A4672"/>
    <w:rsid w:val="000A4DD9"/>
    <w:rsid w:val="000A58F6"/>
    <w:rsid w:val="000A5948"/>
    <w:rsid w:val="000A5CB0"/>
    <w:rsid w:val="000A653C"/>
    <w:rsid w:val="000A70F1"/>
    <w:rsid w:val="000A7285"/>
    <w:rsid w:val="000A72F5"/>
    <w:rsid w:val="000A75C5"/>
    <w:rsid w:val="000A776E"/>
    <w:rsid w:val="000A78F5"/>
    <w:rsid w:val="000A7F55"/>
    <w:rsid w:val="000B012B"/>
    <w:rsid w:val="000B0232"/>
    <w:rsid w:val="000B06D9"/>
    <w:rsid w:val="000B08AA"/>
    <w:rsid w:val="000B0915"/>
    <w:rsid w:val="000B09AA"/>
    <w:rsid w:val="000B1078"/>
    <w:rsid w:val="000B12C2"/>
    <w:rsid w:val="000B12DB"/>
    <w:rsid w:val="000B1D68"/>
    <w:rsid w:val="000B2776"/>
    <w:rsid w:val="000B29FD"/>
    <w:rsid w:val="000B3086"/>
    <w:rsid w:val="000B3F40"/>
    <w:rsid w:val="000B4B52"/>
    <w:rsid w:val="000B502A"/>
    <w:rsid w:val="000B5616"/>
    <w:rsid w:val="000B577E"/>
    <w:rsid w:val="000B5E9F"/>
    <w:rsid w:val="000B5F69"/>
    <w:rsid w:val="000B5F8A"/>
    <w:rsid w:val="000B612F"/>
    <w:rsid w:val="000B630E"/>
    <w:rsid w:val="000B65BB"/>
    <w:rsid w:val="000B666A"/>
    <w:rsid w:val="000B66A7"/>
    <w:rsid w:val="000B69CD"/>
    <w:rsid w:val="000B6AB4"/>
    <w:rsid w:val="000B744A"/>
    <w:rsid w:val="000B788C"/>
    <w:rsid w:val="000C0315"/>
    <w:rsid w:val="000C06A7"/>
    <w:rsid w:val="000C073B"/>
    <w:rsid w:val="000C08D5"/>
    <w:rsid w:val="000C1147"/>
    <w:rsid w:val="000C1468"/>
    <w:rsid w:val="000C1929"/>
    <w:rsid w:val="000C2ADF"/>
    <w:rsid w:val="000C2C02"/>
    <w:rsid w:val="000C2EF5"/>
    <w:rsid w:val="000C3118"/>
    <w:rsid w:val="000C31AD"/>
    <w:rsid w:val="000C33B4"/>
    <w:rsid w:val="000C3546"/>
    <w:rsid w:val="000C3B0B"/>
    <w:rsid w:val="000C3CE0"/>
    <w:rsid w:val="000C3CE7"/>
    <w:rsid w:val="000C3EC7"/>
    <w:rsid w:val="000C3F8C"/>
    <w:rsid w:val="000C4228"/>
    <w:rsid w:val="000C43C6"/>
    <w:rsid w:val="000C466D"/>
    <w:rsid w:val="000C476B"/>
    <w:rsid w:val="000C47DF"/>
    <w:rsid w:val="000C4B15"/>
    <w:rsid w:val="000C4D4E"/>
    <w:rsid w:val="000C4DA3"/>
    <w:rsid w:val="000C5001"/>
    <w:rsid w:val="000C50A8"/>
    <w:rsid w:val="000C542F"/>
    <w:rsid w:val="000C54F8"/>
    <w:rsid w:val="000C553D"/>
    <w:rsid w:val="000C5BDC"/>
    <w:rsid w:val="000C68B5"/>
    <w:rsid w:val="000C6968"/>
    <w:rsid w:val="000C6AD8"/>
    <w:rsid w:val="000C7863"/>
    <w:rsid w:val="000C7F0A"/>
    <w:rsid w:val="000D0513"/>
    <w:rsid w:val="000D0D9C"/>
    <w:rsid w:val="000D182C"/>
    <w:rsid w:val="000D22F6"/>
    <w:rsid w:val="000D26D4"/>
    <w:rsid w:val="000D2BA3"/>
    <w:rsid w:val="000D2DCA"/>
    <w:rsid w:val="000D2E18"/>
    <w:rsid w:val="000D2EA3"/>
    <w:rsid w:val="000D2FFC"/>
    <w:rsid w:val="000D3094"/>
    <w:rsid w:val="000D3208"/>
    <w:rsid w:val="000D342E"/>
    <w:rsid w:val="000D37D7"/>
    <w:rsid w:val="000D3809"/>
    <w:rsid w:val="000D3C45"/>
    <w:rsid w:val="000D3FE3"/>
    <w:rsid w:val="000D3FF6"/>
    <w:rsid w:val="000D4094"/>
    <w:rsid w:val="000D447D"/>
    <w:rsid w:val="000D4574"/>
    <w:rsid w:val="000D460F"/>
    <w:rsid w:val="000D5A5E"/>
    <w:rsid w:val="000D5EA3"/>
    <w:rsid w:val="000D60C9"/>
    <w:rsid w:val="000D61DB"/>
    <w:rsid w:val="000D63DC"/>
    <w:rsid w:val="000D6C94"/>
    <w:rsid w:val="000D6E24"/>
    <w:rsid w:val="000D70D1"/>
    <w:rsid w:val="000D7ADE"/>
    <w:rsid w:val="000E0489"/>
    <w:rsid w:val="000E0500"/>
    <w:rsid w:val="000E05A0"/>
    <w:rsid w:val="000E0879"/>
    <w:rsid w:val="000E0AE4"/>
    <w:rsid w:val="000E0FC2"/>
    <w:rsid w:val="000E1132"/>
    <w:rsid w:val="000E115D"/>
    <w:rsid w:val="000E1B67"/>
    <w:rsid w:val="000E1C76"/>
    <w:rsid w:val="000E1EB3"/>
    <w:rsid w:val="000E226F"/>
    <w:rsid w:val="000E229C"/>
    <w:rsid w:val="000E2A24"/>
    <w:rsid w:val="000E2E93"/>
    <w:rsid w:val="000E2FAD"/>
    <w:rsid w:val="000E365C"/>
    <w:rsid w:val="000E36CD"/>
    <w:rsid w:val="000E3F28"/>
    <w:rsid w:val="000E3F2D"/>
    <w:rsid w:val="000E40CC"/>
    <w:rsid w:val="000E46F0"/>
    <w:rsid w:val="000E47D5"/>
    <w:rsid w:val="000E481D"/>
    <w:rsid w:val="000E488F"/>
    <w:rsid w:val="000E529B"/>
    <w:rsid w:val="000E537A"/>
    <w:rsid w:val="000E53DC"/>
    <w:rsid w:val="000E672E"/>
    <w:rsid w:val="000E6824"/>
    <w:rsid w:val="000E6925"/>
    <w:rsid w:val="000E6976"/>
    <w:rsid w:val="000E70A5"/>
    <w:rsid w:val="000E723F"/>
    <w:rsid w:val="000E7423"/>
    <w:rsid w:val="000E7B9D"/>
    <w:rsid w:val="000E7C20"/>
    <w:rsid w:val="000F041E"/>
    <w:rsid w:val="000F092D"/>
    <w:rsid w:val="000F09FF"/>
    <w:rsid w:val="000F0AA1"/>
    <w:rsid w:val="000F1EAD"/>
    <w:rsid w:val="000F216E"/>
    <w:rsid w:val="000F261F"/>
    <w:rsid w:val="000F29AD"/>
    <w:rsid w:val="000F2BAF"/>
    <w:rsid w:val="000F332E"/>
    <w:rsid w:val="000F3819"/>
    <w:rsid w:val="000F3A9B"/>
    <w:rsid w:val="000F430D"/>
    <w:rsid w:val="000F4799"/>
    <w:rsid w:val="000F4920"/>
    <w:rsid w:val="000F4C35"/>
    <w:rsid w:val="000F4D3C"/>
    <w:rsid w:val="000F4D7C"/>
    <w:rsid w:val="000F508F"/>
    <w:rsid w:val="000F51A5"/>
    <w:rsid w:val="000F5813"/>
    <w:rsid w:val="000F5E29"/>
    <w:rsid w:val="000F5E73"/>
    <w:rsid w:val="000F603F"/>
    <w:rsid w:val="000F614F"/>
    <w:rsid w:val="000F636A"/>
    <w:rsid w:val="000F6AE0"/>
    <w:rsid w:val="000F7C05"/>
    <w:rsid w:val="00100184"/>
    <w:rsid w:val="001001AC"/>
    <w:rsid w:val="00100357"/>
    <w:rsid w:val="0010115C"/>
    <w:rsid w:val="001012D1"/>
    <w:rsid w:val="00101D45"/>
    <w:rsid w:val="00101E8D"/>
    <w:rsid w:val="0010221A"/>
    <w:rsid w:val="0010227B"/>
    <w:rsid w:val="00103380"/>
    <w:rsid w:val="001035E4"/>
    <w:rsid w:val="00103BA0"/>
    <w:rsid w:val="0010410E"/>
    <w:rsid w:val="0010433A"/>
    <w:rsid w:val="001045C5"/>
    <w:rsid w:val="001047C3"/>
    <w:rsid w:val="00104CA2"/>
    <w:rsid w:val="00104EB4"/>
    <w:rsid w:val="00104ED2"/>
    <w:rsid w:val="00104FE6"/>
    <w:rsid w:val="00105171"/>
    <w:rsid w:val="001052BD"/>
    <w:rsid w:val="001056D3"/>
    <w:rsid w:val="00105CDF"/>
    <w:rsid w:val="00105D42"/>
    <w:rsid w:val="001063F5"/>
    <w:rsid w:val="001069A2"/>
    <w:rsid w:val="00106AF3"/>
    <w:rsid w:val="00106E49"/>
    <w:rsid w:val="00107531"/>
    <w:rsid w:val="001075CF"/>
    <w:rsid w:val="00107810"/>
    <w:rsid w:val="00107834"/>
    <w:rsid w:val="00107FF2"/>
    <w:rsid w:val="001101D0"/>
    <w:rsid w:val="00110423"/>
    <w:rsid w:val="00110724"/>
    <w:rsid w:val="00110853"/>
    <w:rsid w:val="00111117"/>
    <w:rsid w:val="00111294"/>
    <w:rsid w:val="001117F9"/>
    <w:rsid w:val="00111878"/>
    <w:rsid w:val="001121D4"/>
    <w:rsid w:val="0011229C"/>
    <w:rsid w:val="0011279B"/>
    <w:rsid w:val="00112883"/>
    <w:rsid w:val="00112B0A"/>
    <w:rsid w:val="00112CF1"/>
    <w:rsid w:val="00112F8F"/>
    <w:rsid w:val="00112FC7"/>
    <w:rsid w:val="00113929"/>
    <w:rsid w:val="00114047"/>
    <w:rsid w:val="0011410B"/>
    <w:rsid w:val="00114DD5"/>
    <w:rsid w:val="00115688"/>
    <w:rsid w:val="00115854"/>
    <w:rsid w:val="001158BB"/>
    <w:rsid w:val="00115B12"/>
    <w:rsid w:val="00115DB9"/>
    <w:rsid w:val="001160AC"/>
    <w:rsid w:val="001161A3"/>
    <w:rsid w:val="0011678F"/>
    <w:rsid w:val="00116E2E"/>
    <w:rsid w:val="00116F91"/>
    <w:rsid w:val="00117473"/>
    <w:rsid w:val="00120382"/>
    <w:rsid w:val="0012078E"/>
    <w:rsid w:val="001208EF"/>
    <w:rsid w:val="001210D8"/>
    <w:rsid w:val="00121968"/>
    <w:rsid w:val="00121CFE"/>
    <w:rsid w:val="001224CF"/>
    <w:rsid w:val="001226BD"/>
    <w:rsid w:val="00122ACA"/>
    <w:rsid w:val="00122B3E"/>
    <w:rsid w:val="00122DA6"/>
    <w:rsid w:val="00122F1E"/>
    <w:rsid w:val="00123112"/>
    <w:rsid w:val="0012322F"/>
    <w:rsid w:val="001232DE"/>
    <w:rsid w:val="001235CC"/>
    <w:rsid w:val="00123C3A"/>
    <w:rsid w:val="0012438D"/>
    <w:rsid w:val="0012476F"/>
    <w:rsid w:val="001248B0"/>
    <w:rsid w:val="00124935"/>
    <w:rsid w:val="00124A77"/>
    <w:rsid w:val="00124E1B"/>
    <w:rsid w:val="0012567B"/>
    <w:rsid w:val="0012575B"/>
    <w:rsid w:val="001259C5"/>
    <w:rsid w:val="00125BA0"/>
    <w:rsid w:val="0012612D"/>
    <w:rsid w:val="00126136"/>
    <w:rsid w:val="00126348"/>
    <w:rsid w:val="00126907"/>
    <w:rsid w:val="00126F84"/>
    <w:rsid w:val="00127264"/>
    <w:rsid w:val="001277BE"/>
    <w:rsid w:val="0012790B"/>
    <w:rsid w:val="00127BE8"/>
    <w:rsid w:val="00127CCC"/>
    <w:rsid w:val="001302D0"/>
    <w:rsid w:val="00130520"/>
    <w:rsid w:val="00130E34"/>
    <w:rsid w:val="00131706"/>
    <w:rsid w:val="00131740"/>
    <w:rsid w:val="001319F1"/>
    <w:rsid w:val="00132122"/>
    <w:rsid w:val="00132385"/>
    <w:rsid w:val="001323B0"/>
    <w:rsid w:val="00132A90"/>
    <w:rsid w:val="00132BF4"/>
    <w:rsid w:val="00132C23"/>
    <w:rsid w:val="00132EEE"/>
    <w:rsid w:val="0013319B"/>
    <w:rsid w:val="001334BF"/>
    <w:rsid w:val="001334F0"/>
    <w:rsid w:val="00134056"/>
    <w:rsid w:val="001342CF"/>
    <w:rsid w:val="001344C5"/>
    <w:rsid w:val="00134E66"/>
    <w:rsid w:val="0013528C"/>
    <w:rsid w:val="001352AE"/>
    <w:rsid w:val="0013536D"/>
    <w:rsid w:val="0013557D"/>
    <w:rsid w:val="00135B8E"/>
    <w:rsid w:val="00136069"/>
    <w:rsid w:val="00136466"/>
    <w:rsid w:val="00136B6A"/>
    <w:rsid w:val="001370A8"/>
    <w:rsid w:val="001378BA"/>
    <w:rsid w:val="001379E0"/>
    <w:rsid w:val="00137D16"/>
    <w:rsid w:val="00140086"/>
    <w:rsid w:val="00140504"/>
    <w:rsid w:val="001407EF"/>
    <w:rsid w:val="00140B8C"/>
    <w:rsid w:val="00140DE7"/>
    <w:rsid w:val="00140E1A"/>
    <w:rsid w:val="00140EA7"/>
    <w:rsid w:val="00140F59"/>
    <w:rsid w:val="001412B8"/>
    <w:rsid w:val="00141558"/>
    <w:rsid w:val="001417E2"/>
    <w:rsid w:val="0014196B"/>
    <w:rsid w:val="00141D11"/>
    <w:rsid w:val="00142016"/>
    <w:rsid w:val="00142109"/>
    <w:rsid w:val="001422E5"/>
    <w:rsid w:val="001423D3"/>
    <w:rsid w:val="001423FE"/>
    <w:rsid w:val="00142422"/>
    <w:rsid w:val="00142461"/>
    <w:rsid w:val="00142470"/>
    <w:rsid w:val="00142AB9"/>
    <w:rsid w:val="00142ACC"/>
    <w:rsid w:val="001430ED"/>
    <w:rsid w:val="00143102"/>
    <w:rsid w:val="0014350C"/>
    <w:rsid w:val="00143D8C"/>
    <w:rsid w:val="00143EDD"/>
    <w:rsid w:val="00143F52"/>
    <w:rsid w:val="0014423A"/>
    <w:rsid w:val="001442CC"/>
    <w:rsid w:val="0014443A"/>
    <w:rsid w:val="00144A0D"/>
    <w:rsid w:val="00144EA2"/>
    <w:rsid w:val="001450E0"/>
    <w:rsid w:val="0014544F"/>
    <w:rsid w:val="0014664D"/>
    <w:rsid w:val="00146E7D"/>
    <w:rsid w:val="00147811"/>
    <w:rsid w:val="001478BD"/>
    <w:rsid w:val="001479E7"/>
    <w:rsid w:val="00147BE6"/>
    <w:rsid w:val="00147C88"/>
    <w:rsid w:val="00147E2A"/>
    <w:rsid w:val="001501DD"/>
    <w:rsid w:val="00150208"/>
    <w:rsid w:val="00150D4D"/>
    <w:rsid w:val="00150E7C"/>
    <w:rsid w:val="001517F0"/>
    <w:rsid w:val="001519F6"/>
    <w:rsid w:val="00151B26"/>
    <w:rsid w:val="00151E06"/>
    <w:rsid w:val="00151E9A"/>
    <w:rsid w:val="001520FA"/>
    <w:rsid w:val="0015225B"/>
    <w:rsid w:val="00152426"/>
    <w:rsid w:val="00152910"/>
    <w:rsid w:val="00152F9C"/>
    <w:rsid w:val="00153645"/>
    <w:rsid w:val="0015372B"/>
    <w:rsid w:val="00153E19"/>
    <w:rsid w:val="001547FE"/>
    <w:rsid w:val="00154D53"/>
    <w:rsid w:val="001555D7"/>
    <w:rsid w:val="001556B5"/>
    <w:rsid w:val="00155967"/>
    <w:rsid w:val="00156486"/>
    <w:rsid w:val="00156658"/>
    <w:rsid w:val="00156831"/>
    <w:rsid w:val="00156B95"/>
    <w:rsid w:val="00157128"/>
    <w:rsid w:val="0015715C"/>
    <w:rsid w:val="001573E7"/>
    <w:rsid w:val="00157D06"/>
    <w:rsid w:val="00157F5A"/>
    <w:rsid w:val="0015E0B9"/>
    <w:rsid w:val="001602CA"/>
    <w:rsid w:val="001603FC"/>
    <w:rsid w:val="00160D34"/>
    <w:rsid w:val="00161244"/>
    <w:rsid w:val="001617AD"/>
    <w:rsid w:val="00161819"/>
    <w:rsid w:val="00161970"/>
    <w:rsid w:val="00161C3A"/>
    <w:rsid w:val="00161CF8"/>
    <w:rsid w:val="001629F2"/>
    <w:rsid w:val="00162E69"/>
    <w:rsid w:val="0016304A"/>
    <w:rsid w:val="00163238"/>
    <w:rsid w:val="001635E6"/>
    <w:rsid w:val="00163778"/>
    <w:rsid w:val="00163D3F"/>
    <w:rsid w:val="00163DA6"/>
    <w:rsid w:val="00164081"/>
    <w:rsid w:val="00164116"/>
    <w:rsid w:val="0016455D"/>
    <w:rsid w:val="00165258"/>
    <w:rsid w:val="00165294"/>
    <w:rsid w:val="00165BF8"/>
    <w:rsid w:val="00165E15"/>
    <w:rsid w:val="00165F57"/>
    <w:rsid w:val="00165FA6"/>
    <w:rsid w:val="00166390"/>
    <w:rsid w:val="0016678E"/>
    <w:rsid w:val="00166B11"/>
    <w:rsid w:val="00166B3C"/>
    <w:rsid w:val="00166D8A"/>
    <w:rsid w:val="00166E91"/>
    <w:rsid w:val="00167051"/>
    <w:rsid w:val="00167583"/>
    <w:rsid w:val="001675EF"/>
    <w:rsid w:val="001679BE"/>
    <w:rsid w:val="00167EE6"/>
    <w:rsid w:val="001701C5"/>
    <w:rsid w:val="0017078C"/>
    <w:rsid w:val="001709CA"/>
    <w:rsid w:val="00170ACD"/>
    <w:rsid w:val="00170E30"/>
    <w:rsid w:val="00170F9A"/>
    <w:rsid w:val="0017145C"/>
    <w:rsid w:val="00171C0A"/>
    <w:rsid w:val="00171FC8"/>
    <w:rsid w:val="00172077"/>
    <w:rsid w:val="001722BF"/>
    <w:rsid w:val="00172C3C"/>
    <w:rsid w:val="00173123"/>
    <w:rsid w:val="00173678"/>
    <w:rsid w:val="00173AAD"/>
    <w:rsid w:val="001747BE"/>
    <w:rsid w:val="00174BEB"/>
    <w:rsid w:val="001752B9"/>
    <w:rsid w:val="00175830"/>
    <w:rsid w:val="0017589D"/>
    <w:rsid w:val="00175E30"/>
    <w:rsid w:val="001767AB"/>
    <w:rsid w:val="001768CE"/>
    <w:rsid w:val="00176CB0"/>
    <w:rsid w:val="001770A7"/>
    <w:rsid w:val="00177128"/>
    <w:rsid w:val="00177890"/>
    <w:rsid w:val="00177E55"/>
    <w:rsid w:val="001801FD"/>
    <w:rsid w:val="00180B39"/>
    <w:rsid w:val="00180CC2"/>
    <w:rsid w:val="00180E06"/>
    <w:rsid w:val="0018100D"/>
    <w:rsid w:val="00181285"/>
    <w:rsid w:val="00181B7B"/>
    <w:rsid w:val="00181C3D"/>
    <w:rsid w:val="001822B4"/>
    <w:rsid w:val="00182361"/>
    <w:rsid w:val="00182395"/>
    <w:rsid w:val="001823A8"/>
    <w:rsid w:val="0018268C"/>
    <w:rsid w:val="001829A0"/>
    <w:rsid w:val="00182DD7"/>
    <w:rsid w:val="00182FFE"/>
    <w:rsid w:val="001834F3"/>
    <w:rsid w:val="001834F6"/>
    <w:rsid w:val="00183687"/>
    <w:rsid w:val="00183A45"/>
    <w:rsid w:val="00183AD6"/>
    <w:rsid w:val="00183B67"/>
    <w:rsid w:val="00183C2A"/>
    <w:rsid w:val="00184607"/>
    <w:rsid w:val="00184860"/>
    <w:rsid w:val="00185218"/>
    <w:rsid w:val="0018546F"/>
    <w:rsid w:val="00185644"/>
    <w:rsid w:val="00185C2F"/>
    <w:rsid w:val="00185F2B"/>
    <w:rsid w:val="00185FEA"/>
    <w:rsid w:val="00186CE0"/>
    <w:rsid w:val="00187732"/>
    <w:rsid w:val="00187922"/>
    <w:rsid w:val="00187AA0"/>
    <w:rsid w:val="00187C69"/>
    <w:rsid w:val="00187DA5"/>
    <w:rsid w:val="00187E25"/>
    <w:rsid w:val="001900D2"/>
    <w:rsid w:val="00190433"/>
    <w:rsid w:val="001906F6"/>
    <w:rsid w:val="00190774"/>
    <w:rsid w:val="0019086F"/>
    <w:rsid w:val="0019088C"/>
    <w:rsid w:val="00190E0A"/>
    <w:rsid w:val="00191052"/>
    <w:rsid w:val="001911AD"/>
    <w:rsid w:val="001912D3"/>
    <w:rsid w:val="001914B2"/>
    <w:rsid w:val="00192106"/>
    <w:rsid w:val="00192BCD"/>
    <w:rsid w:val="00192C01"/>
    <w:rsid w:val="00192C41"/>
    <w:rsid w:val="00192FC4"/>
    <w:rsid w:val="00193077"/>
    <w:rsid w:val="00193358"/>
    <w:rsid w:val="001935D9"/>
    <w:rsid w:val="0019368B"/>
    <w:rsid w:val="001936AE"/>
    <w:rsid w:val="00193C68"/>
    <w:rsid w:val="00193E64"/>
    <w:rsid w:val="00194369"/>
    <w:rsid w:val="00194A31"/>
    <w:rsid w:val="001959A7"/>
    <w:rsid w:val="001959DE"/>
    <w:rsid w:val="00195CAF"/>
    <w:rsid w:val="00195E80"/>
    <w:rsid w:val="0019699C"/>
    <w:rsid w:val="00196D9A"/>
    <w:rsid w:val="001971BD"/>
    <w:rsid w:val="0019798A"/>
    <w:rsid w:val="00197C02"/>
    <w:rsid w:val="001A042F"/>
    <w:rsid w:val="001A0741"/>
    <w:rsid w:val="001A09C0"/>
    <w:rsid w:val="001A0B91"/>
    <w:rsid w:val="001A0BA0"/>
    <w:rsid w:val="001A1290"/>
    <w:rsid w:val="001A184D"/>
    <w:rsid w:val="001A1C4A"/>
    <w:rsid w:val="001A1CC4"/>
    <w:rsid w:val="001A254D"/>
    <w:rsid w:val="001A25B3"/>
    <w:rsid w:val="001A2CBE"/>
    <w:rsid w:val="001A2CD4"/>
    <w:rsid w:val="001A3270"/>
    <w:rsid w:val="001A33F4"/>
    <w:rsid w:val="001A364A"/>
    <w:rsid w:val="001A4177"/>
    <w:rsid w:val="001A46DA"/>
    <w:rsid w:val="001A46E2"/>
    <w:rsid w:val="001A4A1F"/>
    <w:rsid w:val="001A4B2E"/>
    <w:rsid w:val="001A5133"/>
    <w:rsid w:val="001A51D6"/>
    <w:rsid w:val="001A52EB"/>
    <w:rsid w:val="001A5556"/>
    <w:rsid w:val="001A5B9E"/>
    <w:rsid w:val="001A5BB0"/>
    <w:rsid w:val="001A5F8C"/>
    <w:rsid w:val="001A6427"/>
    <w:rsid w:val="001A697F"/>
    <w:rsid w:val="001A6F4D"/>
    <w:rsid w:val="001A6FDF"/>
    <w:rsid w:val="001A720A"/>
    <w:rsid w:val="001A7638"/>
    <w:rsid w:val="001A79D1"/>
    <w:rsid w:val="001A7BD5"/>
    <w:rsid w:val="001B0285"/>
    <w:rsid w:val="001B09F6"/>
    <w:rsid w:val="001B0B9D"/>
    <w:rsid w:val="001B0DB6"/>
    <w:rsid w:val="001B19A4"/>
    <w:rsid w:val="001B1AD2"/>
    <w:rsid w:val="001B1D75"/>
    <w:rsid w:val="001B1DB1"/>
    <w:rsid w:val="001B1FD6"/>
    <w:rsid w:val="001B2154"/>
    <w:rsid w:val="001B233B"/>
    <w:rsid w:val="001B2BB2"/>
    <w:rsid w:val="001B37D3"/>
    <w:rsid w:val="001B37ED"/>
    <w:rsid w:val="001B3AA9"/>
    <w:rsid w:val="001B3DE9"/>
    <w:rsid w:val="001B4076"/>
    <w:rsid w:val="001B41A1"/>
    <w:rsid w:val="001B42BC"/>
    <w:rsid w:val="001B475B"/>
    <w:rsid w:val="001B482D"/>
    <w:rsid w:val="001B488F"/>
    <w:rsid w:val="001B4910"/>
    <w:rsid w:val="001B4A40"/>
    <w:rsid w:val="001B4A4C"/>
    <w:rsid w:val="001B5114"/>
    <w:rsid w:val="001B69FE"/>
    <w:rsid w:val="001B6D80"/>
    <w:rsid w:val="001B7034"/>
    <w:rsid w:val="001B71EB"/>
    <w:rsid w:val="001B7241"/>
    <w:rsid w:val="001B7702"/>
    <w:rsid w:val="001C04A5"/>
    <w:rsid w:val="001C056C"/>
    <w:rsid w:val="001C07EB"/>
    <w:rsid w:val="001C11F9"/>
    <w:rsid w:val="001C138C"/>
    <w:rsid w:val="001C1B67"/>
    <w:rsid w:val="001C1D1F"/>
    <w:rsid w:val="001C22AB"/>
    <w:rsid w:val="001C2320"/>
    <w:rsid w:val="001C2447"/>
    <w:rsid w:val="001C26DB"/>
    <w:rsid w:val="001C2BCC"/>
    <w:rsid w:val="001C2C94"/>
    <w:rsid w:val="001C2DB9"/>
    <w:rsid w:val="001C2FE2"/>
    <w:rsid w:val="001C3359"/>
    <w:rsid w:val="001C3456"/>
    <w:rsid w:val="001C3D86"/>
    <w:rsid w:val="001C3EA2"/>
    <w:rsid w:val="001C4212"/>
    <w:rsid w:val="001C4923"/>
    <w:rsid w:val="001C499A"/>
    <w:rsid w:val="001C49A1"/>
    <w:rsid w:val="001C4C58"/>
    <w:rsid w:val="001C5453"/>
    <w:rsid w:val="001C589E"/>
    <w:rsid w:val="001C5937"/>
    <w:rsid w:val="001C5B7C"/>
    <w:rsid w:val="001C6713"/>
    <w:rsid w:val="001C6814"/>
    <w:rsid w:val="001C6A5C"/>
    <w:rsid w:val="001C6CE3"/>
    <w:rsid w:val="001C6D23"/>
    <w:rsid w:val="001C6D65"/>
    <w:rsid w:val="001C72F7"/>
    <w:rsid w:val="001C75AF"/>
    <w:rsid w:val="001C771F"/>
    <w:rsid w:val="001C78F9"/>
    <w:rsid w:val="001C792A"/>
    <w:rsid w:val="001D0296"/>
    <w:rsid w:val="001D03FB"/>
    <w:rsid w:val="001D0809"/>
    <w:rsid w:val="001D0BC6"/>
    <w:rsid w:val="001D1077"/>
    <w:rsid w:val="001D1F33"/>
    <w:rsid w:val="001D21D9"/>
    <w:rsid w:val="001D2863"/>
    <w:rsid w:val="001D2BA3"/>
    <w:rsid w:val="001D2FA9"/>
    <w:rsid w:val="001D31A8"/>
    <w:rsid w:val="001D321B"/>
    <w:rsid w:val="001D3350"/>
    <w:rsid w:val="001D36BD"/>
    <w:rsid w:val="001D39EC"/>
    <w:rsid w:val="001D3DD4"/>
    <w:rsid w:val="001D4A31"/>
    <w:rsid w:val="001D4C2F"/>
    <w:rsid w:val="001D4FE4"/>
    <w:rsid w:val="001D5182"/>
    <w:rsid w:val="001D54FF"/>
    <w:rsid w:val="001D5A2F"/>
    <w:rsid w:val="001D5EA9"/>
    <w:rsid w:val="001D6051"/>
    <w:rsid w:val="001D6421"/>
    <w:rsid w:val="001D65FC"/>
    <w:rsid w:val="001D6675"/>
    <w:rsid w:val="001D67BD"/>
    <w:rsid w:val="001D67F2"/>
    <w:rsid w:val="001D6A52"/>
    <w:rsid w:val="001D6FF4"/>
    <w:rsid w:val="001D705B"/>
    <w:rsid w:val="001D7294"/>
    <w:rsid w:val="001D7823"/>
    <w:rsid w:val="001D78EE"/>
    <w:rsid w:val="001D7AC6"/>
    <w:rsid w:val="001D7CB6"/>
    <w:rsid w:val="001E06BA"/>
    <w:rsid w:val="001E0808"/>
    <w:rsid w:val="001E0B1C"/>
    <w:rsid w:val="001E0D45"/>
    <w:rsid w:val="001E0DB6"/>
    <w:rsid w:val="001E0DF8"/>
    <w:rsid w:val="001E2535"/>
    <w:rsid w:val="001E2BA9"/>
    <w:rsid w:val="001E2D17"/>
    <w:rsid w:val="001E3009"/>
    <w:rsid w:val="001E31FF"/>
    <w:rsid w:val="001E32E5"/>
    <w:rsid w:val="001E3BAD"/>
    <w:rsid w:val="001E3C72"/>
    <w:rsid w:val="001E4045"/>
    <w:rsid w:val="001E48D6"/>
    <w:rsid w:val="001E49F1"/>
    <w:rsid w:val="001E4E7E"/>
    <w:rsid w:val="001E54DC"/>
    <w:rsid w:val="001E5DE2"/>
    <w:rsid w:val="001E6084"/>
    <w:rsid w:val="001E6268"/>
    <w:rsid w:val="001E6307"/>
    <w:rsid w:val="001E659A"/>
    <w:rsid w:val="001E6A30"/>
    <w:rsid w:val="001E79A5"/>
    <w:rsid w:val="001E7A00"/>
    <w:rsid w:val="001E7C9E"/>
    <w:rsid w:val="001E7FF4"/>
    <w:rsid w:val="001F053E"/>
    <w:rsid w:val="001F05EF"/>
    <w:rsid w:val="001F06FD"/>
    <w:rsid w:val="001F1462"/>
    <w:rsid w:val="001F162F"/>
    <w:rsid w:val="001F1B10"/>
    <w:rsid w:val="001F3239"/>
    <w:rsid w:val="001F344C"/>
    <w:rsid w:val="001F34F6"/>
    <w:rsid w:val="001F3610"/>
    <w:rsid w:val="001F3745"/>
    <w:rsid w:val="001F3AA4"/>
    <w:rsid w:val="001F40F4"/>
    <w:rsid w:val="001F4131"/>
    <w:rsid w:val="001F4342"/>
    <w:rsid w:val="001F439F"/>
    <w:rsid w:val="001F47B7"/>
    <w:rsid w:val="001F4B9D"/>
    <w:rsid w:val="001F5AAA"/>
    <w:rsid w:val="001F65B2"/>
    <w:rsid w:val="001F69E2"/>
    <w:rsid w:val="001F700A"/>
    <w:rsid w:val="001F7321"/>
    <w:rsid w:val="001F75B4"/>
    <w:rsid w:val="001F7B91"/>
    <w:rsid w:val="002000EA"/>
    <w:rsid w:val="0020021A"/>
    <w:rsid w:val="002003C8"/>
    <w:rsid w:val="002005D6"/>
    <w:rsid w:val="00201163"/>
    <w:rsid w:val="002013D3"/>
    <w:rsid w:val="00201635"/>
    <w:rsid w:val="00201B2C"/>
    <w:rsid w:val="00201C3A"/>
    <w:rsid w:val="002021AC"/>
    <w:rsid w:val="0020254F"/>
    <w:rsid w:val="0020287D"/>
    <w:rsid w:val="00202899"/>
    <w:rsid w:val="00202958"/>
    <w:rsid w:val="00202AF8"/>
    <w:rsid w:val="00202F81"/>
    <w:rsid w:val="002031EB"/>
    <w:rsid w:val="00203224"/>
    <w:rsid w:val="00203240"/>
    <w:rsid w:val="00203A36"/>
    <w:rsid w:val="00203AE2"/>
    <w:rsid w:val="00204902"/>
    <w:rsid w:val="0020508E"/>
    <w:rsid w:val="002052B9"/>
    <w:rsid w:val="002052BA"/>
    <w:rsid w:val="002057BC"/>
    <w:rsid w:val="00205933"/>
    <w:rsid w:val="00205B01"/>
    <w:rsid w:val="00205CE8"/>
    <w:rsid w:val="00205D69"/>
    <w:rsid w:val="00205DE1"/>
    <w:rsid w:val="0020632B"/>
    <w:rsid w:val="00206DEE"/>
    <w:rsid w:val="00207072"/>
    <w:rsid w:val="00207829"/>
    <w:rsid w:val="00207A78"/>
    <w:rsid w:val="00207B2D"/>
    <w:rsid w:val="00207F52"/>
    <w:rsid w:val="00207F9D"/>
    <w:rsid w:val="002101F5"/>
    <w:rsid w:val="002102F3"/>
    <w:rsid w:val="00210409"/>
    <w:rsid w:val="002106BD"/>
    <w:rsid w:val="002106EF"/>
    <w:rsid w:val="00210AC6"/>
    <w:rsid w:val="00210D8B"/>
    <w:rsid w:val="00211325"/>
    <w:rsid w:val="002119AF"/>
    <w:rsid w:val="00211B3F"/>
    <w:rsid w:val="0021203D"/>
    <w:rsid w:val="0021296F"/>
    <w:rsid w:val="00212DB6"/>
    <w:rsid w:val="00213026"/>
    <w:rsid w:val="002133A4"/>
    <w:rsid w:val="0021352C"/>
    <w:rsid w:val="00213957"/>
    <w:rsid w:val="00213AF3"/>
    <w:rsid w:val="00213FFA"/>
    <w:rsid w:val="00214439"/>
    <w:rsid w:val="002147F6"/>
    <w:rsid w:val="00214903"/>
    <w:rsid w:val="00214A70"/>
    <w:rsid w:val="00215538"/>
    <w:rsid w:val="00215B6D"/>
    <w:rsid w:val="00215FCA"/>
    <w:rsid w:val="002162DB"/>
    <w:rsid w:val="002163F3"/>
    <w:rsid w:val="002164AF"/>
    <w:rsid w:val="00216526"/>
    <w:rsid w:val="00216F12"/>
    <w:rsid w:val="0021705F"/>
    <w:rsid w:val="00217678"/>
    <w:rsid w:val="0021793E"/>
    <w:rsid w:val="00217ADF"/>
    <w:rsid w:val="00220710"/>
    <w:rsid w:val="00220CF3"/>
    <w:rsid w:val="00220D7A"/>
    <w:rsid w:val="0022111D"/>
    <w:rsid w:val="002217E3"/>
    <w:rsid w:val="00221804"/>
    <w:rsid w:val="00221B3C"/>
    <w:rsid w:val="00221DE1"/>
    <w:rsid w:val="00221E37"/>
    <w:rsid w:val="0022235B"/>
    <w:rsid w:val="002224E0"/>
    <w:rsid w:val="002226E8"/>
    <w:rsid w:val="002231B0"/>
    <w:rsid w:val="00223669"/>
    <w:rsid w:val="002237AE"/>
    <w:rsid w:val="002237E7"/>
    <w:rsid w:val="00223D98"/>
    <w:rsid w:val="0022407C"/>
    <w:rsid w:val="002241B1"/>
    <w:rsid w:val="0022454C"/>
    <w:rsid w:val="0022489F"/>
    <w:rsid w:val="00224C36"/>
    <w:rsid w:val="00225420"/>
    <w:rsid w:val="00225485"/>
    <w:rsid w:val="002256FE"/>
    <w:rsid w:val="00225756"/>
    <w:rsid w:val="0022593A"/>
    <w:rsid w:val="00225A11"/>
    <w:rsid w:val="00225D88"/>
    <w:rsid w:val="00226081"/>
    <w:rsid w:val="0022632D"/>
    <w:rsid w:val="002264DD"/>
    <w:rsid w:val="00226547"/>
    <w:rsid w:val="00226BAD"/>
    <w:rsid w:val="00227172"/>
    <w:rsid w:val="0022770C"/>
    <w:rsid w:val="00227E7D"/>
    <w:rsid w:val="00227F09"/>
    <w:rsid w:val="00230EB5"/>
    <w:rsid w:val="00231398"/>
    <w:rsid w:val="00231BFE"/>
    <w:rsid w:val="00231C17"/>
    <w:rsid w:val="00231F96"/>
    <w:rsid w:val="00232119"/>
    <w:rsid w:val="0023282E"/>
    <w:rsid w:val="0023299B"/>
    <w:rsid w:val="00232F6E"/>
    <w:rsid w:val="002340A3"/>
    <w:rsid w:val="00234B44"/>
    <w:rsid w:val="00234CFE"/>
    <w:rsid w:val="00234EDD"/>
    <w:rsid w:val="00234F0A"/>
    <w:rsid w:val="0023577F"/>
    <w:rsid w:val="00235806"/>
    <w:rsid w:val="002359EE"/>
    <w:rsid w:val="00235A50"/>
    <w:rsid w:val="00236494"/>
    <w:rsid w:val="002364A7"/>
    <w:rsid w:val="002364D0"/>
    <w:rsid w:val="00236647"/>
    <w:rsid w:val="00236765"/>
    <w:rsid w:val="00236919"/>
    <w:rsid w:val="00236E68"/>
    <w:rsid w:val="00236FA1"/>
    <w:rsid w:val="002370B4"/>
    <w:rsid w:val="0023718C"/>
    <w:rsid w:val="00237353"/>
    <w:rsid w:val="00237725"/>
    <w:rsid w:val="00237C77"/>
    <w:rsid w:val="002404EE"/>
    <w:rsid w:val="0024056C"/>
    <w:rsid w:val="00240643"/>
    <w:rsid w:val="00240675"/>
    <w:rsid w:val="002408EF"/>
    <w:rsid w:val="00240A9C"/>
    <w:rsid w:val="00240C59"/>
    <w:rsid w:val="00240F70"/>
    <w:rsid w:val="00241233"/>
    <w:rsid w:val="00241389"/>
    <w:rsid w:val="00241675"/>
    <w:rsid w:val="00241BC7"/>
    <w:rsid w:val="00241F43"/>
    <w:rsid w:val="0024207C"/>
    <w:rsid w:val="0024213E"/>
    <w:rsid w:val="0024229B"/>
    <w:rsid w:val="00242718"/>
    <w:rsid w:val="00242820"/>
    <w:rsid w:val="0024289E"/>
    <w:rsid w:val="00243078"/>
    <w:rsid w:val="002433DD"/>
    <w:rsid w:val="0024341C"/>
    <w:rsid w:val="00243F30"/>
    <w:rsid w:val="002440A3"/>
    <w:rsid w:val="0024439A"/>
    <w:rsid w:val="00244795"/>
    <w:rsid w:val="002447A3"/>
    <w:rsid w:val="00244C05"/>
    <w:rsid w:val="00244CF6"/>
    <w:rsid w:val="00244FC1"/>
    <w:rsid w:val="002451AC"/>
    <w:rsid w:val="002451C8"/>
    <w:rsid w:val="00245248"/>
    <w:rsid w:val="00245F9E"/>
    <w:rsid w:val="002461A4"/>
    <w:rsid w:val="00246235"/>
    <w:rsid w:val="0024652D"/>
    <w:rsid w:val="00246C32"/>
    <w:rsid w:val="00246FBD"/>
    <w:rsid w:val="002477A0"/>
    <w:rsid w:val="002478A7"/>
    <w:rsid w:val="00247ADF"/>
    <w:rsid w:val="0025007E"/>
    <w:rsid w:val="00250272"/>
    <w:rsid w:val="0025033A"/>
    <w:rsid w:val="00250922"/>
    <w:rsid w:val="00250E8E"/>
    <w:rsid w:val="00250FBB"/>
    <w:rsid w:val="002510A0"/>
    <w:rsid w:val="002512A6"/>
    <w:rsid w:val="00251742"/>
    <w:rsid w:val="002519C3"/>
    <w:rsid w:val="00252086"/>
    <w:rsid w:val="0025275B"/>
    <w:rsid w:val="00252DE5"/>
    <w:rsid w:val="00252E57"/>
    <w:rsid w:val="002535AA"/>
    <w:rsid w:val="0025365F"/>
    <w:rsid w:val="00253CAF"/>
    <w:rsid w:val="00253E23"/>
    <w:rsid w:val="00254690"/>
    <w:rsid w:val="00254F4F"/>
    <w:rsid w:val="00254F57"/>
    <w:rsid w:val="00255761"/>
    <w:rsid w:val="002557F2"/>
    <w:rsid w:val="0025667F"/>
    <w:rsid w:val="0025699B"/>
    <w:rsid w:val="00256E96"/>
    <w:rsid w:val="002570EC"/>
    <w:rsid w:val="002572CD"/>
    <w:rsid w:val="00257315"/>
    <w:rsid w:val="00257811"/>
    <w:rsid w:val="00260199"/>
    <w:rsid w:val="002602FF"/>
    <w:rsid w:val="00260391"/>
    <w:rsid w:val="00260421"/>
    <w:rsid w:val="00260451"/>
    <w:rsid w:val="0026072D"/>
    <w:rsid w:val="00260B00"/>
    <w:rsid w:val="00260B6D"/>
    <w:rsid w:val="00261150"/>
    <w:rsid w:val="002613F2"/>
    <w:rsid w:val="00261BE5"/>
    <w:rsid w:val="00261E28"/>
    <w:rsid w:val="00261F7D"/>
    <w:rsid w:val="00262188"/>
    <w:rsid w:val="00262348"/>
    <w:rsid w:val="00262649"/>
    <w:rsid w:val="00263D2F"/>
    <w:rsid w:val="002641C0"/>
    <w:rsid w:val="002641CD"/>
    <w:rsid w:val="002647F1"/>
    <w:rsid w:val="00264806"/>
    <w:rsid w:val="00264BFE"/>
    <w:rsid w:val="00265CBE"/>
    <w:rsid w:val="002661BE"/>
    <w:rsid w:val="00266918"/>
    <w:rsid w:val="00267400"/>
    <w:rsid w:val="0026760A"/>
    <w:rsid w:val="00270163"/>
    <w:rsid w:val="002701BB"/>
    <w:rsid w:val="0027037E"/>
    <w:rsid w:val="00270558"/>
    <w:rsid w:val="00270E01"/>
    <w:rsid w:val="00271259"/>
    <w:rsid w:val="00271940"/>
    <w:rsid w:val="00271AAC"/>
    <w:rsid w:val="00271B82"/>
    <w:rsid w:val="00271D83"/>
    <w:rsid w:val="00271E6B"/>
    <w:rsid w:val="002722CB"/>
    <w:rsid w:val="0027233F"/>
    <w:rsid w:val="00272463"/>
    <w:rsid w:val="002725DD"/>
    <w:rsid w:val="002725E2"/>
    <w:rsid w:val="002728EF"/>
    <w:rsid w:val="00273316"/>
    <w:rsid w:val="0027372D"/>
    <w:rsid w:val="002738C0"/>
    <w:rsid w:val="00274397"/>
    <w:rsid w:val="00274A75"/>
    <w:rsid w:val="00274AE0"/>
    <w:rsid w:val="00274AFD"/>
    <w:rsid w:val="00274E32"/>
    <w:rsid w:val="0027521A"/>
    <w:rsid w:val="00275360"/>
    <w:rsid w:val="0027557A"/>
    <w:rsid w:val="00275AC0"/>
    <w:rsid w:val="00275DBB"/>
    <w:rsid w:val="00275EE0"/>
    <w:rsid w:val="00275F0A"/>
    <w:rsid w:val="0027611E"/>
    <w:rsid w:val="002763ED"/>
    <w:rsid w:val="002764D5"/>
    <w:rsid w:val="00276A55"/>
    <w:rsid w:val="00276FD6"/>
    <w:rsid w:val="0027714F"/>
    <w:rsid w:val="002774DC"/>
    <w:rsid w:val="00277C70"/>
    <w:rsid w:val="00277DF6"/>
    <w:rsid w:val="002801A1"/>
    <w:rsid w:val="00280209"/>
    <w:rsid w:val="002807DB"/>
    <w:rsid w:val="00280A94"/>
    <w:rsid w:val="00281D4B"/>
    <w:rsid w:val="00282680"/>
    <w:rsid w:val="0028277C"/>
    <w:rsid w:val="00282F8B"/>
    <w:rsid w:val="002830B9"/>
    <w:rsid w:val="00283484"/>
    <w:rsid w:val="00283F31"/>
    <w:rsid w:val="00284058"/>
    <w:rsid w:val="002842EE"/>
    <w:rsid w:val="00284930"/>
    <w:rsid w:val="00284C83"/>
    <w:rsid w:val="00285973"/>
    <w:rsid w:val="00285B71"/>
    <w:rsid w:val="00285C22"/>
    <w:rsid w:val="00286278"/>
    <w:rsid w:val="0028650E"/>
    <w:rsid w:val="0028654F"/>
    <w:rsid w:val="002869AD"/>
    <w:rsid w:val="00286AD1"/>
    <w:rsid w:val="00286E13"/>
    <w:rsid w:val="002877F8"/>
    <w:rsid w:val="002879EF"/>
    <w:rsid w:val="00287DB9"/>
    <w:rsid w:val="00290231"/>
    <w:rsid w:val="00290B6B"/>
    <w:rsid w:val="00290CF0"/>
    <w:rsid w:val="00290E26"/>
    <w:rsid w:val="00290E6E"/>
    <w:rsid w:val="002913A0"/>
    <w:rsid w:val="00291730"/>
    <w:rsid w:val="002918DD"/>
    <w:rsid w:val="00292017"/>
    <w:rsid w:val="002920BB"/>
    <w:rsid w:val="002923F0"/>
    <w:rsid w:val="00292AE4"/>
    <w:rsid w:val="00292D7E"/>
    <w:rsid w:val="002930F5"/>
    <w:rsid w:val="00293316"/>
    <w:rsid w:val="0029355C"/>
    <w:rsid w:val="002938E1"/>
    <w:rsid w:val="00293A44"/>
    <w:rsid w:val="00293B6D"/>
    <w:rsid w:val="00293D47"/>
    <w:rsid w:val="00293D48"/>
    <w:rsid w:val="00294323"/>
    <w:rsid w:val="0029469E"/>
    <w:rsid w:val="0029470F"/>
    <w:rsid w:val="00294E7C"/>
    <w:rsid w:val="00295020"/>
    <w:rsid w:val="00295244"/>
    <w:rsid w:val="0029549B"/>
    <w:rsid w:val="00295585"/>
    <w:rsid w:val="00295B23"/>
    <w:rsid w:val="0029606F"/>
    <w:rsid w:val="00296099"/>
    <w:rsid w:val="0029642F"/>
    <w:rsid w:val="0029646E"/>
    <w:rsid w:val="00296E92"/>
    <w:rsid w:val="00296FC5"/>
    <w:rsid w:val="002973F3"/>
    <w:rsid w:val="002974F6"/>
    <w:rsid w:val="00297536"/>
    <w:rsid w:val="002A0199"/>
    <w:rsid w:val="002A021A"/>
    <w:rsid w:val="002A0EAF"/>
    <w:rsid w:val="002A10B0"/>
    <w:rsid w:val="002A12C5"/>
    <w:rsid w:val="002A140C"/>
    <w:rsid w:val="002A1CF1"/>
    <w:rsid w:val="002A220E"/>
    <w:rsid w:val="002A22CE"/>
    <w:rsid w:val="002A2828"/>
    <w:rsid w:val="002A2ECA"/>
    <w:rsid w:val="002A3332"/>
    <w:rsid w:val="002A3591"/>
    <w:rsid w:val="002A3680"/>
    <w:rsid w:val="002A37EB"/>
    <w:rsid w:val="002A3BB3"/>
    <w:rsid w:val="002A3DDF"/>
    <w:rsid w:val="002A41DF"/>
    <w:rsid w:val="002A45FF"/>
    <w:rsid w:val="002A4FC9"/>
    <w:rsid w:val="002A5572"/>
    <w:rsid w:val="002A5869"/>
    <w:rsid w:val="002A5AED"/>
    <w:rsid w:val="002A7569"/>
    <w:rsid w:val="002A7706"/>
    <w:rsid w:val="002A7780"/>
    <w:rsid w:val="002A77E0"/>
    <w:rsid w:val="002A795B"/>
    <w:rsid w:val="002A7AF3"/>
    <w:rsid w:val="002A7BAC"/>
    <w:rsid w:val="002B058D"/>
    <w:rsid w:val="002B08FC"/>
    <w:rsid w:val="002B0C68"/>
    <w:rsid w:val="002B0E4C"/>
    <w:rsid w:val="002B14E1"/>
    <w:rsid w:val="002B167B"/>
    <w:rsid w:val="002B17C5"/>
    <w:rsid w:val="002B1A18"/>
    <w:rsid w:val="002B1B5B"/>
    <w:rsid w:val="002B1C7F"/>
    <w:rsid w:val="002B22DE"/>
    <w:rsid w:val="002B23FB"/>
    <w:rsid w:val="002B2430"/>
    <w:rsid w:val="002B248A"/>
    <w:rsid w:val="002B24DC"/>
    <w:rsid w:val="002B26E4"/>
    <w:rsid w:val="002B3237"/>
    <w:rsid w:val="002B326B"/>
    <w:rsid w:val="002B36AC"/>
    <w:rsid w:val="002B3AB6"/>
    <w:rsid w:val="002B3D0B"/>
    <w:rsid w:val="002B3D23"/>
    <w:rsid w:val="002B3F51"/>
    <w:rsid w:val="002B3FAE"/>
    <w:rsid w:val="002B47CE"/>
    <w:rsid w:val="002B512F"/>
    <w:rsid w:val="002B51CD"/>
    <w:rsid w:val="002B55DA"/>
    <w:rsid w:val="002B58B1"/>
    <w:rsid w:val="002B5932"/>
    <w:rsid w:val="002B5A52"/>
    <w:rsid w:val="002B5C18"/>
    <w:rsid w:val="002B5FE3"/>
    <w:rsid w:val="002B6087"/>
    <w:rsid w:val="002B6C02"/>
    <w:rsid w:val="002B6FA1"/>
    <w:rsid w:val="002B6FC9"/>
    <w:rsid w:val="002B73D8"/>
    <w:rsid w:val="002B74F7"/>
    <w:rsid w:val="002B7676"/>
    <w:rsid w:val="002B8502"/>
    <w:rsid w:val="002C0C75"/>
    <w:rsid w:val="002C1F1C"/>
    <w:rsid w:val="002C26E5"/>
    <w:rsid w:val="002C282A"/>
    <w:rsid w:val="002C29F8"/>
    <w:rsid w:val="002C3757"/>
    <w:rsid w:val="002C3BC7"/>
    <w:rsid w:val="002C3C10"/>
    <w:rsid w:val="002C3C40"/>
    <w:rsid w:val="002C3D29"/>
    <w:rsid w:val="002C3E43"/>
    <w:rsid w:val="002C40F8"/>
    <w:rsid w:val="002C416A"/>
    <w:rsid w:val="002C41F9"/>
    <w:rsid w:val="002C4CC1"/>
    <w:rsid w:val="002C5219"/>
    <w:rsid w:val="002C5228"/>
    <w:rsid w:val="002C55C0"/>
    <w:rsid w:val="002C5711"/>
    <w:rsid w:val="002C5A1E"/>
    <w:rsid w:val="002C5D08"/>
    <w:rsid w:val="002C6152"/>
    <w:rsid w:val="002C6247"/>
    <w:rsid w:val="002C651B"/>
    <w:rsid w:val="002C6553"/>
    <w:rsid w:val="002C70AA"/>
    <w:rsid w:val="002C7117"/>
    <w:rsid w:val="002C7776"/>
    <w:rsid w:val="002C79AD"/>
    <w:rsid w:val="002C7EC7"/>
    <w:rsid w:val="002C7EFD"/>
    <w:rsid w:val="002D0615"/>
    <w:rsid w:val="002D09E1"/>
    <w:rsid w:val="002D0D60"/>
    <w:rsid w:val="002D13B0"/>
    <w:rsid w:val="002D143E"/>
    <w:rsid w:val="002D1B1F"/>
    <w:rsid w:val="002D1D21"/>
    <w:rsid w:val="002D1D30"/>
    <w:rsid w:val="002D21DC"/>
    <w:rsid w:val="002D24AC"/>
    <w:rsid w:val="002D286F"/>
    <w:rsid w:val="002D2A14"/>
    <w:rsid w:val="002D2DA8"/>
    <w:rsid w:val="002D3454"/>
    <w:rsid w:val="002D35D3"/>
    <w:rsid w:val="002D386A"/>
    <w:rsid w:val="002D3B1A"/>
    <w:rsid w:val="002D3F73"/>
    <w:rsid w:val="002D4018"/>
    <w:rsid w:val="002D47E4"/>
    <w:rsid w:val="002D4C30"/>
    <w:rsid w:val="002D5677"/>
    <w:rsid w:val="002D5EF3"/>
    <w:rsid w:val="002D67EB"/>
    <w:rsid w:val="002D6A11"/>
    <w:rsid w:val="002D6A84"/>
    <w:rsid w:val="002D71B1"/>
    <w:rsid w:val="002D7386"/>
    <w:rsid w:val="002D73E6"/>
    <w:rsid w:val="002D74CF"/>
    <w:rsid w:val="002D7771"/>
    <w:rsid w:val="002D7BE9"/>
    <w:rsid w:val="002D7D23"/>
    <w:rsid w:val="002D7D94"/>
    <w:rsid w:val="002D7F59"/>
    <w:rsid w:val="002E0318"/>
    <w:rsid w:val="002E0B70"/>
    <w:rsid w:val="002E1436"/>
    <w:rsid w:val="002E1872"/>
    <w:rsid w:val="002E1A28"/>
    <w:rsid w:val="002E1CE5"/>
    <w:rsid w:val="002E256A"/>
    <w:rsid w:val="002E312A"/>
    <w:rsid w:val="002E34BF"/>
    <w:rsid w:val="002E3572"/>
    <w:rsid w:val="002E3A72"/>
    <w:rsid w:val="002E3BE1"/>
    <w:rsid w:val="002E4277"/>
    <w:rsid w:val="002E4AE2"/>
    <w:rsid w:val="002E4C81"/>
    <w:rsid w:val="002E4CD6"/>
    <w:rsid w:val="002E4E60"/>
    <w:rsid w:val="002E656E"/>
    <w:rsid w:val="002E6CD5"/>
    <w:rsid w:val="002E6EA4"/>
    <w:rsid w:val="002E7C8C"/>
    <w:rsid w:val="002F0250"/>
    <w:rsid w:val="002F064A"/>
    <w:rsid w:val="002F0832"/>
    <w:rsid w:val="002F11E3"/>
    <w:rsid w:val="002F1763"/>
    <w:rsid w:val="002F19EE"/>
    <w:rsid w:val="002F1B8F"/>
    <w:rsid w:val="002F1C27"/>
    <w:rsid w:val="002F1CAF"/>
    <w:rsid w:val="002F1D62"/>
    <w:rsid w:val="002F1F70"/>
    <w:rsid w:val="002F244C"/>
    <w:rsid w:val="002F2839"/>
    <w:rsid w:val="002F2AE5"/>
    <w:rsid w:val="002F2B61"/>
    <w:rsid w:val="002F3655"/>
    <w:rsid w:val="002F3B63"/>
    <w:rsid w:val="002F3C15"/>
    <w:rsid w:val="002F40FE"/>
    <w:rsid w:val="002F41B4"/>
    <w:rsid w:val="002F4455"/>
    <w:rsid w:val="002F44C7"/>
    <w:rsid w:val="002F44C8"/>
    <w:rsid w:val="002F5348"/>
    <w:rsid w:val="002F5A0F"/>
    <w:rsid w:val="002F5A59"/>
    <w:rsid w:val="002F5E7A"/>
    <w:rsid w:val="002F600E"/>
    <w:rsid w:val="002F6EA5"/>
    <w:rsid w:val="002F707A"/>
    <w:rsid w:val="002F721E"/>
    <w:rsid w:val="00300340"/>
    <w:rsid w:val="003007CC"/>
    <w:rsid w:val="0030100F"/>
    <w:rsid w:val="00301186"/>
    <w:rsid w:val="0030118D"/>
    <w:rsid w:val="0030151F"/>
    <w:rsid w:val="003015CD"/>
    <w:rsid w:val="00301955"/>
    <w:rsid w:val="003019C5"/>
    <w:rsid w:val="00301A27"/>
    <w:rsid w:val="00301A8A"/>
    <w:rsid w:val="00301BC9"/>
    <w:rsid w:val="00301DB3"/>
    <w:rsid w:val="00302254"/>
    <w:rsid w:val="003027B8"/>
    <w:rsid w:val="0030336F"/>
    <w:rsid w:val="00304CDE"/>
    <w:rsid w:val="003053B7"/>
    <w:rsid w:val="00305691"/>
    <w:rsid w:val="003059E0"/>
    <w:rsid w:val="003060BC"/>
    <w:rsid w:val="0030691C"/>
    <w:rsid w:val="00306966"/>
    <w:rsid w:val="00306B1D"/>
    <w:rsid w:val="00306D76"/>
    <w:rsid w:val="00306F46"/>
    <w:rsid w:val="00307A0B"/>
    <w:rsid w:val="00307A58"/>
    <w:rsid w:val="00307BCD"/>
    <w:rsid w:val="00307C1E"/>
    <w:rsid w:val="003108A2"/>
    <w:rsid w:val="0031097F"/>
    <w:rsid w:val="00310A0C"/>
    <w:rsid w:val="00310A96"/>
    <w:rsid w:val="00310CA3"/>
    <w:rsid w:val="003116A6"/>
    <w:rsid w:val="003117E5"/>
    <w:rsid w:val="00311CC8"/>
    <w:rsid w:val="00311E53"/>
    <w:rsid w:val="0031225E"/>
    <w:rsid w:val="0031234C"/>
    <w:rsid w:val="00312732"/>
    <w:rsid w:val="00312738"/>
    <w:rsid w:val="00312B3D"/>
    <w:rsid w:val="0031376E"/>
    <w:rsid w:val="0031391B"/>
    <w:rsid w:val="00313A46"/>
    <w:rsid w:val="00313D56"/>
    <w:rsid w:val="00314068"/>
    <w:rsid w:val="003140B8"/>
    <w:rsid w:val="00314AA4"/>
    <w:rsid w:val="00314CFA"/>
    <w:rsid w:val="00314EC9"/>
    <w:rsid w:val="00315C1B"/>
    <w:rsid w:val="00315C78"/>
    <w:rsid w:val="00316726"/>
    <w:rsid w:val="00316745"/>
    <w:rsid w:val="00316A6A"/>
    <w:rsid w:val="0031727E"/>
    <w:rsid w:val="003176CB"/>
    <w:rsid w:val="003178F8"/>
    <w:rsid w:val="00317BC6"/>
    <w:rsid w:val="00320A31"/>
    <w:rsid w:val="00320B2F"/>
    <w:rsid w:val="00320C49"/>
    <w:rsid w:val="00320F81"/>
    <w:rsid w:val="003213B1"/>
    <w:rsid w:val="003213E0"/>
    <w:rsid w:val="00321703"/>
    <w:rsid w:val="003217BB"/>
    <w:rsid w:val="00321C62"/>
    <w:rsid w:val="00321D59"/>
    <w:rsid w:val="00321F8C"/>
    <w:rsid w:val="0032218A"/>
    <w:rsid w:val="0032296F"/>
    <w:rsid w:val="00322D27"/>
    <w:rsid w:val="00323BD0"/>
    <w:rsid w:val="00323E79"/>
    <w:rsid w:val="00324237"/>
    <w:rsid w:val="00324CFE"/>
    <w:rsid w:val="003251E7"/>
    <w:rsid w:val="00325915"/>
    <w:rsid w:val="00325939"/>
    <w:rsid w:val="00325D85"/>
    <w:rsid w:val="0032616D"/>
    <w:rsid w:val="00326385"/>
    <w:rsid w:val="003263C2"/>
    <w:rsid w:val="00326AFD"/>
    <w:rsid w:val="00326C78"/>
    <w:rsid w:val="00326CBB"/>
    <w:rsid w:val="00326F7D"/>
    <w:rsid w:val="00327796"/>
    <w:rsid w:val="0032798E"/>
    <w:rsid w:val="00327A54"/>
    <w:rsid w:val="00327DDB"/>
    <w:rsid w:val="00327F2C"/>
    <w:rsid w:val="00330031"/>
    <w:rsid w:val="00330666"/>
    <w:rsid w:val="00330CFD"/>
    <w:rsid w:val="00330FF3"/>
    <w:rsid w:val="00331650"/>
    <w:rsid w:val="00331786"/>
    <w:rsid w:val="003317F0"/>
    <w:rsid w:val="00331AF5"/>
    <w:rsid w:val="00331D14"/>
    <w:rsid w:val="003332A8"/>
    <w:rsid w:val="003332F5"/>
    <w:rsid w:val="00333424"/>
    <w:rsid w:val="0033365C"/>
    <w:rsid w:val="00333C30"/>
    <w:rsid w:val="00334188"/>
    <w:rsid w:val="0033477E"/>
    <w:rsid w:val="0033490D"/>
    <w:rsid w:val="00334CBE"/>
    <w:rsid w:val="00334EE2"/>
    <w:rsid w:val="00334EF0"/>
    <w:rsid w:val="0033507D"/>
    <w:rsid w:val="003352DB"/>
    <w:rsid w:val="0033537F"/>
    <w:rsid w:val="003354F9"/>
    <w:rsid w:val="00335ADC"/>
    <w:rsid w:val="0033633E"/>
    <w:rsid w:val="00336726"/>
    <w:rsid w:val="003367E6"/>
    <w:rsid w:val="00336CE8"/>
    <w:rsid w:val="00337DD5"/>
    <w:rsid w:val="00337E06"/>
    <w:rsid w:val="00337E22"/>
    <w:rsid w:val="0034010F"/>
    <w:rsid w:val="00340621"/>
    <w:rsid w:val="003407DD"/>
    <w:rsid w:val="003408AE"/>
    <w:rsid w:val="00340A9E"/>
    <w:rsid w:val="00340E79"/>
    <w:rsid w:val="003410F6"/>
    <w:rsid w:val="003415C0"/>
    <w:rsid w:val="003418CE"/>
    <w:rsid w:val="00341F1C"/>
    <w:rsid w:val="00342114"/>
    <w:rsid w:val="00342AE5"/>
    <w:rsid w:val="00342CCC"/>
    <w:rsid w:val="00342F49"/>
    <w:rsid w:val="003432A9"/>
    <w:rsid w:val="0034345E"/>
    <w:rsid w:val="0034352B"/>
    <w:rsid w:val="00343B71"/>
    <w:rsid w:val="00343C94"/>
    <w:rsid w:val="00343EBC"/>
    <w:rsid w:val="0034411F"/>
    <w:rsid w:val="00344487"/>
    <w:rsid w:val="00344612"/>
    <w:rsid w:val="00344978"/>
    <w:rsid w:val="00344C07"/>
    <w:rsid w:val="00344F3A"/>
    <w:rsid w:val="00345043"/>
    <w:rsid w:val="0034508E"/>
    <w:rsid w:val="00345213"/>
    <w:rsid w:val="0034549D"/>
    <w:rsid w:val="003454A8"/>
    <w:rsid w:val="003457F5"/>
    <w:rsid w:val="00345854"/>
    <w:rsid w:val="00345CE6"/>
    <w:rsid w:val="003468CD"/>
    <w:rsid w:val="00346AD7"/>
    <w:rsid w:val="00346B1A"/>
    <w:rsid w:val="00347FE6"/>
    <w:rsid w:val="00350540"/>
    <w:rsid w:val="003507A4"/>
    <w:rsid w:val="00350B61"/>
    <w:rsid w:val="003512E4"/>
    <w:rsid w:val="00351382"/>
    <w:rsid w:val="00351935"/>
    <w:rsid w:val="00351F23"/>
    <w:rsid w:val="00351FB1"/>
    <w:rsid w:val="0035233B"/>
    <w:rsid w:val="0035272F"/>
    <w:rsid w:val="003528C1"/>
    <w:rsid w:val="0035343B"/>
    <w:rsid w:val="00353889"/>
    <w:rsid w:val="00353E58"/>
    <w:rsid w:val="00354667"/>
    <w:rsid w:val="0035469E"/>
    <w:rsid w:val="00354D60"/>
    <w:rsid w:val="0035554D"/>
    <w:rsid w:val="00355775"/>
    <w:rsid w:val="003558D5"/>
    <w:rsid w:val="003570B6"/>
    <w:rsid w:val="00357255"/>
    <w:rsid w:val="0035739D"/>
    <w:rsid w:val="00357933"/>
    <w:rsid w:val="00357B42"/>
    <w:rsid w:val="00357DF7"/>
    <w:rsid w:val="00357E81"/>
    <w:rsid w:val="003608AC"/>
    <w:rsid w:val="00360B2B"/>
    <w:rsid w:val="00360F6E"/>
    <w:rsid w:val="0036144C"/>
    <w:rsid w:val="00361798"/>
    <w:rsid w:val="003618EF"/>
    <w:rsid w:val="003622FA"/>
    <w:rsid w:val="00362780"/>
    <w:rsid w:val="00362A19"/>
    <w:rsid w:val="00362AD6"/>
    <w:rsid w:val="00362AEA"/>
    <w:rsid w:val="00362F5F"/>
    <w:rsid w:val="00363421"/>
    <w:rsid w:val="00363B5A"/>
    <w:rsid w:val="00364197"/>
    <w:rsid w:val="00364298"/>
    <w:rsid w:val="00365030"/>
    <w:rsid w:val="003652B0"/>
    <w:rsid w:val="003658D4"/>
    <w:rsid w:val="00365ADA"/>
    <w:rsid w:val="00365B03"/>
    <w:rsid w:val="00366462"/>
    <w:rsid w:val="00366B17"/>
    <w:rsid w:val="00366E42"/>
    <w:rsid w:val="00367220"/>
    <w:rsid w:val="00367334"/>
    <w:rsid w:val="00367350"/>
    <w:rsid w:val="003673B0"/>
    <w:rsid w:val="003673FC"/>
    <w:rsid w:val="00367577"/>
    <w:rsid w:val="003676A1"/>
    <w:rsid w:val="003676BF"/>
    <w:rsid w:val="00367B28"/>
    <w:rsid w:val="00367CFF"/>
    <w:rsid w:val="00370F1F"/>
    <w:rsid w:val="003710D7"/>
    <w:rsid w:val="0037152B"/>
    <w:rsid w:val="0037169B"/>
    <w:rsid w:val="003717CC"/>
    <w:rsid w:val="003717E2"/>
    <w:rsid w:val="00371AD8"/>
    <w:rsid w:val="00371F19"/>
    <w:rsid w:val="00372000"/>
    <w:rsid w:val="00372B2B"/>
    <w:rsid w:val="00372BA6"/>
    <w:rsid w:val="00372DD8"/>
    <w:rsid w:val="003735DF"/>
    <w:rsid w:val="00373686"/>
    <w:rsid w:val="0037368B"/>
    <w:rsid w:val="00373C5B"/>
    <w:rsid w:val="00373C83"/>
    <w:rsid w:val="00374218"/>
    <w:rsid w:val="00374B47"/>
    <w:rsid w:val="0037512C"/>
    <w:rsid w:val="00375428"/>
    <w:rsid w:val="0037563D"/>
    <w:rsid w:val="0037574A"/>
    <w:rsid w:val="00375959"/>
    <w:rsid w:val="0037606B"/>
    <w:rsid w:val="00376236"/>
    <w:rsid w:val="003762C9"/>
    <w:rsid w:val="00376385"/>
    <w:rsid w:val="003766F9"/>
    <w:rsid w:val="003768F0"/>
    <w:rsid w:val="00377230"/>
    <w:rsid w:val="003773B9"/>
    <w:rsid w:val="00377461"/>
    <w:rsid w:val="00377599"/>
    <w:rsid w:val="00377CDA"/>
    <w:rsid w:val="00377F43"/>
    <w:rsid w:val="003804C8"/>
    <w:rsid w:val="003805DA"/>
    <w:rsid w:val="00380C4F"/>
    <w:rsid w:val="00381020"/>
    <w:rsid w:val="003811FF"/>
    <w:rsid w:val="0038132F"/>
    <w:rsid w:val="00381AAB"/>
    <w:rsid w:val="00381F1A"/>
    <w:rsid w:val="00382605"/>
    <w:rsid w:val="00382F56"/>
    <w:rsid w:val="00383021"/>
    <w:rsid w:val="00383257"/>
    <w:rsid w:val="00383655"/>
    <w:rsid w:val="00384071"/>
    <w:rsid w:val="003846E0"/>
    <w:rsid w:val="00384962"/>
    <w:rsid w:val="00384E2E"/>
    <w:rsid w:val="00385245"/>
    <w:rsid w:val="003854C6"/>
    <w:rsid w:val="00385710"/>
    <w:rsid w:val="003858B3"/>
    <w:rsid w:val="00385AF0"/>
    <w:rsid w:val="00385F2A"/>
    <w:rsid w:val="00386014"/>
    <w:rsid w:val="0038624F"/>
    <w:rsid w:val="00386CFE"/>
    <w:rsid w:val="00386F68"/>
    <w:rsid w:val="00386F74"/>
    <w:rsid w:val="00387389"/>
    <w:rsid w:val="00387765"/>
    <w:rsid w:val="00387B82"/>
    <w:rsid w:val="00387BFA"/>
    <w:rsid w:val="00387EA1"/>
    <w:rsid w:val="0039004D"/>
    <w:rsid w:val="00390081"/>
    <w:rsid w:val="0039028D"/>
    <w:rsid w:val="00390E39"/>
    <w:rsid w:val="00391132"/>
    <w:rsid w:val="0039128B"/>
    <w:rsid w:val="003918BE"/>
    <w:rsid w:val="00391EDD"/>
    <w:rsid w:val="00392069"/>
    <w:rsid w:val="003921D8"/>
    <w:rsid w:val="0039260D"/>
    <w:rsid w:val="00392682"/>
    <w:rsid w:val="003927F3"/>
    <w:rsid w:val="00392991"/>
    <w:rsid w:val="00392AAC"/>
    <w:rsid w:val="00393339"/>
    <w:rsid w:val="003935CC"/>
    <w:rsid w:val="00393932"/>
    <w:rsid w:val="00393DCF"/>
    <w:rsid w:val="00393E73"/>
    <w:rsid w:val="003943BA"/>
    <w:rsid w:val="00394624"/>
    <w:rsid w:val="00394636"/>
    <w:rsid w:val="00394EE6"/>
    <w:rsid w:val="003952E6"/>
    <w:rsid w:val="00395730"/>
    <w:rsid w:val="003957DE"/>
    <w:rsid w:val="00395A8F"/>
    <w:rsid w:val="00395E30"/>
    <w:rsid w:val="00395E77"/>
    <w:rsid w:val="00395EAF"/>
    <w:rsid w:val="003963B3"/>
    <w:rsid w:val="003964A4"/>
    <w:rsid w:val="00397323"/>
    <w:rsid w:val="00397DCB"/>
    <w:rsid w:val="00397E88"/>
    <w:rsid w:val="003A027B"/>
    <w:rsid w:val="003A059B"/>
    <w:rsid w:val="003A071B"/>
    <w:rsid w:val="003A081A"/>
    <w:rsid w:val="003A0BFD"/>
    <w:rsid w:val="003A1314"/>
    <w:rsid w:val="003A2713"/>
    <w:rsid w:val="003A2815"/>
    <w:rsid w:val="003A2858"/>
    <w:rsid w:val="003A2C8B"/>
    <w:rsid w:val="003A304C"/>
    <w:rsid w:val="003A30B5"/>
    <w:rsid w:val="003A3263"/>
    <w:rsid w:val="003A361D"/>
    <w:rsid w:val="003A36D6"/>
    <w:rsid w:val="003A37C6"/>
    <w:rsid w:val="003A3803"/>
    <w:rsid w:val="003A3929"/>
    <w:rsid w:val="003A3B8A"/>
    <w:rsid w:val="003A43E5"/>
    <w:rsid w:val="003A4734"/>
    <w:rsid w:val="003A5114"/>
    <w:rsid w:val="003A5499"/>
    <w:rsid w:val="003A5A21"/>
    <w:rsid w:val="003A5ADF"/>
    <w:rsid w:val="003A6523"/>
    <w:rsid w:val="003A6719"/>
    <w:rsid w:val="003A6791"/>
    <w:rsid w:val="003A68C9"/>
    <w:rsid w:val="003A6968"/>
    <w:rsid w:val="003A69C3"/>
    <w:rsid w:val="003A69EB"/>
    <w:rsid w:val="003A6A5B"/>
    <w:rsid w:val="003A6BE6"/>
    <w:rsid w:val="003A6DAD"/>
    <w:rsid w:val="003A6DE2"/>
    <w:rsid w:val="003A6F57"/>
    <w:rsid w:val="003A717B"/>
    <w:rsid w:val="003A7BD9"/>
    <w:rsid w:val="003B0021"/>
    <w:rsid w:val="003B052C"/>
    <w:rsid w:val="003B0ABF"/>
    <w:rsid w:val="003B0B76"/>
    <w:rsid w:val="003B134F"/>
    <w:rsid w:val="003B1382"/>
    <w:rsid w:val="003B16E6"/>
    <w:rsid w:val="003B17AF"/>
    <w:rsid w:val="003B1896"/>
    <w:rsid w:val="003B1DD6"/>
    <w:rsid w:val="003B1FD2"/>
    <w:rsid w:val="003B1FE7"/>
    <w:rsid w:val="003B2481"/>
    <w:rsid w:val="003B2BB0"/>
    <w:rsid w:val="003B3993"/>
    <w:rsid w:val="003B4034"/>
    <w:rsid w:val="003B40D5"/>
    <w:rsid w:val="003B43FE"/>
    <w:rsid w:val="003B4909"/>
    <w:rsid w:val="003B50F6"/>
    <w:rsid w:val="003B5329"/>
    <w:rsid w:val="003B54C1"/>
    <w:rsid w:val="003B5CF2"/>
    <w:rsid w:val="003B6050"/>
    <w:rsid w:val="003B6181"/>
    <w:rsid w:val="003B64AF"/>
    <w:rsid w:val="003B68DE"/>
    <w:rsid w:val="003B6900"/>
    <w:rsid w:val="003B74E9"/>
    <w:rsid w:val="003B771D"/>
    <w:rsid w:val="003B7895"/>
    <w:rsid w:val="003B7932"/>
    <w:rsid w:val="003B7A72"/>
    <w:rsid w:val="003B7BA9"/>
    <w:rsid w:val="003C01E1"/>
    <w:rsid w:val="003C06F4"/>
    <w:rsid w:val="003C0B81"/>
    <w:rsid w:val="003C190F"/>
    <w:rsid w:val="003C1E7E"/>
    <w:rsid w:val="003C1EB3"/>
    <w:rsid w:val="003C2064"/>
    <w:rsid w:val="003C275D"/>
    <w:rsid w:val="003C28FA"/>
    <w:rsid w:val="003C2949"/>
    <w:rsid w:val="003C2B56"/>
    <w:rsid w:val="003C309E"/>
    <w:rsid w:val="003C3142"/>
    <w:rsid w:val="003C3AF0"/>
    <w:rsid w:val="003C3D95"/>
    <w:rsid w:val="003C4310"/>
    <w:rsid w:val="003C433E"/>
    <w:rsid w:val="003C450F"/>
    <w:rsid w:val="003C45C8"/>
    <w:rsid w:val="003C481A"/>
    <w:rsid w:val="003C4A46"/>
    <w:rsid w:val="003C4E5A"/>
    <w:rsid w:val="003C55C6"/>
    <w:rsid w:val="003C5E17"/>
    <w:rsid w:val="003C6504"/>
    <w:rsid w:val="003C6596"/>
    <w:rsid w:val="003C6BF1"/>
    <w:rsid w:val="003C6FBC"/>
    <w:rsid w:val="003C7133"/>
    <w:rsid w:val="003C72F9"/>
    <w:rsid w:val="003C764D"/>
    <w:rsid w:val="003C785C"/>
    <w:rsid w:val="003C789F"/>
    <w:rsid w:val="003C7FAD"/>
    <w:rsid w:val="003D0269"/>
    <w:rsid w:val="003D0277"/>
    <w:rsid w:val="003D03A0"/>
    <w:rsid w:val="003D042E"/>
    <w:rsid w:val="003D0A37"/>
    <w:rsid w:val="003D0C8C"/>
    <w:rsid w:val="003D0F05"/>
    <w:rsid w:val="003D15A7"/>
    <w:rsid w:val="003D16FA"/>
    <w:rsid w:val="003D19EF"/>
    <w:rsid w:val="003D2773"/>
    <w:rsid w:val="003D278B"/>
    <w:rsid w:val="003D2863"/>
    <w:rsid w:val="003D2A84"/>
    <w:rsid w:val="003D2C66"/>
    <w:rsid w:val="003D2F3E"/>
    <w:rsid w:val="003D3620"/>
    <w:rsid w:val="003D3A2C"/>
    <w:rsid w:val="003D3AEF"/>
    <w:rsid w:val="003D3FDF"/>
    <w:rsid w:val="003D420C"/>
    <w:rsid w:val="003D45C0"/>
    <w:rsid w:val="003D4C9B"/>
    <w:rsid w:val="003D4DB4"/>
    <w:rsid w:val="003D5735"/>
    <w:rsid w:val="003D5E6E"/>
    <w:rsid w:val="003D5EDE"/>
    <w:rsid w:val="003D642C"/>
    <w:rsid w:val="003D6543"/>
    <w:rsid w:val="003D6567"/>
    <w:rsid w:val="003D6682"/>
    <w:rsid w:val="003D76C4"/>
    <w:rsid w:val="003D7D0B"/>
    <w:rsid w:val="003D7DF0"/>
    <w:rsid w:val="003E0081"/>
    <w:rsid w:val="003E0A69"/>
    <w:rsid w:val="003E0D31"/>
    <w:rsid w:val="003E1662"/>
    <w:rsid w:val="003E187D"/>
    <w:rsid w:val="003E1E04"/>
    <w:rsid w:val="003E2D7D"/>
    <w:rsid w:val="003E2E78"/>
    <w:rsid w:val="003E3232"/>
    <w:rsid w:val="003E32BA"/>
    <w:rsid w:val="003E32D1"/>
    <w:rsid w:val="003E3480"/>
    <w:rsid w:val="003E3E3B"/>
    <w:rsid w:val="003E4D75"/>
    <w:rsid w:val="003E5B40"/>
    <w:rsid w:val="003E649D"/>
    <w:rsid w:val="003E69A7"/>
    <w:rsid w:val="003E6E6F"/>
    <w:rsid w:val="003E70E0"/>
    <w:rsid w:val="003E786F"/>
    <w:rsid w:val="003E7AA6"/>
    <w:rsid w:val="003E7C4E"/>
    <w:rsid w:val="003E7CB0"/>
    <w:rsid w:val="003F09A1"/>
    <w:rsid w:val="003F0A71"/>
    <w:rsid w:val="003F0C98"/>
    <w:rsid w:val="003F0DDC"/>
    <w:rsid w:val="003F158B"/>
    <w:rsid w:val="003F19C1"/>
    <w:rsid w:val="003F289A"/>
    <w:rsid w:val="003F2B5C"/>
    <w:rsid w:val="003F2B76"/>
    <w:rsid w:val="003F2DB2"/>
    <w:rsid w:val="003F37FF"/>
    <w:rsid w:val="003F3852"/>
    <w:rsid w:val="003F3935"/>
    <w:rsid w:val="003F3982"/>
    <w:rsid w:val="003F3DE1"/>
    <w:rsid w:val="003F3F51"/>
    <w:rsid w:val="003F4014"/>
    <w:rsid w:val="003F444E"/>
    <w:rsid w:val="003F4CDD"/>
    <w:rsid w:val="003F4E98"/>
    <w:rsid w:val="003F64D5"/>
    <w:rsid w:val="003F68A2"/>
    <w:rsid w:val="003F6929"/>
    <w:rsid w:val="003F6FDB"/>
    <w:rsid w:val="003F7073"/>
    <w:rsid w:val="003F71E7"/>
    <w:rsid w:val="003F7374"/>
    <w:rsid w:val="003F76AA"/>
    <w:rsid w:val="003F7E69"/>
    <w:rsid w:val="004001CE"/>
    <w:rsid w:val="004005EC"/>
    <w:rsid w:val="00400CA2"/>
    <w:rsid w:val="00400CC4"/>
    <w:rsid w:val="00400D0F"/>
    <w:rsid w:val="004012B6"/>
    <w:rsid w:val="00401720"/>
    <w:rsid w:val="004017F2"/>
    <w:rsid w:val="00401BFA"/>
    <w:rsid w:val="004021EF"/>
    <w:rsid w:val="00402A44"/>
    <w:rsid w:val="004030A7"/>
    <w:rsid w:val="004030B5"/>
    <w:rsid w:val="004030D5"/>
    <w:rsid w:val="0040350F"/>
    <w:rsid w:val="004035B4"/>
    <w:rsid w:val="004036B4"/>
    <w:rsid w:val="00403915"/>
    <w:rsid w:val="00403C78"/>
    <w:rsid w:val="004046E5"/>
    <w:rsid w:val="0040484A"/>
    <w:rsid w:val="00404DD9"/>
    <w:rsid w:val="00404F58"/>
    <w:rsid w:val="00404F9C"/>
    <w:rsid w:val="00405591"/>
    <w:rsid w:val="00405ED4"/>
    <w:rsid w:val="004061EF"/>
    <w:rsid w:val="00406222"/>
    <w:rsid w:val="00406C2A"/>
    <w:rsid w:val="00406C33"/>
    <w:rsid w:val="00407249"/>
    <w:rsid w:val="00407343"/>
    <w:rsid w:val="004078BD"/>
    <w:rsid w:val="00407AF2"/>
    <w:rsid w:val="00407D1D"/>
    <w:rsid w:val="00410252"/>
    <w:rsid w:val="00410772"/>
    <w:rsid w:val="00410985"/>
    <w:rsid w:val="00410D82"/>
    <w:rsid w:val="00410E4D"/>
    <w:rsid w:val="004110D8"/>
    <w:rsid w:val="0041118F"/>
    <w:rsid w:val="00411A56"/>
    <w:rsid w:val="00411BDA"/>
    <w:rsid w:val="00411C0D"/>
    <w:rsid w:val="00412096"/>
    <w:rsid w:val="00412AD9"/>
    <w:rsid w:val="00412CDC"/>
    <w:rsid w:val="00413507"/>
    <w:rsid w:val="00413D15"/>
    <w:rsid w:val="00413EE3"/>
    <w:rsid w:val="00414271"/>
    <w:rsid w:val="004148FD"/>
    <w:rsid w:val="00414BC6"/>
    <w:rsid w:val="00414C4C"/>
    <w:rsid w:val="00415149"/>
    <w:rsid w:val="004156DD"/>
    <w:rsid w:val="0041573F"/>
    <w:rsid w:val="00415774"/>
    <w:rsid w:val="00415964"/>
    <w:rsid w:val="00415C38"/>
    <w:rsid w:val="00415FD4"/>
    <w:rsid w:val="004160D5"/>
    <w:rsid w:val="004168AB"/>
    <w:rsid w:val="0041706A"/>
    <w:rsid w:val="004174FF"/>
    <w:rsid w:val="0041784C"/>
    <w:rsid w:val="00417896"/>
    <w:rsid w:val="00417D71"/>
    <w:rsid w:val="00420097"/>
    <w:rsid w:val="004202D7"/>
    <w:rsid w:val="0042035B"/>
    <w:rsid w:val="0042066F"/>
    <w:rsid w:val="00420D96"/>
    <w:rsid w:val="004218D0"/>
    <w:rsid w:val="004219C5"/>
    <w:rsid w:val="004219E2"/>
    <w:rsid w:val="00421D58"/>
    <w:rsid w:val="00422172"/>
    <w:rsid w:val="004223FC"/>
    <w:rsid w:val="00422851"/>
    <w:rsid w:val="00422E82"/>
    <w:rsid w:val="0042361A"/>
    <w:rsid w:val="00423773"/>
    <w:rsid w:val="0042488B"/>
    <w:rsid w:val="00424962"/>
    <w:rsid w:val="00424F2F"/>
    <w:rsid w:val="004250A3"/>
    <w:rsid w:val="0042548C"/>
    <w:rsid w:val="00425596"/>
    <w:rsid w:val="0042564C"/>
    <w:rsid w:val="004256B6"/>
    <w:rsid w:val="0042599A"/>
    <w:rsid w:val="00425A8E"/>
    <w:rsid w:val="00426773"/>
    <w:rsid w:val="004268D6"/>
    <w:rsid w:val="00426931"/>
    <w:rsid w:val="00426B8A"/>
    <w:rsid w:val="00426C99"/>
    <w:rsid w:val="004273C1"/>
    <w:rsid w:val="00427782"/>
    <w:rsid w:val="00427D96"/>
    <w:rsid w:val="004302F0"/>
    <w:rsid w:val="00430546"/>
    <w:rsid w:val="0043103D"/>
    <w:rsid w:val="00431150"/>
    <w:rsid w:val="0043141A"/>
    <w:rsid w:val="00431D27"/>
    <w:rsid w:val="00431E2A"/>
    <w:rsid w:val="00431FA9"/>
    <w:rsid w:val="004321AD"/>
    <w:rsid w:val="00432491"/>
    <w:rsid w:val="004324CF"/>
    <w:rsid w:val="00432707"/>
    <w:rsid w:val="00432820"/>
    <w:rsid w:val="00432A8C"/>
    <w:rsid w:val="00432C9F"/>
    <w:rsid w:val="00432ED1"/>
    <w:rsid w:val="00432FD0"/>
    <w:rsid w:val="00433A0D"/>
    <w:rsid w:val="00433D63"/>
    <w:rsid w:val="00434609"/>
    <w:rsid w:val="0043476C"/>
    <w:rsid w:val="00434D5F"/>
    <w:rsid w:val="00434E7E"/>
    <w:rsid w:val="00434ECE"/>
    <w:rsid w:val="00434F8C"/>
    <w:rsid w:val="004356FE"/>
    <w:rsid w:val="00435D74"/>
    <w:rsid w:val="00435E11"/>
    <w:rsid w:val="0043601C"/>
    <w:rsid w:val="004368F1"/>
    <w:rsid w:val="00436F4F"/>
    <w:rsid w:val="0043723A"/>
    <w:rsid w:val="00437526"/>
    <w:rsid w:val="004375B0"/>
    <w:rsid w:val="00437BB6"/>
    <w:rsid w:val="00437D4A"/>
    <w:rsid w:val="00437FB3"/>
    <w:rsid w:val="0044019D"/>
    <w:rsid w:val="004401A1"/>
    <w:rsid w:val="00440DA3"/>
    <w:rsid w:val="00440F52"/>
    <w:rsid w:val="00441398"/>
    <w:rsid w:val="0044179E"/>
    <w:rsid w:val="00441CA1"/>
    <w:rsid w:val="00441F4B"/>
    <w:rsid w:val="004424D7"/>
    <w:rsid w:val="00442C51"/>
    <w:rsid w:val="00442E36"/>
    <w:rsid w:val="00443048"/>
    <w:rsid w:val="004432F1"/>
    <w:rsid w:val="004436D4"/>
    <w:rsid w:val="0044373C"/>
    <w:rsid w:val="00443A35"/>
    <w:rsid w:val="00443E97"/>
    <w:rsid w:val="00443EA0"/>
    <w:rsid w:val="00444098"/>
    <w:rsid w:val="00444523"/>
    <w:rsid w:val="0044474E"/>
    <w:rsid w:val="00444A15"/>
    <w:rsid w:val="00444A48"/>
    <w:rsid w:val="00444AB9"/>
    <w:rsid w:val="00444B62"/>
    <w:rsid w:val="00444CC1"/>
    <w:rsid w:val="00444E0A"/>
    <w:rsid w:val="004459C7"/>
    <w:rsid w:val="00445BD2"/>
    <w:rsid w:val="00445BE9"/>
    <w:rsid w:val="00445D4F"/>
    <w:rsid w:val="00445F87"/>
    <w:rsid w:val="00445F93"/>
    <w:rsid w:val="004461BE"/>
    <w:rsid w:val="00446267"/>
    <w:rsid w:val="004463A8"/>
    <w:rsid w:val="00446448"/>
    <w:rsid w:val="0044652C"/>
    <w:rsid w:val="00446635"/>
    <w:rsid w:val="0044692C"/>
    <w:rsid w:val="00446F85"/>
    <w:rsid w:val="004473F6"/>
    <w:rsid w:val="00447531"/>
    <w:rsid w:val="00447880"/>
    <w:rsid w:val="00447CC2"/>
    <w:rsid w:val="00447E95"/>
    <w:rsid w:val="00447F22"/>
    <w:rsid w:val="0045064A"/>
    <w:rsid w:val="004508B3"/>
    <w:rsid w:val="00450B8F"/>
    <w:rsid w:val="00450FA1"/>
    <w:rsid w:val="00451800"/>
    <w:rsid w:val="00451B2F"/>
    <w:rsid w:val="00451C0D"/>
    <w:rsid w:val="00452264"/>
    <w:rsid w:val="00452334"/>
    <w:rsid w:val="00452878"/>
    <w:rsid w:val="00452885"/>
    <w:rsid w:val="00452EC5"/>
    <w:rsid w:val="0045369E"/>
    <w:rsid w:val="00453784"/>
    <w:rsid w:val="004539BE"/>
    <w:rsid w:val="00453A19"/>
    <w:rsid w:val="00453C15"/>
    <w:rsid w:val="00454357"/>
    <w:rsid w:val="004543CB"/>
    <w:rsid w:val="0045468C"/>
    <w:rsid w:val="00454731"/>
    <w:rsid w:val="00454BEF"/>
    <w:rsid w:val="00456981"/>
    <w:rsid w:val="00456FDC"/>
    <w:rsid w:val="004571CB"/>
    <w:rsid w:val="004574A9"/>
    <w:rsid w:val="004575F7"/>
    <w:rsid w:val="00457786"/>
    <w:rsid w:val="00457C59"/>
    <w:rsid w:val="00457D43"/>
    <w:rsid w:val="004606DC"/>
    <w:rsid w:val="00460B7F"/>
    <w:rsid w:val="00460D9D"/>
    <w:rsid w:val="00461566"/>
    <w:rsid w:val="0046177B"/>
    <w:rsid w:val="004618FE"/>
    <w:rsid w:val="00461996"/>
    <w:rsid w:val="00461A4F"/>
    <w:rsid w:val="00461AA3"/>
    <w:rsid w:val="00462758"/>
    <w:rsid w:val="004631AE"/>
    <w:rsid w:val="00463474"/>
    <w:rsid w:val="00463846"/>
    <w:rsid w:val="0046395A"/>
    <w:rsid w:val="00463D9B"/>
    <w:rsid w:val="00464121"/>
    <w:rsid w:val="004644A8"/>
    <w:rsid w:val="0046455A"/>
    <w:rsid w:val="0046476D"/>
    <w:rsid w:val="00464DE0"/>
    <w:rsid w:val="0046561C"/>
    <w:rsid w:val="004658E6"/>
    <w:rsid w:val="00466051"/>
    <w:rsid w:val="00466B29"/>
    <w:rsid w:val="00466D1E"/>
    <w:rsid w:val="00466F3A"/>
    <w:rsid w:val="004671E0"/>
    <w:rsid w:val="00467408"/>
    <w:rsid w:val="00467686"/>
    <w:rsid w:val="00467718"/>
    <w:rsid w:val="0047032A"/>
    <w:rsid w:val="00470414"/>
    <w:rsid w:val="00470EE9"/>
    <w:rsid w:val="0047150A"/>
    <w:rsid w:val="00471705"/>
    <w:rsid w:val="0047174D"/>
    <w:rsid w:val="0047194D"/>
    <w:rsid w:val="0047259A"/>
    <w:rsid w:val="00472D38"/>
    <w:rsid w:val="00472D87"/>
    <w:rsid w:val="00473111"/>
    <w:rsid w:val="00473309"/>
    <w:rsid w:val="0047370B"/>
    <w:rsid w:val="00473832"/>
    <w:rsid w:val="00474043"/>
    <w:rsid w:val="004745CB"/>
    <w:rsid w:val="004746FD"/>
    <w:rsid w:val="00474708"/>
    <w:rsid w:val="00474AE5"/>
    <w:rsid w:val="0047536D"/>
    <w:rsid w:val="004759AA"/>
    <w:rsid w:val="00475BCF"/>
    <w:rsid w:val="004764AB"/>
    <w:rsid w:val="00476DE4"/>
    <w:rsid w:val="00476F1F"/>
    <w:rsid w:val="00476F53"/>
    <w:rsid w:val="0047716E"/>
    <w:rsid w:val="00477178"/>
    <w:rsid w:val="00477210"/>
    <w:rsid w:val="00477361"/>
    <w:rsid w:val="00477C53"/>
    <w:rsid w:val="00477C77"/>
    <w:rsid w:val="00477D9E"/>
    <w:rsid w:val="004804E8"/>
    <w:rsid w:val="00480A3B"/>
    <w:rsid w:val="00480A4E"/>
    <w:rsid w:val="00480EC6"/>
    <w:rsid w:val="00481020"/>
    <w:rsid w:val="0048112B"/>
    <w:rsid w:val="004813A6"/>
    <w:rsid w:val="00481428"/>
    <w:rsid w:val="004817A0"/>
    <w:rsid w:val="004818D6"/>
    <w:rsid w:val="00482178"/>
    <w:rsid w:val="00482674"/>
    <w:rsid w:val="004827CD"/>
    <w:rsid w:val="00482D00"/>
    <w:rsid w:val="00482E95"/>
    <w:rsid w:val="0048320C"/>
    <w:rsid w:val="00483A3B"/>
    <w:rsid w:val="0048415D"/>
    <w:rsid w:val="00484492"/>
    <w:rsid w:val="004845FC"/>
    <w:rsid w:val="00484892"/>
    <w:rsid w:val="0048490F"/>
    <w:rsid w:val="004851EF"/>
    <w:rsid w:val="00485BF6"/>
    <w:rsid w:val="00485CAB"/>
    <w:rsid w:val="00485E87"/>
    <w:rsid w:val="00486022"/>
    <w:rsid w:val="004864DD"/>
    <w:rsid w:val="00486C62"/>
    <w:rsid w:val="00486E34"/>
    <w:rsid w:val="004875E3"/>
    <w:rsid w:val="004875ED"/>
    <w:rsid w:val="00487A46"/>
    <w:rsid w:val="00487F48"/>
    <w:rsid w:val="0049026D"/>
    <w:rsid w:val="00490438"/>
    <w:rsid w:val="00490F28"/>
    <w:rsid w:val="00490F97"/>
    <w:rsid w:val="0049143C"/>
    <w:rsid w:val="0049151F"/>
    <w:rsid w:val="00491C07"/>
    <w:rsid w:val="00491D1A"/>
    <w:rsid w:val="00491E07"/>
    <w:rsid w:val="00491EEC"/>
    <w:rsid w:val="004926A7"/>
    <w:rsid w:val="00492B70"/>
    <w:rsid w:val="00492DAD"/>
    <w:rsid w:val="00493128"/>
    <w:rsid w:val="00493239"/>
    <w:rsid w:val="00493405"/>
    <w:rsid w:val="00493468"/>
    <w:rsid w:val="0049356F"/>
    <w:rsid w:val="00493768"/>
    <w:rsid w:val="00493F20"/>
    <w:rsid w:val="00493FC2"/>
    <w:rsid w:val="00494011"/>
    <w:rsid w:val="0049415E"/>
    <w:rsid w:val="00494A81"/>
    <w:rsid w:val="00494DAE"/>
    <w:rsid w:val="00494F48"/>
    <w:rsid w:val="004955CE"/>
    <w:rsid w:val="00496A68"/>
    <w:rsid w:val="00497107"/>
    <w:rsid w:val="00497228"/>
    <w:rsid w:val="004977AF"/>
    <w:rsid w:val="0049783C"/>
    <w:rsid w:val="00497A66"/>
    <w:rsid w:val="00497BF2"/>
    <w:rsid w:val="00497CBF"/>
    <w:rsid w:val="004A0621"/>
    <w:rsid w:val="004A069B"/>
    <w:rsid w:val="004A0864"/>
    <w:rsid w:val="004A0A0A"/>
    <w:rsid w:val="004A106C"/>
    <w:rsid w:val="004A1434"/>
    <w:rsid w:val="004A1520"/>
    <w:rsid w:val="004A1683"/>
    <w:rsid w:val="004A19ED"/>
    <w:rsid w:val="004A1A50"/>
    <w:rsid w:val="004A1F9E"/>
    <w:rsid w:val="004A22F3"/>
    <w:rsid w:val="004A231F"/>
    <w:rsid w:val="004A2690"/>
    <w:rsid w:val="004A27AE"/>
    <w:rsid w:val="004A2BEE"/>
    <w:rsid w:val="004A2C13"/>
    <w:rsid w:val="004A2DE9"/>
    <w:rsid w:val="004A3300"/>
    <w:rsid w:val="004A355C"/>
    <w:rsid w:val="004A3684"/>
    <w:rsid w:val="004A3991"/>
    <w:rsid w:val="004A3B8C"/>
    <w:rsid w:val="004A4052"/>
    <w:rsid w:val="004A4467"/>
    <w:rsid w:val="004A451F"/>
    <w:rsid w:val="004A4B29"/>
    <w:rsid w:val="004A4ED5"/>
    <w:rsid w:val="004A5112"/>
    <w:rsid w:val="004A54E6"/>
    <w:rsid w:val="004A5759"/>
    <w:rsid w:val="004A5A00"/>
    <w:rsid w:val="004A5C75"/>
    <w:rsid w:val="004A619A"/>
    <w:rsid w:val="004A6738"/>
    <w:rsid w:val="004A6778"/>
    <w:rsid w:val="004A67FB"/>
    <w:rsid w:val="004A68BA"/>
    <w:rsid w:val="004A6BD8"/>
    <w:rsid w:val="004A77FC"/>
    <w:rsid w:val="004B0058"/>
    <w:rsid w:val="004B00C9"/>
    <w:rsid w:val="004B041F"/>
    <w:rsid w:val="004B045F"/>
    <w:rsid w:val="004B0516"/>
    <w:rsid w:val="004B07F0"/>
    <w:rsid w:val="004B0CBC"/>
    <w:rsid w:val="004B0EE0"/>
    <w:rsid w:val="004B1107"/>
    <w:rsid w:val="004B16F1"/>
    <w:rsid w:val="004B1FBF"/>
    <w:rsid w:val="004B21D8"/>
    <w:rsid w:val="004B22D3"/>
    <w:rsid w:val="004B22F6"/>
    <w:rsid w:val="004B23EB"/>
    <w:rsid w:val="004B2474"/>
    <w:rsid w:val="004B2695"/>
    <w:rsid w:val="004B33F0"/>
    <w:rsid w:val="004B37ED"/>
    <w:rsid w:val="004B3A55"/>
    <w:rsid w:val="004B3C56"/>
    <w:rsid w:val="004B3D66"/>
    <w:rsid w:val="004B45FF"/>
    <w:rsid w:val="004B4A95"/>
    <w:rsid w:val="004B5BCE"/>
    <w:rsid w:val="004B5BF9"/>
    <w:rsid w:val="004B6678"/>
    <w:rsid w:val="004B69BD"/>
    <w:rsid w:val="004B6A39"/>
    <w:rsid w:val="004B6C4E"/>
    <w:rsid w:val="004B6F92"/>
    <w:rsid w:val="004B7871"/>
    <w:rsid w:val="004B79B9"/>
    <w:rsid w:val="004B7A12"/>
    <w:rsid w:val="004B7AEE"/>
    <w:rsid w:val="004B7CA4"/>
    <w:rsid w:val="004C01CC"/>
    <w:rsid w:val="004C0243"/>
    <w:rsid w:val="004C02E1"/>
    <w:rsid w:val="004C0C16"/>
    <w:rsid w:val="004C0E93"/>
    <w:rsid w:val="004C1109"/>
    <w:rsid w:val="004C1214"/>
    <w:rsid w:val="004C14A9"/>
    <w:rsid w:val="004C1644"/>
    <w:rsid w:val="004C1A2C"/>
    <w:rsid w:val="004C1AC3"/>
    <w:rsid w:val="004C1C69"/>
    <w:rsid w:val="004C2743"/>
    <w:rsid w:val="004C2D56"/>
    <w:rsid w:val="004C2F5C"/>
    <w:rsid w:val="004C3048"/>
    <w:rsid w:val="004C3E31"/>
    <w:rsid w:val="004C4098"/>
    <w:rsid w:val="004C446D"/>
    <w:rsid w:val="004C48FF"/>
    <w:rsid w:val="004C4CAF"/>
    <w:rsid w:val="004C581F"/>
    <w:rsid w:val="004C597E"/>
    <w:rsid w:val="004C5F1A"/>
    <w:rsid w:val="004C6192"/>
    <w:rsid w:val="004C6331"/>
    <w:rsid w:val="004C6D84"/>
    <w:rsid w:val="004C7114"/>
    <w:rsid w:val="004C735C"/>
    <w:rsid w:val="004C7601"/>
    <w:rsid w:val="004C78DC"/>
    <w:rsid w:val="004C7A06"/>
    <w:rsid w:val="004D05A6"/>
    <w:rsid w:val="004D05F1"/>
    <w:rsid w:val="004D08BE"/>
    <w:rsid w:val="004D0C6A"/>
    <w:rsid w:val="004D0C92"/>
    <w:rsid w:val="004D0EA0"/>
    <w:rsid w:val="004D1924"/>
    <w:rsid w:val="004D1A7C"/>
    <w:rsid w:val="004D1DD2"/>
    <w:rsid w:val="004D1F78"/>
    <w:rsid w:val="004D2A77"/>
    <w:rsid w:val="004D31C5"/>
    <w:rsid w:val="004D324F"/>
    <w:rsid w:val="004D369B"/>
    <w:rsid w:val="004D3B72"/>
    <w:rsid w:val="004D3BB4"/>
    <w:rsid w:val="004D3DB9"/>
    <w:rsid w:val="004D4074"/>
    <w:rsid w:val="004D4141"/>
    <w:rsid w:val="004D4613"/>
    <w:rsid w:val="004D4980"/>
    <w:rsid w:val="004D51A9"/>
    <w:rsid w:val="004D5291"/>
    <w:rsid w:val="004D5C1A"/>
    <w:rsid w:val="004D5CA7"/>
    <w:rsid w:val="004D5E12"/>
    <w:rsid w:val="004D691B"/>
    <w:rsid w:val="004D71AE"/>
    <w:rsid w:val="004D779E"/>
    <w:rsid w:val="004D7A9D"/>
    <w:rsid w:val="004D7C0C"/>
    <w:rsid w:val="004E04D6"/>
    <w:rsid w:val="004E0FF9"/>
    <w:rsid w:val="004E102E"/>
    <w:rsid w:val="004E206B"/>
    <w:rsid w:val="004E22DD"/>
    <w:rsid w:val="004E24DF"/>
    <w:rsid w:val="004E284F"/>
    <w:rsid w:val="004E2E6A"/>
    <w:rsid w:val="004E3020"/>
    <w:rsid w:val="004E33F5"/>
    <w:rsid w:val="004E4059"/>
    <w:rsid w:val="004E40AE"/>
    <w:rsid w:val="004E4191"/>
    <w:rsid w:val="004E4247"/>
    <w:rsid w:val="004E49D3"/>
    <w:rsid w:val="004E4CBC"/>
    <w:rsid w:val="004E53D9"/>
    <w:rsid w:val="004E5952"/>
    <w:rsid w:val="004E63DE"/>
    <w:rsid w:val="004E72A1"/>
    <w:rsid w:val="004E74A9"/>
    <w:rsid w:val="004E7B58"/>
    <w:rsid w:val="004E7D2D"/>
    <w:rsid w:val="004F0524"/>
    <w:rsid w:val="004F0B44"/>
    <w:rsid w:val="004F193E"/>
    <w:rsid w:val="004F2E14"/>
    <w:rsid w:val="004F3499"/>
    <w:rsid w:val="004F3A95"/>
    <w:rsid w:val="004F3F44"/>
    <w:rsid w:val="004F4106"/>
    <w:rsid w:val="004F4E6F"/>
    <w:rsid w:val="004F4F3E"/>
    <w:rsid w:val="004F59CD"/>
    <w:rsid w:val="004F626C"/>
    <w:rsid w:val="004F6CB2"/>
    <w:rsid w:val="004F6D91"/>
    <w:rsid w:val="004F6DD4"/>
    <w:rsid w:val="004F71A5"/>
    <w:rsid w:val="004F73B1"/>
    <w:rsid w:val="004F7D6B"/>
    <w:rsid w:val="004F7E52"/>
    <w:rsid w:val="00500294"/>
    <w:rsid w:val="005004D9"/>
    <w:rsid w:val="00500642"/>
    <w:rsid w:val="005007E8"/>
    <w:rsid w:val="005009F6"/>
    <w:rsid w:val="00500F6B"/>
    <w:rsid w:val="00501218"/>
    <w:rsid w:val="00502148"/>
    <w:rsid w:val="0050257D"/>
    <w:rsid w:val="00502BE5"/>
    <w:rsid w:val="00502CF0"/>
    <w:rsid w:val="00502DF4"/>
    <w:rsid w:val="00502F6B"/>
    <w:rsid w:val="0050310B"/>
    <w:rsid w:val="0050321E"/>
    <w:rsid w:val="005034C3"/>
    <w:rsid w:val="00503807"/>
    <w:rsid w:val="005038A6"/>
    <w:rsid w:val="0050390F"/>
    <w:rsid w:val="00503920"/>
    <w:rsid w:val="00503F21"/>
    <w:rsid w:val="00504604"/>
    <w:rsid w:val="005048D1"/>
    <w:rsid w:val="00504E30"/>
    <w:rsid w:val="0050505F"/>
    <w:rsid w:val="005058BE"/>
    <w:rsid w:val="00505F2F"/>
    <w:rsid w:val="0050611C"/>
    <w:rsid w:val="00506130"/>
    <w:rsid w:val="005062AC"/>
    <w:rsid w:val="005068C3"/>
    <w:rsid w:val="00506FB0"/>
    <w:rsid w:val="0050704A"/>
    <w:rsid w:val="0050718D"/>
    <w:rsid w:val="00507BEA"/>
    <w:rsid w:val="00507D5B"/>
    <w:rsid w:val="005103E2"/>
    <w:rsid w:val="00510E5F"/>
    <w:rsid w:val="00511313"/>
    <w:rsid w:val="0051163B"/>
    <w:rsid w:val="00511CBE"/>
    <w:rsid w:val="00512612"/>
    <w:rsid w:val="00512A01"/>
    <w:rsid w:val="00512DBA"/>
    <w:rsid w:val="00513153"/>
    <w:rsid w:val="005133BF"/>
    <w:rsid w:val="0051357E"/>
    <w:rsid w:val="005136EF"/>
    <w:rsid w:val="0051396F"/>
    <w:rsid w:val="005139D2"/>
    <w:rsid w:val="00513CA1"/>
    <w:rsid w:val="00513D7D"/>
    <w:rsid w:val="0051422B"/>
    <w:rsid w:val="005145A2"/>
    <w:rsid w:val="00514846"/>
    <w:rsid w:val="0051495D"/>
    <w:rsid w:val="005157AF"/>
    <w:rsid w:val="00515F99"/>
    <w:rsid w:val="00515FE1"/>
    <w:rsid w:val="0051620B"/>
    <w:rsid w:val="00516529"/>
    <w:rsid w:val="005166C9"/>
    <w:rsid w:val="00516B96"/>
    <w:rsid w:val="00516C30"/>
    <w:rsid w:val="00516D8B"/>
    <w:rsid w:val="00516DCE"/>
    <w:rsid w:val="005178B3"/>
    <w:rsid w:val="00517A27"/>
    <w:rsid w:val="00517E83"/>
    <w:rsid w:val="0052005F"/>
    <w:rsid w:val="005202F4"/>
    <w:rsid w:val="00520744"/>
    <w:rsid w:val="005209D1"/>
    <w:rsid w:val="00520AD6"/>
    <w:rsid w:val="00520FC2"/>
    <w:rsid w:val="005214FF"/>
    <w:rsid w:val="005216E3"/>
    <w:rsid w:val="00521731"/>
    <w:rsid w:val="0052205F"/>
    <w:rsid w:val="0052214C"/>
    <w:rsid w:val="00522285"/>
    <w:rsid w:val="00522461"/>
    <w:rsid w:val="0052249F"/>
    <w:rsid w:val="00522504"/>
    <w:rsid w:val="00522904"/>
    <w:rsid w:val="00523294"/>
    <w:rsid w:val="0052331B"/>
    <w:rsid w:val="005233BD"/>
    <w:rsid w:val="00523909"/>
    <w:rsid w:val="00523CF0"/>
    <w:rsid w:val="005241F1"/>
    <w:rsid w:val="005241FF"/>
    <w:rsid w:val="005242EE"/>
    <w:rsid w:val="00524B6B"/>
    <w:rsid w:val="00524EA3"/>
    <w:rsid w:val="005256B1"/>
    <w:rsid w:val="005257E9"/>
    <w:rsid w:val="00525FE9"/>
    <w:rsid w:val="0052637B"/>
    <w:rsid w:val="00526CDF"/>
    <w:rsid w:val="00526DE1"/>
    <w:rsid w:val="00526EE0"/>
    <w:rsid w:val="00527132"/>
    <w:rsid w:val="0052754A"/>
    <w:rsid w:val="005279F0"/>
    <w:rsid w:val="0053079B"/>
    <w:rsid w:val="005307AD"/>
    <w:rsid w:val="005308D4"/>
    <w:rsid w:val="00531673"/>
    <w:rsid w:val="0053198A"/>
    <w:rsid w:val="00531AA7"/>
    <w:rsid w:val="00531DEA"/>
    <w:rsid w:val="0053230E"/>
    <w:rsid w:val="00532457"/>
    <w:rsid w:val="00532537"/>
    <w:rsid w:val="005327AC"/>
    <w:rsid w:val="00532FF5"/>
    <w:rsid w:val="00533E02"/>
    <w:rsid w:val="00534119"/>
    <w:rsid w:val="00534430"/>
    <w:rsid w:val="00534544"/>
    <w:rsid w:val="0053474B"/>
    <w:rsid w:val="0053490E"/>
    <w:rsid w:val="00534EB9"/>
    <w:rsid w:val="00534F80"/>
    <w:rsid w:val="0053566C"/>
    <w:rsid w:val="005358E0"/>
    <w:rsid w:val="00535CED"/>
    <w:rsid w:val="00535E51"/>
    <w:rsid w:val="0053602E"/>
    <w:rsid w:val="00536569"/>
    <w:rsid w:val="00536570"/>
    <w:rsid w:val="0053677B"/>
    <w:rsid w:val="005369AF"/>
    <w:rsid w:val="005378FC"/>
    <w:rsid w:val="00537E1A"/>
    <w:rsid w:val="005400D9"/>
    <w:rsid w:val="005411DD"/>
    <w:rsid w:val="00542398"/>
    <w:rsid w:val="00542614"/>
    <w:rsid w:val="005427C0"/>
    <w:rsid w:val="00542BCF"/>
    <w:rsid w:val="00542C48"/>
    <w:rsid w:val="00542C61"/>
    <w:rsid w:val="00542D07"/>
    <w:rsid w:val="00542EFF"/>
    <w:rsid w:val="00542FCC"/>
    <w:rsid w:val="0054320B"/>
    <w:rsid w:val="005432D5"/>
    <w:rsid w:val="005432DB"/>
    <w:rsid w:val="0054345E"/>
    <w:rsid w:val="005435FF"/>
    <w:rsid w:val="005439B4"/>
    <w:rsid w:val="005447C0"/>
    <w:rsid w:val="0054495E"/>
    <w:rsid w:val="00544AAF"/>
    <w:rsid w:val="00544AF1"/>
    <w:rsid w:val="00544E42"/>
    <w:rsid w:val="00544F01"/>
    <w:rsid w:val="005453B5"/>
    <w:rsid w:val="00545403"/>
    <w:rsid w:val="0054549C"/>
    <w:rsid w:val="005455D1"/>
    <w:rsid w:val="00545D31"/>
    <w:rsid w:val="00545F59"/>
    <w:rsid w:val="005460EE"/>
    <w:rsid w:val="005463CB"/>
    <w:rsid w:val="00546572"/>
    <w:rsid w:val="005465D0"/>
    <w:rsid w:val="00546D17"/>
    <w:rsid w:val="00546DF9"/>
    <w:rsid w:val="00547237"/>
    <w:rsid w:val="0054727C"/>
    <w:rsid w:val="00547446"/>
    <w:rsid w:val="00547943"/>
    <w:rsid w:val="00547B94"/>
    <w:rsid w:val="005503C1"/>
    <w:rsid w:val="00550418"/>
    <w:rsid w:val="005508BE"/>
    <w:rsid w:val="00550CDE"/>
    <w:rsid w:val="00551326"/>
    <w:rsid w:val="005515B0"/>
    <w:rsid w:val="00552140"/>
    <w:rsid w:val="005521A1"/>
    <w:rsid w:val="00552276"/>
    <w:rsid w:val="005524F4"/>
    <w:rsid w:val="00552EC4"/>
    <w:rsid w:val="0055395C"/>
    <w:rsid w:val="00553D92"/>
    <w:rsid w:val="0055442D"/>
    <w:rsid w:val="00554EB3"/>
    <w:rsid w:val="00555530"/>
    <w:rsid w:val="00555987"/>
    <w:rsid w:val="0055623C"/>
    <w:rsid w:val="00556329"/>
    <w:rsid w:val="0055632F"/>
    <w:rsid w:val="00556667"/>
    <w:rsid w:val="0055741B"/>
    <w:rsid w:val="0055767A"/>
    <w:rsid w:val="005576A5"/>
    <w:rsid w:val="005577B2"/>
    <w:rsid w:val="005579BB"/>
    <w:rsid w:val="00560427"/>
    <w:rsid w:val="00560547"/>
    <w:rsid w:val="00560B20"/>
    <w:rsid w:val="00560E05"/>
    <w:rsid w:val="0056107A"/>
    <w:rsid w:val="00561313"/>
    <w:rsid w:val="005624B8"/>
    <w:rsid w:val="005626A6"/>
    <w:rsid w:val="0056277E"/>
    <w:rsid w:val="00562ECB"/>
    <w:rsid w:val="00563072"/>
    <w:rsid w:val="005638B6"/>
    <w:rsid w:val="00563D20"/>
    <w:rsid w:val="00564304"/>
    <w:rsid w:val="00564653"/>
    <w:rsid w:val="0056480C"/>
    <w:rsid w:val="00564B70"/>
    <w:rsid w:val="00565607"/>
    <w:rsid w:val="00565C53"/>
    <w:rsid w:val="00565C7D"/>
    <w:rsid w:val="00565DDB"/>
    <w:rsid w:val="00565E8B"/>
    <w:rsid w:val="00566159"/>
    <w:rsid w:val="005665E4"/>
    <w:rsid w:val="005667E5"/>
    <w:rsid w:val="00566856"/>
    <w:rsid w:val="00566B7D"/>
    <w:rsid w:val="00567236"/>
    <w:rsid w:val="00567492"/>
    <w:rsid w:val="00567AD0"/>
    <w:rsid w:val="00570238"/>
    <w:rsid w:val="005702C4"/>
    <w:rsid w:val="00570343"/>
    <w:rsid w:val="005707FE"/>
    <w:rsid w:val="00570A78"/>
    <w:rsid w:val="00570B3C"/>
    <w:rsid w:val="00571360"/>
    <w:rsid w:val="005716BB"/>
    <w:rsid w:val="00571989"/>
    <w:rsid w:val="00571CE7"/>
    <w:rsid w:val="00572421"/>
    <w:rsid w:val="005727C6"/>
    <w:rsid w:val="005728E8"/>
    <w:rsid w:val="005729F5"/>
    <w:rsid w:val="00572BF3"/>
    <w:rsid w:val="0057387E"/>
    <w:rsid w:val="00573D32"/>
    <w:rsid w:val="00573DD2"/>
    <w:rsid w:val="0057403B"/>
    <w:rsid w:val="005749FD"/>
    <w:rsid w:val="00574F8C"/>
    <w:rsid w:val="005752E5"/>
    <w:rsid w:val="005753E6"/>
    <w:rsid w:val="00575848"/>
    <w:rsid w:val="00575D6C"/>
    <w:rsid w:val="005760F5"/>
    <w:rsid w:val="005762AC"/>
    <w:rsid w:val="00576C08"/>
    <w:rsid w:val="00576D4E"/>
    <w:rsid w:val="0057752A"/>
    <w:rsid w:val="00577576"/>
    <w:rsid w:val="005779AE"/>
    <w:rsid w:val="005779EF"/>
    <w:rsid w:val="00577AFC"/>
    <w:rsid w:val="00577C7F"/>
    <w:rsid w:val="00577EF1"/>
    <w:rsid w:val="00580203"/>
    <w:rsid w:val="00580209"/>
    <w:rsid w:val="0058054E"/>
    <w:rsid w:val="00580571"/>
    <w:rsid w:val="00580906"/>
    <w:rsid w:val="00580AF4"/>
    <w:rsid w:val="00580FA6"/>
    <w:rsid w:val="005815F3"/>
    <w:rsid w:val="0058171D"/>
    <w:rsid w:val="005823A6"/>
    <w:rsid w:val="00582871"/>
    <w:rsid w:val="005828A8"/>
    <w:rsid w:val="00582B66"/>
    <w:rsid w:val="00582CDA"/>
    <w:rsid w:val="00582D93"/>
    <w:rsid w:val="005830C2"/>
    <w:rsid w:val="005833C7"/>
    <w:rsid w:val="00583882"/>
    <w:rsid w:val="00583C52"/>
    <w:rsid w:val="00584A8A"/>
    <w:rsid w:val="00584FC5"/>
    <w:rsid w:val="005857AE"/>
    <w:rsid w:val="00585805"/>
    <w:rsid w:val="00585814"/>
    <w:rsid w:val="0058607D"/>
    <w:rsid w:val="0058666C"/>
    <w:rsid w:val="005869C5"/>
    <w:rsid w:val="00586F87"/>
    <w:rsid w:val="00587072"/>
    <w:rsid w:val="005871B7"/>
    <w:rsid w:val="00587518"/>
    <w:rsid w:val="00587D13"/>
    <w:rsid w:val="00587E4C"/>
    <w:rsid w:val="00587E5E"/>
    <w:rsid w:val="00587EDD"/>
    <w:rsid w:val="005907D3"/>
    <w:rsid w:val="00591A1C"/>
    <w:rsid w:val="00591B77"/>
    <w:rsid w:val="00591CD2"/>
    <w:rsid w:val="0059201C"/>
    <w:rsid w:val="00592177"/>
    <w:rsid w:val="00592371"/>
    <w:rsid w:val="005932A2"/>
    <w:rsid w:val="00593374"/>
    <w:rsid w:val="0059388B"/>
    <w:rsid w:val="00594067"/>
    <w:rsid w:val="005941CE"/>
    <w:rsid w:val="0059453C"/>
    <w:rsid w:val="00595002"/>
    <w:rsid w:val="00595761"/>
    <w:rsid w:val="00595E82"/>
    <w:rsid w:val="00595F98"/>
    <w:rsid w:val="0059634B"/>
    <w:rsid w:val="00596960"/>
    <w:rsid w:val="00596A27"/>
    <w:rsid w:val="005970F2"/>
    <w:rsid w:val="0059724A"/>
    <w:rsid w:val="0059733B"/>
    <w:rsid w:val="005973EF"/>
    <w:rsid w:val="00597D9A"/>
    <w:rsid w:val="005A0CDE"/>
    <w:rsid w:val="005A1333"/>
    <w:rsid w:val="005A1669"/>
    <w:rsid w:val="005A1A11"/>
    <w:rsid w:val="005A1A3E"/>
    <w:rsid w:val="005A1ECA"/>
    <w:rsid w:val="005A25C6"/>
    <w:rsid w:val="005A3184"/>
    <w:rsid w:val="005A346C"/>
    <w:rsid w:val="005A3BBB"/>
    <w:rsid w:val="005A4656"/>
    <w:rsid w:val="005A4B71"/>
    <w:rsid w:val="005A4BDE"/>
    <w:rsid w:val="005A5023"/>
    <w:rsid w:val="005A5033"/>
    <w:rsid w:val="005A54E0"/>
    <w:rsid w:val="005A58C5"/>
    <w:rsid w:val="005A5903"/>
    <w:rsid w:val="005A5FC1"/>
    <w:rsid w:val="005A5FE1"/>
    <w:rsid w:val="005A60F9"/>
    <w:rsid w:val="005A6C1F"/>
    <w:rsid w:val="005A7589"/>
    <w:rsid w:val="005A75B9"/>
    <w:rsid w:val="005A7C26"/>
    <w:rsid w:val="005A7D8C"/>
    <w:rsid w:val="005B0127"/>
    <w:rsid w:val="005B0355"/>
    <w:rsid w:val="005B06BF"/>
    <w:rsid w:val="005B0A8D"/>
    <w:rsid w:val="005B0BE3"/>
    <w:rsid w:val="005B0CB5"/>
    <w:rsid w:val="005B0F58"/>
    <w:rsid w:val="005B1117"/>
    <w:rsid w:val="005B1FDE"/>
    <w:rsid w:val="005B25C1"/>
    <w:rsid w:val="005B2662"/>
    <w:rsid w:val="005B299E"/>
    <w:rsid w:val="005B2E3B"/>
    <w:rsid w:val="005B3195"/>
    <w:rsid w:val="005B3511"/>
    <w:rsid w:val="005B3813"/>
    <w:rsid w:val="005B3B2A"/>
    <w:rsid w:val="005B3D38"/>
    <w:rsid w:val="005B3E74"/>
    <w:rsid w:val="005B49A8"/>
    <w:rsid w:val="005B4CD8"/>
    <w:rsid w:val="005B4D1D"/>
    <w:rsid w:val="005B4E45"/>
    <w:rsid w:val="005B549D"/>
    <w:rsid w:val="005B5E73"/>
    <w:rsid w:val="005B65D8"/>
    <w:rsid w:val="005B665C"/>
    <w:rsid w:val="005B6E1B"/>
    <w:rsid w:val="005B7E36"/>
    <w:rsid w:val="005C0C4C"/>
    <w:rsid w:val="005C1D89"/>
    <w:rsid w:val="005C1F75"/>
    <w:rsid w:val="005C21CE"/>
    <w:rsid w:val="005C2572"/>
    <w:rsid w:val="005C2842"/>
    <w:rsid w:val="005C287A"/>
    <w:rsid w:val="005C2E3D"/>
    <w:rsid w:val="005C2F48"/>
    <w:rsid w:val="005C3459"/>
    <w:rsid w:val="005C359B"/>
    <w:rsid w:val="005C3666"/>
    <w:rsid w:val="005C390A"/>
    <w:rsid w:val="005C4388"/>
    <w:rsid w:val="005C48B7"/>
    <w:rsid w:val="005C4AA0"/>
    <w:rsid w:val="005C4BCE"/>
    <w:rsid w:val="005C4D26"/>
    <w:rsid w:val="005C54D6"/>
    <w:rsid w:val="005C59E2"/>
    <w:rsid w:val="005C5A9A"/>
    <w:rsid w:val="005C5F78"/>
    <w:rsid w:val="005C6394"/>
    <w:rsid w:val="005C683D"/>
    <w:rsid w:val="005C6981"/>
    <w:rsid w:val="005C69CF"/>
    <w:rsid w:val="005C6D09"/>
    <w:rsid w:val="005C6FAD"/>
    <w:rsid w:val="005C75EF"/>
    <w:rsid w:val="005C78DF"/>
    <w:rsid w:val="005C7B99"/>
    <w:rsid w:val="005D0C39"/>
    <w:rsid w:val="005D0DCD"/>
    <w:rsid w:val="005D212B"/>
    <w:rsid w:val="005D23DA"/>
    <w:rsid w:val="005D2431"/>
    <w:rsid w:val="005D24D6"/>
    <w:rsid w:val="005D2A15"/>
    <w:rsid w:val="005D2C8A"/>
    <w:rsid w:val="005D2CC7"/>
    <w:rsid w:val="005D2F25"/>
    <w:rsid w:val="005D3209"/>
    <w:rsid w:val="005D3217"/>
    <w:rsid w:val="005D330C"/>
    <w:rsid w:val="005D38CB"/>
    <w:rsid w:val="005D3C0D"/>
    <w:rsid w:val="005D3D90"/>
    <w:rsid w:val="005D4294"/>
    <w:rsid w:val="005D45C8"/>
    <w:rsid w:val="005D475C"/>
    <w:rsid w:val="005D4E84"/>
    <w:rsid w:val="005D4FDC"/>
    <w:rsid w:val="005D51B9"/>
    <w:rsid w:val="005D52D8"/>
    <w:rsid w:val="005D54BF"/>
    <w:rsid w:val="005D5752"/>
    <w:rsid w:val="005D5821"/>
    <w:rsid w:val="005D59F3"/>
    <w:rsid w:val="005D5E43"/>
    <w:rsid w:val="005D6EE6"/>
    <w:rsid w:val="005D766B"/>
    <w:rsid w:val="005E006D"/>
    <w:rsid w:val="005E0871"/>
    <w:rsid w:val="005E09F1"/>
    <w:rsid w:val="005E13F0"/>
    <w:rsid w:val="005E1468"/>
    <w:rsid w:val="005E178F"/>
    <w:rsid w:val="005E1910"/>
    <w:rsid w:val="005E19BB"/>
    <w:rsid w:val="005E1C36"/>
    <w:rsid w:val="005E2453"/>
    <w:rsid w:val="005E2530"/>
    <w:rsid w:val="005E2B68"/>
    <w:rsid w:val="005E2D65"/>
    <w:rsid w:val="005E2F5F"/>
    <w:rsid w:val="005E3043"/>
    <w:rsid w:val="005E3313"/>
    <w:rsid w:val="005E3597"/>
    <w:rsid w:val="005E38F9"/>
    <w:rsid w:val="005E3C4F"/>
    <w:rsid w:val="005E3F1F"/>
    <w:rsid w:val="005E6141"/>
    <w:rsid w:val="005E6768"/>
    <w:rsid w:val="005E67D4"/>
    <w:rsid w:val="005E69B2"/>
    <w:rsid w:val="005E6EB9"/>
    <w:rsid w:val="005E73C2"/>
    <w:rsid w:val="005E746A"/>
    <w:rsid w:val="005E76FB"/>
    <w:rsid w:val="005E7BD3"/>
    <w:rsid w:val="005E7C06"/>
    <w:rsid w:val="005E7FAF"/>
    <w:rsid w:val="005F0791"/>
    <w:rsid w:val="005F0DBA"/>
    <w:rsid w:val="005F13E5"/>
    <w:rsid w:val="005F193F"/>
    <w:rsid w:val="005F1B1F"/>
    <w:rsid w:val="005F1B48"/>
    <w:rsid w:val="005F2326"/>
    <w:rsid w:val="005F25D2"/>
    <w:rsid w:val="005F2939"/>
    <w:rsid w:val="005F3BFD"/>
    <w:rsid w:val="005F432C"/>
    <w:rsid w:val="005F448A"/>
    <w:rsid w:val="005F48A5"/>
    <w:rsid w:val="005F4EEA"/>
    <w:rsid w:val="005F516B"/>
    <w:rsid w:val="005F517F"/>
    <w:rsid w:val="005F5552"/>
    <w:rsid w:val="005F5DAD"/>
    <w:rsid w:val="005F6751"/>
    <w:rsid w:val="005F67D3"/>
    <w:rsid w:val="005F7256"/>
    <w:rsid w:val="005F73A4"/>
    <w:rsid w:val="005F7ABE"/>
    <w:rsid w:val="005F7BCB"/>
    <w:rsid w:val="005F7D22"/>
    <w:rsid w:val="005F7FE1"/>
    <w:rsid w:val="006005BD"/>
    <w:rsid w:val="00600D1F"/>
    <w:rsid w:val="00600E5F"/>
    <w:rsid w:val="00601392"/>
    <w:rsid w:val="0060169F"/>
    <w:rsid w:val="0060175D"/>
    <w:rsid w:val="00601837"/>
    <w:rsid w:val="00601BBA"/>
    <w:rsid w:val="00601D5D"/>
    <w:rsid w:val="00601F67"/>
    <w:rsid w:val="00602124"/>
    <w:rsid w:val="006021CB"/>
    <w:rsid w:val="00602447"/>
    <w:rsid w:val="006026A2"/>
    <w:rsid w:val="00602A5D"/>
    <w:rsid w:val="00602E33"/>
    <w:rsid w:val="0060399B"/>
    <w:rsid w:val="00603DBA"/>
    <w:rsid w:val="00603E86"/>
    <w:rsid w:val="00603F38"/>
    <w:rsid w:val="00604095"/>
    <w:rsid w:val="00604659"/>
    <w:rsid w:val="006048EB"/>
    <w:rsid w:val="00604AFE"/>
    <w:rsid w:val="00604B59"/>
    <w:rsid w:val="00604B8C"/>
    <w:rsid w:val="00604C7A"/>
    <w:rsid w:val="00604D93"/>
    <w:rsid w:val="00604E52"/>
    <w:rsid w:val="00605148"/>
    <w:rsid w:val="00605489"/>
    <w:rsid w:val="00605569"/>
    <w:rsid w:val="00605966"/>
    <w:rsid w:val="00605D8F"/>
    <w:rsid w:val="006062B1"/>
    <w:rsid w:val="0060643E"/>
    <w:rsid w:val="00606599"/>
    <w:rsid w:val="0060667C"/>
    <w:rsid w:val="00606C1F"/>
    <w:rsid w:val="006070E1"/>
    <w:rsid w:val="00607A18"/>
    <w:rsid w:val="00607BE9"/>
    <w:rsid w:val="00607CB9"/>
    <w:rsid w:val="0061048A"/>
    <w:rsid w:val="00610886"/>
    <w:rsid w:val="006111FD"/>
    <w:rsid w:val="00611A82"/>
    <w:rsid w:val="0061276F"/>
    <w:rsid w:val="006129D6"/>
    <w:rsid w:val="00612EF9"/>
    <w:rsid w:val="006133D6"/>
    <w:rsid w:val="006135EC"/>
    <w:rsid w:val="0061367D"/>
    <w:rsid w:val="006139E3"/>
    <w:rsid w:val="00613A3F"/>
    <w:rsid w:val="00614131"/>
    <w:rsid w:val="0061421D"/>
    <w:rsid w:val="006144A1"/>
    <w:rsid w:val="00614704"/>
    <w:rsid w:val="006147F8"/>
    <w:rsid w:val="00614B83"/>
    <w:rsid w:val="00614C85"/>
    <w:rsid w:val="00614E4D"/>
    <w:rsid w:val="00614EC1"/>
    <w:rsid w:val="00615197"/>
    <w:rsid w:val="00615640"/>
    <w:rsid w:val="006157F3"/>
    <w:rsid w:val="006161C1"/>
    <w:rsid w:val="00616880"/>
    <w:rsid w:val="006168B1"/>
    <w:rsid w:val="00616F22"/>
    <w:rsid w:val="00617377"/>
    <w:rsid w:val="00617B10"/>
    <w:rsid w:val="00617FA0"/>
    <w:rsid w:val="0062016A"/>
    <w:rsid w:val="00620413"/>
    <w:rsid w:val="006204BE"/>
    <w:rsid w:val="00620F5C"/>
    <w:rsid w:val="00621563"/>
    <w:rsid w:val="00621A31"/>
    <w:rsid w:val="00621B8E"/>
    <w:rsid w:val="00621CBC"/>
    <w:rsid w:val="00621D79"/>
    <w:rsid w:val="00621EB5"/>
    <w:rsid w:val="00622588"/>
    <w:rsid w:val="00623216"/>
    <w:rsid w:val="0062383F"/>
    <w:rsid w:val="006240B3"/>
    <w:rsid w:val="00624350"/>
    <w:rsid w:val="006248BC"/>
    <w:rsid w:val="0062502B"/>
    <w:rsid w:val="006252ED"/>
    <w:rsid w:val="006253C9"/>
    <w:rsid w:val="0062542F"/>
    <w:rsid w:val="0062580C"/>
    <w:rsid w:val="00625C6C"/>
    <w:rsid w:val="00625FDA"/>
    <w:rsid w:val="006265D5"/>
    <w:rsid w:val="00626B35"/>
    <w:rsid w:val="00626F76"/>
    <w:rsid w:val="006271CF"/>
    <w:rsid w:val="00627663"/>
    <w:rsid w:val="006276ED"/>
    <w:rsid w:val="006278C4"/>
    <w:rsid w:val="00627E7F"/>
    <w:rsid w:val="00627F96"/>
    <w:rsid w:val="0063010A"/>
    <w:rsid w:val="006302BD"/>
    <w:rsid w:val="006303B5"/>
    <w:rsid w:val="006305CE"/>
    <w:rsid w:val="00630C06"/>
    <w:rsid w:val="006311A2"/>
    <w:rsid w:val="0063137D"/>
    <w:rsid w:val="006314F0"/>
    <w:rsid w:val="00631849"/>
    <w:rsid w:val="0063228D"/>
    <w:rsid w:val="00632345"/>
    <w:rsid w:val="006323E8"/>
    <w:rsid w:val="00632434"/>
    <w:rsid w:val="00632461"/>
    <w:rsid w:val="00632AA3"/>
    <w:rsid w:val="00632FF7"/>
    <w:rsid w:val="00633371"/>
    <w:rsid w:val="00633613"/>
    <w:rsid w:val="006336C9"/>
    <w:rsid w:val="006336D5"/>
    <w:rsid w:val="00633960"/>
    <w:rsid w:val="006342F0"/>
    <w:rsid w:val="00634339"/>
    <w:rsid w:val="00634B02"/>
    <w:rsid w:val="00635062"/>
    <w:rsid w:val="006350DB"/>
    <w:rsid w:val="006356AF"/>
    <w:rsid w:val="00635B5B"/>
    <w:rsid w:val="006360DE"/>
    <w:rsid w:val="00636115"/>
    <w:rsid w:val="00636320"/>
    <w:rsid w:val="00636628"/>
    <w:rsid w:val="006370B4"/>
    <w:rsid w:val="00637138"/>
    <w:rsid w:val="00637477"/>
    <w:rsid w:val="00637515"/>
    <w:rsid w:val="00637698"/>
    <w:rsid w:val="006376BD"/>
    <w:rsid w:val="006379E4"/>
    <w:rsid w:val="00637D06"/>
    <w:rsid w:val="00637F1F"/>
    <w:rsid w:val="006407C4"/>
    <w:rsid w:val="0064090F"/>
    <w:rsid w:val="00640EF2"/>
    <w:rsid w:val="0064182E"/>
    <w:rsid w:val="00641AFA"/>
    <w:rsid w:val="00641CCB"/>
    <w:rsid w:val="00641EFF"/>
    <w:rsid w:val="00641F84"/>
    <w:rsid w:val="006420F5"/>
    <w:rsid w:val="0064220E"/>
    <w:rsid w:val="0064227E"/>
    <w:rsid w:val="00642359"/>
    <w:rsid w:val="00642A78"/>
    <w:rsid w:val="00642BCE"/>
    <w:rsid w:val="00642C34"/>
    <w:rsid w:val="00642E7F"/>
    <w:rsid w:val="006431CF"/>
    <w:rsid w:val="00643319"/>
    <w:rsid w:val="006435FD"/>
    <w:rsid w:val="006436A0"/>
    <w:rsid w:val="006438C1"/>
    <w:rsid w:val="0064435A"/>
    <w:rsid w:val="00644590"/>
    <w:rsid w:val="006445F9"/>
    <w:rsid w:val="00644ABA"/>
    <w:rsid w:val="00644D0E"/>
    <w:rsid w:val="006456B2"/>
    <w:rsid w:val="00645FE7"/>
    <w:rsid w:val="00645FEA"/>
    <w:rsid w:val="006460A3"/>
    <w:rsid w:val="006461EC"/>
    <w:rsid w:val="006464C0"/>
    <w:rsid w:val="00646F87"/>
    <w:rsid w:val="00647061"/>
    <w:rsid w:val="006476E4"/>
    <w:rsid w:val="006477D1"/>
    <w:rsid w:val="00650089"/>
    <w:rsid w:val="006502B0"/>
    <w:rsid w:val="0065048A"/>
    <w:rsid w:val="00650599"/>
    <w:rsid w:val="00650808"/>
    <w:rsid w:val="00650FC4"/>
    <w:rsid w:val="00651645"/>
    <w:rsid w:val="00652102"/>
    <w:rsid w:val="0065227A"/>
    <w:rsid w:val="006526B1"/>
    <w:rsid w:val="00652949"/>
    <w:rsid w:val="00652B21"/>
    <w:rsid w:val="00652E64"/>
    <w:rsid w:val="00652E75"/>
    <w:rsid w:val="0065313E"/>
    <w:rsid w:val="006531B2"/>
    <w:rsid w:val="006532C8"/>
    <w:rsid w:val="00653374"/>
    <w:rsid w:val="00653623"/>
    <w:rsid w:val="00653B59"/>
    <w:rsid w:val="00653BE7"/>
    <w:rsid w:val="00653C55"/>
    <w:rsid w:val="00653D02"/>
    <w:rsid w:val="00653EA3"/>
    <w:rsid w:val="00653F1F"/>
    <w:rsid w:val="006545E7"/>
    <w:rsid w:val="006548B9"/>
    <w:rsid w:val="006550DE"/>
    <w:rsid w:val="006552BD"/>
    <w:rsid w:val="0065532A"/>
    <w:rsid w:val="0065562F"/>
    <w:rsid w:val="006557B6"/>
    <w:rsid w:val="00655A8C"/>
    <w:rsid w:val="0065600D"/>
    <w:rsid w:val="0065620C"/>
    <w:rsid w:val="0065698B"/>
    <w:rsid w:val="00656B98"/>
    <w:rsid w:val="00656DBB"/>
    <w:rsid w:val="00656E5F"/>
    <w:rsid w:val="00657769"/>
    <w:rsid w:val="00657B2D"/>
    <w:rsid w:val="00657F2A"/>
    <w:rsid w:val="00660010"/>
    <w:rsid w:val="00660C6C"/>
    <w:rsid w:val="00661049"/>
    <w:rsid w:val="006613E9"/>
    <w:rsid w:val="00661783"/>
    <w:rsid w:val="00661A96"/>
    <w:rsid w:val="00661E90"/>
    <w:rsid w:val="00661FAF"/>
    <w:rsid w:val="00662090"/>
    <w:rsid w:val="006622DC"/>
    <w:rsid w:val="00662870"/>
    <w:rsid w:val="00662D34"/>
    <w:rsid w:val="0066345D"/>
    <w:rsid w:val="00663C53"/>
    <w:rsid w:val="00664115"/>
    <w:rsid w:val="0066422A"/>
    <w:rsid w:val="00664315"/>
    <w:rsid w:val="006643F4"/>
    <w:rsid w:val="00664AA6"/>
    <w:rsid w:val="00664F46"/>
    <w:rsid w:val="006651A9"/>
    <w:rsid w:val="006653D9"/>
    <w:rsid w:val="00665893"/>
    <w:rsid w:val="00665CE9"/>
    <w:rsid w:val="006662BB"/>
    <w:rsid w:val="00666329"/>
    <w:rsid w:val="006665BE"/>
    <w:rsid w:val="00666CCE"/>
    <w:rsid w:val="00666E28"/>
    <w:rsid w:val="00667443"/>
    <w:rsid w:val="00667934"/>
    <w:rsid w:val="00667E20"/>
    <w:rsid w:val="00667E6C"/>
    <w:rsid w:val="00667EF7"/>
    <w:rsid w:val="0067012D"/>
    <w:rsid w:val="006709D0"/>
    <w:rsid w:val="00670A0D"/>
    <w:rsid w:val="0067103F"/>
    <w:rsid w:val="006718FB"/>
    <w:rsid w:val="0067197F"/>
    <w:rsid w:val="0067255E"/>
    <w:rsid w:val="00672562"/>
    <w:rsid w:val="00672B2C"/>
    <w:rsid w:val="00672CB4"/>
    <w:rsid w:val="00672D40"/>
    <w:rsid w:val="00672F1F"/>
    <w:rsid w:val="006731E9"/>
    <w:rsid w:val="0067347C"/>
    <w:rsid w:val="00674000"/>
    <w:rsid w:val="0067423A"/>
    <w:rsid w:val="006742DF"/>
    <w:rsid w:val="0067442E"/>
    <w:rsid w:val="00674FC8"/>
    <w:rsid w:val="006759E6"/>
    <w:rsid w:val="00675AAE"/>
    <w:rsid w:val="0067693E"/>
    <w:rsid w:val="00676E15"/>
    <w:rsid w:val="00677047"/>
    <w:rsid w:val="00677175"/>
    <w:rsid w:val="00677986"/>
    <w:rsid w:val="00677FC7"/>
    <w:rsid w:val="00680053"/>
    <w:rsid w:val="006800DB"/>
    <w:rsid w:val="006801B5"/>
    <w:rsid w:val="00680765"/>
    <w:rsid w:val="006808F2"/>
    <w:rsid w:val="00681973"/>
    <w:rsid w:val="00681D78"/>
    <w:rsid w:val="00681DAE"/>
    <w:rsid w:val="00681E85"/>
    <w:rsid w:val="00682FF9"/>
    <w:rsid w:val="006838B0"/>
    <w:rsid w:val="00683E34"/>
    <w:rsid w:val="00684287"/>
    <w:rsid w:val="00684417"/>
    <w:rsid w:val="00684AA5"/>
    <w:rsid w:val="00685868"/>
    <w:rsid w:val="0068593F"/>
    <w:rsid w:val="00685A94"/>
    <w:rsid w:val="00685C24"/>
    <w:rsid w:val="00685C7C"/>
    <w:rsid w:val="00685E7E"/>
    <w:rsid w:val="00685F12"/>
    <w:rsid w:val="006861B3"/>
    <w:rsid w:val="00686649"/>
    <w:rsid w:val="006866D8"/>
    <w:rsid w:val="00686EED"/>
    <w:rsid w:val="00687080"/>
    <w:rsid w:val="0068759D"/>
    <w:rsid w:val="0068769A"/>
    <w:rsid w:val="006876EE"/>
    <w:rsid w:val="00687AB7"/>
    <w:rsid w:val="00690BF9"/>
    <w:rsid w:val="00690CFA"/>
    <w:rsid w:val="00690D8E"/>
    <w:rsid w:val="006912CE"/>
    <w:rsid w:val="0069145E"/>
    <w:rsid w:val="0069183B"/>
    <w:rsid w:val="00691A90"/>
    <w:rsid w:val="00691C73"/>
    <w:rsid w:val="006920FE"/>
    <w:rsid w:val="00692AFE"/>
    <w:rsid w:val="00692C1B"/>
    <w:rsid w:val="00692E05"/>
    <w:rsid w:val="00693359"/>
    <w:rsid w:val="006935E5"/>
    <w:rsid w:val="006936C3"/>
    <w:rsid w:val="00693DC0"/>
    <w:rsid w:val="006954C1"/>
    <w:rsid w:val="0069604F"/>
    <w:rsid w:val="00696893"/>
    <w:rsid w:val="00696B46"/>
    <w:rsid w:val="00697505"/>
    <w:rsid w:val="00697B70"/>
    <w:rsid w:val="00697F9B"/>
    <w:rsid w:val="006A0275"/>
    <w:rsid w:val="006A0601"/>
    <w:rsid w:val="006A0C26"/>
    <w:rsid w:val="006A0F01"/>
    <w:rsid w:val="006A11B6"/>
    <w:rsid w:val="006A151F"/>
    <w:rsid w:val="006A1757"/>
    <w:rsid w:val="006A17F2"/>
    <w:rsid w:val="006A2577"/>
    <w:rsid w:val="006A3434"/>
    <w:rsid w:val="006A36C9"/>
    <w:rsid w:val="006A3D75"/>
    <w:rsid w:val="006A49EA"/>
    <w:rsid w:val="006A4A06"/>
    <w:rsid w:val="006A4A76"/>
    <w:rsid w:val="006A4CB7"/>
    <w:rsid w:val="006A4D78"/>
    <w:rsid w:val="006A5352"/>
    <w:rsid w:val="006A570E"/>
    <w:rsid w:val="006A5F25"/>
    <w:rsid w:val="006A5F27"/>
    <w:rsid w:val="006A6CE5"/>
    <w:rsid w:val="006A7071"/>
    <w:rsid w:val="006B0158"/>
    <w:rsid w:val="006B06B2"/>
    <w:rsid w:val="006B0A04"/>
    <w:rsid w:val="006B0F21"/>
    <w:rsid w:val="006B0F69"/>
    <w:rsid w:val="006B1436"/>
    <w:rsid w:val="006B1797"/>
    <w:rsid w:val="006B1E76"/>
    <w:rsid w:val="006B1FCC"/>
    <w:rsid w:val="006B2019"/>
    <w:rsid w:val="006B22EC"/>
    <w:rsid w:val="006B23A6"/>
    <w:rsid w:val="006B23AD"/>
    <w:rsid w:val="006B257F"/>
    <w:rsid w:val="006B26C3"/>
    <w:rsid w:val="006B2749"/>
    <w:rsid w:val="006B2A6B"/>
    <w:rsid w:val="006B2CAF"/>
    <w:rsid w:val="006B4715"/>
    <w:rsid w:val="006B4B66"/>
    <w:rsid w:val="006B4BE4"/>
    <w:rsid w:val="006B5540"/>
    <w:rsid w:val="006B563E"/>
    <w:rsid w:val="006B5D1C"/>
    <w:rsid w:val="006B6078"/>
    <w:rsid w:val="006B6105"/>
    <w:rsid w:val="006B6490"/>
    <w:rsid w:val="006B69B1"/>
    <w:rsid w:val="006B6B3C"/>
    <w:rsid w:val="006B6EF5"/>
    <w:rsid w:val="006B7073"/>
    <w:rsid w:val="006B71B9"/>
    <w:rsid w:val="006B759E"/>
    <w:rsid w:val="006B7CC5"/>
    <w:rsid w:val="006B7E2A"/>
    <w:rsid w:val="006B7EB3"/>
    <w:rsid w:val="006C0095"/>
    <w:rsid w:val="006C0248"/>
    <w:rsid w:val="006C02AB"/>
    <w:rsid w:val="006C03FE"/>
    <w:rsid w:val="006C05D7"/>
    <w:rsid w:val="006C05EE"/>
    <w:rsid w:val="006C06C9"/>
    <w:rsid w:val="006C0BFF"/>
    <w:rsid w:val="006C1176"/>
    <w:rsid w:val="006C14DB"/>
    <w:rsid w:val="006C1796"/>
    <w:rsid w:val="006C1BEF"/>
    <w:rsid w:val="006C1DD3"/>
    <w:rsid w:val="006C2181"/>
    <w:rsid w:val="006C278B"/>
    <w:rsid w:val="006C283C"/>
    <w:rsid w:val="006C2B1D"/>
    <w:rsid w:val="006C3089"/>
    <w:rsid w:val="006C369D"/>
    <w:rsid w:val="006C36A6"/>
    <w:rsid w:val="006C3FCC"/>
    <w:rsid w:val="006C4321"/>
    <w:rsid w:val="006C44CD"/>
    <w:rsid w:val="006C451B"/>
    <w:rsid w:val="006C488C"/>
    <w:rsid w:val="006C4961"/>
    <w:rsid w:val="006C496F"/>
    <w:rsid w:val="006C4BE5"/>
    <w:rsid w:val="006C4C46"/>
    <w:rsid w:val="006C4F85"/>
    <w:rsid w:val="006C5486"/>
    <w:rsid w:val="006C587D"/>
    <w:rsid w:val="006C5AA0"/>
    <w:rsid w:val="006C5AF4"/>
    <w:rsid w:val="006C7119"/>
    <w:rsid w:val="006C7179"/>
    <w:rsid w:val="006C7576"/>
    <w:rsid w:val="006C7BC6"/>
    <w:rsid w:val="006C7E7D"/>
    <w:rsid w:val="006C7EAD"/>
    <w:rsid w:val="006C7F04"/>
    <w:rsid w:val="006C7FE4"/>
    <w:rsid w:val="006D009A"/>
    <w:rsid w:val="006D017C"/>
    <w:rsid w:val="006D026C"/>
    <w:rsid w:val="006D0903"/>
    <w:rsid w:val="006D0A35"/>
    <w:rsid w:val="006D0D06"/>
    <w:rsid w:val="006D0D0E"/>
    <w:rsid w:val="006D0FDF"/>
    <w:rsid w:val="006D12AF"/>
    <w:rsid w:val="006D133E"/>
    <w:rsid w:val="006D21F1"/>
    <w:rsid w:val="006D246B"/>
    <w:rsid w:val="006D2537"/>
    <w:rsid w:val="006D260F"/>
    <w:rsid w:val="006D266C"/>
    <w:rsid w:val="006D2738"/>
    <w:rsid w:val="006D35F2"/>
    <w:rsid w:val="006D450D"/>
    <w:rsid w:val="006D45A0"/>
    <w:rsid w:val="006D4828"/>
    <w:rsid w:val="006D4942"/>
    <w:rsid w:val="006D4BB3"/>
    <w:rsid w:val="006D4EFA"/>
    <w:rsid w:val="006D586E"/>
    <w:rsid w:val="006D5B2A"/>
    <w:rsid w:val="006D5B86"/>
    <w:rsid w:val="006D62E4"/>
    <w:rsid w:val="006D7047"/>
    <w:rsid w:val="006D71C8"/>
    <w:rsid w:val="006D7251"/>
    <w:rsid w:val="006D75DB"/>
    <w:rsid w:val="006D774A"/>
    <w:rsid w:val="006D7817"/>
    <w:rsid w:val="006D7A7C"/>
    <w:rsid w:val="006D7D31"/>
    <w:rsid w:val="006E003B"/>
    <w:rsid w:val="006E0111"/>
    <w:rsid w:val="006E011B"/>
    <w:rsid w:val="006E0EC3"/>
    <w:rsid w:val="006E0EC7"/>
    <w:rsid w:val="006E0FEA"/>
    <w:rsid w:val="006E12C9"/>
    <w:rsid w:val="006E15D4"/>
    <w:rsid w:val="006E1628"/>
    <w:rsid w:val="006E1678"/>
    <w:rsid w:val="006E1AB7"/>
    <w:rsid w:val="006E1E77"/>
    <w:rsid w:val="006E1F4C"/>
    <w:rsid w:val="006E218D"/>
    <w:rsid w:val="006E2435"/>
    <w:rsid w:val="006E2E1D"/>
    <w:rsid w:val="006E30EE"/>
    <w:rsid w:val="006E33C4"/>
    <w:rsid w:val="006E3693"/>
    <w:rsid w:val="006E36F3"/>
    <w:rsid w:val="006E4170"/>
    <w:rsid w:val="006E432A"/>
    <w:rsid w:val="006E44D9"/>
    <w:rsid w:val="006E5311"/>
    <w:rsid w:val="006E62A3"/>
    <w:rsid w:val="006E7625"/>
    <w:rsid w:val="006E775C"/>
    <w:rsid w:val="006E7805"/>
    <w:rsid w:val="006E7B4E"/>
    <w:rsid w:val="006F063B"/>
    <w:rsid w:val="006F0A67"/>
    <w:rsid w:val="006F0BE4"/>
    <w:rsid w:val="006F0EC2"/>
    <w:rsid w:val="006F1125"/>
    <w:rsid w:val="006F11BB"/>
    <w:rsid w:val="006F14F9"/>
    <w:rsid w:val="006F1E22"/>
    <w:rsid w:val="006F1FB1"/>
    <w:rsid w:val="006F2163"/>
    <w:rsid w:val="006F2579"/>
    <w:rsid w:val="006F34F7"/>
    <w:rsid w:val="006F3871"/>
    <w:rsid w:val="006F3DCC"/>
    <w:rsid w:val="006F3FC9"/>
    <w:rsid w:val="006F404B"/>
    <w:rsid w:val="006F480B"/>
    <w:rsid w:val="006F4EB9"/>
    <w:rsid w:val="006F54A3"/>
    <w:rsid w:val="006F5528"/>
    <w:rsid w:val="006F5635"/>
    <w:rsid w:val="006F56C5"/>
    <w:rsid w:val="006F6755"/>
    <w:rsid w:val="006F6C72"/>
    <w:rsid w:val="006F6E53"/>
    <w:rsid w:val="006F6EBA"/>
    <w:rsid w:val="006F76DD"/>
    <w:rsid w:val="006F79F8"/>
    <w:rsid w:val="0070084B"/>
    <w:rsid w:val="007009CF"/>
    <w:rsid w:val="00700A07"/>
    <w:rsid w:val="00700AB4"/>
    <w:rsid w:val="00700BA5"/>
    <w:rsid w:val="00700CF9"/>
    <w:rsid w:val="00700E34"/>
    <w:rsid w:val="00700FE3"/>
    <w:rsid w:val="0070162C"/>
    <w:rsid w:val="00701656"/>
    <w:rsid w:val="0070183B"/>
    <w:rsid w:val="0070304F"/>
    <w:rsid w:val="00703456"/>
    <w:rsid w:val="00703A39"/>
    <w:rsid w:val="00703C30"/>
    <w:rsid w:val="0070431F"/>
    <w:rsid w:val="00704344"/>
    <w:rsid w:val="00704920"/>
    <w:rsid w:val="00704B0B"/>
    <w:rsid w:val="00704CAB"/>
    <w:rsid w:val="00705575"/>
    <w:rsid w:val="00705BC3"/>
    <w:rsid w:val="00705EED"/>
    <w:rsid w:val="00706095"/>
    <w:rsid w:val="007062A9"/>
    <w:rsid w:val="00706395"/>
    <w:rsid w:val="00706B99"/>
    <w:rsid w:val="00706D19"/>
    <w:rsid w:val="00706E68"/>
    <w:rsid w:val="00706FD0"/>
    <w:rsid w:val="00707184"/>
    <w:rsid w:val="007077A0"/>
    <w:rsid w:val="00707805"/>
    <w:rsid w:val="00707B0E"/>
    <w:rsid w:val="007100AD"/>
    <w:rsid w:val="007101CA"/>
    <w:rsid w:val="007104FB"/>
    <w:rsid w:val="0071069E"/>
    <w:rsid w:val="00710E21"/>
    <w:rsid w:val="007110B5"/>
    <w:rsid w:val="007112FA"/>
    <w:rsid w:val="00711929"/>
    <w:rsid w:val="00711B30"/>
    <w:rsid w:val="00711F13"/>
    <w:rsid w:val="007122EF"/>
    <w:rsid w:val="007123F5"/>
    <w:rsid w:val="00712BE4"/>
    <w:rsid w:val="00712DAE"/>
    <w:rsid w:val="00712F70"/>
    <w:rsid w:val="0071312B"/>
    <w:rsid w:val="007131B9"/>
    <w:rsid w:val="0071322E"/>
    <w:rsid w:val="007134CE"/>
    <w:rsid w:val="007135C5"/>
    <w:rsid w:val="00713782"/>
    <w:rsid w:val="007143DC"/>
    <w:rsid w:val="00714A05"/>
    <w:rsid w:val="00714E46"/>
    <w:rsid w:val="0071521B"/>
    <w:rsid w:val="00715285"/>
    <w:rsid w:val="007154BD"/>
    <w:rsid w:val="00715547"/>
    <w:rsid w:val="00715910"/>
    <w:rsid w:val="007159C4"/>
    <w:rsid w:val="007159CC"/>
    <w:rsid w:val="00715C3F"/>
    <w:rsid w:val="0071621E"/>
    <w:rsid w:val="007163BD"/>
    <w:rsid w:val="00716547"/>
    <w:rsid w:val="00716635"/>
    <w:rsid w:val="00716E30"/>
    <w:rsid w:val="00716F87"/>
    <w:rsid w:val="00717028"/>
    <w:rsid w:val="007173BA"/>
    <w:rsid w:val="007200A2"/>
    <w:rsid w:val="007201F3"/>
    <w:rsid w:val="007206B6"/>
    <w:rsid w:val="007214A5"/>
    <w:rsid w:val="00721768"/>
    <w:rsid w:val="00721875"/>
    <w:rsid w:val="00721888"/>
    <w:rsid w:val="00721B16"/>
    <w:rsid w:val="00721C5B"/>
    <w:rsid w:val="00721D92"/>
    <w:rsid w:val="00722024"/>
    <w:rsid w:val="00722030"/>
    <w:rsid w:val="007224AE"/>
    <w:rsid w:val="0072270D"/>
    <w:rsid w:val="00722A85"/>
    <w:rsid w:val="0072334E"/>
    <w:rsid w:val="007237C2"/>
    <w:rsid w:val="00723910"/>
    <w:rsid w:val="007241A2"/>
    <w:rsid w:val="00724748"/>
    <w:rsid w:val="00724796"/>
    <w:rsid w:val="007248E2"/>
    <w:rsid w:val="00724DD0"/>
    <w:rsid w:val="00724E13"/>
    <w:rsid w:val="00725030"/>
    <w:rsid w:val="00725428"/>
    <w:rsid w:val="007257CE"/>
    <w:rsid w:val="00725986"/>
    <w:rsid w:val="00725C23"/>
    <w:rsid w:val="00725E42"/>
    <w:rsid w:val="00726112"/>
    <w:rsid w:val="00726274"/>
    <w:rsid w:val="00726752"/>
    <w:rsid w:val="00726936"/>
    <w:rsid w:val="00726AA2"/>
    <w:rsid w:val="00726B4A"/>
    <w:rsid w:val="007275FD"/>
    <w:rsid w:val="00727A14"/>
    <w:rsid w:val="00727A1B"/>
    <w:rsid w:val="00727EDE"/>
    <w:rsid w:val="00727F76"/>
    <w:rsid w:val="00730093"/>
    <w:rsid w:val="0073036F"/>
    <w:rsid w:val="00730A38"/>
    <w:rsid w:val="007311EC"/>
    <w:rsid w:val="0073133D"/>
    <w:rsid w:val="00731344"/>
    <w:rsid w:val="00731443"/>
    <w:rsid w:val="007314CE"/>
    <w:rsid w:val="0073173B"/>
    <w:rsid w:val="007317F3"/>
    <w:rsid w:val="00731863"/>
    <w:rsid w:val="00731968"/>
    <w:rsid w:val="00731AD9"/>
    <w:rsid w:val="007322B6"/>
    <w:rsid w:val="00732661"/>
    <w:rsid w:val="00732DAA"/>
    <w:rsid w:val="0073314E"/>
    <w:rsid w:val="00733190"/>
    <w:rsid w:val="00733530"/>
    <w:rsid w:val="00733963"/>
    <w:rsid w:val="00733B85"/>
    <w:rsid w:val="00733CC9"/>
    <w:rsid w:val="007344F9"/>
    <w:rsid w:val="00734514"/>
    <w:rsid w:val="0073487C"/>
    <w:rsid w:val="00734C59"/>
    <w:rsid w:val="00734D33"/>
    <w:rsid w:val="00734F77"/>
    <w:rsid w:val="007357A5"/>
    <w:rsid w:val="007358C7"/>
    <w:rsid w:val="00735923"/>
    <w:rsid w:val="00735AA4"/>
    <w:rsid w:val="00735BCB"/>
    <w:rsid w:val="00736110"/>
    <w:rsid w:val="0073653C"/>
    <w:rsid w:val="00736551"/>
    <w:rsid w:val="0073666D"/>
    <w:rsid w:val="00736792"/>
    <w:rsid w:val="007368F2"/>
    <w:rsid w:val="00736924"/>
    <w:rsid w:val="007369D7"/>
    <w:rsid w:val="00736F04"/>
    <w:rsid w:val="007374E7"/>
    <w:rsid w:val="00737DC7"/>
    <w:rsid w:val="007403CA"/>
    <w:rsid w:val="007403CE"/>
    <w:rsid w:val="00740421"/>
    <w:rsid w:val="00740706"/>
    <w:rsid w:val="00740829"/>
    <w:rsid w:val="007408C1"/>
    <w:rsid w:val="00741C70"/>
    <w:rsid w:val="00742157"/>
    <w:rsid w:val="00742349"/>
    <w:rsid w:val="00742428"/>
    <w:rsid w:val="0074261C"/>
    <w:rsid w:val="0074264A"/>
    <w:rsid w:val="00743428"/>
    <w:rsid w:val="00743BB5"/>
    <w:rsid w:val="00743CA5"/>
    <w:rsid w:val="00743F7D"/>
    <w:rsid w:val="00744275"/>
    <w:rsid w:val="00744A18"/>
    <w:rsid w:val="00744AB7"/>
    <w:rsid w:val="00745085"/>
    <w:rsid w:val="00745363"/>
    <w:rsid w:val="00745884"/>
    <w:rsid w:val="007460A2"/>
    <w:rsid w:val="0074629E"/>
    <w:rsid w:val="007469E5"/>
    <w:rsid w:val="00746A30"/>
    <w:rsid w:val="00746DDA"/>
    <w:rsid w:val="00747123"/>
    <w:rsid w:val="007472E7"/>
    <w:rsid w:val="007475FF"/>
    <w:rsid w:val="00747644"/>
    <w:rsid w:val="007477BE"/>
    <w:rsid w:val="00747CB7"/>
    <w:rsid w:val="0075075A"/>
    <w:rsid w:val="00750904"/>
    <w:rsid w:val="0075095D"/>
    <w:rsid w:val="00750AEC"/>
    <w:rsid w:val="00751170"/>
    <w:rsid w:val="007511CF"/>
    <w:rsid w:val="0075123B"/>
    <w:rsid w:val="00751343"/>
    <w:rsid w:val="0075226A"/>
    <w:rsid w:val="00752735"/>
    <w:rsid w:val="0075280C"/>
    <w:rsid w:val="00752EAB"/>
    <w:rsid w:val="00753209"/>
    <w:rsid w:val="007533EA"/>
    <w:rsid w:val="00753644"/>
    <w:rsid w:val="00754170"/>
    <w:rsid w:val="00754524"/>
    <w:rsid w:val="007546DB"/>
    <w:rsid w:val="00755536"/>
    <w:rsid w:val="0075572F"/>
    <w:rsid w:val="00755E91"/>
    <w:rsid w:val="00756082"/>
    <w:rsid w:val="00756382"/>
    <w:rsid w:val="007565F7"/>
    <w:rsid w:val="007566F3"/>
    <w:rsid w:val="00756D0A"/>
    <w:rsid w:val="00756EBC"/>
    <w:rsid w:val="00757293"/>
    <w:rsid w:val="0075796A"/>
    <w:rsid w:val="00757BC8"/>
    <w:rsid w:val="0076025D"/>
    <w:rsid w:val="00760530"/>
    <w:rsid w:val="00760985"/>
    <w:rsid w:val="007609C8"/>
    <w:rsid w:val="007610F2"/>
    <w:rsid w:val="007615D2"/>
    <w:rsid w:val="00762845"/>
    <w:rsid w:val="00762BC4"/>
    <w:rsid w:val="00762D94"/>
    <w:rsid w:val="007631C4"/>
    <w:rsid w:val="0076382B"/>
    <w:rsid w:val="0076383C"/>
    <w:rsid w:val="00764195"/>
    <w:rsid w:val="00764417"/>
    <w:rsid w:val="00764A6D"/>
    <w:rsid w:val="0076532D"/>
    <w:rsid w:val="0076554D"/>
    <w:rsid w:val="007659F2"/>
    <w:rsid w:val="00765A31"/>
    <w:rsid w:val="00766292"/>
    <w:rsid w:val="007666BD"/>
    <w:rsid w:val="007666E5"/>
    <w:rsid w:val="00766705"/>
    <w:rsid w:val="007669F3"/>
    <w:rsid w:val="00767083"/>
    <w:rsid w:val="007670D5"/>
    <w:rsid w:val="0076756D"/>
    <w:rsid w:val="007678C5"/>
    <w:rsid w:val="0076792A"/>
    <w:rsid w:val="007679D1"/>
    <w:rsid w:val="00767CC8"/>
    <w:rsid w:val="007702C0"/>
    <w:rsid w:val="00770520"/>
    <w:rsid w:val="0077083D"/>
    <w:rsid w:val="00770872"/>
    <w:rsid w:val="00770A45"/>
    <w:rsid w:val="00770AD7"/>
    <w:rsid w:val="007711DC"/>
    <w:rsid w:val="007713EB"/>
    <w:rsid w:val="00771459"/>
    <w:rsid w:val="00771A43"/>
    <w:rsid w:val="00771BD5"/>
    <w:rsid w:val="00771C16"/>
    <w:rsid w:val="00771C54"/>
    <w:rsid w:val="00771E44"/>
    <w:rsid w:val="00771F37"/>
    <w:rsid w:val="007722F0"/>
    <w:rsid w:val="007725B2"/>
    <w:rsid w:val="00772906"/>
    <w:rsid w:val="00772FFA"/>
    <w:rsid w:val="00773313"/>
    <w:rsid w:val="007734DC"/>
    <w:rsid w:val="0077373B"/>
    <w:rsid w:val="0077445D"/>
    <w:rsid w:val="00774EBA"/>
    <w:rsid w:val="007752B5"/>
    <w:rsid w:val="00775490"/>
    <w:rsid w:val="007755C4"/>
    <w:rsid w:val="0077569B"/>
    <w:rsid w:val="00775748"/>
    <w:rsid w:val="00775AE9"/>
    <w:rsid w:val="007763BD"/>
    <w:rsid w:val="0077686C"/>
    <w:rsid w:val="00776F67"/>
    <w:rsid w:val="00777333"/>
    <w:rsid w:val="007773BB"/>
    <w:rsid w:val="00777564"/>
    <w:rsid w:val="0077791E"/>
    <w:rsid w:val="00777B37"/>
    <w:rsid w:val="00777B74"/>
    <w:rsid w:val="007800D8"/>
    <w:rsid w:val="00780245"/>
    <w:rsid w:val="00780419"/>
    <w:rsid w:val="007804A1"/>
    <w:rsid w:val="00780532"/>
    <w:rsid w:val="00780670"/>
    <w:rsid w:val="007809BE"/>
    <w:rsid w:val="00780AE2"/>
    <w:rsid w:val="00780B3A"/>
    <w:rsid w:val="00780CCD"/>
    <w:rsid w:val="007815AE"/>
    <w:rsid w:val="00781663"/>
    <w:rsid w:val="00781A92"/>
    <w:rsid w:val="00781B2A"/>
    <w:rsid w:val="00782755"/>
    <w:rsid w:val="00782A42"/>
    <w:rsid w:val="00782AC8"/>
    <w:rsid w:val="00782B0B"/>
    <w:rsid w:val="00782FD7"/>
    <w:rsid w:val="007830ED"/>
    <w:rsid w:val="007833C8"/>
    <w:rsid w:val="00783CA7"/>
    <w:rsid w:val="00783DAB"/>
    <w:rsid w:val="00783DCE"/>
    <w:rsid w:val="007845EE"/>
    <w:rsid w:val="007849D9"/>
    <w:rsid w:val="00784CDB"/>
    <w:rsid w:val="00784E68"/>
    <w:rsid w:val="00784EE2"/>
    <w:rsid w:val="00784FE5"/>
    <w:rsid w:val="00785062"/>
    <w:rsid w:val="00785828"/>
    <w:rsid w:val="007860F8"/>
    <w:rsid w:val="0078696C"/>
    <w:rsid w:val="007869FF"/>
    <w:rsid w:val="00786ABB"/>
    <w:rsid w:val="00786CE5"/>
    <w:rsid w:val="00786CFE"/>
    <w:rsid w:val="00786FC7"/>
    <w:rsid w:val="007870B0"/>
    <w:rsid w:val="0078710C"/>
    <w:rsid w:val="00787191"/>
    <w:rsid w:val="00787752"/>
    <w:rsid w:val="0078799A"/>
    <w:rsid w:val="007900A6"/>
    <w:rsid w:val="007903E4"/>
    <w:rsid w:val="00790737"/>
    <w:rsid w:val="007908EC"/>
    <w:rsid w:val="00790B30"/>
    <w:rsid w:val="00790CFC"/>
    <w:rsid w:val="0079114E"/>
    <w:rsid w:val="0079125F"/>
    <w:rsid w:val="00791503"/>
    <w:rsid w:val="0079163C"/>
    <w:rsid w:val="00791BCD"/>
    <w:rsid w:val="00792031"/>
    <w:rsid w:val="00792062"/>
    <w:rsid w:val="0079232A"/>
    <w:rsid w:val="007928A1"/>
    <w:rsid w:val="00792F11"/>
    <w:rsid w:val="0079326E"/>
    <w:rsid w:val="0079331E"/>
    <w:rsid w:val="007933EF"/>
    <w:rsid w:val="0079358A"/>
    <w:rsid w:val="00793DCD"/>
    <w:rsid w:val="00793DD6"/>
    <w:rsid w:val="007940C7"/>
    <w:rsid w:val="007945D1"/>
    <w:rsid w:val="00794946"/>
    <w:rsid w:val="00795197"/>
    <w:rsid w:val="007951E2"/>
    <w:rsid w:val="00795277"/>
    <w:rsid w:val="00795633"/>
    <w:rsid w:val="00795BDA"/>
    <w:rsid w:val="00795E38"/>
    <w:rsid w:val="00795E8D"/>
    <w:rsid w:val="0079641E"/>
    <w:rsid w:val="00796929"/>
    <w:rsid w:val="007969B8"/>
    <w:rsid w:val="007969DC"/>
    <w:rsid w:val="00796A3C"/>
    <w:rsid w:val="00796C65"/>
    <w:rsid w:val="00797BDB"/>
    <w:rsid w:val="00797BFF"/>
    <w:rsid w:val="007A003A"/>
    <w:rsid w:val="007A01FD"/>
    <w:rsid w:val="007A0418"/>
    <w:rsid w:val="007A0470"/>
    <w:rsid w:val="007A04B9"/>
    <w:rsid w:val="007A05E7"/>
    <w:rsid w:val="007A0776"/>
    <w:rsid w:val="007A09D2"/>
    <w:rsid w:val="007A0E9A"/>
    <w:rsid w:val="007A0EA3"/>
    <w:rsid w:val="007A1505"/>
    <w:rsid w:val="007A1A74"/>
    <w:rsid w:val="007A1ACE"/>
    <w:rsid w:val="007A1BD7"/>
    <w:rsid w:val="007A1DFF"/>
    <w:rsid w:val="007A1F3A"/>
    <w:rsid w:val="007A20CA"/>
    <w:rsid w:val="007A2849"/>
    <w:rsid w:val="007A3225"/>
    <w:rsid w:val="007A3284"/>
    <w:rsid w:val="007A32A9"/>
    <w:rsid w:val="007A33B3"/>
    <w:rsid w:val="007A3622"/>
    <w:rsid w:val="007A3713"/>
    <w:rsid w:val="007A3FC5"/>
    <w:rsid w:val="007A47B9"/>
    <w:rsid w:val="007A57BA"/>
    <w:rsid w:val="007A5835"/>
    <w:rsid w:val="007A6122"/>
    <w:rsid w:val="007A6551"/>
    <w:rsid w:val="007A65BC"/>
    <w:rsid w:val="007A6901"/>
    <w:rsid w:val="007A6C47"/>
    <w:rsid w:val="007A71F8"/>
    <w:rsid w:val="007A75E5"/>
    <w:rsid w:val="007A766D"/>
    <w:rsid w:val="007A7C16"/>
    <w:rsid w:val="007A7DAE"/>
    <w:rsid w:val="007A7F0D"/>
    <w:rsid w:val="007B06BA"/>
    <w:rsid w:val="007B0B9C"/>
    <w:rsid w:val="007B0C64"/>
    <w:rsid w:val="007B0EE0"/>
    <w:rsid w:val="007B1197"/>
    <w:rsid w:val="007B12B4"/>
    <w:rsid w:val="007B12C8"/>
    <w:rsid w:val="007B1329"/>
    <w:rsid w:val="007B1B66"/>
    <w:rsid w:val="007B1C5F"/>
    <w:rsid w:val="007B1FB8"/>
    <w:rsid w:val="007B235B"/>
    <w:rsid w:val="007B23AA"/>
    <w:rsid w:val="007B2817"/>
    <w:rsid w:val="007B2894"/>
    <w:rsid w:val="007B3514"/>
    <w:rsid w:val="007B3CAA"/>
    <w:rsid w:val="007B3FEE"/>
    <w:rsid w:val="007B4284"/>
    <w:rsid w:val="007B4BF4"/>
    <w:rsid w:val="007B4DEE"/>
    <w:rsid w:val="007B5512"/>
    <w:rsid w:val="007B56E5"/>
    <w:rsid w:val="007B5E07"/>
    <w:rsid w:val="007B5E4B"/>
    <w:rsid w:val="007B62A0"/>
    <w:rsid w:val="007B630F"/>
    <w:rsid w:val="007B6841"/>
    <w:rsid w:val="007B6BE7"/>
    <w:rsid w:val="007B6DF3"/>
    <w:rsid w:val="007B6DFC"/>
    <w:rsid w:val="007B6F1A"/>
    <w:rsid w:val="007B714F"/>
    <w:rsid w:val="007B71A5"/>
    <w:rsid w:val="007B75CA"/>
    <w:rsid w:val="007B793F"/>
    <w:rsid w:val="007B7E22"/>
    <w:rsid w:val="007C087F"/>
    <w:rsid w:val="007C0D31"/>
    <w:rsid w:val="007C0D44"/>
    <w:rsid w:val="007C0DF4"/>
    <w:rsid w:val="007C0ED8"/>
    <w:rsid w:val="007C1346"/>
    <w:rsid w:val="007C1349"/>
    <w:rsid w:val="007C1782"/>
    <w:rsid w:val="007C1D93"/>
    <w:rsid w:val="007C2921"/>
    <w:rsid w:val="007C30C3"/>
    <w:rsid w:val="007C3775"/>
    <w:rsid w:val="007C3B05"/>
    <w:rsid w:val="007C3EC1"/>
    <w:rsid w:val="007C413F"/>
    <w:rsid w:val="007C425D"/>
    <w:rsid w:val="007C4825"/>
    <w:rsid w:val="007C4D29"/>
    <w:rsid w:val="007C564F"/>
    <w:rsid w:val="007C5C79"/>
    <w:rsid w:val="007C5C92"/>
    <w:rsid w:val="007C608A"/>
    <w:rsid w:val="007C636D"/>
    <w:rsid w:val="007C66BD"/>
    <w:rsid w:val="007C6EF0"/>
    <w:rsid w:val="007D0B6D"/>
    <w:rsid w:val="007D0CC7"/>
    <w:rsid w:val="007D0E46"/>
    <w:rsid w:val="007D0F3D"/>
    <w:rsid w:val="007D1318"/>
    <w:rsid w:val="007D139A"/>
    <w:rsid w:val="007D14B7"/>
    <w:rsid w:val="007D1B75"/>
    <w:rsid w:val="007D2031"/>
    <w:rsid w:val="007D230A"/>
    <w:rsid w:val="007D2401"/>
    <w:rsid w:val="007D247D"/>
    <w:rsid w:val="007D25E7"/>
    <w:rsid w:val="007D2772"/>
    <w:rsid w:val="007D3336"/>
    <w:rsid w:val="007D3461"/>
    <w:rsid w:val="007D3A59"/>
    <w:rsid w:val="007D3B3D"/>
    <w:rsid w:val="007D3C6E"/>
    <w:rsid w:val="007D4036"/>
    <w:rsid w:val="007D408C"/>
    <w:rsid w:val="007D5165"/>
    <w:rsid w:val="007D5205"/>
    <w:rsid w:val="007D5297"/>
    <w:rsid w:val="007D605D"/>
    <w:rsid w:val="007D66B2"/>
    <w:rsid w:val="007D69A0"/>
    <w:rsid w:val="007D6A31"/>
    <w:rsid w:val="007D6B33"/>
    <w:rsid w:val="007D6B5F"/>
    <w:rsid w:val="007D6FEA"/>
    <w:rsid w:val="007D7465"/>
    <w:rsid w:val="007D7A8D"/>
    <w:rsid w:val="007D7CA0"/>
    <w:rsid w:val="007D7D3A"/>
    <w:rsid w:val="007D7F00"/>
    <w:rsid w:val="007D7FCA"/>
    <w:rsid w:val="007E0B8F"/>
    <w:rsid w:val="007E0CA0"/>
    <w:rsid w:val="007E0F1C"/>
    <w:rsid w:val="007E14EB"/>
    <w:rsid w:val="007E15F1"/>
    <w:rsid w:val="007E1A82"/>
    <w:rsid w:val="007E1EFF"/>
    <w:rsid w:val="007E2248"/>
    <w:rsid w:val="007E278F"/>
    <w:rsid w:val="007E2873"/>
    <w:rsid w:val="007E2A32"/>
    <w:rsid w:val="007E31E1"/>
    <w:rsid w:val="007E3217"/>
    <w:rsid w:val="007E3AC7"/>
    <w:rsid w:val="007E4011"/>
    <w:rsid w:val="007E417C"/>
    <w:rsid w:val="007E448E"/>
    <w:rsid w:val="007E46EB"/>
    <w:rsid w:val="007E4D5E"/>
    <w:rsid w:val="007E54A7"/>
    <w:rsid w:val="007E58AC"/>
    <w:rsid w:val="007E5C32"/>
    <w:rsid w:val="007E5C60"/>
    <w:rsid w:val="007E6102"/>
    <w:rsid w:val="007E661A"/>
    <w:rsid w:val="007E68DF"/>
    <w:rsid w:val="007E6E09"/>
    <w:rsid w:val="007E6F3B"/>
    <w:rsid w:val="007E7886"/>
    <w:rsid w:val="007E7CC9"/>
    <w:rsid w:val="007E7DFE"/>
    <w:rsid w:val="007E7E15"/>
    <w:rsid w:val="007E7FA3"/>
    <w:rsid w:val="007F062F"/>
    <w:rsid w:val="007F09B1"/>
    <w:rsid w:val="007F0E45"/>
    <w:rsid w:val="007F105E"/>
    <w:rsid w:val="007F138D"/>
    <w:rsid w:val="007F147B"/>
    <w:rsid w:val="007F178D"/>
    <w:rsid w:val="007F1A26"/>
    <w:rsid w:val="007F1DB6"/>
    <w:rsid w:val="007F248B"/>
    <w:rsid w:val="007F2498"/>
    <w:rsid w:val="007F2A8C"/>
    <w:rsid w:val="007F2CBE"/>
    <w:rsid w:val="007F3633"/>
    <w:rsid w:val="007F3965"/>
    <w:rsid w:val="007F3A55"/>
    <w:rsid w:val="007F47FD"/>
    <w:rsid w:val="007F4896"/>
    <w:rsid w:val="007F498F"/>
    <w:rsid w:val="007F4BD2"/>
    <w:rsid w:val="007F51EF"/>
    <w:rsid w:val="007F5698"/>
    <w:rsid w:val="007F56EB"/>
    <w:rsid w:val="007F5BA2"/>
    <w:rsid w:val="007F6290"/>
    <w:rsid w:val="007F6A87"/>
    <w:rsid w:val="007F6F5F"/>
    <w:rsid w:val="007F7128"/>
    <w:rsid w:val="007F7B76"/>
    <w:rsid w:val="00800145"/>
    <w:rsid w:val="008007B9"/>
    <w:rsid w:val="00800BB3"/>
    <w:rsid w:val="00800F49"/>
    <w:rsid w:val="00801872"/>
    <w:rsid w:val="00801A1F"/>
    <w:rsid w:val="00801C5E"/>
    <w:rsid w:val="0080203D"/>
    <w:rsid w:val="00802368"/>
    <w:rsid w:val="008027AA"/>
    <w:rsid w:val="00802AA9"/>
    <w:rsid w:val="00802D20"/>
    <w:rsid w:val="00802E93"/>
    <w:rsid w:val="008032AC"/>
    <w:rsid w:val="008038EC"/>
    <w:rsid w:val="00803F23"/>
    <w:rsid w:val="008040C2"/>
    <w:rsid w:val="0080418B"/>
    <w:rsid w:val="008045FC"/>
    <w:rsid w:val="00804C35"/>
    <w:rsid w:val="00805177"/>
    <w:rsid w:val="00805295"/>
    <w:rsid w:val="00805ED9"/>
    <w:rsid w:val="0080628C"/>
    <w:rsid w:val="00806476"/>
    <w:rsid w:val="008065B2"/>
    <w:rsid w:val="00807157"/>
    <w:rsid w:val="0080796C"/>
    <w:rsid w:val="00807AC7"/>
    <w:rsid w:val="00807C08"/>
    <w:rsid w:val="00807C33"/>
    <w:rsid w:val="0081041F"/>
    <w:rsid w:val="008108A2"/>
    <w:rsid w:val="00810C1B"/>
    <w:rsid w:val="008113A0"/>
    <w:rsid w:val="00811A23"/>
    <w:rsid w:val="00811D18"/>
    <w:rsid w:val="00811E4A"/>
    <w:rsid w:val="00812B81"/>
    <w:rsid w:val="00813482"/>
    <w:rsid w:val="0081350F"/>
    <w:rsid w:val="008138CE"/>
    <w:rsid w:val="00813ED1"/>
    <w:rsid w:val="00814631"/>
    <w:rsid w:val="00814694"/>
    <w:rsid w:val="00814791"/>
    <w:rsid w:val="00814911"/>
    <w:rsid w:val="00814CE5"/>
    <w:rsid w:val="00814EE7"/>
    <w:rsid w:val="00814F49"/>
    <w:rsid w:val="00815216"/>
    <w:rsid w:val="008154A1"/>
    <w:rsid w:val="00815A0B"/>
    <w:rsid w:val="00815D33"/>
    <w:rsid w:val="00815D47"/>
    <w:rsid w:val="00815E90"/>
    <w:rsid w:val="00815F47"/>
    <w:rsid w:val="00816A8F"/>
    <w:rsid w:val="00816D87"/>
    <w:rsid w:val="00817469"/>
    <w:rsid w:val="0081759D"/>
    <w:rsid w:val="0081766E"/>
    <w:rsid w:val="00817A36"/>
    <w:rsid w:val="00817BA7"/>
    <w:rsid w:val="00821287"/>
    <w:rsid w:val="008213C6"/>
    <w:rsid w:val="00821570"/>
    <w:rsid w:val="00821589"/>
    <w:rsid w:val="00821FA6"/>
    <w:rsid w:val="0082277D"/>
    <w:rsid w:val="00823207"/>
    <w:rsid w:val="00823311"/>
    <w:rsid w:val="00823365"/>
    <w:rsid w:val="0082358C"/>
    <w:rsid w:val="008237FF"/>
    <w:rsid w:val="00823990"/>
    <w:rsid w:val="0082412A"/>
    <w:rsid w:val="00824196"/>
    <w:rsid w:val="0082419B"/>
    <w:rsid w:val="008244C8"/>
    <w:rsid w:val="008248F7"/>
    <w:rsid w:val="00824AD1"/>
    <w:rsid w:val="00825A54"/>
    <w:rsid w:val="008260C9"/>
    <w:rsid w:val="008260E1"/>
    <w:rsid w:val="0082630A"/>
    <w:rsid w:val="008268F9"/>
    <w:rsid w:val="00826E4F"/>
    <w:rsid w:val="00827334"/>
    <w:rsid w:val="0082735E"/>
    <w:rsid w:val="00827452"/>
    <w:rsid w:val="008276DA"/>
    <w:rsid w:val="008277AE"/>
    <w:rsid w:val="00827883"/>
    <w:rsid w:val="00827D8C"/>
    <w:rsid w:val="00827EB6"/>
    <w:rsid w:val="00830102"/>
    <w:rsid w:val="0083034A"/>
    <w:rsid w:val="008309E6"/>
    <w:rsid w:val="008310E4"/>
    <w:rsid w:val="008317AC"/>
    <w:rsid w:val="00831A51"/>
    <w:rsid w:val="00831CD9"/>
    <w:rsid w:val="00831EB6"/>
    <w:rsid w:val="00831F0F"/>
    <w:rsid w:val="00831F72"/>
    <w:rsid w:val="008320C5"/>
    <w:rsid w:val="00832287"/>
    <w:rsid w:val="0083244C"/>
    <w:rsid w:val="0083252F"/>
    <w:rsid w:val="008330DD"/>
    <w:rsid w:val="0083338D"/>
    <w:rsid w:val="008334B0"/>
    <w:rsid w:val="008334BB"/>
    <w:rsid w:val="00833528"/>
    <w:rsid w:val="00833557"/>
    <w:rsid w:val="00834240"/>
    <w:rsid w:val="00834538"/>
    <w:rsid w:val="008350FA"/>
    <w:rsid w:val="00835363"/>
    <w:rsid w:val="00835843"/>
    <w:rsid w:val="0083592B"/>
    <w:rsid w:val="00835B24"/>
    <w:rsid w:val="00835E7A"/>
    <w:rsid w:val="008361BC"/>
    <w:rsid w:val="008365F6"/>
    <w:rsid w:val="008365F7"/>
    <w:rsid w:val="00836A08"/>
    <w:rsid w:val="00836A55"/>
    <w:rsid w:val="00837385"/>
    <w:rsid w:val="0083757C"/>
    <w:rsid w:val="00837795"/>
    <w:rsid w:val="008377C7"/>
    <w:rsid w:val="00837A66"/>
    <w:rsid w:val="0084001A"/>
    <w:rsid w:val="0084005F"/>
    <w:rsid w:val="0084052C"/>
    <w:rsid w:val="008405B4"/>
    <w:rsid w:val="008406DF"/>
    <w:rsid w:val="00841142"/>
    <w:rsid w:val="008412F8"/>
    <w:rsid w:val="0084186D"/>
    <w:rsid w:val="00842354"/>
    <w:rsid w:val="00842414"/>
    <w:rsid w:val="0084283A"/>
    <w:rsid w:val="008429CE"/>
    <w:rsid w:val="00842FB7"/>
    <w:rsid w:val="008431C6"/>
    <w:rsid w:val="00843380"/>
    <w:rsid w:val="0084361E"/>
    <w:rsid w:val="008437CC"/>
    <w:rsid w:val="00843CC5"/>
    <w:rsid w:val="00843CEE"/>
    <w:rsid w:val="00844034"/>
    <w:rsid w:val="0084441E"/>
    <w:rsid w:val="008446B8"/>
    <w:rsid w:val="008447DB"/>
    <w:rsid w:val="00844B9D"/>
    <w:rsid w:val="00845688"/>
    <w:rsid w:val="00845C7E"/>
    <w:rsid w:val="008463BD"/>
    <w:rsid w:val="00846724"/>
    <w:rsid w:val="008467A0"/>
    <w:rsid w:val="00846E7C"/>
    <w:rsid w:val="00846EA4"/>
    <w:rsid w:val="00846EB0"/>
    <w:rsid w:val="00847037"/>
    <w:rsid w:val="0084748B"/>
    <w:rsid w:val="008474E6"/>
    <w:rsid w:val="00847CC3"/>
    <w:rsid w:val="00847D43"/>
    <w:rsid w:val="008504A8"/>
    <w:rsid w:val="00850866"/>
    <w:rsid w:val="00850AE0"/>
    <w:rsid w:val="00850C5F"/>
    <w:rsid w:val="00850CD8"/>
    <w:rsid w:val="008510D3"/>
    <w:rsid w:val="00851440"/>
    <w:rsid w:val="008514C4"/>
    <w:rsid w:val="008517CB"/>
    <w:rsid w:val="008517E8"/>
    <w:rsid w:val="00851856"/>
    <w:rsid w:val="00851968"/>
    <w:rsid w:val="008519D8"/>
    <w:rsid w:val="00851E58"/>
    <w:rsid w:val="00852BBE"/>
    <w:rsid w:val="00852D57"/>
    <w:rsid w:val="00852FE7"/>
    <w:rsid w:val="008533B5"/>
    <w:rsid w:val="008538F0"/>
    <w:rsid w:val="00853DF5"/>
    <w:rsid w:val="008542B9"/>
    <w:rsid w:val="008542BC"/>
    <w:rsid w:val="00854956"/>
    <w:rsid w:val="00854EB9"/>
    <w:rsid w:val="0085512F"/>
    <w:rsid w:val="008551F7"/>
    <w:rsid w:val="008559BD"/>
    <w:rsid w:val="00855A35"/>
    <w:rsid w:val="008560B5"/>
    <w:rsid w:val="008560E8"/>
    <w:rsid w:val="008562CE"/>
    <w:rsid w:val="008569D2"/>
    <w:rsid w:val="00856B3D"/>
    <w:rsid w:val="00856C9C"/>
    <w:rsid w:val="00856FF8"/>
    <w:rsid w:val="0085704C"/>
    <w:rsid w:val="00857179"/>
    <w:rsid w:val="008571F0"/>
    <w:rsid w:val="00857269"/>
    <w:rsid w:val="008578B5"/>
    <w:rsid w:val="00860066"/>
    <w:rsid w:val="00860812"/>
    <w:rsid w:val="00861919"/>
    <w:rsid w:val="00861C0D"/>
    <w:rsid w:val="00861DB0"/>
    <w:rsid w:val="00862670"/>
    <w:rsid w:val="00862715"/>
    <w:rsid w:val="00862A02"/>
    <w:rsid w:val="00862BE1"/>
    <w:rsid w:val="00862FAC"/>
    <w:rsid w:val="008636C4"/>
    <w:rsid w:val="00863B1B"/>
    <w:rsid w:val="008640FE"/>
    <w:rsid w:val="00864264"/>
    <w:rsid w:val="0086431B"/>
    <w:rsid w:val="0086477F"/>
    <w:rsid w:val="00865435"/>
    <w:rsid w:val="008654D9"/>
    <w:rsid w:val="00865572"/>
    <w:rsid w:val="008656F9"/>
    <w:rsid w:val="00865C75"/>
    <w:rsid w:val="00866201"/>
    <w:rsid w:val="008664FB"/>
    <w:rsid w:val="00867152"/>
    <w:rsid w:val="00867444"/>
    <w:rsid w:val="00867C99"/>
    <w:rsid w:val="008701B2"/>
    <w:rsid w:val="008705B7"/>
    <w:rsid w:val="00870905"/>
    <w:rsid w:val="00870B9A"/>
    <w:rsid w:val="00870D4C"/>
    <w:rsid w:val="0087171F"/>
    <w:rsid w:val="0087187E"/>
    <w:rsid w:val="00871916"/>
    <w:rsid w:val="00871BD9"/>
    <w:rsid w:val="00871CA2"/>
    <w:rsid w:val="008722B2"/>
    <w:rsid w:val="00872386"/>
    <w:rsid w:val="008723FB"/>
    <w:rsid w:val="0087246D"/>
    <w:rsid w:val="00872A9A"/>
    <w:rsid w:val="00872AF1"/>
    <w:rsid w:val="00872D12"/>
    <w:rsid w:val="00872D8A"/>
    <w:rsid w:val="00872EA7"/>
    <w:rsid w:val="008733BE"/>
    <w:rsid w:val="00873599"/>
    <w:rsid w:val="00874497"/>
    <w:rsid w:val="008744ED"/>
    <w:rsid w:val="00875016"/>
    <w:rsid w:val="008752F7"/>
    <w:rsid w:val="00876161"/>
    <w:rsid w:val="00876411"/>
    <w:rsid w:val="0087668E"/>
    <w:rsid w:val="0087698C"/>
    <w:rsid w:val="00876CB5"/>
    <w:rsid w:val="00876CC8"/>
    <w:rsid w:val="00877227"/>
    <w:rsid w:val="00877672"/>
    <w:rsid w:val="00877CAA"/>
    <w:rsid w:val="0088010C"/>
    <w:rsid w:val="008802C9"/>
    <w:rsid w:val="00880511"/>
    <w:rsid w:val="00880519"/>
    <w:rsid w:val="008809EF"/>
    <w:rsid w:val="00881999"/>
    <w:rsid w:val="00881ED4"/>
    <w:rsid w:val="00882191"/>
    <w:rsid w:val="008821D9"/>
    <w:rsid w:val="00882465"/>
    <w:rsid w:val="0088287A"/>
    <w:rsid w:val="0088290C"/>
    <w:rsid w:val="00882F18"/>
    <w:rsid w:val="008839C0"/>
    <w:rsid w:val="008840F5"/>
    <w:rsid w:val="00884493"/>
    <w:rsid w:val="00884EDF"/>
    <w:rsid w:val="00885084"/>
    <w:rsid w:val="0088528C"/>
    <w:rsid w:val="008861D5"/>
    <w:rsid w:val="00886290"/>
    <w:rsid w:val="008865C3"/>
    <w:rsid w:val="008866A7"/>
    <w:rsid w:val="0088672E"/>
    <w:rsid w:val="00886985"/>
    <w:rsid w:val="008869C8"/>
    <w:rsid w:val="00886AEB"/>
    <w:rsid w:val="00886C37"/>
    <w:rsid w:val="00886D93"/>
    <w:rsid w:val="00887008"/>
    <w:rsid w:val="0088749F"/>
    <w:rsid w:val="00887561"/>
    <w:rsid w:val="008877F6"/>
    <w:rsid w:val="00887DBB"/>
    <w:rsid w:val="00890069"/>
    <w:rsid w:val="008900FC"/>
    <w:rsid w:val="0089065D"/>
    <w:rsid w:val="0089076B"/>
    <w:rsid w:val="00890A94"/>
    <w:rsid w:val="008910B3"/>
    <w:rsid w:val="0089112C"/>
    <w:rsid w:val="0089159C"/>
    <w:rsid w:val="00891EBA"/>
    <w:rsid w:val="008920AF"/>
    <w:rsid w:val="008920DF"/>
    <w:rsid w:val="00892816"/>
    <w:rsid w:val="0089294A"/>
    <w:rsid w:val="008929D4"/>
    <w:rsid w:val="00892F6F"/>
    <w:rsid w:val="00893004"/>
    <w:rsid w:val="0089307D"/>
    <w:rsid w:val="00893515"/>
    <w:rsid w:val="008936CE"/>
    <w:rsid w:val="00893953"/>
    <w:rsid w:val="00893A2D"/>
    <w:rsid w:val="00893C90"/>
    <w:rsid w:val="00893D51"/>
    <w:rsid w:val="00893E90"/>
    <w:rsid w:val="00894024"/>
    <w:rsid w:val="00894868"/>
    <w:rsid w:val="008949DF"/>
    <w:rsid w:val="00894A34"/>
    <w:rsid w:val="00894CD1"/>
    <w:rsid w:val="008956FF"/>
    <w:rsid w:val="00895724"/>
    <w:rsid w:val="00896294"/>
    <w:rsid w:val="008965E7"/>
    <w:rsid w:val="00896886"/>
    <w:rsid w:val="00896B20"/>
    <w:rsid w:val="00896EB2"/>
    <w:rsid w:val="008975F9"/>
    <w:rsid w:val="00897660"/>
    <w:rsid w:val="0089779B"/>
    <w:rsid w:val="00897826"/>
    <w:rsid w:val="00897832"/>
    <w:rsid w:val="00897E2E"/>
    <w:rsid w:val="00897EB3"/>
    <w:rsid w:val="008A0071"/>
    <w:rsid w:val="008A00F7"/>
    <w:rsid w:val="008A0183"/>
    <w:rsid w:val="008A0430"/>
    <w:rsid w:val="008A0566"/>
    <w:rsid w:val="008A1645"/>
    <w:rsid w:val="008A2120"/>
    <w:rsid w:val="008A224C"/>
    <w:rsid w:val="008A2367"/>
    <w:rsid w:val="008A24A9"/>
    <w:rsid w:val="008A24D5"/>
    <w:rsid w:val="008A2B84"/>
    <w:rsid w:val="008A2BA9"/>
    <w:rsid w:val="008A2BED"/>
    <w:rsid w:val="008A2CA1"/>
    <w:rsid w:val="008A3093"/>
    <w:rsid w:val="008A3256"/>
    <w:rsid w:val="008A3601"/>
    <w:rsid w:val="008A3F71"/>
    <w:rsid w:val="008A4329"/>
    <w:rsid w:val="008A4793"/>
    <w:rsid w:val="008A4B57"/>
    <w:rsid w:val="008A4C24"/>
    <w:rsid w:val="008A4E3E"/>
    <w:rsid w:val="008A526C"/>
    <w:rsid w:val="008A5354"/>
    <w:rsid w:val="008A54A5"/>
    <w:rsid w:val="008A5BAB"/>
    <w:rsid w:val="008A6178"/>
    <w:rsid w:val="008A61CF"/>
    <w:rsid w:val="008A6228"/>
    <w:rsid w:val="008A64CF"/>
    <w:rsid w:val="008A67AC"/>
    <w:rsid w:val="008A6A02"/>
    <w:rsid w:val="008A6B6C"/>
    <w:rsid w:val="008A78DF"/>
    <w:rsid w:val="008A7BDF"/>
    <w:rsid w:val="008A7EFB"/>
    <w:rsid w:val="008A7F03"/>
    <w:rsid w:val="008B00C8"/>
    <w:rsid w:val="008B02E0"/>
    <w:rsid w:val="008B0748"/>
    <w:rsid w:val="008B0BDB"/>
    <w:rsid w:val="008B14D3"/>
    <w:rsid w:val="008B2064"/>
    <w:rsid w:val="008B217E"/>
    <w:rsid w:val="008B2D85"/>
    <w:rsid w:val="008B340F"/>
    <w:rsid w:val="008B3569"/>
    <w:rsid w:val="008B3598"/>
    <w:rsid w:val="008B3888"/>
    <w:rsid w:val="008B3B87"/>
    <w:rsid w:val="008B3DBD"/>
    <w:rsid w:val="008B4188"/>
    <w:rsid w:val="008B4C5B"/>
    <w:rsid w:val="008B4D10"/>
    <w:rsid w:val="008B5489"/>
    <w:rsid w:val="008B5595"/>
    <w:rsid w:val="008B6002"/>
    <w:rsid w:val="008B68B1"/>
    <w:rsid w:val="008B6D8C"/>
    <w:rsid w:val="008B7038"/>
    <w:rsid w:val="008B7214"/>
    <w:rsid w:val="008B7632"/>
    <w:rsid w:val="008C0007"/>
    <w:rsid w:val="008C08C1"/>
    <w:rsid w:val="008C0B63"/>
    <w:rsid w:val="008C0BDA"/>
    <w:rsid w:val="008C0EEB"/>
    <w:rsid w:val="008C188A"/>
    <w:rsid w:val="008C1ABA"/>
    <w:rsid w:val="008C2482"/>
    <w:rsid w:val="008C24DD"/>
    <w:rsid w:val="008C2600"/>
    <w:rsid w:val="008C2653"/>
    <w:rsid w:val="008C2965"/>
    <w:rsid w:val="008C2F2E"/>
    <w:rsid w:val="008C351F"/>
    <w:rsid w:val="008C395E"/>
    <w:rsid w:val="008C3B0E"/>
    <w:rsid w:val="008C4168"/>
    <w:rsid w:val="008C43DA"/>
    <w:rsid w:val="008C48B0"/>
    <w:rsid w:val="008C4950"/>
    <w:rsid w:val="008C4CD6"/>
    <w:rsid w:val="008C4FD2"/>
    <w:rsid w:val="008C5164"/>
    <w:rsid w:val="008C52C1"/>
    <w:rsid w:val="008C6213"/>
    <w:rsid w:val="008C636E"/>
    <w:rsid w:val="008C6554"/>
    <w:rsid w:val="008D0426"/>
    <w:rsid w:val="008D09A9"/>
    <w:rsid w:val="008D0B61"/>
    <w:rsid w:val="008D0BBA"/>
    <w:rsid w:val="008D0D06"/>
    <w:rsid w:val="008D11B0"/>
    <w:rsid w:val="008D2030"/>
    <w:rsid w:val="008D20B4"/>
    <w:rsid w:val="008D20ED"/>
    <w:rsid w:val="008D284F"/>
    <w:rsid w:val="008D31B9"/>
    <w:rsid w:val="008D3238"/>
    <w:rsid w:val="008D342A"/>
    <w:rsid w:val="008D350E"/>
    <w:rsid w:val="008D39AD"/>
    <w:rsid w:val="008D3A00"/>
    <w:rsid w:val="008D3BEA"/>
    <w:rsid w:val="008D44B2"/>
    <w:rsid w:val="008D4816"/>
    <w:rsid w:val="008D5403"/>
    <w:rsid w:val="008D5758"/>
    <w:rsid w:val="008D5C57"/>
    <w:rsid w:val="008D64AF"/>
    <w:rsid w:val="008D675D"/>
    <w:rsid w:val="008D6804"/>
    <w:rsid w:val="008D69D6"/>
    <w:rsid w:val="008D6D81"/>
    <w:rsid w:val="008D6FFE"/>
    <w:rsid w:val="008D77D5"/>
    <w:rsid w:val="008D7994"/>
    <w:rsid w:val="008D7BE3"/>
    <w:rsid w:val="008D7CF5"/>
    <w:rsid w:val="008E1452"/>
    <w:rsid w:val="008E16B3"/>
    <w:rsid w:val="008E180F"/>
    <w:rsid w:val="008E20A6"/>
    <w:rsid w:val="008E2408"/>
    <w:rsid w:val="008E27DC"/>
    <w:rsid w:val="008E2BF4"/>
    <w:rsid w:val="008E2E35"/>
    <w:rsid w:val="008E2F06"/>
    <w:rsid w:val="008E3284"/>
    <w:rsid w:val="008E3379"/>
    <w:rsid w:val="008E3624"/>
    <w:rsid w:val="008E3AA0"/>
    <w:rsid w:val="008E3D86"/>
    <w:rsid w:val="008E40D0"/>
    <w:rsid w:val="008E42ED"/>
    <w:rsid w:val="008E433B"/>
    <w:rsid w:val="008E443D"/>
    <w:rsid w:val="008E448D"/>
    <w:rsid w:val="008E47DE"/>
    <w:rsid w:val="008E4847"/>
    <w:rsid w:val="008E484D"/>
    <w:rsid w:val="008E48CB"/>
    <w:rsid w:val="008E49E0"/>
    <w:rsid w:val="008E504B"/>
    <w:rsid w:val="008E52A8"/>
    <w:rsid w:val="008E5A36"/>
    <w:rsid w:val="008E5AC2"/>
    <w:rsid w:val="008E6209"/>
    <w:rsid w:val="008E650E"/>
    <w:rsid w:val="008E6791"/>
    <w:rsid w:val="008E6951"/>
    <w:rsid w:val="008E6AB5"/>
    <w:rsid w:val="008E6AE8"/>
    <w:rsid w:val="008E779B"/>
    <w:rsid w:val="008F001A"/>
    <w:rsid w:val="008F0154"/>
    <w:rsid w:val="008F05DC"/>
    <w:rsid w:val="008F068E"/>
    <w:rsid w:val="008F07E9"/>
    <w:rsid w:val="008F09E0"/>
    <w:rsid w:val="008F1572"/>
    <w:rsid w:val="008F1592"/>
    <w:rsid w:val="008F20BB"/>
    <w:rsid w:val="008F22E9"/>
    <w:rsid w:val="008F285D"/>
    <w:rsid w:val="008F2A23"/>
    <w:rsid w:val="008F2A61"/>
    <w:rsid w:val="008F2AF8"/>
    <w:rsid w:val="008F2C2E"/>
    <w:rsid w:val="008F2E8A"/>
    <w:rsid w:val="008F2FF2"/>
    <w:rsid w:val="008F3225"/>
    <w:rsid w:val="008F3C83"/>
    <w:rsid w:val="008F3EC6"/>
    <w:rsid w:val="008F3EE6"/>
    <w:rsid w:val="008F3F62"/>
    <w:rsid w:val="008F436A"/>
    <w:rsid w:val="008F45BD"/>
    <w:rsid w:val="008F4602"/>
    <w:rsid w:val="008F46D3"/>
    <w:rsid w:val="008F4CA1"/>
    <w:rsid w:val="008F4EA0"/>
    <w:rsid w:val="008F5395"/>
    <w:rsid w:val="008F56E2"/>
    <w:rsid w:val="008F5706"/>
    <w:rsid w:val="008F591F"/>
    <w:rsid w:val="008F59C0"/>
    <w:rsid w:val="008F5A25"/>
    <w:rsid w:val="008F5A3E"/>
    <w:rsid w:val="008F5DB1"/>
    <w:rsid w:val="008F5EAC"/>
    <w:rsid w:val="008F5F45"/>
    <w:rsid w:val="008F617E"/>
    <w:rsid w:val="008F61DF"/>
    <w:rsid w:val="008F64D8"/>
    <w:rsid w:val="008F67C9"/>
    <w:rsid w:val="008F68F1"/>
    <w:rsid w:val="008F6C37"/>
    <w:rsid w:val="008F6CDB"/>
    <w:rsid w:val="008F6EAF"/>
    <w:rsid w:val="008F700B"/>
    <w:rsid w:val="008F73CF"/>
    <w:rsid w:val="008F756B"/>
    <w:rsid w:val="008F75D6"/>
    <w:rsid w:val="008F7BDA"/>
    <w:rsid w:val="008F7DE1"/>
    <w:rsid w:val="008F7FE3"/>
    <w:rsid w:val="0090086F"/>
    <w:rsid w:val="00900A6C"/>
    <w:rsid w:val="00900D71"/>
    <w:rsid w:val="00900FA7"/>
    <w:rsid w:val="00900FE1"/>
    <w:rsid w:val="00901100"/>
    <w:rsid w:val="0090129F"/>
    <w:rsid w:val="009018B1"/>
    <w:rsid w:val="00901E8B"/>
    <w:rsid w:val="00901F60"/>
    <w:rsid w:val="00902237"/>
    <w:rsid w:val="009022C3"/>
    <w:rsid w:val="009023D6"/>
    <w:rsid w:val="009024E9"/>
    <w:rsid w:val="009024EA"/>
    <w:rsid w:val="00902AC9"/>
    <w:rsid w:val="00902C42"/>
    <w:rsid w:val="00903140"/>
    <w:rsid w:val="00903705"/>
    <w:rsid w:val="00903C0C"/>
    <w:rsid w:val="00903CDE"/>
    <w:rsid w:val="00903FB6"/>
    <w:rsid w:val="00904240"/>
    <w:rsid w:val="00904448"/>
    <w:rsid w:val="009044FB"/>
    <w:rsid w:val="00904801"/>
    <w:rsid w:val="0090480B"/>
    <w:rsid w:val="00904A1E"/>
    <w:rsid w:val="00904D5B"/>
    <w:rsid w:val="00904F67"/>
    <w:rsid w:val="00904FEA"/>
    <w:rsid w:val="009053CE"/>
    <w:rsid w:val="009059FB"/>
    <w:rsid w:val="00905DC5"/>
    <w:rsid w:val="00905E41"/>
    <w:rsid w:val="009060F5"/>
    <w:rsid w:val="0090613E"/>
    <w:rsid w:val="009062C6"/>
    <w:rsid w:val="009065F2"/>
    <w:rsid w:val="009066B9"/>
    <w:rsid w:val="0090692C"/>
    <w:rsid w:val="00906A69"/>
    <w:rsid w:val="00906A9D"/>
    <w:rsid w:val="00906B58"/>
    <w:rsid w:val="00906F19"/>
    <w:rsid w:val="0090770E"/>
    <w:rsid w:val="0090789A"/>
    <w:rsid w:val="00907C42"/>
    <w:rsid w:val="00907EE8"/>
    <w:rsid w:val="00910F31"/>
    <w:rsid w:val="00910F63"/>
    <w:rsid w:val="0091161E"/>
    <w:rsid w:val="0091170F"/>
    <w:rsid w:val="00911B99"/>
    <w:rsid w:val="009125BE"/>
    <w:rsid w:val="00912D1B"/>
    <w:rsid w:val="009134B7"/>
    <w:rsid w:val="00913653"/>
    <w:rsid w:val="00913E08"/>
    <w:rsid w:val="00913EB7"/>
    <w:rsid w:val="0091413F"/>
    <w:rsid w:val="009146C0"/>
    <w:rsid w:val="00914779"/>
    <w:rsid w:val="0091485A"/>
    <w:rsid w:val="009149EF"/>
    <w:rsid w:val="00915137"/>
    <w:rsid w:val="00915798"/>
    <w:rsid w:val="00915F16"/>
    <w:rsid w:val="00915F87"/>
    <w:rsid w:val="00916669"/>
    <w:rsid w:val="00916DAC"/>
    <w:rsid w:val="00916E1D"/>
    <w:rsid w:val="00916F25"/>
    <w:rsid w:val="009179CB"/>
    <w:rsid w:val="00917D6A"/>
    <w:rsid w:val="00917EA7"/>
    <w:rsid w:val="0092045E"/>
    <w:rsid w:val="009204EE"/>
    <w:rsid w:val="0092080F"/>
    <w:rsid w:val="0092093D"/>
    <w:rsid w:val="00920FF9"/>
    <w:rsid w:val="0092108D"/>
    <w:rsid w:val="00921536"/>
    <w:rsid w:val="00921F49"/>
    <w:rsid w:val="00921FD6"/>
    <w:rsid w:val="00922523"/>
    <w:rsid w:val="00922A09"/>
    <w:rsid w:val="00922ED6"/>
    <w:rsid w:val="009230E8"/>
    <w:rsid w:val="00923793"/>
    <w:rsid w:val="009238BB"/>
    <w:rsid w:val="00923972"/>
    <w:rsid w:val="00925202"/>
    <w:rsid w:val="00925554"/>
    <w:rsid w:val="0092555C"/>
    <w:rsid w:val="00925849"/>
    <w:rsid w:val="0092591B"/>
    <w:rsid w:val="00925EB1"/>
    <w:rsid w:val="00926067"/>
    <w:rsid w:val="00926544"/>
    <w:rsid w:val="00926846"/>
    <w:rsid w:val="00926CB8"/>
    <w:rsid w:val="00927871"/>
    <w:rsid w:val="00927C06"/>
    <w:rsid w:val="00927C3B"/>
    <w:rsid w:val="00927DD5"/>
    <w:rsid w:val="00927F88"/>
    <w:rsid w:val="00930021"/>
    <w:rsid w:val="0093019D"/>
    <w:rsid w:val="00930521"/>
    <w:rsid w:val="009308A0"/>
    <w:rsid w:val="009314C8"/>
    <w:rsid w:val="009316C8"/>
    <w:rsid w:val="009319AE"/>
    <w:rsid w:val="00931AC4"/>
    <w:rsid w:val="00931BB2"/>
    <w:rsid w:val="00931E3D"/>
    <w:rsid w:val="00932254"/>
    <w:rsid w:val="00932D34"/>
    <w:rsid w:val="009330EB"/>
    <w:rsid w:val="00933113"/>
    <w:rsid w:val="009334F7"/>
    <w:rsid w:val="00933702"/>
    <w:rsid w:val="0093392F"/>
    <w:rsid w:val="00933B36"/>
    <w:rsid w:val="00933D01"/>
    <w:rsid w:val="0093469E"/>
    <w:rsid w:val="00934C81"/>
    <w:rsid w:val="00934CB9"/>
    <w:rsid w:val="009350C3"/>
    <w:rsid w:val="009352CD"/>
    <w:rsid w:val="009353C9"/>
    <w:rsid w:val="009353CE"/>
    <w:rsid w:val="009355F9"/>
    <w:rsid w:val="00936164"/>
    <w:rsid w:val="009364C4"/>
    <w:rsid w:val="00936CF4"/>
    <w:rsid w:val="00936E56"/>
    <w:rsid w:val="009374D0"/>
    <w:rsid w:val="00937BE3"/>
    <w:rsid w:val="00937CFE"/>
    <w:rsid w:val="00937D2B"/>
    <w:rsid w:val="00937DE0"/>
    <w:rsid w:val="00937E65"/>
    <w:rsid w:val="00940448"/>
    <w:rsid w:val="00941044"/>
    <w:rsid w:val="00941171"/>
    <w:rsid w:val="009411B9"/>
    <w:rsid w:val="00941602"/>
    <w:rsid w:val="00941660"/>
    <w:rsid w:val="00941BAC"/>
    <w:rsid w:val="009426D3"/>
    <w:rsid w:val="00942729"/>
    <w:rsid w:val="00942815"/>
    <w:rsid w:val="00942882"/>
    <w:rsid w:val="00942894"/>
    <w:rsid w:val="00942ABE"/>
    <w:rsid w:val="00942E8E"/>
    <w:rsid w:val="00942F26"/>
    <w:rsid w:val="00944683"/>
    <w:rsid w:val="00944875"/>
    <w:rsid w:val="00944E97"/>
    <w:rsid w:val="00946A2E"/>
    <w:rsid w:val="00946EDB"/>
    <w:rsid w:val="00947513"/>
    <w:rsid w:val="00947975"/>
    <w:rsid w:val="009479BB"/>
    <w:rsid w:val="00947FD5"/>
    <w:rsid w:val="009500BB"/>
    <w:rsid w:val="00950211"/>
    <w:rsid w:val="00950212"/>
    <w:rsid w:val="009509B4"/>
    <w:rsid w:val="00951426"/>
    <w:rsid w:val="009518E0"/>
    <w:rsid w:val="00951A7D"/>
    <w:rsid w:val="009525A6"/>
    <w:rsid w:val="00952700"/>
    <w:rsid w:val="0095289A"/>
    <w:rsid w:val="009529E8"/>
    <w:rsid w:val="00952A10"/>
    <w:rsid w:val="00953523"/>
    <w:rsid w:val="00953A7F"/>
    <w:rsid w:val="00953C0C"/>
    <w:rsid w:val="00954143"/>
    <w:rsid w:val="0095438E"/>
    <w:rsid w:val="00954621"/>
    <w:rsid w:val="00954624"/>
    <w:rsid w:val="0095470C"/>
    <w:rsid w:val="009549A5"/>
    <w:rsid w:val="009550F3"/>
    <w:rsid w:val="0095541C"/>
    <w:rsid w:val="00955F83"/>
    <w:rsid w:val="00956C9A"/>
    <w:rsid w:val="00957026"/>
    <w:rsid w:val="009573A2"/>
    <w:rsid w:val="00957465"/>
    <w:rsid w:val="00957818"/>
    <w:rsid w:val="00957FB4"/>
    <w:rsid w:val="009602EE"/>
    <w:rsid w:val="0096086D"/>
    <w:rsid w:val="009608E9"/>
    <w:rsid w:val="00960993"/>
    <w:rsid w:val="009614E5"/>
    <w:rsid w:val="00961708"/>
    <w:rsid w:val="00961E0D"/>
    <w:rsid w:val="009623ED"/>
    <w:rsid w:val="009624CA"/>
    <w:rsid w:val="0096269A"/>
    <w:rsid w:val="0096297F"/>
    <w:rsid w:val="00962A22"/>
    <w:rsid w:val="00962B00"/>
    <w:rsid w:val="00962E99"/>
    <w:rsid w:val="00962F81"/>
    <w:rsid w:val="0096338D"/>
    <w:rsid w:val="00963C35"/>
    <w:rsid w:val="00964700"/>
    <w:rsid w:val="00964745"/>
    <w:rsid w:val="00964D4B"/>
    <w:rsid w:val="00964DAF"/>
    <w:rsid w:val="009650F5"/>
    <w:rsid w:val="00965270"/>
    <w:rsid w:val="00965664"/>
    <w:rsid w:val="00965925"/>
    <w:rsid w:val="00965AA0"/>
    <w:rsid w:val="00966281"/>
    <w:rsid w:val="0096658C"/>
    <w:rsid w:val="009667BE"/>
    <w:rsid w:val="00966B5D"/>
    <w:rsid w:val="00966C93"/>
    <w:rsid w:val="00966CCC"/>
    <w:rsid w:val="00966D7C"/>
    <w:rsid w:val="00967854"/>
    <w:rsid w:val="00967896"/>
    <w:rsid w:val="00967961"/>
    <w:rsid w:val="00967DEC"/>
    <w:rsid w:val="009702A8"/>
    <w:rsid w:val="00970554"/>
    <w:rsid w:val="00970C87"/>
    <w:rsid w:val="00970F1C"/>
    <w:rsid w:val="00970F55"/>
    <w:rsid w:val="00971479"/>
    <w:rsid w:val="009719F9"/>
    <w:rsid w:val="00971D3C"/>
    <w:rsid w:val="00971FB1"/>
    <w:rsid w:val="00972160"/>
    <w:rsid w:val="00972259"/>
    <w:rsid w:val="00972710"/>
    <w:rsid w:val="00972CE6"/>
    <w:rsid w:val="00973E89"/>
    <w:rsid w:val="00973EDB"/>
    <w:rsid w:val="009749FC"/>
    <w:rsid w:val="00974CE9"/>
    <w:rsid w:val="009756D5"/>
    <w:rsid w:val="0097635E"/>
    <w:rsid w:val="009763D4"/>
    <w:rsid w:val="0097665E"/>
    <w:rsid w:val="009766C9"/>
    <w:rsid w:val="009775FD"/>
    <w:rsid w:val="009776BE"/>
    <w:rsid w:val="0098014A"/>
    <w:rsid w:val="00981266"/>
    <w:rsid w:val="0098193A"/>
    <w:rsid w:val="009827F1"/>
    <w:rsid w:val="00983230"/>
    <w:rsid w:val="0098387F"/>
    <w:rsid w:val="009838C0"/>
    <w:rsid w:val="00983BE5"/>
    <w:rsid w:val="00983CBB"/>
    <w:rsid w:val="00983D1F"/>
    <w:rsid w:val="0098418E"/>
    <w:rsid w:val="0098459A"/>
    <w:rsid w:val="00984B72"/>
    <w:rsid w:val="0098553A"/>
    <w:rsid w:val="00985661"/>
    <w:rsid w:val="009859B1"/>
    <w:rsid w:val="009860E4"/>
    <w:rsid w:val="00986A7B"/>
    <w:rsid w:val="00986DF5"/>
    <w:rsid w:val="00986F43"/>
    <w:rsid w:val="00987DA8"/>
    <w:rsid w:val="009903CF"/>
    <w:rsid w:val="00990581"/>
    <w:rsid w:val="009909CD"/>
    <w:rsid w:val="00990C79"/>
    <w:rsid w:val="00990FEA"/>
    <w:rsid w:val="009911A6"/>
    <w:rsid w:val="009912E7"/>
    <w:rsid w:val="009914BA"/>
    <w:rsid w:val="00991854"/>
    <w:rsid w:val="0099278B"/>
    <w:rsid w:val="00992C66"/>
    <w:rsid w:val="00992EBE"/>
    <w:rsid w:val="00993096"/>
    <w:rsid w:val="009931A7"/>
    <w:rsid w:val="00993683"/>
    <w:rsid w:val="00993A32"/>
    <w:rsid w:val="00993EDB"/>
    <w:rsid w:val="00994163"/>
    <w:rsid w:val="00994C8B"/>
    <w:rsid w:val="009954CC"/>
    <w:rsid w:val="00995882"/>
    <w:rsid w:val="00995D76"/>
    <w:rsid w:val="0099627A"/>
    <w:rsid w:val="0099636E"/>
    <w:rsid w:val="0099681B"/>
    <w:rsid w:val="00996FFB"/>
    <w:rsid w:val="0099722F"/>
    <w:rsid w:val="00997308"/>
    <w:rsid w:val="009976B2"/>
    <w:rsid w:val="00997B53"/>
    <w:rsid w:val="00997F53"/>
    <w:rsid w:val="009A04FA"/>
    <w:rsid w:val="009A05E1"/>
    <w:rsid w:val="009A066A"/>
    <w:rsid w:val="009A08D3"/>
    <w:rsid w:val="009A0AC9"/>
    <w:rsid w:val="009A0DCD"/>
    <w:rsid w:val="009A12AD"/>
    <w:rsid w:val="009A16F4"/>
    <w:rsid w:val="009A1D0B"/>
    <w:rsid w:val="009A27C1"/>
    <w:rsid w:val="009A2BAE"/>
    <w:rsid w:val="009A2DC1"/>
    <w:rsid w:val="009A2DD4"/>
    <w:rsid w:val="009A32D1"/>
    <w:rsid w:val="009A354A"/>
    <w:rsid w:val="009A36FF"/>
    <w:rsid w:val="009A3978"/>
    <w:rsid w:val="009A3A67"/>
    <w:rsid w:val="009A3ADE"/>
    <w:rsid w:val="009A3B74"/>
    <w:rsid w:val="009A41B6"/>
    <w:rsid w:val="009A477D"/>
    <w:rsid w:val="009A4E44"/>
    <w:rsid w:val="009A4E52"/>
    <w:rsid w:val="009A586E"/>
    <w:rsid w:val="009A5F88"/>
    <w:rsid w:val="009A6325"/>
    <w:rsid w:val="009A6329"/>
    <w:rsid w:val="009A63D2"/>
    <w:rsid w:val="009A6619"/>
    <w:rsid w:val="009A6697"/>
    <w:rsid w:val="009A66DB"/>
    <w:rsid w:val="009A67C9"/>
    <w:rsid w:val="009A6CE3"/>
    <w:rsid w:val="009A6FC3"/>
    <w:rsid w:val="009A785F"/>
    <w:rsid w:val="009B08EA"/>
    <w:rsid w:val="009B0D98"/>
    <w:rsid w:val="009B11B2"/>
    <w:rsid w:val="009B1566"/>
    <w:rsid w:val="009B176C"/>
    <w:rsid w:val="009B1833"/>
    <w:rsid w:val="009B1840"/>
    <w:rsid w:val="009B19C6"/>
    <w:rsid w:val="009B1A76"/>
    <w:rsid w:val="009B1D8A"/>
    <w:rsid w:val="009B2013"/>
    <w:rsid w:val="009B21F4"/>
    <w:rsid w:val="009B2296"/>
    <w:rsid w:val="009B2649"/>
    <w:rsid w:val="009B29A6"/>
    <w:rsid w:val="009B2A2E"/>
    <w:rsid w:val="009B301A"/>
    <w:rsid w:val="009B322B"/>
    <w:rsid w:val="009B39F5"/>
    <w:rsid w:val="009B3D64"/>
    <w:rsid w:val="009B4331"/>
    <w:rsid w:val="009B4897"/>
    <w:rsid w:val="009B48A1"/>
    <w:rsid w:val="009B4960"/>
    <w:rsid w:val="009B4C44"/>
    <w:rsid w:val="009B4F66"/>
    <w:rsid w:val="009B50E9"/>
    <w:rsid w:val="009B5693"/>
    <w:rsid w:val="009B63F0"/>
    <w:rsid w:val="009B6404"/>
    <w:rsid w:val="009B6A03"/>
    <w:rsid w:val="009B6E24"/>
    <w:rsid w:val="009B6EDB"/>
    <w:rsid w:val="009B7151"/>
    <w:rsid w:val="009B74DE"/>
    <w:rsid w:val="009B755E"/>
    <w:rsid w:val="009B7A44"/>
    <w:rsid w:val="009B7B00"/>
    <w:rsid w:val="009C006A"/>
    <w:rsid w:val="009C0233"/>
    <w:rsid w:val="009C033F"/>
    <w:rsid w:val="009C062C"/>
    <w:rsid w:val="009C0656"/>
    <w:rsid w:val="009C0808"/>
    <w:rsid w:val="009C0C91"/>
    <w:rsid w:val="009C0EC2"/>
    <w:rsid w:val="009C171C"/>
    <w:rsid w:val="009C1B12"/>
    <w:rsid w:val="009C1DC2"/>
    <w:rsid w:val="009C1EAB"/>
    <w:rsid w:val="009C1EF2"/>
    <w:rsid w:val="009C2172"/>
    <w:rsid w:val="009C2247"/>
    <w:rsid w:val="009C225D"/>
    <w:rsid w:val="009C24B4"/>
    <w:rsid w:val="009C25AE"/>
    <w:rsid w:val="009C2AB6"/>
    <w:rsid w:val="009C30A0"/>
    <w:rsid w:val="009C387F"/>
    <w:rsid w:val="009C388D"/>
    <w:rsid w:val="009C4340"/>
    <w:rsid w:val="009C527C"/>
    <w:rsid w:val="009C5820"/>
    <w:rsid w:val="009C5AEB"/>
    <w:rsid w:val="009C5E3D"/>
    <w:rsid w:val="009C6359"/>
    <w:rsid w:val="009C66E3"/>
    <w:rsid w:val="009C6C48"/>
    <w:rsid w:val="009C77B9"/>
    <w:rsid w:val="009C7930"/>
    <w:rsid w:val="009C7FE8"/>
    <w:rsid w:val="009D00EE"/>
    <w:rsid w:val="009D0A3C"/>
    <w:rsid w:val="009D0BC6"/>
    <w:rsid w:val="009D0D24"/>
    <w:rsid w:val="009D0EB4"/>
    <w:rsid w:val="009D1124"/>
    <w:rsid w:val="009D154D"/>
    <w:rsid w:val="009D1569"/>
    <w:rsid w:val="009D1BA6"/>
    <w:rsid w:val="009D1D59"/>
    <w:rsid w:val="009D1ED1"/>
    <w:rsid w:val="009D2040"/>
    <w:rsid w:val="009D20EC"/>
    <w:rsid w:val="009D2871"/>
    <w:rsid w:val="009D2926"/>
    <w:rsid w:val="009D2B08"/>
    <w:rsid w:val="009D2F36"/>
    <w:rsid w:val="009D2FEA"/>
    <w:rsid w:val="009D3013"/>
    <w:rsid w:val="009D341A"/>
    <w:rsid w:val="009D3767"/>
    <w:rsid w:val="009D3B14"/>
    <w:rsid w:val="009D41E9"/>
    <w:rsid w:val="009D43BC"/>
    <w:rsid w:val="009D4542"/>
    <w:rsid w:val="009D4A03"/>
    <w:rsid w:val="009D4B05"/>
    <w:rsid w:val="009D4C4E"/>
    <w:rsid w:val="009D5A70"/>
    <w:rsid w:val="009D5E01"/>
    <w:rsid w:val="009D632A"/>
    <w:rsid w:val="009D66F1"/>
    <w:rsid w:val="009D6BD8"/>
    <w:rsid w:val="009D6F6F"/>
    <w:rsid w:val="009D705F"/>
    <w:rsid w:val="009D7371"/>
    <w:rsid w:val="009D7950"/>
    <w:rsid w:val="009D79B7"/>
    <w:rsid w:val="009E0882"/>
    <w:rsid w:val="009E0BA6"/>
    <w:rsid w:val="009E0C97"/>
    <w:rsid w:val="009E0F43"/>
    <w:rsid w:val="009E1570"/>
    <w:rsid w:val="009E162A"/>
    <w:rsid w:val="009E1D6B"/>
    <w:rsid w:val="009E1FFF"/>
    <w:rsid w:val="009E22C5"/>
    <w:rsid w:val="009E231C"/>
    <w:rsid w:val="009E27E2"/>
    <w:rsid w:val="009E2D80"/>
    <w:rsid w:val="009E2DA1"/>
    <w:rsid w:val="009E2FAD"/>
    <w:rsid w:val="009E347A"/>
    <w:rsid w:val="009E3597"/>
    <w:rsid w:val="009E3B73"/>
    <w:rsid w:val="009E3C18"/>
    <w:rsid w:val="009E3DDA"/>
    <w:rsid w:val="009E3E92"/>
    <w:rsid w:val="009E4867"/>
    <w:rsid w:val="009E4D68"/>
    <w:rsid w:val="009E5957"/>
    <w:rsid w:val="009E5B97"/>
    <w:rsid w:val="009E5C0A"/>
    <w:rsid w:val="009E5E04"/>
    <w:rsid w:val="009E6081"/>
    <w:rsid w:val="009E6338"/>
    <w:rsid w:val="009E6EA4"/>
    <w:rsid w:val="009E7172"/>
    <w:rsid w:val="009E74E7"/>
    <w:rsid w:val="009E77A5"/>
    <w:rsid w:val="009F07F9"/>
    <w:rsid w:val="009F099C"/>
    <w:rsid w:val="009F11AB"/>
    <w:rsid w:val="009F1296"/>
    <w:rsid w:val="009F193A"/>
    <w:rsid w:val="009F1CE2"/>
    <w:rsid w:val="009F1DD0"/>
    <w:rsid w:val="009F2082"/>
    <w:rsid w:val="009F29BF"/>
    <w:rsid w:val="009F2C6E"/>
    <w:rsid w:val="009F32A9"/>
    <w:rsid w:val="009F3856"/>
    <w:rsid w:val="009F3878"/>
    <w:rsid w:val="009F3925"/>
    <w:rsid w:val="009F396F"/>
    <w:rsid w:val="009F3AEC"/>
    <w:rsid w:val="009F3C50"/>
    <w:rsid w:val="009F3DD2"/>
    <w:rsid w:val="009F40B3"/>
    <w:rsid w:val="009F4644"/>
    <w:rsid w:val="009F4696"/>
    <w:rsid w:val="009F4A15"/>
    <w:rsid w:val="009F4CF6"/>
    <w:rsid w:val="009F4EFF"/>
    <w:rsid w:val="009F573B"/>
    <w:rsid w:val="009F574E"/>
    <w:rsid w:val="009F5A41"/>
    <w:rsid w:val="009F5B28"/>
    <w:rsid w:val="009F5BDB"/>
    <w:rsid w:val="009F6D93"/>
    <w:rsid w:val="009F7654"/>
    <w:rsid w:val="009F76A7"/>
    <w:rsid w:val="009F7D2E"/>
    <w:rsid w:val="009F7FB7"/>
    <w:rsid w:val="009F7FDC"/>
    <w:rsid w:val="00A0018D"/>
    <w:rsid w:val="00A0042F"/>
    <w:rsid w:val="00A0056C"/>
    <w:rsid w:val="00A01113"/>
    <w:rsid w:val="00A01DF7"/>
    <w:rsid w:val="00A023B6"/>
    <w:rsid w:val="00A02643"/>
    <w:rsid w:val="00A02F62"/>
    <w:rsid w:val="00A03D3B"/>
    <w:rsid w:val="00A0452A"/>
    <w:rsid w:val="00A0487C"/>
    <w:rsid w:val="00A04E61"/>
    <w:rsid w:val="00A0515A"/>
    <w:rsid w:val="00A05551"/>
    <w:rsid w:val="00A05754"/>
    <w:rsid w:val="00A05A09"/>
    <w:rsid w:val="00A05A25"/>
    <w:rsid w:val="00A06E2B"/>
    <w:rsid w:val="00A06EDF"/>
    <w:rsid w:val="00A072DE"/>
    <w:rsid w:val="00A07711"/>
    <w:rsid w:val="00A07A8F"/>
    <w:rsid w:val="00A07B9E"/>
    <w:rsid w:val="00A07DCC"/>
    <w:rsid w:val="00A10075"/>
    <w:rsid w:val="00A100B0"/>
    <w:rsid w:val="00A10465"/>
    <w:rsid w:val="00A109DB"/>
    <w:rsid w:val="00A110BB"/>
    <w:rsid w:val="00A110F1"/>
    <w:rsid w:val="00A11247"/>
    <w:rsid w:val="00A114EB"/>
    <w:rsid w:val="00A116F5"/>
    <w:rsid w:val="00A11A5D"/>
    <w:rsid w:val="00A11AC2"/>
    <w:rsid w:val="00A11CC3"/>
    <w:rsid w:val="00A12356"/>
    <w:rsid w:val="00A124F5"/>
    <w:rsid w:val="00A12D19"/>
    <w:rsid w:val="00A12F80"/>
    <w:rsid w:val="00A13198"/>
    <w:rsid w:val="00A134C8"/>
    <w:rsid w:val="00A136A2"/>
    <w:rsid w:val="00A13DD2"/>
    <w:rsid w:val="00A13FFF"/>
    <w:rsid w:val="00A14083"/>
    <w:rsid w:val="00A1408A"/>
    <w:rsid w:val="00A1446C"/>
    <w:rsid w:val="00A146D9"/>
    <w:rsid w:val="00A148EB"/>
    <w:rsid w:val="00A15995"/>
    <w:rsid w:val="00A15BC1"/>
    <w:rsid w:val="00A161FF"/>
    <w:rsid w:val="00A163D4"/>
    <w:rsid w:val="00A1668E"/>
    <w:rsid w:val="00A169F3"/>
    <w:rsid w:val="00A16E0B"/>
    <w:rsid w:val="00A16F93"/>
    <w:rsid w:val="00A1742B"/>
    <w:rsid w:val="00A17716"/>
    <w:rsid w:val="00A179B9"/>
    <w:rsid w:val="00A17AA4"/>
    <w:rsid w:val="00A17D79"/>
    <w:rsid w:val="00A17DF1"/>
    <w:rsid w:val="00A17F10"/>
    <w:rsid w:val="00A201AD"/>
    <w:rsid w:val="00A20387"/>
    <w:rsid w:val="00A204D4"/>
    <w:rsid w:val="00A2056E"/>
    <w:rsid w:val="00A20933"/>
    <w:rsid w:val="00A210CD"/>
    <w:rsid w:val="00A21472"/>
    <w:rsid w:val="00A21C3F"/>
    <w:rsid w:val="00A22055"/>
    <w:rsid w:val="00A223BA"/>
    <w:rsid w:val="00A223F6"/>
    <w:rsid w:val="00A227A5"/>
    <w:rsid w:val="00A22B2B"/>
    <w:rsid w:val="00A22DDC"/>
    <w:rsid w:val="00A22F56"/>
    <w:rsid w:val="00A23048"/>
    <w:rsid w:val="00A2395D"/>
    <w:rsid w:val="00A23988"/>
    <w:rsid w:val="00A23BB1"/>
    <w:rsid w:val="00A241BC"/>
    <w:rsid w:val="00A24485"/>
    <w:rsid w:val="00A24AE9"/>
    <w:rsid w:val="00A25374"/>
    <w:rsid w:val="00A2541D"/>
    <w:rsid w:val="00A25471"/>
    <w:rsid w:val="00A25601"/>
    <w:rsid w:val="00A256DF"/>
    <w:rsid w:val="00A26807"/>
    <w:rsid w:val="00A26835"/>
    <w:rsid w:val="00A26D79"/>
    <w:rsid w:val="00A26DF5"/>
    <w:rsid w:val="00A26E60"/>
    <w:rsid w:val="00A2717E"/>
    <w:rsid w:val="00A271C3"/>
    <w:rsid w:val="00A27395"/>
    <w:rsid w:val="00A27749"/>
    <w:rsid w:val="00A27A5E"/>
    <w:rsid w:val="00A27B9F"/>
    <w:rsid w:val="00A27BF7"/>
    <w:rsid w:val="00A27C30"/>
    <w:rsid w:val="00A303C2"/>
    <w:rsid w:val="00A307CA"/>
    <w:rsid w:val="00A30803"/>
    <w:rsid w:val="00A30A15"/>
    <w:rsid w:val="00A30C90"/>
    <w:rsid w:val="00A30CE5"/>
    <w:rsid w:val="00A30CFA"/>
    <w:rsid w:val="00A31FAC"/>
    <w:rsid w:val="00A32035"/>
    <w:rsid w:val="00A32F39"/>
    <w:rsid w:val="00A3302A"/>
    <w:rsid w:val="00A339C3"/>
    <w:rsid w:val="00A33C30"/>
    <w:rsid w:val="00A33DCB"/>
    <w:rsid w:val="00A3409E"/>
    <w:rsid w:val="00A342AA"/>
    <w:rsid w:val="00A345ED"/>
    <w:rsid w:val="00A35708"/>
    <w:rsid w:val="00A35821"/>
    <w:rsid w:val="00A36238"/>
    <w:rsid w:val="00A3684D"/>
    <w:rsid w:val="00A36D14"/>
    <w:rsid w:val="00A36D41"/>
    <w:rsid w:val="00A36DA2"/>
    <w:rsid w:val="00A37113"/>
    <w:rsid w:val="00A3728A"/>
    <w:rsid w:val="00A374EF"/>
    <w:rsid w:val="00A376AC"/>
    <w:rsid w:val="00A37BCE"/>
    <w:rsid w:val="00A37FC8"/>
    <w:rsid w:val="00A4032C"/>
    <w:rsid w:val="00A40F61"/>
    <w:rsid w:val="00A41442"/>
    <w:rsid w:val="00A415F8"/>
    <w:rsid w:val="00A41773"/>
    <w:rsid w:val="00A41B03"/>
    <w:rsid w:val="00A41CA9"/>
    <w:rsid w:val="00A41E42"/>
    <w:rsid w:val="00A420E7"/>
    <w:rsid w:val="00A42214"/>
    <w:rsid w:val="00A423A1"/>
    <w:rsid w:val="00A4243A"/>
    <w:rsid w:val="00A42566"/>
    <w:rsid w:val="00A426DC"/>
    <w:rsid w:val="00A42ECE"/>
    <w:rsid w:val="00A430D5"/>
    <w:rsid w:val="00A438CF"/>
    <w:rsid w:val="00A44014"/>
    <w:rsid w:val="00A4425E"/>
    <w:rsid w:val="00A444B8"/>
    <w:rsid w:val="00A445DF"/>
    <w:rsid w:val="00A44646"/>
    <w:rsid w:val="00A446C1"/>
    <w:rsid w:val="00A44A7D"/>
    <w:rsid w:val="00A44C0A"/>
    <w:rsid w:val="00A44E39"/>
    <w:rsid w:val="00A450C8"/>
    <w:rsid w:val="00A450FF"/>
    <w:rsid w:val="00A453A8"/>
    <w:rsid w:val="00A45495"/>
    <w:rsid w:val="00A45D8C"/>
    <w:rsid w:val="00A45E7C"/>
    <w:rsid w:val="00A461FC"/>
    <w:rsid w:val="00A46984"/>
    <w:rsid w:val="00A46D2D"/>
    <w:rsid w:val="00A46F42"/>
    <w:rsid w:val="00A47230"/>
    <w:rsid w:val="00A4767E"/>
    <w:rsid w:val="00A47816"/>
    <w:rsid w:val="00A5081D"/>
    <w:rsid w:val="00A50980"/>
    <w:rsid w:val="00A514A9"/>
    <w:rsid w:val="00A51954"/>
    <w:rsid w:val="00A51DBD"/>
    <w:rsid w:val="00A524F6"/>
    <w:rsid w:val="00A52A4D"/>
    <w:rsid w:val="00A530DB"/>
    <w:rsid w:val="00A53748"/>
    <w:rsid w:val="00A5377C"/>
    <w:rsid w:val="00A538D4"/>
    <w:rsid w:val="00A53C6B"/>
    <w:rsid w:val="00A53D06"/>
    <w:rsid w:val="00A53F39"/>
    <w:rsid w:val="00A5409F"/>
    <w:rsid w:val="00A546D9"/>
    <w:rsid w:val="00A547B8"/>
    <w:rsid w:val="00A54908"/>
    <w:rsid w:val="00A55358"/>
    <w:rsid w:val="00A55464"/>
    <w:rsid w:val="00A554C9"/>
    <w:rsid w:val="00A55A97"/>
    <w:rsid w:val="00A56628"/>
    <w:rsid w:val="00A568AB"/>
    <w:rsid w:val="00A56A5F"/>
    <w:rsid w:val="00A56BE1"/>
    <w:rsid w:val="00A57082"/>
    <w:rsid w:val="00A57314"/>
    <w:rsid w:val="00A57600"/>
    <w:rsid w:val="00A57E37"/>
    <w:rsid w:val="00A57E94"/>
    <w:rsid w:val="00A60512"/>
    <w:rsid w:val="00A61060"/>
    <w:rsid w:val="00A61182"/>
    <w:rsid w:val="00A61733"/>
    <w:rsid w:val="00A62282"/>
    <w:rsid w:val="00A62783"/>
    <w:rsid w:val="00A63103"/>
    <w:rsid w:val="00A63147"/>
    <w:rsid w:val="00A6358C"/>
    <w:rsid w:val="00A63592"/>
    <w:rsid w:val="00A637C3"/>
    <w:rsid w:val="00A637EB"/>
    <w:rsid w:val="00A6398C"/>
    <w:rsid w:val="00A63F78"/>
    <w:rsid w:val="00A6417B"/>
    <w:rsid w:val="00A64761"/>
    <w:rsid w:val="00A65072"/>
    <w:rsid w:val="00A657AB"/>
    <w:rsid w:val="00A65C40"/>
    <w:rsid w:val="00A65D01"/>
    <w:rsid w:val="00A66563"/>
    <w:rsid w:val="00A667CE"/>
    <w:rsid w:val="00A668AD"/>
    <w:rsid w:val="00A66B8A"/>
    <w:rsid w:val="00A67245"/>
    <w:rsid w:val="00A67973"/>
    <w:rsid w:val="00A67BAA"/>
    <w:rsid w:val="00A67E55"/>
    <w:rsid w:val="00A702C0"/>
    <w:rsid w:val="00A70CFD"/>
    <w:rsid w:val="00A7119D"/>
    <w:rsid w:val="00A715AB"/>
    <w:rsid w:val="00A718CB"/>
    <w:rsid w:val="00A72217"/>
    <w:rsid w:val="00A724A9"/>
    <w:rsid w:val="00A72EAB"/>
    <w:rsid w:val="00A73B15"/>
    <w:rsid w:val="00A73D1B"/>
    <w:rsid w:val="00A74035"/>
    <w:rsid w:val="00A741A9"/>
    <w:rsid w:val="00A7422A"/>
    <w:rsid w:val="00A74A14"/>
    <w:rsid w:val="00A74C20"/>
    <w:rsid w:val="00A751DD"/>
    <w:rsid w:val="00A75388"/>
    <w:rsid w:val="00A7542B"/>
    <w:rsid w:val="00A755D1"/>
    <w:rsid w:val="00A76027"/>
    <w:rsid w:val="00A7647A"/>
    <w:rsid w:val="00A765AC"/>
    <w:rsid w:val="00A766AB"/>
    <w:rsid w:val="00A76C21"/>
    <w:rsid w:val="00A76DA0"/>
    <w:rsid w:val="00A775B0"/>
    <w:rsid w:val="00A776E5"/>
    <w:rsid w:val="00A777FF"/>
    <w:rsid w:val="00A778FB"/>
    <w:rsid w:val="00A77B97"/>
    <w:rsid w:val="00A77EAC"/>
    <w:rsid w:val="00A80044"/>
    <w:rsid w:val="00A803F0"/>
    <w:rsid w:val="00A805E2"/>
    <w:rsid w:val="00A80808"/>
    <w:rsid w:val="00A80EEB"/>
    <w:rsid w:val="00A81146"/>
    <w:rsid w:val="00A8149A"/>
    <w:rsid w:val="00A8174F"/>
    <w:rsid w:val="00A81791"/>
    <w:rsid w:val="00A8185B"/>
    <w:rsid w:val="00A818A6"/>
    <w:rsid w:val="00A819CD"/>
    <w:rsid w:val="00A81C61"/>
    <w:rsid w:val="00A81E7B"/>
    <w:rsid w:val="00A82894"/>
    <w:rsid w:val="00A82C1C"/>
    <w:rsid w:val="00A831D5"/>
    <w:rsid w:val="00A8332D"/>
    <w:rsid w:val="00A834BB"/>
    <w:rsid w:val="00A835D0"/>
    <w:rsid w:val="00A836AA"/>
    <w:rsid w:val="00A83A31"/>
    <w:rsid w:val="00A83B00"/>
    <w:rsid w:val="00A840B7"/>
    <w:rsid w:val="00A843D5"/>
    <w:rsid w:val="00A844FA"/>
    <w:rsid w:val="00A8465C"/>
    <w:rsid w:val="00A8474B"/>
    <w:rsid w:val="00A84AB7"/>
    <w:rsid w:val="00A8509F"/>
    <w:rsid w:val="00A85191"/>
    <w:rsid w:val="00A85215"/>
    <w:rsid w:val="00A85477"/>
    <w:rsid w:val="00A8593C"/>
    <w:rsid w:val="00A8651A"/>
    <w:rsid w:val="00A86560"/>
    <w:rsid w:val="00A86813"/>
    <w:rsid w:val="00A86CFC"/>
    <w:rsid w:val="00A86EC4"/>
    <w:rsid w:val="00A86FD7"/>
    <w:rsid w:val="00A870F0"/>
    <w:rsid w:val="00A87222"/>
    <w:rsid w:val="00A87F49"/>
    <w:rsid w:val="00A90414"/>
    <w:rsid w:val="00A9071D"/>
    <w:rsid w:val="00A907C8"/>
    <w:rsid w:val="00A90AA0"/>
    <w:rsid w:val="00A90DC4"/>
    <w:rsid w:val="00A91076"/>
    <w:rsid w:val="00A9125F"/>
    <w:rsid w:val="00A91328"/>
    <w:rsid w:val="00A913DE"/>
    <w:rsid w:val="00A918DF"/>
    <w:rsid w:val="00A91BB4"/>
    <w:rsid w:val="00A92597"/>
    <w:rsid w:val="00A929D9"/>
    <w:rsid w:val="00A92D6E"/>
    <w:rsid w:val="00A92F77"/>
    <w:rsid w:val="00A931BB"/>
    <w:rsid w:val="00A932F4"/>
    <w:rsid w:val="00A93688"/>
    <w:rsid w:val="00A93BF8"/>
    <w:rsid w:val="00A93F38"/>
    <w:rsid w:val="00A93FF5"/>
    <w:rsid w:val="00A9445C"/>
    <w:rsid w:val="00A9448D"/>
    <w:rsid w:val="00A945AA"/>
    <w:rsid w:val="00A945FD"/>
    <w:rsid w:val="00A946F9"/>
    <w:rsid w:val="00A94B5E"/>
    <w:rsid w:val="00A94B7C"/>
    <w:rsid w:val="00A94E3E"/>
    <w:rsid w:val="00A94E59"/>
    <w:rsid w:val="00A95C40"/>
    <w:rsid w:val="00A960BA"/>
    <w:rsid w:val="00A96AC3"/>
    <w:rsid w:val="00A96BE0"/>
    <w:rsid w:val="00A97172"/>
    <w:rsid w:val="00A978B2"/>
    <w:rsid w:val="00A978D4"/>
    <w:rsid w:val="00AA0A5C"/>
    <w:rsid w:val="00AA0DE9"/>
    <w:rsid w:val="00AA15E2"/>
    <w:rsid w:val="00AA16CC"/>
    <w:rsid w:val="00AA1BA3"/>
    <w:rsid w:val="00AA1F30"/>
    <w:rsid w:val="00AA24AB"/>
    <w:rsid w:val="00AA2716"/>
    <w:rsid w:val="00AA2C71"/>
    <w:rsid w:val="00AA2E54"/>
    <w:rsid w:val="00AA305A"/>
    <w:rsid w:val="00AA33C8"/>
    <w:rsid w:val="00AA3653"/>
    <w:rsid w:val="00AA382E"/>
    <w:rsid w:val="00AA3890"/>
    <w:rsid w:val="00AA3F2B"/>
    <w:rsid w:val="00AA4F68"/>
    <w:rsid w:val="00AA5364"/>
    <w:rsid w:val="00AA60D3"/>
    <w:rsid w:val="00AA64AE"/>
    <w:rsid w:val="00AA65A2"/>
    <w:rsid w:val="00AA672D"/>
    <w:rsid w:val="00AA6990"/>
    <w:rsid w:val="00AA6C8C"/>
    <w:rsid w:val="00AA7512"/>
    <w:rsid w:val="00AA79AC"/>
    <w:rsid w:val="00AB00A7"/>
    <w:rsid w:val="00AB0AF0"/>
    <w:rsid w:val="00AB0CD2"/>
    <w:rsid w:val="00AB134C"/>
    <w:rsid w:val="00AB20B5"/>
    <w:rsid w:val="00AB2184"/>
    <w:rsid w:val="00AB22AF"/>
    <w:rsid w:val="00AB286F"/>
    <w:rsid w:val="00AB3101"/>
    <w:rsid w:val="00AB32E4"/>
    <w:rsid w:val="00AB33C3"/>
    <w:rsid w:val="00AB3412"/>
    <w:rsid w:val="00AB35AB"/>
    <w:rsid w:val="00AB35C5"/>
    <w:rsid w:val="00AB3950"/>
    <w:rsid w:val="00AB46AD"/>
    <w:rsid w:val="00AB4C20"/>
    <w:rsid w:val="00AB4C4D"/>
    <w:rsid w:val="00AB4F70"/>
    <w:rsid w:val="00AB53A3"/>
    <w:rsid w:val="00AB5AB1"/>
    <w:rsid w:val="00AB6450"/>
    <w:rsid w:val="00AB685A"/>
    <w:rsid w:val="00AB6AA1"/>
    <w:rsid w:val="00AB7253"/>
    <w:rsid w:val="00AB762A"/>
    <w:rsid w:val="00AC04A8"/>
    <w:rsid w:val="00AC0828"/>
    <w:rsid w:val="00AC0D67"/>
    <w:rsid w:val="00AC0DEF"/>
    <w:rsid w:val="00AC1255"/>
    <w:rsid w:val="00AC1315"/>
    <w:rsid w:val="00AC1D8D"/>
    <w:rsid w:val="00AC1DBC"/>
    <w:rsid w:val="00AC23AD"/>
    <w:rsid w:val="00AC269C"/>
    <w:rsid w:val="00AC297F"/>
    <w:rsid w:val="00AC2F1B"/>
    <w:rsid w:val="00AC3672"/>
    <w:rsid w:val="00AC38DD"/>
    <w:rsid w:val="00AC3D35"/>
    <w:rsid w:val="00AC3ECD"/>
    <w:rsid w:val="00AC4023"/>
    <w:rsid w:val="00AC4430"/>
    <w:rsid w:val="00AC4CDD"/>
    <w:rsid w:val="00AC51B8"/>
    <w:rsid w:val="00AC5444"/>
    <w:rsid w:val="00AC5A8A"/>
    <w:rsid w:val="00AC5F18"/>
    <w:rsid w:val="00AC6141"/>
    <w:rsid w:val="00AC6247"/>
    <w:rsid w:val="00AC650B"/>
    <w:rsid w:val="00AC6513"/>
    <w:rsid w:val="00AC654B"/>
    <w:rsid w:val="00AC6972"/>
    <w:rsid w:val="00AC6D96"/>
    <w:rsid w:val="00AC6F50"/>
    <w:rsid w:val="00AC6FE9"/>
    <w:rsid w:val="00AC71B4"/>
    <w:rsid w:val="00AC754D"/>
    <w:rsid w:val="00AC756A"/>
    <w:rsid w:val="00AC79FA"/>
    <w:rsid w:val="00AD08ED"/>
    <w:rsid w:val="00AD0C28"/>
    <w:rsid w:val="00AD1491"/>
    <w:rsid w:val="00AD1649"/>
    <w:rsid w:val="00AD180E"/>
    <w:rsid w:val="00AD1874"/>
    <w:rsid w:val="00AD1BC5"/>
    <w:rsid w:val="00AD1D93"/>
    <w:rsid w:val="00AD1EB0"/>
    <w:rsid w:val="00AD216B"/>
    <w:rsid w:val="00AD236F"/>
    <w:rsid w:val="00AD2372"/>
    <w:rsid w:val="00AD248C"/>
    <w:rsid w:val="00AD2662"/>
    <w:rsid w:val="00AD2762"/>
    <w:rsid w:val="00AD2D15"/>
    <w:rsid w:val="00AD3222"/>
    <w:rsid w:val="00AD4063"/>
    <w:rsid w:val="00AD421C"/>
    <w:rsid w:val="00AD4344"/>
    <w:rsid w:val="00AD482F"/>
    <w:rsid w:val="00AD4E84"/>
    <w:rsid w:val="00AD52E1"/>
    <w:rsid w:val="00AD559E"/>
    <w:rsid w:val="00AD5889"/>
    <w:rsid w:val="00AD5FD9"/>
    <w:rsid w:val="00AD6482"/>
    <w:rsid w:val="00AD6A31"/>
    <w:rsid w:val="00AD6C88"/>
    <w:rsid w:val="00AD6F21"/>
    <w:rsid w:val="00AD755E"/>
    <w:rsid w:val="00AD7734"/>
    <w:rsid w:val="00AD7CF6"/>
    <w:rsid w:val="00AD7FCF"/>
    <w:rsid w:val="00AE002D"/>
    <w:rsid w:val="00AE0086"/>
    <w:rsid w:val="00AE0579"/>
    <w:rsid w:val="00AE0705"/>
    <w:rsid w:val="00AE07C5"/>
    <w:rsid w:val="00AE0BC0"/>
    <w:rsid w:val="00AE162C"/>
    <w:rsid w:val="00AE1688"/>
    <w:rsid w:val="00AE18F5"/>
    <w:rsid w:val="00AE1914"/>
    <w:rsid w:val="00AE2864"/>
    <w:rsid w:val="00AE2B9B"/>
    <w:rsid w:val="00AE2C4A"/>
    <w:rsid w:val="00AE2CF5"/>
    <w:rsid w:val="00AE30B7"/>
    <w:rsid w:val="00AE336D"/>
    <w:rsid w:val="00AE3836"/>
    <w:rsid w:val="00AE3C4E"/>
    <w:rsid w:val="00AE3CC5"/>
    <w:rsid w:val="00AE3D33"/>
    <w:rsid w:val="00AE41CE"/>
    <w:rsid w:val="00AE4337"/>
    <w:rsid w:val="00AE4510"/>
    <w:rsid w:val="00AE4669"/>
    <w:rsid w:val="00AE475F"/>
    <w:rsid w:val="00AE4EB3"/>
    <w:rsid w:val="00AE53AA"/>
    <w:rsid w:val="00AE58A7"/>
    <w:rsid w:val="00AE59A8"/>
    <w:rsid w:val="00AE5E05"/>
    <w:rsid w:val="00AE5E5C"/>
    <w:rsid w:val="00AE5F15"/>
    <w:rsid w:val="00AE622C"/>
    <w:rsid w:val="00AE704D"/>
    <w:rsid w:val="00AE744A"/>
    <w:rsid w:val="00AE77F1"/>
    <w:rsid w:val="00AE7CAD"/>
    <w:rsid w:val="00AE7CE6"/>
    <w:rsid w:val="00AF033C"/>
    <w:rsid w:val="00AF0610"/>
    <w:rsid w:val="00AF0D19"/>
    <w:rsid w:val="00AF13EB"/>
    <w:rsid w:val="00AF14C8"/>
    <w:rsid w:val="00AF1F50"/>
    <w:rsid w:val="00AF21F6"/>
    <w:rsid w:val="00AF2240"/>
    <w:rsid w:val="00AF2BFD"/>
    <w:rsid w:val="00AF2C06"/>
    <w:rsid w:val="00AF2C8C"/>
    <w:rsid w:val="00AF2CF6"/>
    <w:rsid w:val="00AF2D1B"/>
    <w:rsid w:val="00AF2D8E"/>
    <w:rsid w:val="00AF3145"/>
    <w:rsid w:val="00AF3CCF"/>
    <w:rsid w:val="00AF3E31"/>
    <w:rsid w:val="00AF40D8"/>
    <w:rsid w:val="00AF4B23"/>
    <w:rsid w:val="00AF5166"/>
    <w:rsid w:val="00AF51BA"/>
    <w:rsid w:val="00AF5220"/>
    <w:rsid w:val="00AF5562"/>
    <w:rsid w:val="00AF5718"/>
    <w:rsid w:val="00AF5C4B"/>
    <w:rsid w:val="00AF5FDE"/>
    <w:rsid w:val="00AF6017"/>
    <w:rsid w:val="00AF628B"/>
    <w:rsid w:val="00AF6484"/>
    <w:rsid w:val="00AF6515"/>
    <w:rsid w:val="00AF6892"/>
    <w:rsid w:val="00AF6A28"/>
    <w:rsid w:val="00AF6C5D"/>
    <w:rsid w:val="00AF6C91"/>
    <w:rsid w:val="00AF71C5"/>
    <w:rsid w:val="00AF7EF5"/>
    <w:rsid w:val="00B001B2"/>
    <w:rsid w:val="00B00CC9"/>
    <w:rsid w:val="00B00E36"/>
    <w:rsid w:val="00B01114"/>
    <w:rsid w:val="00B011F0"/>
    <w:rsid w:val="00B014A4"/>
    <w:rsid w:val="00B01AAF"/>
    <w:rsid w:val="00B01DA1"/>
    <w:rsid w:val="00B022C2"/>
    <w:rsid w:val="00B024A0"/>
    <w:rsid w:val="00B028CC"/>
    <w:rsid w:val="00B02CC6"/>
    <w:rsid w:val="00B02D76"/>
    <w:rsid w:val="00B0301D"/>
    <w:rsid w:val="00B03411"/>
    <w:rsid w:val="00B03896"/>
    <w:rsid w:val="00B0391F"/>
    <w:rsid w:val="00B045AA"/>
    <w:rsid w:val="00B04A2B"/>
    <w:rsid w:val="00B05164"/>
    <w:rsid w:val="00B05257"/>
    <w:rsid w:val="00B05294"/>
    <w:rsid w:val="00B05523"/>
    <w:rsid w:val="00B058E0"/>
    <w:rsid w:val="00B05D0C"/>
    <w:rsid w:val="00B0603C"/>
    <w:rsid w:val="00B06230"/>
    <w:rsid w:val="00B06835"/>
    <w:rsid w:val="00B06A59"/>
    <w:rsid w:val="00B06B1F"/>
    <w:rsid w:val="00B071A8"/>
    <w:rsid w:val="00B071B2"/>
    <w:rsid w:val="00B07374"/>
    <w:rsid w:val="00B078EA"/>
    <w:rsid w:val="00B07B3C"/>
    <w:rsid w:val="00B07FF4"/>
    <w:rsid w:val="00B10085"/>
    <w:rsid w:val="00B10310"/>
    <w:rsid w:val="00B10636"/>
    <w:rsid w:val="00B10675"/>
    <w:rsid w:val="00B114E6"/>
    <w:rsid w:val="00B12078"/>
    <w:rsid w:val="00B1253E"/>
    <w:rsid w:val="00B12BD9"/>
    <w:rsid w:val="00B12CBA"/>
    <w:rsid w:val="00B12CCE"/>
    <w:rsid w:val="00B12F12"/>
    <w:rsid w:val="00B1304A"/>
    <w:rsid w:val="00B13651"/>
    <w:rsid w:val="00B136ED"/>
    <w:rsid w:val="00B13919"/>
    <w:rsid w:val="00B13925"/>
    <w:rsid w:val="00B13AB9"/>
    <w:rsid w:val="00B13FCD"/>
    <w:rsid w:val="00B149ED"/>
    <w:rsid w:val="00B14A14"/>
    <w:rsid w:val="00B14E20"/>
    <w:rsid w:val="00B14E3B"/>
    <w:rsid w:val="00B15AF8"/>
    <w:rsid w:val="00B15F40"/>
    <w:rsid w:val="00B16AF8"/>
    <w:rsid w:val="00B1726D"/>
    <w:rsid w:val="00B175BF"/>
    <w:rsid w:val="00B1791A"/>
    <w:rsid w:val="00B17B8C"/>
    <w:rsid w:val="00B20015"/>
    <w:rsid w:val="00B200F3"/>
    <w:rsid w:val="00B2041E"/>
    <w:rsid w:val="00B2058D"/>
    <w:rsid w:val="00B20A70"/>
    <w:rsid w:val="00B20B1B"/>
    <w:rsid w:val="00B20BF5"/>
    <w:rsid w:val="00B21272"/>
    <w:rsid w:val="00B2131D"/>
    <w:rsid w:val="00B21767"/>
    <w:rsid w:val="00B21A5D"/>
    <w:rsid w:val="00B21D2D"/>
    <w:rsid w:val="00B21D39"/>
    <w:rsid w:val="00B21EC6"/>
    <w:rsid w:val="00B221ED"/>
    <w:rsid w:val="00B226B5"/>
    <w:rsid w:val="00B2274B"/>
    <w:rsid w:val="00B227CB"/>
    <w:rsid w:val="00B22F53"/>
    <w:rsid w:val="00B23BED"/>
    <w:rsid w:val="00B24038"/>
    <w:rsid w:val="00B242C1"/>
    <w:rsid w:val="00B24892"/>
    <w:rsid w:val="00B24C33"/>
    <w:rsid w:val="00B258CC"/>
    <w:rsid w:val="00B25C50"/>
    <w:rsid w:val="00B25D03"/>
    <w:rsid w:val="00B25E43"/>
    <w:rsid w:val="00B26126"/>
    <w:rsid w:val="00B2673F"/>
    <w:rsid w:val="00B2689A"/>
    <w:rsid w:val="00B269BC"/>
    <w:rsid w:val="00B26CFF"/>
    <w:rsid w:val="00B271B0"/>
    <w:rsid w:val="00B27315"/>
    <w:rsid w:val="00B27796"/>
    <w:rsid w:val="00B278DD"/>
    <w:rsid w:val="00B27C74"/>
    <w:rsid w:val="00B3026B"/>
    <w:rsid w:val="00B302A8"/>
    <w:rsid w:val="00B306C8"/>
    <w:rsid w:val="00B30A0E"/>
    <w:rsid w:val="00B312C7"/>
    <w:rsid w:val="00B314A4"/>
    <w:rsid w:val="00B314B5"/>
    <w:rsid w:val="00B3159E"/>
    <w:rsid w:val="00B315AD"/>
    <w:rsid w:val="00B31D49"/>
    <w:rsid w:val="00B323F3"/>
    <w:rsid w:val="00B327D0"/>
    <w:rsid w:val="00B328B6"/>
    <w:rsid w:val="00B32FA2"/>
    <w:rsid w:val="00B332DF"/>
    <w:rsid w:val="00B33875"/>
    <w:rsid w:val="00B3389A"/>
    <w:rsid w:val="00B33B39"/>
    <w:rsid w:val="00B3410E"/>
    <w:rsid w:val="00B34277"/>
    <w:rsid w:val="00B34832"/>
    <w:rsid w:val="00B348E6"/>
    <w:rsid w:val="00B34A94"/>
    <w:rsid w:val="00B34B9A"/>
    <w:rsid w:val="00B35730"/>
    <w:rsid w:val="00B36013"/>
    <w:rsid w:val="00B360BA"/>
    <w:rsid w:val="00B361EA"/>
    <w:rsid w:val="00B36527"/>
    <w:rsid w:val="00B366A0"/>
    <w:rsid w:val="00B36847"/>
    <w:rsid w:val="00B3684F"/>
    <w:rsid w:val="00B36CEB"/>
    <w:rsid w:val="00B36E1E"/>
    <w:rsid w:val="00B3774F"/>
    <w:rsid w:val="00B40658"/>
    <w:rsid w:val="00B40A7F"/>
    <w:rsid w:val="00B41087"/>
    <w:rsid w:val="00B413F0"/>
    <w:rsid w:val="00B4161A"/>
    <w:rsid w:val="00B41858"/>
    <w:rsid w:val="00B41947"/>
    <w:rsid w:val="00B41E11"/>
    <w:rsid w:val="00B41E85"/>
    <w:rsid w:val="00B423D1"/>
    <w:rsid w:val="00B42620"/>
    <w:rsid w:val="00B4287E"/>
    <w:rsid w:val="00B42A10"/>
    <w:rsid w:val="00B42BD0"/>
    <w:rsid w:val="00B43453"/>
    <w:rsid w:val="00B43645"/>
    <w:rsid w:val="00B437B3"/>
    <w:rsid w:val="00B439CE"/>
    <w:rsid w:val="00B43ABF"/>
    <w:rsid w:val="00B43DD4"/>
    <w:rsid w:val="00B43DD8"/>
    <w:rsid w:val="00B43F53"/>
    <w:rsid w:val="00B4474A"/>
    <w:rsid w:val="00B44C5D"/>
    <w:rsid w:val="00B44FB9"/>
    <w:rsid w:val="00B451E7"/>
    <w:rsid w:val="00B4558A"/>
    <w:rsid w:val="00B4562E"/>
    <w:rsid w:val="00B457B3"/>
    <w:rsid w:val="00B461FA"/>
    <w:rsid w:val="00B468BC"/>
    <w:rsid w:val="00B46B40"/>
    <w:rsid w:val="00B4700E"/>
    <w:rsid w:val="00B4731B"/>
    <w:rsid w:val="00B47439"/>
    <w:rsid w:val="00B47556"/>
    <w:rsid w:val="00B47ACE"/>
    <w:rsid w:val="00B47B38"/>
    <w:rsid w:val="00B47C6A"/>
    <w:rsid w:val="00B505E8"/>
    <w:rsid w:val="00B50654"/>
    <w:rsid w:val="00B50A8D"/>
    <w:rsid w:val="00B51026"/>
    <w:rsid w:val="00B5112D"/>
    <w:rsid w:val="00B511B8"/>
    <w:rsid w:val="00B51261"/>
    <w:rsid w:val="00B51806"/>
    <w:rsid w:val="00B5236C"/>
    <w:rsid w:val="00B528C5"/>
    <w:rsid w:val="00B52B4E"/>
    <w:rsid w:val="00B53B75"/>
    <w:rsid w:val="00B54204"/>
    <w:rsid w:val="00B545FD"/>
    <w:rsid w:val="00B546DE"/>
    <w:rsid w:val="00B54BEC"/>
    <w:rsid w:val="00B54E1E"/>
    <w:rsid w:val="00B54F79"/>
    <w:rsid w:val="00B552CD"/>
    <w:rsid w:val="00B558BB"/>
    <w:rsid w:val="00B55E32"/>
    <w:rsid w:val="00B568F3"/>
    <w:rsid w:val="00B56CF5"/>
    <w:rsid w:val="00B57139"/>
    <w:rsid w:val="00B57764"/>
    <w:rsid w:val="00B57DA5"/>
    <w:rsid w:val="00B60049"/>
    <w:rsid w:val="00B60214"/>
    <w:rsid w:val="00B605CF"/>
    <w:rsid w:val="00B6091D"/>
    <w:rsid w:val="00B60A22"/>
    <w:rsid w:val="00B60B5F"/>
    <w:rsid w:val="00B60F84"/>
    <w:rsid w:val="00B61618"/>
    <w:rsid w:val="00B61799"/>
    <w:rsid w:val="00B61BF5"/>
    <w:rsid w:val="00B61C7F"/>
    <w:rsid w:val="00B61D91"/>
    <w:rsid w:val="00B62C77"/>
    <w:rsid w:val="00B63C15"/>
    <w:rsid w:val="00B63F95"/>
    <w:rsid w:val="00B641F9"/>
    <w:rsid w:val="00B6540B"/>
    <w:rsid w:val="00B656BD"/>
    <w:rsid w:val="00B656C3"/>
    <w:rsid w:val="00B65AA8"/>
    <w:rsid w:val="00B65AAC"/>
    <w:rsid w:val="00B65AF0"/>
    <w:rsid w:val="00B65C79"/>
    <w:rsid w:val="00B66246"/>
    <w:rsid w:val="00B66A5A"/>
    <w:rsid w:val="00B66DCF"/>
    <w:rsid w:val="00B67409"/>
    <w:rsid w:val="00B67897"/>
    <w:rsid w:val="00B67A8E"/>
    <w:rsid w:val="00B67BCD"/>
    <w:rsid w:val="00B67E1A"/>
    <w:rsid w:val="00B703A8"/>
    <w:rsid w:val="00B70AB0"/>
    <w:rsid w:val="00B7128B"/>
    <w:rsid w:val="00B71589"/>
    <w:rsid w:val="00B715A8"/>
    <w:rsid w:val="00B71EC4"/>
    <w:rsid w:val="00B720B3"/>
    <w:rsid w:val="00B727AD"/>
    <w:rsid w:val="00B72B16"/>
    <w:rsid w:val="00B72CF0"/>
    <w:rsid w:val="00B72CFA"/>
    <w:rsid w:val="00B73075"/>
    <w:rsid w:val="00B73D55"/>
    <w:rsid w:val="00B73E57"/>
    <w:rsid w:val="00B74364"/>
    <w:rsid w:val="00B74D8B"/>
    <w:rsid w:val="00B74E47"/>
    <w:rsid w:val="00B75384"/>
    <w:rsid w:val="00B75482"/>
    <w:rsid w:val="00B757D5"/>
    <w:rsid w:val="00B75803"/>
    <w:rsid w:val="00B75A17"/>
    <w:rsid w:val="00B75C73"/>
    <w:rsid w:val="00B75DE2"/>
    <w:rsid w:val="00B75E4D"/>
    <w:rsid w:val="00B75E85"/>
    <w:rsid w:val="00B7609E"/>
    <w:rsid w:val="00B76E3C"/>
    <w:rsid w:val="00B76F5E"/>
    <w:rsid w:val="00B7764F"/>
    <w:rsid w:val="00B77767"/>
    <w:rsid w:val="00B7795B"/>
    <w:rsid w:val="00B77C2E"/>
    <w:rsid w:val="00B77DC4"/>
    <w:rsid w:val="00B80813"/>
    <w:rsid w:val="00B81081"/>
    <w:rsid w:val="00B81296"/>
    <w:rsid w:val="00B814B7"/>
    <w:rsid w:val="00B8153A"/>
    <w:rsid w:val="00B8155C"/>
    <w:rsid w:val="00B819FD"/>
    <w:rsid w:val="00B81E08"/>
    <w:rsid w:val="00B81F41"/>
    <w:rsid w:val="00B8221A"/>
    <w:rsid w:val="00B826A7"/>
    <w:rsid w:val="00B827B8"/>
    <w:rsid w:val="00B828A9"/>
    <w:rsid w:val="00B829D7"/>
    <w:rsid w:val="00B83243"/>
    <w:rsid w:val="00B83436"/>
    <w:rsid w:val="00B8366A"/>
    <w:rsid w:val="00B836C2"/>
    <w:rsid w:val="00B83BB2"/>
    <w:rsid w:val="00B83C9B"/>
    <w:rsid w:val="00B83E5D"/>
    <w:rsid w:val="00B83EFA"/>
    <w:rsid w:val="00B845A5"/>
    <w:rsid w:val="00B84623"/>
    <w:rsid w:val="00B8507E"/>
    <w:rsid w:val="00B85363"/>
    <w:rsid w:val="00B853BA"/>
    <w:rsid w:val="00B859A7"/>
    <w:rsid w:val="00B85A05"/>
    <w:rsid w:val="00B85AAB"/>
    <w:rsid w:val="00B864E1"/>
    <w:rsid w:val="00B86AFA"/>
    <w:rsid w:val="00B86B30"/>
    <w:rsid w:val="00B86C69"/>
    <w:rsid w:val="00B86FE7"/>
    <w:rsid w:val="00B87141"/>
    <w:rsid w:val="00B87270"/>
    <w:rsid w:val="00B873B1"/>
    <w:rsid w:val="00B874CF"/>
    <w:rsid w:val="00B876F7"/>
    <w:rsid w:val="00B90302"/>
    <w:rsid w:val="00B904F7"/>
    <w:rsid w:val="00B9057F"/>
    <w:rsid w:val="00B90E07"/>
    <w:rsid w:val="00B913CC"/>
    <w:rsid w:val="00B9162D"/>
    <w:rsid w:val="00B91C6C"/>
    <w:rsid w:val="00B91E67"/>
    <w:rsid w:val="00B920CE"/>
    <w:rsid w:val="00B92B17"/>
    <w:rsid w:val="00B92B4F"/>
    <w:rsid w:val="00B92E6A"/>
    <w:rsid w:val="00B93019"/>
    <w:rsid w:val="00B93313"/>
    <w:rsid w:val="00B938A3"/>
    <w:rsid w:val="00B9468F"/>
    <w:rsid w:val="00B947D0"/>
    <w:rsid w:val="00B94ECC"/>
    <w:rsid w:val="00B95194"/>
    <w:rsid w:val="00B95A5B"/>
    <w:rsid w:val="00B95DFB"/>
    <w:rsid w:val="00B9683C"/>
    <w:rsid w:val="00B968C8"/>
    <w:rsid w:val="00B96C77"/>
    <w:rsid w:val="00B97075"/>
    <w:rsid w:val="00B9739F"/>
    <w:rsid w:val="00B9753D"/>
    <w:rsid w:val="00B97A33"/>
    <w:rsid w:val="00B97F73"/>
    <w:rsid w:val="00BA0339"/>
    <w:rsid w:val="00BA05A5"/>
    <w:rsid w:val="00BA077C"/>
    <w:rsid w:val="00BA0A44"/>
    <w:rsid w:val="00BA109F"/>
    <w:rsid w:val="00BA10BE"/>
    <w:rsid w:val="00BA1173"/>
    <w:rsid w:val="00BA1806"/>
    <w:rsid w:val="00BA1935"/>
    <w:rsid w:val="00BA21B8"/>
    <w:rsid w:val="00BA2A29"/>
    <w:rsid w:val="00BA2BB3"/>
    <w:rsid w:val="00BA2DA9"/>
    <w:rsid w:val="00BA2E09"/>
    <w:rsid w:val="00BA30A9"/>
    <w:rsid w:val="00BA3101"/>
    <w:rsid w:val="00BA3193"/>
    <w:rsid w:val="00BA3810"/>
    <w:rsid w:val="00BA3E4C"/>
    <w:rsid w:val="00BA4D10"/>
    <w:rsid w:val="00BA503D"/>
    <w:rsid w:val="00BA52DA"/>
    <w:rsid w:val="00BA530C"/>
    <w:rsid w:val="00BA5C8C"/>
    <w:rsid w:val="00BA6107"/>
    <w:rsid w:val="00BA6292"/>
    <w:rsid w:val="00BA6473"/>
    <w:rsid w:val="00BA6B87"/>
    <w:rsid w:val="00BA7B7F"/>
    <w:rsid w:val="00BB0095"/>
    <w:rsid w:val="00BB0221"/>
    <w:rsid w:val="00BB02BB"/>
    <w:rsid w:val="00BB044A"/>
    <w:rsid w:val="00BB0A44"/>
    <w:rsid w:val="00BB0C42"/>
    <w:rsid w:val="00BB0F52"/>
    <w:rsid w:val="00BB0FCF"/>
    <w:rsid w:val="00BB1774"/>
    <w:rsid w:val="00BB186F"/>
    <w:rsid w:val="00BB1952"/>
    <w:rsid w:val="00BB2263"/>
    <w:rsid w:val="00BB2725"/>
    <w:rsid w:val="00BB2E45"/>
    <w:rsid w:val="00BB3CE3"/>
    <w:rsid w:val="00BB45FB"/>
    <w:rsid w:val="00BB471B"/>
    <w:rsid w:val="00BB4C54"/>
    <w:rsid w:val="00BB4D8A"/>
    <w:rsid w:val="00BB5B6D"/>
    <w:rsid w:val="00BB6823"/>
    <w:rsid w:val="00BB6ACF"/>
    <w:rsid w:val="00BB7EDC"/>
    <w:rsid w:val="00BC0155"/>
    <w:rsid w:val="00BC0232"/>
    <w:rsid w:val="00BC0B07"/>
    <w:rsid w:val="00BC0B94"/>
    <w:rsid w:val="00BC0D85"/>
    <w:rsid w:val="00BC14B8"/>
    <w:rsid w:val="00BC179D"/>
    <w:rsid w:val="00BC17C3"/>
    <w:rsid w:val="00BC1CA6"/>
    <w:rsid w:val="00BC1F9C"/>
    <w:rsid w:val="00BC267B"/>
    <w:rsid w:val="00BC26D0"/>
    <w:rsid w:val="00BC2CE6"/>
    <w:rsid w:val="00BC2CE8"/>
    <w:rsid w:val="00BC330C"/>
    <w:rsid w:val="00BC33F4"/>
    <w:rsid w:val="00BC34F9"/>
    <w:rsid w:val="00BC3514"/>
    <w:rsid w:val="00BC35CB"/>
    <w:rsid w:val="00BC35D6"/>
    <w:rsid w:val="00BC3643"/>
    <w:rsid w:val="00BC3AE3"/>
    <w:rsid w:val="00BC450B"/>
    <w:rsid w:val="00BC4B02"/>
    <w:rsid w:val="00BC54F2"/>
    <w:rsid w:val="00BC56CD"/>
    <w:rsid w:val="00BC61B3"/>
    <w:rsid w:val="00BC64F9"/>
    <w:rsid w:val="00BC6809"/>
    <w:rsid w:val="00BC6AF8"/>
    <w:rsid w:val="00BC6E4C"/>
    <w:rsid w:val="00BC73A7"/>
    <w:rsid w:val="00BC76C1"/>
    <w:rsid w:val="00BC7720"/>
    <w:rsid w:val="00BC7A1C"/>
    <w:rsid w:val="00BC7EBC"/>
    <w:rsid w:val="00BD0030"/>
    <w:rsid w:val="00BD00A2"/>
    <w:rsid w:val="00BD065A"/>
    <w:rsid w:val="00BD0683"/>
    <w:rsid w:val="00BD0739"/>
    <w:rsid w:val="00BD12A5"/>
    <w:rsid w:val="00BD1376"/>
    <w:rsid w:val="00BD1CAA"/>
    <w:rsid w:val="00BD1DC8"/>
    <w:rsid w:val="00BD2483"/>
    <w:rsid w:val="00BD24C9"/>
    <w:rsid w:val="00BD288B"/>
    <w:rsid w:val="00BD2A28"/>
    <w:rsid w:val="00BD2A38"/>
    <w:rsid w:val="00BD2DD3"/>
    <w:rsid w:val="00BD2EBD"/>
    <w:rsid w:val="00BD310E"/>
    <w:rsid w:val="00BD33C4"/>
    <w:rsid w:val="00BD3440"/>
    <w:rsid w:val="00BD4E6E"/>
    <w:rsid w:val="00BD514D"/>
    <w:rsid w:val="00BD5237"/>
    <w:rsid w:val="00BD5342"/>
    <w:rsid w:val="00BD56F6"/>
    <w:rsid w:val="00BD5764"/>
    <w:rsid w:val="00BD57A8"/>
    <w:rsid w:val="00BD5BAC"/>
    <w:rsid w:val="00BD5CF1"/>
    <w:rsid w:val="00BD67C9"/>
    <w:rsid w:val="00BD690A"/>
    <w:rsid w:val="00BD6D5A"/>
    <w:rsid w:val="00BD6E18"/>
    <w:rsid w:val="00BE02ED"/>
    <w:rsid w:val="00BE054C"/>
    <w:rsid w:val="00BE05AC"/>
    <w:rsid w:val="00BE063D"/>
    <w:rsid w:val="00BE06C4"/>
    <w:rsid w:val="00BE0EE0"/>
    <w:rsid w:val="00BE126B"/>
    <w:rsid w:val="00BE151A"/>
    <w:rsid w:val="00BE24FD"/>
    <w:rsid w:val="00BE2976"/>
    <w:rsid w:val="00BE2DA3"/>
    <w:rsid w:val="00BE2F9E"/>
    <w:rsid w:val="00BE2FDA"/>
    <w:rsid w:val="00BE36F0"/>
    <w:rsid w:val="00BE3872"/>
    <w:rsid w:val="00BE38DD"/>
    <w:rsid w:val="00BE39DF"/>
    <w:rsid w:val="00BE3C59"/>
    <w:rsid w:val="00BE47BE"/>
    <w:rsid w:val="00BE4AA4"/>
    <w:rsid w:val="00BE53B0"/>
    <w:rsid w:val="00BE56EB"/>
    <w:rsid w:val="00BE59CF"/>
    <w:rsid w:val="00BE5CF5"/>
    <w:rsid w:val="00BE6256"/>
    <w:rsid w:val="00BE6AA2"/>
    <w:rsid w:val="00BE6F9C"/>
    <w:rsid w:val="00BE6FC2"/>
    <w:rsid w:val="00BE72BF"/>
    <w:rsid w:val="00BE7874"/>
    <w:rsid w:val="00BE7891"/>
    <w:rsid w:val="00BE7A15"/>
    <w:rsid w:val="00BE7B9C"/>
    <w:rsid w:val="00BE7F89"/>
    <w:rsid w:val="00BF004F"/>
    <w:rsid w:val="00BF009A"/>
    <w:rsid w:val="00BF0244"/>
    <w:rsid w:val="00BF0426"/>
    <w:rsid w:val="00BF05A5"/>
    <w:rsid w:val="00BF05BB"/>
    <w:rsid w:val="00BF0692"/>
    <w:rsid w:val="00BF091E"/>
    <w:rsid w:val="00BF0983"/>
    <w:rsid w:val="00BF1815"/>
    <w:rsid w:val="00BF19D5"/>
    <w:rsid w:val="00BF1A99"/>
    <w:rsid w:val="00BF1CFF"/>
    <w:rsid w:val="00BF1D9B"/>
    <w:rsid w:val="00BF2105"/>
    <w:rsid w:val="00BF21C2"/>
    <w:rsid w:val="00BF249D"/>
    <w:rsid w:val="00BF2B9A"/>
    <w:rsid w:val="00BF2D3D"/>
    <w:rsid w:val="00BF2FF8"/>
    <w:rsid w:val="00BF309D"/>
    <w:rsid w:val="00BF30ED"/>
    <w:rsid w:val="00BF3163"/>
    <w:rsid w:val="00BF3F16"/>
    <w:rsid w:val="00BF47AF"/>
    <w:rsid w:val="00BF47C5"/>
    <w:rsid w:val="00BF4909"/>
    <w:rsid w:val="00BF4F07"/>
    <w:rsid w:val="00BF4FAC"/>
    <w:rsid w:val="00BF52A2"/>
    <w:rsid w:val="00BF55DA"/>
    <w:rsid w:val="00BF57C5"/>
    <w:rsid w:val="00BF599F"/>
    <w:rsid w:val="00BF5A95"/>
    <w:rsid w:val="00BF6355"/>
    <w:rsid w:val="00BF68FE"/>
    <w:rsid w:val="00BF6F9E"/>
    <w:rsid w:val="00BF6FFB"/>
    <w:rsid w:val="00BF72B3"/>
    <w:rsid w:val="00BF7910"/>
    <w:rsid w:val="00BF7A45"/>
    <w:rsid w:val="00BF7B0F"/>
    <w:rsid w:val="00C00261"/>
    <w:rsid w:val="00C00956"/>
    <w:rsid w:val="00C00ABF"/>
    <w:rsid w:val="00C00F12"/>
    <w:rsid w:val="00C00FDB"/>
    <w:rsid w:val="00C01A6A"/>
    <w:rsid w:val="00C02144"/>
    <w:rsid w:val="00C02280"/>
    <w:rsid w:val="00C022F9"/>
    <w:rsid w:val="00C027E0"/>
    <w:rsid w:val="00C02873"/>
    <w:rsid w:val="00C02E65"/>
    <w:rsid w:val="00C03195"/>
    <w:rsid w:val="00C036AD"/>
    <w:rsid w:val="00C038C2"/>
    <w:rsid w:val="00C03C74"/>
    <w:rsid w:val="00C03E3B"/>
    <w:rsid w:val="00C0403E"/>
    <w:rsid w:val="00C04664"/>
    <w:rsid w:val="00C04759"/>
    <w:rsid w:val="00C04A1D"/>
    <w:rsid w:val="00C054EA"/>
    <w:rsid w:val="00C058D1"/>
    <w:rsid w:val="00C05ABD"/>
    <w:rsid w:val="00C05AC5"/>
    <w:rsid w:val="00C05DEA"/>
    <w:rsid w:val="00C06A09"/>
    <w:rsid w:val="00C06B10"/>
    <w:rsid w:val="00C06C6A"/>
    <w:rsid w:val="00C06CC7"/>
    <w:rsid w:val="00C07001"/>
    <w:rsid w:val="00C07F47"/>
    <w:rsid w:val="00C07F64"/>
    <w:rsid w:val="00C07FA7"/>
    <w:rsid w:val="00C10072"/>
    <w:rsid w:val="00C1032F"/>
    <w:rsid w:val="00C105BF"/>
    <w:rsid w:val="00C108B5"/>
    <w:rsid w:val="00C109CB"/>
    <w:rsid w:val="00C10AAE"/>
    <w:rsid w:val="00C10C1D"/>
    <w:rsid w:val="00C10E57"/>
    <w:rsid w:val="00C11173"/>
    <w:rsid w:val="00C111F1"/>
    <w:rsid w:val="00C11F34"/>
    <w:rsid w:val="00C123FC"/>
    <w:rsid w:val="00C124A3"/>
    <w:rsid w:val="00C1268C"/>
    <w:rsid w:val="00C12696"/>
    <w:rsid w:val="00C1282F"/>
    <w:rsid w:val="00C12886"/>
    <w:rsid w:val="00C12B0D"/>
    <w:rsid w:val="00C12B94"/>
    <w:rsid w:val="00C12CB8"/>
    <w:rsid w:val="00C130BE"/>
    <w:rsid w:val="00C13292"/>
    <w:rsid w:val="00C13797"/>
    <w:rsid w:val="00C13971"/>
    <w:rsid w:val="00C13C84"/>
    <w:rsid w:val="00C13ECE"/>
    <w:rsid w:val="00C14361"/>
    <w:rsid w:val="00C144C6"/>
    <w:rsid w:val="00C14D01"/>
    <w:rsid w:val="00C15219"/>
    <w:rsid w:val="00C1585E"/>
    <w:rsid w:val="00C16326"/>
    <w:rsid w:val="00C1638E"/>
    <w:rsid w:val="00C1679B"/>
    <w:rsid w:val="00C16AC5"/>
    <w:rsid w:val="00C16B07"/>
    <w:rsid w:val="00C16CF3"/>
    <w:rsid w:val="00C16ED2"/>
    <w:rsid w:val="00C17E72"/>
    <w:rsid w:val="00C20312"/>
    <w:rsid w:val="00C203B1"/>
    <w:rsid w:val="00C2048F"/>
    <w:rsid w:val="00C208EF"/>
    <w:rsid w:val="00C20C6C"/>
    <w:rsid w:val="00C20CFF"/>
    <w:rsid w:val="00C2117E"/>
    <w:rsid w:val="00C2138D"/>
    <w:rsid w:val="00C2141A"/>
    <w:rsid w:val="00C21555"/>
    <w:rsid w:val="00C21737"/>
    <w:rsid w:val="00C21740"/>
    <w:rsid w:val="00C21770"/>
    <w:rsid w:val="00C21A52"/>
    <w:rsid w:val="00C21BFE"/>
    <w:rsid w:val="00C220E9"/>
    <w:rsid w:val="00C22A27"/>
    <w:rsid w:val="00C22AB8"/>
    <w:rsid w:val="00C22C40"/>
    <w:rsid w:val="00C232B1"/>
    <w:rsid w:val="00C23476"/>
    <w:rsid w:val="00C2355A"/>
    <w:rsid w:val="00C236B7"/>
    <w:rsid w:val="00C238A6"/>
    <w:rsid w:val="00C2464B"/>
    <w:rsid w:val="00C2488A"/>
    <w:rsid w:val="00C2497C"/>
    <w:rsid w:val="00C24DFC"/>
    <w:rsid w:val="00C24E05"/>
    <w:rsid w:val="00C24E8D"/>
    <w:rsid w:val="00C24ED6"/>
    <w:rsid w:val="00C2532E"/>
    <w:rsid w:val="00C25347"/>
    <w:rsid w:val="00C2578B"/>
    <w:rsid w:val="00C25CDF"/>
    <w:rsid w:val="00C26078"/>
    <w:rsid w:val="00C26733"/>
    <w:rsid w:val="00C26980"/>
    <w:rsid w:val="00C2763F"/>
    <w:rsid w:val="00C27F49"/>
    <w:rsid w:val="00C3013E"/>
    <w:rsid w:val="00C306B6"/>
    <w:rsid w:val="00C3078A"/>
    <w:rsid w:val="00C30C25"/>
    <w:rsid w:val="00C30FBC"/>
    <w:rsid w:val="00C31016"/>
    <w:rsid w:val="00C31723"/>
    <w:rsid w:val="00C319CF"/>
    <w:rsid w:val="00C31DF9"/>
    <w:rsid w:val="00C3209E"/>
    <w:rsid w:val="00C325A7"/>
    <w:rsid w:val="00C32C0C"/>
    <w:rsid w:val="00C33590"/>
    <w:rsid w:val="00C33AE5"/>
    <w:rsid w:val="00C33DE9"/>
    <w:rsid w:val="00C34030"/>
    <w:rsid w:val="00C341B8"/>
    <w:rsid w:val="00C343F0"/>
    <w:rsid w:val="00C3443E"/>
    <w:rsid w:val="00C34673"/>
    <w:rsid w:val="00C35054"/>
    <w:rsid w:val="00C35DCD"/>
    <w:rsid w:val="00C35DD7"/>
    <w:rsid w:val="00C360E3"/>
    <w:rsid w:val="00C3696A"/>
    <w:rsid w:val="00C369CE"/>
    <w:rsid w:val="00C36B35"/>
    <w:rsid w:val="00C36D3F"/>
    <w:rsid w:val="00C37A7A"/>
    <w:rsid w:val="00C37BE8"/>
    <w:rsid w:val="00C400F1"/>
    <w:rsid w:val="00C40376"/>
    <w:rsid w:val="00C40EDC"/>
    <w:rsid w:val="00C40FE0"/>
    <w:rsid w:val="00C41274"/>
    <w:rsid w:val="00C412FB"/>
    <w:rsid w:val="00C416F7"/>
    <w:rsid w:val="00C426CC"/>
    <w:rsid w:val="00C42711"/>
    <w:rsid w:val="00C42786"/>
    <w:rsid w:val="00C42D9B"/>
    <w:rsid w:val="00C43312"/>
    <w:rsid w:val="00C43566"/>
    <w:rsid w:val="00C43F96"/>
    <w:rsid w:val="00C440BA"/>
    <w:rsid w:val="00C44413"/>
    <w:rsid w:val="00C4483C"/>
    <w:rsid w:val="00C448DD"/>
    <w:rsid w:val="00C457F5"/>
    <w:rsid w:val="00C45CF9"/>
    <w:rsid w:val="00C45F2C"/>
    <w:rsid w:val="00C461B6"/>
    <w:rsid w:val="00C4688F"/>
    <w:rsid w:val="00C46D39"/>
    <w:rsid w:val="00C47500"/>
    <w:rsid w:val="00C47B0B"/>
    <w:rsid w:val="00C5092D"/>
    <w:rsid w:val="00C50985"/>
    <w:rsid w:val="00C50F95"/>
    <w:rsid w:val="00C511B6"/>
    <w:rsid w:val="00C51918"/>
    <w:rsid w:val="00C51955"/>
    <w:rsid w:val="00C51A92"/>
    <w:rsid w:val="00C51C0E"/>
    <w:rsid w:val="00C51D5F"/>
    <w:rsid w:val="00C51DA9"/>
    <w:rsid w:val="00C528B4"/>
    <w:rsid w:val="00C52938"/>
    <w:rsid w:val="00C52A58"/>
    <w:rsid w:val="00C52D0D"/>
    <w:rsid w:val="00C52FA1"/>
    <w:rsid w:val="00C533EE"/>
    <w:rsid w:val="00C53A34"/>
    <w:rsid w:val="00C53CC5"/>
    <w:rsid w:val="00C53FE7"/>
    <w:rsid w:val="00C54533"/>
    <w:rsid w:val="00C547AE"/>
    <w:rsid w:val="00C547C2"/>
    <w:rsid w:val="00C54AC2"/>
    <w:rsid w:val="00C54AF9"/>
    <w:rsid w:val="00C54BA7"/>
    <w:rsid w:val="00C54C56"/>
    <w:rsid w:val="00C54F0D"/>
    <w:rsid w:val="00C557DD"/>
    <w:rsid w:val="00C55937"/>
    <w:rsid w:val="00C559D1"/>
    <w:rsid w:val="00C55D54"/>
    <w:rsid w:val="00C56328"/>
    <w:rsid w:val="00C5671C"/>
    <w:rsid w:val="00C57748"/>
    <w:rsid w:val="00C5775C"/>
    <w:rsid w:val="00C5788D"/>
    <w:rsid w:val="00C57A5A"/>
    <w:rsid w:val="00C57FAA"/>
    <w:rsid w:val="00C6042D"/>
    <w:rsid w:val="00C606C8"/>
    <w:rsid w:val="00C60A2B"/>
    <w:rsid w:val="00C60CB9"/>
    <w:rsid w:val="00C60D7C"/>
    <w:rsid w:val="00C60E85"/>
    <w:rsid w:val="00C60F89"/>
    <w:rsid w:val="00C611D9"/>
    <w:rsid w:val="00C61264"/>
    <w:rsid w:val="00C61C90"/>
    <w:rsid w:val="00C62ED3"/>
    <w:rsid w:val="00C63076"/>
    <w:rsid w:val="00C6332E"/>
    <w:rsid w:val="00C6359A"/>
    <w:rsid w:val="00C63736"/>
    <w:rsid w:val="00C63C4F"/>
    <w:rsid w:val="00C63EB4"/>
    <w:rsid w:val="00C63FE2"/>
    <w:rsid w:val="00C6433A"/>
    <w:rsid w:val="00C6487C"/>
    <w:rsid w:val="00C64E2B"/>
    <w:rsid w:val="00C6529E"/>
    <w:rsid w:val="00C652BF"/>
    <w:rsid w:val="00C65340"/>
    <w:rsid w:val="00C6598A"/>
    <w:rsid w:val="00C65C93"/>
    <w:rsid w:val="00C6603F"/>
    <w:rsid w:val="00C66325"/>
    <w:rsid w:val="00C66760"/>
    <w:rsid w:val="00C6678C"/>
    <w:rsid w:val="00C66CC8"/>
    <w:rsid w:val="00C66EB1"/>
    <w:rsid w:val="00C674FD"/>
    <w:rsid w:val="00C67A55"/>
    <w:rsid w:val="00C67A8E"/>
    <w:rsid w:val="00C67F08"/>
    <w:rsid w:val="00C7078B"/>
    <w:rsid w:val="00C70AFA"/>
    <w:rsid w:val="00C70E2B"/>
    <w:rsid w:val="00C70E54"/>
    <w:rsid w:val="00C71089"/>
    <w:rsid w:val="00C718F5"/>
    <w:rsid w:val="00C71C7B"/>
    <w:rsid w:val="00C724B4"/>
    <w:rsid w:val="00C72A1C"/>
    <w:rsid w:val="00C7300D"/>
    <w:rsid w:val="00C7309C"/>
    <w:rsid w:val="00C73382"/>
    <w:rsid w:val="00C734B3"/>
    <w:rsid w:val="00C73534"/>
    <w:rsid w:val="00C737B1"/>
    <w:rsid w:val="00C738B6"/>
    <w:rsid w:val="00C7400B"/>
    <w:rsid w:val="00C74440"/>
    <w:rsid w:val="00C74C5C"/>
    <w:rsid w:val="00C74D18"/>
    <w:rsid w:val="00C74EAA"/>
    <w:rsid w:val="00C74FA5"/>
    <w:rsid w:val="00C7505F"/>
    <w:rsid w:val="00C751CC"/>
    <w:rsid w:val="00C75353"/>
    <w:rsid w:val="00C75427"/>
    <w:rsid w:val="00C7542B"/>
    <w:rsid w:val="00C76069"/>
    <w:rsid w:val="00C760E7"/>
    <w:rsid w:val="00C7699E"/>
    <w:rsid w:val="00C76E40"/>
    <w:rsid w:val="00C771B2"/>
    <w:rsid w:val="00C774FB"/>
    <w:rsid w:val="00C7752E"/>
    <w:rsid w:val="00C777C2"/>
    <w:rsid w:val="00C77D27"/>
    <w:rsid w:val="00C77FDF"/>
    <w:rsid w:val="00C8010E"/>
    <w:rsid w:val="00C80161"/>
    <w:rsid w:val="00C801F1"/>
    <w:rsid w:val="00C807E3"/>
    <w:rsid w:val="00C809CC"/>
    <w:rsid w:val="00C80C73"/>
    <w:rsid w:val="00C80EED"/>
    <w:rsid w:val="00C812B0"/>
    <w:rsid w:val="00C81328"/>
    <w:rsid w:val="00C814D9"/>
    <w:rsid w:val="00C8156A"/>
    <w:rsid w:val="00C817CF"/>
    <w:rsid w:val="00C81AAA"/>
    <w:rsid w:val="00C81DEE"/>
    <w:rsid w:val="00C820D2"/>
    <w:rsid w:val="00C82668"/>
    <w:rsid w:val="00C827EE"/>
    <w:rsid w:val="00C8289C"/>
    <w:rsid w:val="00C82BC7"/>
    <w:rsid w:val="00C82EE5"/>
    <w:rsid w:val="00C82FCF"/>
    <w:rsid w:val="00C83861"/>
    <w:rsid w:val="00C83A4E"/>
    <w:rsid w:val="00C83ED4"/>
    <w:rsid w:val="00C83F9F"/>
    <w:rsid w:val="00C848DC"/>
    <w:rsid w:val="00C84AB4"/>
    <w:rsid w:val="00C855A6"/>
    <w:rsid w:val="00C85F2B"/>
    <w:rsid w:val="00C8629A"/>
    <w:rsid w:val="00C86791"/>
    <w:rsid w:val="00C86CDA"/>
    <w:rsid w:val="00C86D37"/>
    <w:rsid w:val="00C86F2A"/>
    <w:rsid w:val="00C86FF6"/>
    <w:rsid w:val="00C87615"/>
    <w:rsid w:val="00C876FB"/>
    <w:rsid w:val="00C87747"/>
    <w:rsid w:val="00C87B01"/>
    <w:rsid w:val="00C87C14"/>
    <w:rsid w:val="00C87DAE"/>
    <w:rsid w:val="00C87DBE"/>
    <w:rsid w:val="00C9006A"/>
    <w:rsid w:val="00C90234"/>
    <w:rsid w:val="00C908AB"/>
    <w:rsid w:val="00C908FA"/>
    <w:rsid w:val="00C90B4F"/>
    <w:rsid w:val="00C90BA7"/>
    <w:rsid w:val="00C90EA6"/>
    <w:rsid w:val="00C91030"/>
    <w:rsid w:val="00C91F3B"/>
    <w:rsid w:val="00C924BE"/>
    <w:rsid w:val="00C9286E"/>
    <w:rsid w:val="00C92B05"/>
    <w:rsid w:val="00C92ECE"/>
    <w:rsid w:val="00C92F78"/>
    <w:rsid w:val="00C9304F"/>
    <w:rsid w:val="00C93966"/>
    <w:rsid w:val="00C939D4"/>
    <w:rsid w:val="00C93C7A"/>
    <w:rsid w:val="00C950DB"/>
    <w:rsid w:val="00C954E2"/>
    <w:rsid w:val="00C9554C"/>
    <w:rsid w:val="00C956E8"/>
    <w:rsid w:val="00C95780"/>
    <w:rsid w:val="00C95BE8"/>
    <w:rsid w:val="00C95E12"/>
    <w:rsid w:val="00C95F1A"/>
    <w:rsid w:val="00C96097"/>
    <w:rsid w:val="00C9681F"/>
    <w:rsid w:val="00C9690E"/>
    <w:rsid w:val="00C96B17"/>
    <w:rsid w:val="00C972CB"/>
    <w:rsid w:val="00C9770D"/>
    <w:rsid w:val="00C9774C"/>
    <w:rsid w:val="00C978A8"/>
    <w:rsid w:val="00C978C8"/>
    <w:rsid w:val="00C97A94"/>
    <w:rsid w:val="00C97C03"/>
    <w:rsid w:val="00CA008C"/>
    <w:rsid w:val="00CA0565"/>
    <w:rsid w:val="00CA0D35"/>
    <w:rsid w:val="00CA195A"/>
    <w:rsid w:val="00CA1EE2"/>
    <w:rsid w:val="00CA2903"/>
    <w:rsid w:val="00CA2E3E"/>
    <w:rsid w:val="00CA3275"/>
    <w:rsid w:val="00CA332E"/>
    <w:rsid w:val="00CA3367"/>
    <w:rsid w:val="00CA352C"/>
    <w:rsid w:val="00CA3716"/>
    <w:rsid w:val="00CA381A"/>
    <w:rsid w:val="00CA3A16"/>
    <w:rsid w:val="00CA49D6"/>
    <w:rsid w:val="00CA4BFF"/>
    <w:rsid w:val="00CA547E"/>
    <w:rsid w:val="00CA54B5"/>
    <w:rsid w:val="00CA557E"/>
    <w:rsid w:val="00CA5698"/>
    <w:rsid w:val="00CA5845"/>
    <w:rsid w:val="00CA5FC1"/>
    <w:rsid w:val="00CA602C"/>
    <w:rsid w:val="00CA6503"/>
    <w:rsid w:val="00CA665C"/>
    <w:rsid w:val="00CA66A0"/>
    <w:rsid w:val="00CA6BA5"/>
    <w:rsid w:val="00CA6C50"/>
    <w:rsid w:val="00CA70C9"/>
    <w:rsid w:val="00CA7341"/>
    <w:rsid w:val="00CA747F"/>
    <w:rsid w:val="00CA7701"/>
    <w:rsid w:val="00CA7721"/>
    <w:rsid w:val="00CA7769"/>
    <w:rsid w:val="00CA7A86"/>
    <w:rsid w:val="00CA7DCD"/>
    <w:rsid w:val="00CB00D1"/>
    <w:rsid w:val="00CB01D8"/>
    <w:rsid w:val="00CB03A1"/>
    <w:rsid w:val="00CB050D"/>
    <w:rsid w:val="00CB0A4E"/>
    <w:rsid w:val="00CB13B1"/>
    <w:rsid w:val="00CB158E"/>
    <w:rsid w:val="00CB1D4A"/>
    <w:rsid w:val="00CB1DA3"/>
    <w:rsid w:val="00CB1F53"/>
    <w:rsid w:val="00CB229A"/>
    <w:rsid w:val="00CB2AAE"/>
    <w:rsid w:val="00CB3516"/>
    <w:rsid w:val="00CB3824"/>
    <w:rsid w:val="00CB38B0"/>
    <w:rsid w:val="00CB38DC"/>
    <w:rsid w:val="00CB3BEF"/>
    <w:rsid w:val="00CB4C31"/>
    <w:rsid w:val="00CB509B"/>
    <w:rsid w:val="00CB56E7"/>
    <w:rsid w:val="00CB65A3"/>
    <w:rsid w:val="00CB6A07"/>
    <w:rsid w:val="00CB6CB0"/>
    <w:rsid w:val="00CB7107"/>
    <w:rsid w:val="00CB724B"/>
    <w:rsid w:val="00CB7699"/>
    <w:rsid w:val="00CC0241"/>
    <w:rsid w:val="00CC03F7"/>
    <w:rsid w:val="00CC0622"/>
    <w:rsid w:val="00CC062B"/>
    <w:rsid w:val="00CC06D2"/>
    <w:rsid w:val="00CC1005"/>
    <w:rsid w:val="00CC10DF"/>
    <w:rsid w:val="00CC12A0"/>
    <w:rsid w:val="00CC17FA"/>
    <w:rsid w:val="00CC1926"/>
    <w:rsid w:val="00CC1A4B"/>
    <w:rsid w:val="00CC1AFB"/>
    <w:rsid w:val="00CC1BF5"/>
    <w:rsid w:val="00CC212E"/>
    <w:rsid w:val="00CC22B8"/>
    <w:rsid w:val="00CC27A6"/>
    <w:rsid w:val="00CC2A92"/>
    <w:rsid w:val="00CC2BD4"/>
    <w:rsid w:val="00CC3260"/>
    <w:rsid w:val="00CC3790"/>
    <w:rsid w:val="00CC39D9"/>
    <w:rsid w:val="00CC3A53"/>
    <w:rsid w:val="00CC4958"/>
    <w:rsid w:val="00CC4F4F"/>
    <w:rsid w:val="00CC54F2"/>
    <w:rsid w:val="00CC5ACF"/>
    <w:rsid w:val="00CC5CE2"/>
    <w:rsid w:val="00CC5CE5"/>
    <w:rsid w:val="00CC5D6E"/>
    <w:rsid w:val="00CC5E14"/>
    <w:rsid w:val="00CC6026"/>
    <w:rsid w:val="00CC62CA"/>
    <w:rsid w:val="00CC6374"/>
    <w:rsid w:val="00CC710A"/>
    <w:rsid w:val="00CC722D"/>
    <w:rsid w:val="00CC7235"/>
    <w:rsid w:val="00CC7C5F"/>
    <w:rsid w:val="00CC7D1F"/>
    <w:rsid w:val="00CC7DE9"/>
    <w:rsid w:val="00CD00AE"/>
    <w:rsid w:val="00CD0213"/>
    <w:rsid w:val="00CD024C"/>
    <w:rsid w:val="00CD066A"/>
    <w:rsid w:val="00CD068D"/>
    <w:rsid w:val="00CD0701"/>
    <w:rsid w:val="00CD0764"/>
    <w:rsid w:val="00CD0840"/>
    <w:rsid w:val="00CD08B2"/>
    <w:rsid w:val="00CD0C6C"/>
    <w:rsid w:val="00CD0D14"/>
    <w:rsid w:val="00CD0E97"/>
    <w:rsid w:val="00CD0ED5"/>
    <w:rsid w:val="00CD137E"/>
    <w:rsid w:val="00CD1761"/>
    <w:rsid w:val="00CD190C"/>
    <w:rsid w:val="00CD20F2"/>
    <w:rsid w:val="00CD2710"/>
    <w:rsid w:val="00CD2E2D"/>
    <w:rsid w:val="00CD312C"/>
    <w:rsid w:val="00CD32E8"/>
    <w:rsid w:val="00CD34BB"/>
    <w:rsid w:val="00CD3812"/>
    <w:rsid w:val="00CD3E04"/>
    <w:rsid w:val="00CD3E33"/>
    <w:rsid w:val="00CD3F52"/>
    <w:rsid w:val="00CD47EE"/>
    <w:rsid w:val="00CD498B"/>
    <w:rsid w:val="00CD4C67"/>
    <w:rsid w:val="00CD4D29"/>
    <w:rsid w:val="00CD5032"/>
    <w:rsid w:val="00CD5326"/>
    <w:rsid w:val="00CD533A"/>
    <w:rsid w:val="00CD5CCD"/>
    <w:rsid w:val="00CD6405"/>
    <w:rsid w:val="00CD6933"/>
    <w:rsid w:val="00CD6957"/>
    <w:rsid w:val="00CD6A85"/>
    <w:rsid w:val="00CD6CFD"/>
    <w:rsid w:val="00CD71E0"/>
    <w:rsid w:val="00CD7212"/>
    <w:rsid w:val="00CD72B3"/>
    <w:rsid w:val="00CD754F"/>
    <w:rsid w:val="00CE0197"/>
    <w:rsid w:val="00CE0884"/>
    <w:rsid w:val="00CE08E7"/>
    <w:rsid w:val="00CE109D"/>
    <w:rsid w:val="00CE150E"/>
    <w:rsid w:val="00CE1CC1"/>
    <w:rsid w:val="00CE1F9F"/>
    <w:rsid w:val="00CE2624"/>
    <w:rsid w:val="00CE265B"/>
    <w:rsid w:val="00CE2A93"/>
    <w:rsid w:val="00CE2CA7"/>
    <w:rsid w:val="00CE300B"/>
    <w:rsid w:val="00CE3629"/>
    <w:rsid w:val="00CE364B"/>
    <w:rsid w:val="00CE379D"/>
    <w:rsid w:val="00CE3D6E"/>
    <w:rsid w:val="00CE3F4B"/>
    <w:rsid w:val="00CE44A4"/>
    <w:rsid w:val="00CE47C1"/>
    <w:rsid w:val="00CE4800"/>
    <w:rsid w:val="00CE4A8F"/>
    <w:rsid w:val="00CE50BD"/>
    <w:rsid w:val="00CE50FB"/>
    <w:rsid w:val="00CE5369"/>
    <w:rsid w:val="00CE5712"/>
    <w:rsid w:val="00CE599E"/>
    <w:rsid w:val="00CE5A7C"/>
    <w:rsid w:val="00CE5FD1"/>
    <w:rsid w:val="00CE63E4"/>
    <w:rsid w:val="00CE647E"/>
    <w:rsid w:val="00CE6492"/>
    <w:rsid w:val="00CE64CB"/>
    <w:rsid w:val="00CE68CD"/>
    <w:rsid w:val="00CE6ADA"/>
    <w:rsid w:val="00CE7205"/>
    <w:rsid w:val="00CE7350"/>
    <w:rsid w:val="00CE7422"/>
    <w:rsid w:val="00CE7BAC"/>
    <w:rsid w:val="00CF0630"/>
    <w:rsid w:val="00CF07CA"/>
    <w:rsid w:val="00CF093F"/>
    <w:rsid w:val="00CF0F35"/>
    <w:rsid w:val="00CF139C"/>
    <w:rsid w:val="00CF1459"/>
    <w:rsid w:val="00CF1535"/>
    <w:rsid w:val="00CF1B0C"/>
    <w:rsid w:val="00CF2025"/>
    <w:rsid w:val="00CF21B5"/>
    <w:rsid w:val="00CF22C1"/>
    <w:rsid w:val="00CF26B0"/>
    <w:rsid w:val="00CF2943"/>
    <w:rsid w:val="00CF2D4A"/>
    <w:rsid w:val="00CF2D98"/>
    <w:rsid w:val="00CF2DAE"/>
    <w:rsid w:val="00CF2EA7"/>
    <w:rsid w:val="00CF2F5E"/>
    <w:rsid w:val="00CF301F"/>
    <w:rsid w:val="00CF37BD"/>
    <w:rsid w:val="00CF3A71"/>
    <w:rsid w:val="00CF3A83"/>
    <w:rsid w:val="00CF3D0E"/>
    <w:rsid w:val="00CF4058"/>
    <w:rsid w:val="00CF42E7"/>
    <w:rsid w:val="00CF4596"/>
    <w:rsid w:val="00CF46C4"/>
    <w:rsid w:val="00CF4DD8"/>
    <w:rsid w:val="00CF5C9A"/>
    <w:rsid w:val="00CF60C8"/>
    <w:rsid w:val="00CF6AFB"/>
    <w:rsid w:val="00CF6BFE"/>
    <w:rsid w:val="00CF7212"/>
    <w:rsid w:val="00CF794B"/>
    <w:rsid w:val="00D001D5"/>
    <w:rsid w:val="00D002E0"/>
    <w:rsid w:val="00D00380"/>
    <w:rsid w:val="00D004A8"/>
    <w:rsid w:val="00D00E8B"/>
    <w:rsid w:val="00D01306"/>
    <w:rsid w:val="00D0233E"/>
    <w:rsid w:val="00D029A3"/>
    <w:rsid w:val="00D02CA6"/>
    <w:rsid w:val="00D03182"/>
    <w:rsid w:val="00D0403A"/>
    <w:rsid w:val="00D04158"/>
    <w:rsid w:val="00D04244"/>
    <w:rsid w:val="00D04757"/>
    <w:rsid w:val="00D04E27"/>
    <w:rsid w:val="00D05244"/>
    <w:rsid w:val="00D05350"/>
    <w:rsid w:val="00D0546A"/>
    <w:rsid w:val="00D0563C"/>
    <w:rsid w:val="00D06012"/>
    <w:rsid w:val="00D07129"/>
    <w:rsid w:val="00D07385"/>
    <w:rsid w:val="00D07912"/>
    <w:rsid w:val="00D07994"/>
    <w:rsid w:val="00D10390"/>
    <w:rsid w:val="00D111C7"/>
    <w:rsid w:val="00D11612"/>
    <w:rsid w:val="00D11992"/>
    <w:rsid w:val="00D11D5E"/>
    <w:rsid w:val="00D12499"/>
    <w:rsid w:val="00D125CD"/>
    <w:rsid w:val="00D12EE8"/>
    <w:rsid w:val="00D14205"/>
    <w:rsid w:val="00D14CBE"/>
    <w:rsid w:val="00D14F99"/>
    <w:rsid w:val="00D1530E"/>
    <w:rsid w:val="00D15480"/>
    <w:rsid w:val="00D15912"/>
    <w:rsid w:val="00D15EE8"/>
    <w:rsid w:val="00D15F15"/>
    <w:rsid w:val="00D16102"/>
    <w:rsid w:val="00D16722"/>
    <w:rsid w:val="00D16B24"/>
    <w:rsid w:val="00D170BA"/>
    <w:rsid w:val="00D17189"/>
    <w:rsid w:val="00D178F5"/>
    <w:rsid w:val="00D17B08"/>
    <w:rsid w:val="00D17C01"/>
    <w:rsid w:val="00D201A3"/>
    <w:rsid w:val="00D20539"/>
    <w:rsid w:val="00D2104A"/>
    <w:rsid w:val="00D21113"/>
    <w:rsid w:val="00D21135"/>
    <w:rsid w:val="00D2154A"/>
    <w:rsid w:val="00D21583"/>
    <w:rsid w:val="00D217C2"/>
    <w:rsid w:val="00D21834"/>
    <w:rsid w:val="00D21BF9"/>
    <w:rsid w:val="00D21E9D"/>
    <w:rsid w:val="00D2221A"/>
    <w:rsid w:val="00D22605"/>
    <w:rsid w:val="00D227B2"/>
    <w:rsid w:val="00D22CD2"/>
    <w:rsid w:val="00D22E0A"/>
    <w:rsid w:val="00D23373"/>
    <w:rsid w:val="00D236EA"/>
    <w:rsid w:val="00D244E0"/>
    <w:rsid w:val="00D247F9"/>
    <w:rsid w:val="00D24D96"/>
    <w:rsid w:val="00D25AAC"/>
    <w:rsid w:val="00D25ABC"/>
    <w:rsid w:val="00D25D0D"/>
    <w:rsid w:val="00D25E28"/>
    <w:rsid w:val="00D26578"/>
    <w:rsid w:val="00D2673F"/>
    <w:rsid w:val="00D26AC5"/>
    <w:rsid w:val="00D26B89"/>
    <w:rsid w:val="00D26EEB"/>
    <w:rsid w:val="00D274F6"/>
    <w:rsid w:val="00D2784F"/>
    <w:rsid w:val="00D27913"/>
    <w:rsid w:val="00D27A65"/>
    <w:rsid w:val="00D27D60"/>
    <w:rsid w:val="00D27F09"/>
    <w:rsid w:val="00D27F78"/>
    <w:rsid w:val="00D301CA"/>
    <w:rsid w:val="00D31353"/>
    <w:rsid w:val="00D313BB"/>
    <w:rsid w:val="00D31651"/>
    <w:rsid w:val="00D316FF"/>
    <w:rsid w:val="00D3172C"/>
    <w:rsid w:val="00D317DE"/>
    <w:rsid w:val="00D320E2"/>
    <w:rsid w:val="00D32626"/>
    <w:rsid w:val="00D32797"/>
    <w:rsid w:val="00D33124"/>
    <w:rsid w:val="00D3320A"/>
    <w:rsid w:val="00D335FC"/>
    <w:rsid w:val="00D33A2B"/>
    <w:rsid w:val="00D33D74"/>
    <w:rsid w:val="00D34026"/>
    <w:rsid w:val="00D34477"/>
    <w:rsid w:val="00D34B5E"/>
    <w:rsid w:val="00D3514D"/>
    <w:rsid w:val="00D35291"/>
    <w:rsid w:val="00D3529B"/>
    <w:rsid w:val="00D352D1"/>
    <w:rsid w:val="00D35AFF"/>
    <w:rsid w:val="00D362B0"/>
    <w:rsid w:val="00D36716"/>
    <w:rsid w:val="00D36CEC"/>
    <w:rsid w:val="00D36D31"/>
    <w:rsid w:val="00D36D76"/>
    <w:rsid w:val="00D36E93"/>
    <w:rsid w:val="00D37322"/>
    <w:rsid w:val="00D37613"/>
    <w:rsid w:val="00D37686"/>
    <w:rsid w:val="00D37941"/>
    <w:rsid w:val="00D37BD7"/>
    <w:rsid w:val="00D37DDF"/>
    <w:rsid w:val="00D37EA2"/>
    <w:rsid w:val="00D402BB"/>
    <w:rsid w:val="00D4062E"/>
    <w:rsid w:val="00D414E7"/>
    <w:rsid w:val="00D417C0"/>
    <w:rsid w:val="00D42179"/>
    <w:rsid w:val="00D423ED"/>
    <w:rsid w:val="00D425C5"/>
    <w:rsid w:val="00D42F58"/>
    <w:rsid w:val="00D435BD"/>
    <w:rsid w:val="00D43D65"/>
    <w:rsid w:val="00D4406A"/>
    <w:rsid w:val="00D446AB"/>
    <w:rsid w:val="00D4480F"/>
    <w:rsid w:val="00D44CAF"/>
    <w:rsid w:val="00D45127"/>
    <w:rsid w:val="00D452CD"/>
    <w:rsid w:val="00D4541F"/>
    <w:rsid w:val="00D456C0"/>
    <w:rsid w:val="00D45845"/>
    <w:rsid w:val="00D45AEF"/>
    <w:rsid w:val="00D45BC6"/>
    <w:rsid w:val="00D46429"/>
    <w:rsid w:val="00D46501"/>
    <w:rsid w:val="00D46D45"/>
    <w:rsid w:val="00D46D6E"/>
    <w:rsid w:val="00D47358"/>
    <w:rsid w:val="00D47A41"/>
    <w:rsid w:val="00D50649"/>
    <w:rsid w:val="00D50B67"/>
    <w:rsid w:val="00D510EB"/>
    <w:rsid w:val="00D5168C"/>
    <w:rsid w:val="00D518BC"/>
    <w:rsid w:val="00D51CD8"/>
    <w:rsid w:val="00D521A5"/>
    <w:rsid w:val="00D522C5"/>
    <w:rsid w:val="00D525E4"/>
    <w:rsid w:val="00D52F03"/>
    <w:rsid w:val="00D531D4"/>
    <w:rsid w:val="00D536DB"/>
    <w:rsid w:val="00D53B4F"/>
    <w:rsid w:val="00D53B7C"/>
    <w:rsid w:val="00D54541"/>
    <w:rsid w:val="00D54CED"/>
    <w:rsid w:val="00D54E85"/>
    <w:rsid w:val="00D553CC"/>
    <w:rsid w:val="00D55411"/>
    <w:rsid w:val="00D5609E"/>
    <w:rsid w:val="00D56181"/>
    <w:rsid w:val="00D561EA"/>
    <w:rsid w:val="00D563FF"/>
    <w:rsid w:val="00D56737"/>
    <w:rsid w:val="00D57426"/>
    <w:rsid w:val="00D575CE"/>
    <w:rsid w:val="00D57824"/>
    <w:rsid w:val="00D57B40"/>
    <w:rsid w:val="00D60187"/>
    <w:rsid w:val="00D603F5"/>
    <w:rsid w:val="00D60462"/>
    <w:rsid w:val="00D606E5"/>
    <w:rsid w:val="00D608F2"/>
    <w:rsid w:val="00D60E57"/>
    <w:rsid w:val="00D613EF"/>
    <w:rsid w:val="00D619E8"/>
    <w:rsid w:val="00D61B8A"/>
    <w:rsid w:val="00D6271F"/>
    <w:rsid w:val="00D627A9"/>
    <w:rsid w:val="00D62A43"/>
    <w:rsid w:val="00D62FAA"/>
    <w:rsid w:val="00D63012"/>
    <w:rsid w:val="00D63430"/>
    <w:rsid w:val="00D63617"/>
    <w:rsid w:val="00D637D1"/>
    <w:rsid w:val="00D638AB"/>
    <w:rsid w:val="00D638B7"/>
    <w:rsid w:val="00D63C00"/>
    <w:rsid w:val="00D63DF5"/>
    <w:rsid w:val="00D64152"/>
    <w:rsid w:val="00D64318"/>
    <w:rsid w:val="00D64602"/>
    <w:rsid w:val="00D64E1E"/>
    <w:rsid w:val="00D64ED8"/>
    <w:rsid w:val="00D650ED"/>
    <w:rsid w:val="00D65424"/>
    <w:rsid w:val="00D65585"/>
    <w:rsid w:val="00D659A8"/>
    <w:rsid w:val="00D659F4"/>
    <w:rsid w:val="00D667EA"/>
    <w:rsid w:val="00D66B77"/>
    <w:rsid w:val="00D66BA1"/>
    <w:rsid w:val="00D66C6D"/>
    <w:rsid w:val="00D66D94"/>
    <w:rsid w:val="00D6742A"/>
    <w:rsid w:val="00D675BC"/>
    <w:rsid w:val="00D67AF5"/>
    <w:rsid w:val="00D6F011"/>
    <w:rsid w:val="00D701A4"/>
    <w:rsid w:val="00D70851"/>
    <w:rsid w:val="00D71562"/>
    <w:rsid w:val="00D71595"/>
    <w:rsid w:val="00D717CA"/>
    <w:rsid w:val="00D71C78"/>
    <w:rsid w:val="00D71D01"/>
    <w:rsid w:val="00D71EC4"/>
    <w:rsid w:val="00D71FEB"/>
    <w:rsid w:val="00D722B3"/>
    <w:rsid w:val="00D7252C"/>
    <w:rsid w:val="00D72F38"/>
    <w:rsid w:val="00D73271"/>
    <w:rsid w:val="00D7335E"/>
    <w:rsid w:val="00D734F3"/>
    <w:rsid w:val="00D73705"/>
    <w:rsid w:val="00D73DA1"/>
    <w:rsid w:val="00D73DD0"/>
    <w:rsid w:val="00D74449"/>
    <w:rsid w:val="00D74577"/>
    <w:rsid w:val="00D74677"/>
    <w:rsid w:val="00D74872"/>
    <w:rsid w:val="00D74AC1"/>
    <w:rsid w:val="00D74F7E"/>
    <w:rsid w:val="00D751BA"/>
    <w:rsid w:val="00D754CC"/>
    <w:rsid w:val="00D75816"/>
    <w:rsid w:val="00D75A71"/>
    <w:rsid w:val="00D75B2E"/>
    <w:rsid w:val="00D75B5E"/>
    <w:rsid w:val="00D75C89"/>
    <w:rsid w:val="00D76415"/>
    <w:rsid w:val="00D765AE"/>
    <w:rsid w:val="00D76C83"/>
    <w:rsid w:val="00D76D19"/>
    <w:rsid w:val="00D7763D"/>
    <w:rsid w:val="00D77984"/>
    <w:rsid w:val="00D77F33"/>
    <w:rsid w:val="00D77F48"/>
    <w:rsid w:val="00D80161"/>
    <w:rsid w:val="00D8080F"/>
    <w:rsid w:val="00D80F2D"/>
    <w:rsid w:val="00D81377"/>
    <w:rsid w:val="00D8161B"/>
    <w:rsid w:val="00D81941"/>
    <w:rsid w:val="00D82063"/>
    <w:rsid w:val="00D820B6"/>
    <w:rsid w:val="00D8213B"/>
    <w:rsid w:val="00D82795"/>
    <w:rsid w:val="00D828FE"/>
    <w:rsid w:val="00D82B0E"/>
    <w:rsid w:val="00D82B7F"/>
    <w:rsid w:val="00D82BF2"/>
    <w:rsid w:val="00D8300A"/>
    <w:rsid w:val="00D8316B"/>
    <w:rsid w:val="00D832F8"/>
    <w:rsid w:val="00D83570"/>
    <w:rsid w:val="00D8381D"/>
    <w:rsid w:val="00D83D02"/>
    <w:rsid w:val="00D841AF"/>
    <w:rsid w:val="00D848A5"/>
    <w:rsid w:val="00D84A23"/>
    <w:rsid w:val="00D84F0E"/>
    <w:rsid w:val="00D8548B"/>
    <w:rsid w:val="00D86116"/>
    <w:rsid w:val="00D8659D"/>
    <w:rsid w:val="00D86691"/>
    <w:rsid w:val="00D86C77"/>
    <w:rsid w:val="00D873B5"/>
    <w:rsid w:val="00D8759F"/>
    <w:rsid w:val="00D87BA4"/>
    <w:rsid w:val="00D87BF3"/>
    <w:rsid w:val="00D87F64"/>
    <w:rsid w:val="00D9007D"/>
    <w:rsid w:val="00D902FE"/>
    <w:rsid w:val="00D907FC"/>
    <w:rsid w:val="00D90D20"/>
    <w:rsid w:val="00D917BA"/>
    <w:rsid w:val="00D91A2F"/>
    <w:rsid w:val="00D927B1"/>
    <w:rsid w:val="00D92A5F"/>
    <w:rsid w:val="00D92BD2"/>
    <w:rsid w:val="00D92BF9"/>
    <w:rsid w:val="00D930B5"/>
    <w:rsid w:val="00D93297"/>
    <w:rsid w:val="00D9333A"/>
    <w:rsid w:val="00D938E3"/>
    <w:rsid w:val="00D939B8"/>
    <w:rsid w:val="00D93D3B"/>
    <w:rsid w:val="00D9410D"/>
    <w:rsid w:val="00D94AB9"/>
    <w:rsid w:val="00D94BE9"/>
    <w:rsid w:val="00D95187"/>
    <w:rsid w:val="00D957C3"/>
    <w:rsid w:val="00D95FDC"/>
    <w:rsid w:val="00D960C1"/>
    <w:rsid w:val="00D967F8"/>
    <w:rsid w:val="00D968AD"/>
    <w:rsid w:val="00D96FB7"/>
    <w:rsid w:val="00D97389"/>
    <w:rsid w:val="00D97576"/>
    <w:rsid w:val="00D9761A"/>
    <w:rsid w:val="00D97845"/>
    <w:rsid w:val="00DA0016"/>
    <w:rsid w:val="00DA0A9E"/>
    <w:rsid w:val="00DA0C22"/>
    <w:rsid w:val="00DA0C2F"/>
    <w:rsid w:val="00DA13E1"/>
    <w:rsid w:val="00DA1751"/>
    <w:rsid w:val="00DA1860"/>
    <w:rsid w:val="00DA1CB0"/>
    <w:rsid w:val="00DA1FAD"/>
    <w:rsid w:val="00DA23D2"/>
    <w:rsid w:val="00DA257C"/>
    <w:rsid w:val="00DA25BC"/>
    <w:rsid w:val="00DA2816"/>
    <w:rsid w:val="00DA2871"/>
    <w:rsid w:val="00DA2AFB"/>
    <w:rsid w:val="00DA2CBB"/>
    <w:rsid w:val="00DA2D8D"/>
    <w:rsid w:val="00DA2E96"/>
    <w:rsid w:val="00DA3367"/>
    <w:rsid w:val="00DA37F6"/>
    <w:rsid w:val="00DA39EA"/>
    <w:rsid w:val="00DA39F0"/>
    <w:rsid w:val="00DA3A32"/>
    <w:rsid w:val="00DA3D62"/>
    <w:rsid w:val="00DA3F9F"/>
    <w:rsid w:val="00DA41F3"/>
    <w:rsid w:val="00DA452C"/>
    <w:rsid w:val="00DA4C34"/>
    <w:rsid w:val="00DA5103"/>
    <w:rsid w:val="00DA55F8"/>
    <w:rsid w:val="00DA5624"/>
    <w:rsid w:val="00DA5862"/>
    <w:rsid w:val="00DA5B18"/>
    <w:rsid w:val="00DA5F5B"/>
    <w:rsid w:val="00DA63BD"/>
    <w:rsid w:val="00DA68DB"/>
    <w:rsid w:val="00DA690A"/>
    <w:rsid w:val="00DA6DE1"/>
    <w:rsid w:val="00DA6E5A"/>
    <w:rsid w:val="00DA70EA"/>
    <w:rsid w:val="00DA758C"/>
    <w:rsid w:val="00DA7681"/>
    <w:rsid w:val="00DA7690"/>
    <w:rsid w:val="00DA7A44"/>
    <w:rsid w:val="00DA7B9C"/>
    <w:rsid w:val="00DA7C43"/>
    <w:rsid w:val="00DA7C7F"/>
    <w:rsid w:val="00DB0A42"/>
    <w:rsid w:val="00DB0B4E"/>
    <w:rsid w:val="00DB0F30"/>
    <w:rsid w:val="00DB0FFE"/>
    <w:rsid w:val="00DB14DD"/>
    <w:rsid w:val="00DB1AE8"/>
    <w:rsid w:val="00DB1D2E"/>
    <w:rsid w:val="00DB26ED"/>
    <w:rsid w:val="00DB29DF"/>
    <w:rsid w:val="00DB2A3D"/>
    <w:rsid w:val="00DB2A55"/>
    <w:rsid w:val="00DB2FA2"/>
    <w:rsid w:val="00DB3211"/>
    <w:rsid w:val="00DB39B6"/>
    <w:rsid w:val="00DB418F"/>
    <w:rsid w:val="00DB45E2"/>
    <w:rsid w:val="00DB4BE5"/>
    <w:rsid w:val="00DB55B7"/>
    <w:rsid w:val="00DB562B"/>
    <w:rsid w:val="00DB5AA6"/>
    <w:rsid w:val="00DB5AD7"/>
    <w:rsid w:val="00DB5CB4"/>
    <w:rsid w:val="00DB60C1"/>
    <w:rsid w:val="00DB659B"/>
    <w:rsid w:val="00DB7384"/>
    <w:rsid w:val="00DB7755"/>
    <w:rsid w:val="00DB7D18"/>
    <w:rsid w:val="00DC0249"/>
    <w:rsid w:val="00DC02C6"/>
    <w:rsid w:val="00DC0B9E"/>
    <w:rsid w:val="00DC0D45"/>
    <w:rsid w:val="00DC0D5E"/>
    <w:rsid w:val="00DC1333"/>
    <w:rsid w:val="00DC182E"/>
    <w:rsid w:val="00DC19BC"/>
    <w:rsid w:val="00DC1BDF"/>
    <w:rsid w:val="00DC212C"/>
    <w:rsid w:val="00DC228C"/>
    <w:rsid w:val="00DC25D5"/>
    <w:rsid w:val="00DC372F"/>
    <w:rsid w:val="00DC3A5A"/>
    <w:rsid w:val="00DC3DB8"/>
    <w:rsid w:val="00DC3FA1"/>
    <w:rsid w:val="00DC42CE"/>
    <w:rsid w:val="00DC4A6C"/>
    <w:rsid w:val="00DC4FC1"/>
    <w:rsid w:val="00DC58C1"/>
    <w:rsid w:val="00DC5BD3"/>
    <w:rsid w:val="00DC5C2C"/>
    <w:rsid w:val="00DC60A8"/>
    <w:rsid w:val="00DC63D9"/>
    <w:rsid w:val="00DC6647"/>
    <w:rsid w:val="00DC6962"/>
    <w:rsid w:val="00DC6C20"/>
    <w:rsid w:val="00DC7009"/>
    <w:rsid w:val="00DD0061"/>
    <w:rsid w:val="00DD03A1"/>
    <w:rsid w:val="00DD0631"/>
    <w:rsid w:val="00DD0644"/>
    <w:rsid w:val="00DD0F35"/>
    <w:rsid w:val="00DD1B73"/>
    <w:rsid w:val="00DD1FE4"/>
    <w:rsid w:val="00DD2066"/>
    <w:rsid w:val="00DD23D9"/>
    <w:rsid w:val="00DD2481"/>
    <w:rsid w:val="00DD2558"/>
    <w:rsid w:val="00DD2B47"/>
    <w:rsid w:val="00DD2BD1"/>
    <w:rsid w:val="00DD2CDD"/>
    <w:rsid w:val="00DD2F1A"/>
    <w:rsid w:val="00DD2F56"/>
    <w:rsid w:val="00DD47ED"/>
    <w:rsid w:val="00DD4869"/>
    <w:rsid w:val="00DD4B44"/>
    <w:rsid w:val="00DD4C44"/>
    <w:rsid w:val="00DD4DF8"/>
    <w:rsid w:val="00DD65A2"/>
    <w:rsid w:val="00DD67DB"/>
    <w:rsid w:val="00DD751B"/>
    <w:rsid w:val="00DD75D4"/>
    <w:rsid w:val="00DD769E"/>
    <w:rsid w:val="00DD7D89"/>
    <w:rsid w:val="00DE054D"/>
    <w:rsid w:val="00DE0689"/>
    <w:rsid w:val="00DE0BD6"/>
    <w:rsid w:val="00DE1DF5"/>
    <w:rsid w:val="00DE204E"/>
    <w:rsid w:val="00DE216C"/>
    <w:rsid w:val="00DE2190"/>
    <w:rsid w:val="00DE2724"/>
    <w:rsid w:val="00DE2F0C"/>
    <w:rsid w:val="00DE3637"/>
    <w:rsid w:val="00DE3710"/>
    <w:rsid w:val="00DE3B0A"/>
    <w:rsid w:val="00DE3C84"/>
    <w:rsid w:val="00DE4297"/>
    <w:rsid w:val="00DE46AA"/>
    <w:rsid w:val="00DE4832"/>
    <w:rsid w:val="00DE4DED"/>
    <w:rsid w:val="00DE5077"/>
    <w:rsid w:val="00DE524B"/>
    <w:rsid w:val="00DE5578"/>
    <w:rsid w:val="00DE5C5B"/>
    <w:rsid w:val="00DE650F"/>
    <w:rsid w:val="00DE67E9"/>
    <w:rsid w:val="00DE68DF"/>
    <w:rsid w:val="00DE6DB3"/>
    <w:rsid w:val="00DE6DB5"/>
    <w:rsid w:val="00DE7001"/>
    <w:rsid w:val="00DE759A"/>
    <w:rsid w:val="00DE7F60"/>
    <w:rsid w:val="00DF029F"/>
    <w:rsid w:val="00DF0456"/>
    <w:rsid w:val="00DF060F"/>
    <w:rsid w:val="00DF079D"/>
    <w:rsid w:val="00DF0A29"/>
    <w:rsid w:val="00DF0D67"/>
    <w:rsid w:val="00DF1943"/>
    <w:rsid w:val="00DF1991"/>
    <w:rsid w:val="00DF1E70"/>
    <w:rsid w:val="00DF1EA1"/>
    <w:rsid w:val="00DF1F48"/>
    <w:rsid w:val="00DF2291"/>
    <w:rsid w:val="00DF2415"/>
    <w:rsid w:val="00DF252B"/>
    <w:rsid w:val="00DF26F1"/>
    <w:rsid w:val="00DF2A55"/>
    <w:rsid w:val="00DF3C3E"/>
    <w:rsid w:val="00DF3D36"/>
    <w:rsid w:val="00DF3E3A"/>
    <w:rsid w:val="00DF4037"/>
    <w:rsid w:val="00DF4438"/>
    <w:rsid w:val="00DF4C31"/>
    <w:rsid w:val="00DF4E08"/>
    <w:rsid w:val="00DF5127"/>
    <w:rsid w:val="00DF5B57"/>
    <w:rsid w:val="00DF5C4E"/>
    <w:rsid w:val="00DF5D6D"/>
    <w:rsid w:val="00DF610B"/>
    <w:rsid w:val="00DF62F8"/>
    <w:rsid w:val="00DF63D9"/>
    <w:rsid w:val="00DF647C"/>
    <w:rsid w:val="00DF6513"/>
    <w:rsid w:val="00DF65AA"/>
    <w:rsid w:val="00DF6887"/>
    <w:rsid w:val="00DF6B96"/>
    <w:rsid w:val="00DF6DA8"/>
    <w:rsid w:val="00DF6EC8"/>
    <w:rsid w:val="00DF7EF2"/>
    <w:rsid w:val="00DF7F3E"/>
    <w:rsid w:val="00E00471"/>
    <w:rsid w:val="00E00784"/>
    <w:rsid w:val="00E008F0"/>
    <w:rsid w:val="00E01100"/>
    <w:rsid w:val="00E011AE"/>
    <w:rsid w:val="00E013F4"/>
    <w:rsid w:val="00E0197C"/>
    <w:rsid w:val="00E019A3"/>
    <w:rsid w:val="00E02970"/>
    <w:rsid w:val="00E03695"/>
    <w:rsid w:val="00E0391A"/>
    <w:rsid w:val="00E03AB1"/>
    <w:rsid w:val="00E03BB1"/>
    <w:rsid w:val="00E03CC0"/>
    <w:rsid w:val="00E03E87"/>
    <w:rsid w:val="00E03F2D"/>
    <w:rsid w:val="00E04302"/>
    <w:rsid w:val="00E045FF"/>
    <w:rsid w:val="00E04DFC"/>
    <w:rsid w:val="00E04EEE"/>
    <w:rsid w:val="00E05179"/>
    <w:rsid w:val="00E052F5"/>
    <w:rsid w:val="00E053CA"/>
    <w:rsid w:val="00E06007"/>
    <w:rsid w:val="00E061BB"/>
    <w:rsid w:val="00E06262"/>
    <w:rsid w:val="00E0647C"/>
    <w:rsid w:val="00E06520"/>
    <w:rsid w:val="00E0674C"/>
    <w:rsid w:val="00E06C61"/>
    <w:rsid w:val="00E06F6D"/>
    <w:rsid w:val="00E07012"/>
    <w:rsid w:val="00E07187"/>
    <w:rsid w:val="00E073B9"/>
    <w:rsid w:val="00E074F2"/>
    <w:rsid w:val="00E076D5"/>
    <w:rsid w:val="00E079AA"/>
    <w:rsid w:val="00E07A1A"/>
    <w:rsid w:val="00E07BA2"/>
    <w:rsid w:val="00E10088"/>
    <w:rsid w:val="00E105D6"/>
    <w:rsid w:val="00E10864"/>
    <w:rsid w:val="00E10A69"/>
    <w:rsid w:val="00E10AF9"/>
    <w:rsid w:val="00E115A9"/>
    <w:rsid w:val="00E11855"/>
    <w:rsid w:val="00E11A60"/>
    <w:rsid w:val="00E11DFC"/>
    <w:rsid w:val="00E12446"/>
    <w:rsid w:val="00E12670"/>
    <w:rsid w:val="00E12AB6"/>
    <w:rsid w:val="00E13216"/>
    <w:rsid w:val="00E13748"/>
    <w:rsid w:val="00E13847"/>
    <w:rsid w:val="00E13BA6"/>
    <w:rsid w:val="00E145C3"/>
    <w:rsid w:val="00E14AAD"/>
    <w:rsid w:val="00E155B1"/>
    <w:rsid w:val="00E15700"/>
    <w:rsid w:val="00E1590C"/>
    <w:rsid w:val="00E15944"/>
    <w:rsid w:val="00E16421"/>
    <w:rsid w:val="00E166B9"/>
    <w:rsid w:val="00E16CC5"/>
    <w:rsid w:val="00E17041"/>
    <w:rsid w:val="00E17236"/>
    <w:rsid w:val="00E17393"/>
    <w:rsid w:val="00E174E6"/>
    <w:rsid w:val="00E17767"/>
    <w:rsid w:val="00E17B3F"/>
    <w:rsid w:val="00E200E5"/>
    <w:rsid w:val="00E206CC"/>
    <w:rsid w:val="00E20870"/>
    <w:rsid w:val="00E2119A"/>
    <w:rsid w:val="00E2123F"/>
    <w:rsid w:val="00E212FE"/>
    <w:rsid w:val="00E215AC"/>
    <w:rsid w:val="00E21AC7"/>
    <w:rsid w:val="00E21B06"/>
    <w:rsid w:val="00E21C7A"/>
    <w:rsid w:val="00E21F71"/>
    <w:rsid w:val="00E2279A"/>
    <w:rsid w:val="00E228B6"/>
    <w:rsid w:val="00E22CA6"/>
    <w:rsid w:val="00E22DA5"/>
    <w:rsid w:val="00E22DB0"/>
    <w:rsid w:val="00E23232"/>
    <w:rsid w:val="00E23382"/>
    <w:rsid w:val="00E23691"/>
    <w:rsid w:val="00E23F9C"/>
    <w:rsid w:val="00E23FB4"/>
    <w:rsid w:val="00E2440B"/>
    <w:rsid w:val="00E24AEB"/>
    <w:rsid w:val="00E2529F"/>
    <w:rsid w:val="00E25961"/>
    <w:rsid w:val="00E25E23"/>
    <w:rsid w:val="00E26B37"/>
    <w:rsid w:val="00E276F1"/>
    <w:rsid w:val="00E27900"/>
    <w:rsid w:val="00E27A14"/>
    <w:rsid w:val="00E27B21"/>
    <w:rsid w:val="00E27B5D"/>
    <w:rsid w:val="00E27C30"/>
    <w:rsid w:val="00E304AF"/>
    <w:rsid w:val="00E3053A"/>
    <w:rsid w:val="00E306BD"/>
    <w:rsid w:val="00E307B2"/>
    <w:rsid w:val="00E307B4"/>
    <w:rsid w:val="00E30C87"/>
    <w:rsid w:val="00E30E85"/>
    <w:rsid w:val="00E311F8"/>
    <w:rsid w:val="00E31A87"/>
    <w:rsid w:val="00E3236E"/>
    <w:rsid w:val="00E32A56"/>
    <w:rsid w:val="00E32AF6"/>
    <w:rsid w:val="00E32D85"/>
    <w:rsid w:val="00E33033"/>
    <w:rsid w:val="00E330A3"/>
    <w:rsid w:val="00E3326B"/>
    <w:rsid w:val="00E334FC"/>
    <w:rsid w:val="00E33DA7"/>
    <w:rsid w:val="00E34136"/>
    <w:rsid w:val="00E3416B"/>
    <w:rsid w:val="00E34300"/>
    <w:rsid w:val="00E34432"/>
    <w:rsid w:val="00E346D9"/>
    <w:rsid w:val="00E34F54"/>
    <w:rsid w:val="00E350F5"/>
    <w:rsid w:val="00E3536A"/>
    <w:rsid w:val="00E356C8"/>
    <w:rsid w:val="00E3578B"/>
    <w:rsid w:val="00E35B8C"/>
    <w:rsid w:val="00E35C7E"/>
    <w:rsid w:val="00E35C9A"/>
    <w:rsid w:val="00E35E92"/>
    <w:rsid w:val="00E360B8"/>
    <w:rsid w:val="00E361E4"/>
    <w:rsid w:val="00E3649F"/>
    <w:rsid w:val="00E36870"/>
    <w:rsid w:val="00E36AEF"/>
    <w:rsid w:val="00E36BE5"/>
    <w:rsid w:val="00E377B9"/>
    <w:rsid w:val="00E37A7F"/>
    <w:rsid w:val="00E40F94"/>
    <w:rsid w:val="00E41271"/>
    <w:rsid w:val="00E412F9"/>
    <w:rsid w:val="00E41348"/>
    <w:rsid w:val="00E41395"/>
    <w:rsid w:val="00E41428"/>
    <w:rsid w:val="00E4188B"/>
    <w:rsid w:val="00E41B73"/>
    <w:rsid w:val="00E41E46"/>
    <w:rsid w:val="00E42006"/>
    <w:rsid w:val="00E42385"/>
    <w:rsid w:val="00E4291A"/>
    <w:rsid w:val="00E42B22"/>
    <w:rsid w:val="00E42C80"/>
    <w:rsid w:val="00E430DE"/>
    <w:rsid w:val="00E4313E"/>
    <w:rsid w:val="00E43217"/>
    <w:rsid w:val="00E43422"/>
    <w:rsid w:val="00E4382D"/>
    <w:rsid w:val="00E43EBC"/>
    <w:rsid w:val="00E44A95"/>
    <w:rsid w:val="00E44B41"/>
    <w:rsid w:val="00E44F32"/>
    <w:rsid w:val="00E45007"/>
    <w:rsid w:val="00E45064"/>
    <w:rsid w:val="00E463DE"/>
    <w:rsid w:val="00E46466"/>
    <w:rsid w:val="00E467A0"/>
    <w:rsid w:val="00E467A5"/>
    <w:rsid w:val="00E46D38"/>
    <w:rsid w:val="00E47561"/>
    <w:rsid w:val="00E47572"/>
    <w:rsid w:val="00E475C0"/>
    <w:rsid w:val="00E47700"/>
    <w:rsid w:val="00E47937"/>
    <w:rsid w:val="00E47BC5"/>
    <w:rsid w:val="00E47C4A"/>
    <w:rsid w:val="00E50046"/>
    <w:rsid w:val="00E5044C"/>
    <w:rsid w:val="00E50659"/>
    <w:rsid w:val="00E50674"/>
    <w:rsid w:val="00E50805"/>
    <w:rsid w:val="00E5086D"/>
    <w:rsid w:val="00E50C2D"/>
    <w:rsid w:val="00E51274"/>
    <w:rsid w:val="00E51435"/>
    <w:rsid w:val="00E514BB"/>
    <w:rsid w:val="00E51F92"/>
    <w:rsid w:val="00E526A6"/>
    <w:rsid w:val="00E52988"/>
    <w:rsid w:val="00E53153"/>
    <w:rsid w:val="00E53218"/>
    <w:rsid w:val="00E537D0"/>
    <w:rsid w:val="00E5394E"/>
    <w:rsid w:val="00E53A0D"/>
    <w:rsid w:val="00E540ED"/>
    <w:rsid w:val="00E5448D"/>
    <w:rsid w:val="00E55300"/>
    <w:rsid w:val="00E55B4C"/>
    <w:rsid w:val="00E55D9E"/>
    <w:rsid w:val="00E56035"/>
    <w:rsid w:val="00E5642C"/>
    <w:rsid w:val="00E5647D"/>
    <w:rsid w:val="00E56791"/>
    <w:rsid w:val="00E5687D"/>
    <w:rsid w:val="00E56BBF"/>
    <w:rsid w:val="00E5770C"/>
    <w:rsid w:val="00E57825"/>
    <w:rsid w:val="00E6010F"/>
    <w:rsid w:val="00E60CAF"/>
    <w:rsid w:val="00E6143F"/>
    <w:rsid w:val="00E61DAC"/>
    <w:rsid w:val="00E62031"/>
    <w:rsid w:val="00E623DE"/>
    <w:rsid w:val="00E62854"/>
    <w:rsid w:val="00E62DE1"/>
    <w:rsid w:val="00E6302E"/>
    <w:rsid w:val="00E63053"/>
    <w:rsid w:val="00E635C2"/>
    <w:rsid w:val="00E636C8"/>
    <w:rsid w:val="00E63B9D"/>
    <w:rsid w:val="00E644A6"/>
    <w:rsid w:val="00E6463A"/>
    <w:rsid w:val="00E6485F"/>
    <w:rsid w:val="00E648DB"/>
    <w:rsid w:val="00E64AE9"/>
    <w:rsid w:val="00E64D89"/>
    <w:rsid w:val="00E64EBC"/>
    <w:rsid w:val="00E65E0B"/>
    <w:rsid w:val="00E66B72"/>
    <w:rsid w:val="00E66E20"/>
    <w:rsid w:val="00E66E8A"/>
    <w:rsid w:val="00E670E9"/>
    <w:rsid w:val="00E67546"/>
    <w:rsid w:val="00E675FC"/>
    <w:rsid w:val="00E67C47"/>
    <w:rsid w:val="00E70B4A"/>
    <w:rsid w:val="00E70C27"/>
    <w:rsid w:val="00E7107D"/>
    <w:rsid w:val="00E71391"/>
    <w:rsid w:val="00E7247C"/>
    <w:rsid w:val="00E72CFF"/>
    <w:rsid w:val="00E72D26"/>
    <w:rsid w:val="00E738F2"/>
    <w:rsid w:val="00E73FD0"/>
    <w:rsid w:val="00E740D5"/>
    <w:rsid w:val="00E74341"/>
    <w:rsid w:val="00E74D60"/>
    <w:rsid w:val="00E7522F"/>
    <w:rsid w:val="00E75272"/>
    <w:rsid w:val="00E75885"/>
    <w:rsid w:val="00E758AF"/>
    <w:rsid w:val="00E75CE0"/>
    <w:rsid w:val="00E767FA"/>
    <w:rsid w:val="00E76937"/>
    <w:rsid w:val="00E76B12"/>
    <w:rsid w:val="00E76DD2"/>
    <w:rsid w:val="00E76F65"/>
    <w:rsid w:val="00E770BA"/>
    <w:rsid w:val="00E771BC"/>
    <w:rsid w:val="00E77672"/>
    <w:rsid w:val="00E776D8"/>
    <w:rsid w:val="00E77A68"/>
    <w:rsid w:val="00E77B7E"/>
    <w:rsid w:val="00E802E6"/>
    <w:rsid w:val="00E80784"/>
    <w:rsid w:val="00E80B29"/>
    <w:rsid w:val="00E80DA4"/>
    <w:rsid w:val="00E80FBD"/>
    <w:rsid w:val="00E81263"/>
    <w:rsid w:val="00E81AB7"/>
    <w:rsid w:val="00E821E5"/>
    <w:rsid w:val="00E82407"/>
    <w:rsid w:val="00E82FA8"/>
    <w:rsid w:val="00E833D0"/>
    <w:rsid w:val="00E8363A"/>
    <w:rsid w:val="00E837F7"/>
    <w:rsid w:val="00E83E75"/>
    <w:rsid w:val="00E84020"/>
    <w:rsid w:val="00E844B6"/>
    <w:rsid w:val="00E845CE"/>
    <w:rsid w:val="00E84E16"/>
    <w:rsid w:val="00E84E9E"/>
    <w:rsid w:val="00E84FD0"/>
    <w:rsid w:val="00E852F8"/>
    <w:rsid w:val="00E858F6"/>
    <w:rsid w:val="00E85A74"/>
    <w:rsid w:val="00E85B90"/>
    <w:rsid w:val="00E85C4E"/>
    <w:rsid w:val="00E860C0"/>
    <w:rsid w:val="00E86669"/>
    <w:rsid w:val="00E867BD"/>
    <w:rsid w:val="00E86AAE"/>
    <w:rsid w:val="00E86C8D"/>
    <w:rsid w:val="00E877F3"/>
    <w:rsid w:val="00E8786D"/>
    <w:rsid w:val="00E87A73"/>
    <w:rsid w:val="00E87CB7"/>
    <w:rsid w:val="00E87D66"/>
    <w:rsid w:val="00E90D1A"/>
    <w:rsid w:val="00E91454"/>
    <w:rsid w:val="00E91994"/>
    <w:rsid w:val="00E91B1E"/>
    <w:rsid w:val="00E920F6"/>
    <w:rsid w:val="00E923A8"/>
    <w:rsid w:val="00E9272D"/>
    <w:rsid w:val="00E9281E"/>
    <w:rsid w:val="00E92CAD"/>
    <w:rsid w:val="00E92D8A"/>
    <w:rsid w:val="00E931B1"/>
    <w:rsid w:val="00E934B0"/>
    <w:rsid w:val="00E93780"/>
    <w:rsid w:val="00E939CF"/>
    <w:rsid w:val="00E93AB3"/>
    <w:rsid w:val="00E93DE9"/>
    <w:rsid w:val="00E94025"/>
    <w:rsid w:val="00E94490"/>
    <w:rsid w:val="00E944B5"/>
    <w:rsid w:val="00E94861"/>
    <w:rsid w:val="00E9489C"/>
    <w:rsid w:val="00E94C6D"/>
    <w:rsid w:val="00E952B1"/>
    <w:rsid w:val="00E95F1A"/>
    <w:rsid w:val="00E96100"/>
    <w:rsid w:val="00E9665C"/>
    <w:rsid w:val="00E96EC1"/>
    <w:rsid w:val="00E9739A"/>
    <w:rsid w:val="00E97479"/>
    <w:rsid w:val="00E974D5"/>
    <w:rsid w:val="00E975C8"/>
    <w:rsid w:val="00E975DE"/>
    <w:rsid w:val="00E976C7"/>
    <w:rsid w:val="00E9779E"/>
    <w:rsid w:val="00EA0442"/>
    <w:rsid w:val="00EA0C73"/>
    <w:rsid w:val="00EA0D9D"/>
    <w:rsid w:val="00EA0DAF"/>
    <w:rsid w:val="00EA0F8D"/>
    <w:rsid w:val="00EA1727"/>
    <w:rsid w:val="00EA18DF"/>
    <w:rsid w:val="00EA1B51"/>
    <w:rsid w:val="00EA1E77"/>
    <w:rsid w:val="00EA26E9"/>
    <w:rsid w:val="00EA2985"/>
    <w:rsid w:val="00EA2AB9"/>
    <w:rsid w:val="00EA2B81"/>
    <w:rsid w:val="00EA2C93"/>
    <w:rsid w:val="00EA2F54"/>
    <w:rsid w:val="00EA3143"/>
    <w:rsid w:val="00EA3187"/>
    <w:rsid w:val="00EA3663"/>
    <w:rsid w:val="00EA3F50"/>
    <w:rsid w:val="00EA42DF"/>
    <w:rsid w:val="00EA4C31"/>
    <w:rsid w:val="00EA4E2F"/>
    <w:rsid w:val="00EA4FC0"/>
    <w:rsid w:val="00EA4FF8"/>
    <w:rsid w:val="00EA529D"/>
    <w:rsid w:val="00EA56DE"/>
    <w:rsid w:val="00EA605B"/>
    <w:rsid w:val="00EA6684"/>
    <w:rsid w:val="00EA6BD6"/>
    <w:rsid w:val="00EA73BF"/>
    <w:rsid w:val="00EA7A5F"/>
    <w:rsid w:val="00EA7AEB"/>
    <w:rsid w:val="00EB060B"/>
    <w:rsid w:val="00EB081E"/>
    <w:rsid w:val="00EB0A5B"/>
    <w:rsid w:val="00EB1094"/>
    <w:rsid w:val="00EB1A13"/>
    <w:rsid w:val="00EB1E3C"/>
    <w:rsid w:val="00EB2326"/>
    <w:rsid w:val="00EB237E"/>
    <w:rsid w:val="00EB3160"/>
    <w:rsid w:val="00EB329F"/>
    <w:rsid w:val="00EB32C4"/>
    <w:rsid w:val="00EB35F9"/>
    <w:rsid w:val="00EB40D4"/>
    <w:rsid w:val="00EB43D9"/>
    <w:rsid w:val="00EB440A"/>
    <w:rsid w:val="00EB4D61"/>
    <w:rsid w:val="00EB51C8"/>
    <w:rsid w:val="00EB57AA"/>
    <w:rsid w:val="00EB5A04"/>
    <w:rsid w:val="00EB663C"/>
    <w:rsid w:val="00EB6648"/>
    <w:rsid w:val="00EB68A5"/>
    <w:rsid w:val="00EB6AF0"/>
    <w:rsid w:val="00EB6C0B"/>
    <w:rsid w:val="00EB6F7E"/>
    <w:rsid w:val="00EB7A30"/>
    <w:rsid w:val="00EB7D45"/>
    <w:rsid w:val="00EC09AD"/>
    <w:rsid w:val="00EC0EEE"/>
    <w:rsid w:val="00EC0F4E"/>
    <w:rsid w:val="00EC1112"/>
    <w:rsid w:val="00EC1597"/>
    <w:rsid w:val="00EC1BEB"/>
    <w:rsid w:val="00EC1C02"/>
    <w:rsid w:val="00EC1EEE"/>
    <w:rsid w:val="00EC2265"/>
    <w:rsid w:val="00EC305B"/>
    <w:rsid w:val="00EC3126"/>
    <w:rsid w:val="00EC36DC"/>
    <w:rsid w:val="00EC47A8"/>
    <w:rsid w:val="00EC4BD3"/>
    <w:rsid w:val="00EC4CC1"/>
    <w:rsid w:val="00EC522E"/>
    <w:rsid w:val="00EC58F5"/>
    <w:rsid w:val="00EC6199"/>
    <w:rsid w:val="00EC6374"/>
    <w:rsid w:val="00EC63F4"/>
    <w:rsid w:val="00EC6855"/>
    <w:rsid w:val="00EC6BAE"/>
    <w:rsid w:val="00EC6C05"/>
    <w:rsid w:val="00EC6CEC"/>
    <w:rsid w:val="00EC6E3C"/>
    <w:rsid w:val="00EC713E"/>
    <w:rsid w:val="00EC7522"/>
    <w:rsid w:val="00EC75F6"/>
    <w:rsid w:val="00EC7B77"/>
    <w:rsid w:val="00EC7DEA"/>
    <w:rsid w:val="00EC7E7C"/>
    <w:rsid w:val="00ED00B0"/>
    <w:rsid w:val="00ED117C"/>
    <w:rsid w:val="00ED15BE"/>
    <w:rsid w:val="00ED19B3"/>
    <w:rsid w:val="00ED1F58"/>
    <w:rsid w:val="00ED2215"/>
    <w:rsid w:val="00ED2448"/>
    <w:rsid w:val="00ED2BBD"/>
    <w:rsid w:val="00ED2D0C"/>
    <w:rsid w:val="00ED2D90"/>
    <w:rsid w:val="00ED2FF8"/>
    <w:rsid w:val="00ED31A0"/>
    <w:rsid w:val="00ED31C3"/>
    <w:rsid w:val="00ED334A"/>
    <w:rsid w:val="00ED33D9"/>
    <w:rsid w:val="00ED3473"/>
    <w:rsid w:val="00ED38D1"/>
    <w:rsid w:val="00ED4009"/>
    <w:rsid w:val="00ED4161"/>
    <w:rsid w:val="00ED46BE"/>
    <w:rsid w:val="00ED4B56"/>
    <w:rsid w:val="00ED4C90"/>
    <w:rsid w:val="00ED50B9"/>
    <w:rsid w:val="00ED52FD"/>
    <w:rsid w:val="00ED5311"/>
    <w:rsid w:val="00ED5598"/>
    <w:rsid w:val="00ED5B7E"/>
    <w:rsid w:val="00ED5F06"/>
    <w:rsid w:val="00ED632F"/>
    <w:rsid w:val="00ED6F7C"/>
    <w:rsid w:val="00ED76EF"/>
    <w:rsid w:val="00ED7866"/>
    <w:rsid w:val="00ED7DFA"/>
    <w:rsid w:val="00ED7FD5"/>
    <w:rsid w:val="00EE053E"/>
    <w:rsid w:val="00EE1081"/>
    <w:rsid w:val="00EE1150"/>
    <w:rsid w:val="00EE1759"/>
    <w:rsid w:val="00EE1A11"/>
    <w:rsid w:val="00EE1B9E"/>
    <w:rsid w:val="00EE1DD3"/>
    <w:rsid w:val="00EE226D"/>
    <w:rsid w:val="00EE233D"/>
    <w:rsid w:val="00EE266C"/>
    <w:rsid w:val="00EE2BF6"/>
    <w:rsid w:val="00EE30AA"/>
    <w:rsid w:val="00EE33C9"/>
    <w:rsid w:val="00EE36E8"/>
    <w:rsid w:val="00EE3CC1"/>
    <w:rsid w:val="00EE4106"/>
    <w:rsid w:val="00EE42A9"/>
    <w:rsid w:val="00EE468C"/>
    <w:rsid w:val="00EE46BE"/>
    <w:rsid w:val="00EE49E1"/>
    <w:rsid w:val="00EE4F8E"/>
    <w:rsid w:val="00EE5181"/>
    <w:rsid w:val="00EE53B9"/>
    <w:rsid w:val="00EE5B03"/>
    <w:rsid w:val="00EE5E25"/>
    <w:rsid w:val="00EE5E37"/>
    <w:rsid w:val="00EE5E54"/>
    <w:rsid w:val="00EE5F40"/>
    <w:rsid w:val="00EE6C61"/>
    <w:rsid w:val="00EE6DA3"/>
    <w:rsid w:val="00EE70A8"/>
    <w:rsid w:val="00EE7375"/>
    <w:rsid w:val="00EE748E"/>
    <w:rsid w:val="00EE76BC"/>
    <w:rsid w:val="00EE7CA6"/>
    <w:rsid w:val="00EE7EA9"/>
    <w:rsid w:val="00EF0183"/>
    <w:rsid w:val="00EF03D3"/>
    <w:rsid w:val="00EF0AA9"/>
    <w:rsid w:val="00EF0BE1"/>
    <w:rsid w:val="00EF1096"/>
    <w:rsid w:val="00EF1ACB"/>
    <w:rsid w:val="00EF1CCF"/>
    <w:rsid w:val="00EF228C"/>
    <w:rsid w:val="00EF280C"/>
    <w:rsid w:val="00EF2D04"/>
    <w:rsid w:val="00EF307D"/>
    <w:rsid w:val="00EF3096"/>
    <w:rsid w:val="00EF3417"/>
    <w:rsid w:val="00EF35BF"/>
    <w:rsid w:val="00EF3636"/>
    <w:rsid w:val="00EF36E0"/>
    <w:rsid w:val="00EF3799"/>
    <w:rsid w:val="00EF3CFA"/>
    <w:rsid w:val="00EF3ECA"/>
    <w:rsid w:val="00EF3FE4"/>
    <w:rsid w:val="00EF419F"/>
    <w:rsid w:val="00EF43C3"/>
    <w:rsid w:val="00EF488E"/>
    <w:rsid w:val="00EF4B02"/>
    <w:rsid w:val="00EF5645"/>
    <w:rsid w:val="00EF5D31"/>
    <w:rsid w:val="00EF62C1"/>
    <w:rsid w:val="00EF63C2"/>
    <w:rsid w:val="00EF6706"/>
    <w:rsid w:val="00EF670A"/>
    <w:rsid w:val="00EF69C2"/>
    <w:rsid w:val="00EF6F92"/>
    <w:rsid w:val="00EF6FFC"/>
    <w:rsid w:val="00EF75B8"/>
    <w:rsid w:val="00EF77D3"/>
    <w:rsid w:val="00EF79D1"/>
    <w:rsid w:val="00EF7A6F"/>
    <w:rsid w:val="00EF7A84"/>
    <w:rsid w:val="00EF7AC6"/>
    <w:rsid w:val="00EF7C1C"/>
    <w:rsid w:val="00EF7CC6"/>
    <w:rsid w:val="00F002D8"/>
    <w:rsid w:val="00F00B7D"/>
    <w:rsid w:val="00F00EA0"/>
    <w:rsid w:val="00F00F70"/>
    <w:rsid w:val="00F010FB"/>
    <w:rsid w:val="00F01259"/>
    <w:rsid w:val="00F012FB"/>
    <w:rsid w:val="00F01860"/>
    <w:rsid w:val="00F0229A"/>
    <w:rsid w:val="00F0365C"/>
    <w:rsid w:val="00F03894"/>
    <w:rsid w:val="00F03FA1"/>
    <w:rsid w:val="00F03FBB"/>
    <w:rsid w:val="00F03FE5"/>
    <w:rsid w:val="00F04296"/>
    <w:rsid w:val="00F0443F"/>
    <w:rsid w:val="00F045E4"/>
    <w:rsid w:val="00F04906"/>
    <w:rsid w:val="00F04A9A"/>
    <w:rsid w:val="00F04E95"/>
    <w:rsid w:val="00F052BC"/>
    <w:rsid w:val="00F055B7"/>
    <w:rsid w:val="00F05885"/>
    <w:rsid w:val="00F0594A"/>
    <w:rsid w:val="00F05B2E"/>
    <w:rsid w:val="00F05FCE"/>
    <w:rsid w:val="00F06B7C"/>
    <w:rsid w:val="00F0768F"/>
    <w:rsid w:val="00F079A1"/>
    <w:rsid w:val="00F07F19"/>
    <w:rsid w:val="00F10342"/>
    <w:rsid w:val="00F10E33"/>
    <w:rsid w:val="00F10F66"/>
    <w:rsid w:val="00F113E9"/>
    <w:rsid w:val="00F1150D"/>
    <w:rsid w:val="00F118C5"/>
    <w:rsid w:val="00F11C7D"/>
    <w:rsid w:val="00F123E0"/>
    <w:rsid w:val="00F124B5"/>
    <w:rsid w:val="00F12A39"/>
    <w:rsid w:val="00F12E5A"/>
    <w:rsid w:val="00F13574"/>
    <w:rsid w:val="00F13793"/>
    <w:rsid w:val="00F13F5B"/>
    <w:rsid w:val="00F145B7"/>
    <w:rsid w:val="00F14D4F"/>
    <w:rsid w:val="00F1511B"/>
    <w:rsid w:val="00F15164"/>
    <w:rsid w:val="00F159F3"/>
    <w:rsid w:val="00F15F41"/>
    <w:rsid w:val="00F163D0"/>
    <w:rsid w:val="00F16C85"/>
    <w:rsid w:val="00F16CED"/>
    <w:rsid w:val="00F16E07"/>
    <w:rsid w:val="00F17358"/>
    <w:rsid w:val="00F17688"/>
    <w:rsid w:val="00F17B21"/>
    <w:rsid w:val="00F17D30"/>
    <w:rsid w:val="00F17DA1"/>
    <w:rsid w:val="00F20054"/>
    <w:rsid w:val="00F20183"/>
    <w:rsid w:val="00F20775"/>
    <w:rsid w:val="00F20971"/>
    <w:rsid w:val="00F20D06"/>
    <w:rsid w:val="00F20ECE"/>
    <w:rsid w:val="00F21124"/>
    <w:rsid w:val="00F215D4"/>
    <w:rsid w:val="00F225F0"/>
    <w:rsid w:val="00F22854"/>
    <w:rsid w:val="00F22F92"/>
    <w:rsid w:val="00F231B9"/>
    <w:rsid w:val="00F23836"/>
    <w:rsid w:val="00F24003"/>
    <w:rsid w:val="00F24028"/>
    <w:rsid w:val="00F24353"/>
    <w:rsid w:val="00F243A7"/>
    <w:rsid w:val="00F244CD"/>
    <w:rsid w:val="00F244F0"/>
    <w:rsid w:val="00F24973"/>
    <w:rsid w:val="00F249DC"/>
    <w:rsid w:val="00F24ADB"/>
    <w:rsid w:val="00F24B0C"/>
    <w:rsid w:val="00F24B85"/>
    <w:rsid w:val="00F259B5"/>
    <w:rsid w:val="00F25EA9"/>
    <w:rsid w:val="00F268D8"/>
    <w:rsid w:val="00F2698A"/>
    <w:rsid w:val="00F26D01"/>
    <w:rsid w:val="00F26F20"/>
    <w:rsid w:val="00F2711E"/>
    <w:rsid w:val="00F274F6"/>
    <w:rsid w:val="00F27F27"/>
    <w:rsid w:val="00F3005A"/>
    <w:rsid w:val="00F3008E"/>
    <w:rsid w:val="00F3016A"/>
    <w:rsid w:val="00F3056A"/>
    <w:rsid w:val="00F30903"/>
    <w:rsid w:val="00F310D7"/>
    <w:rsid w:val="00F313DE"/>
    <w:rsid w:val="00F31808"/>
    <w:rsid w:val="00F31951"/>
    <w:rsid w:val="00F31BAD"/>
    <w:rsid w:val="00F31E04"/>
    <w:rsid w:val="00F31E31"/>
    <w:rsid w:val="00F322AB"/>
    <w:rsid w:val="00F327C8"/>
    <w:rsid w:val="00F329CA"/>
    <w:rsid w:val="00F32AD8"/>
    <w:rsid w:val="00F32C2D"/>
    <w:rsid w:val="00F33787"/>
    <w:rsid w:val="00F339F4"/>
    <w:rsid w:val="00F33A41"/>
    <w:rsid w:val="00F33B69"/>
    <w:rsid w:val="00F34814"/>
    <w:rsid w:val="00F34B78"/>
    <w:rsid w:val="00F34F1C"/>
    <w:rsid w:val="00F35123"/>
    <w:rsid w:val="00F35666"/>
    <w:rsid w:val="00F35B6D"/>
    <w:rsid w:val="00F362C1"/>
    <w:rsid w:val="00F37308"/>
    <w:rsid w:val="00F37404"/>
    <w:rsid w:val="00F37595"/>
    <w:rsid w:val="00F3762F"/>
    <w:rsid w:val="00F3770C"/>
    <w:rsid w:val="00F377A5"/>
    <w:rsid w:val="00F37AEB"/>
    <w:rsid w:val="00F37CAE"/>
    <w:rsid w:val="00F37E53"/>
    <w:rsid w:val="00F408F0"/>
    <w:rsid w:val="00F409AE"/>
    <w:rsid w:val="00F40CE8"/>
    <w:rsid w:val="00F40D3C"/>
    <w:rsid w:val="00F40ED2"/>
    <w:rsid w:val="00F41292"/>
    <w:rsid w:val="00F4132E"/>
    <w:rsid w:val="00F414D9"/>
    <w:rsid w:val="00F4155E"/>
    <w:rsid w:val="00F41561"/>
    <w:rsid w:val="00F41E1C"/>
    <w:rsid w:val="00F41E4F"/>
    <w:rsid w:val="00F42090"/>
    <w:rsid w:val="00F421F2"/>
    <w:rsid w:val="00F4229D"/>
    <w:rsid w:val="00F43038"/>
    <w:rsid w:val="00F431CB"/>
    <w:rsid w:val="00F43394"/>
    <w:rsid w:val="00F43955"/>
    <w:rsid w:val="00F43CB4"/>
    <w:rsid w:val="00F44155"/>
    <w:rsid w:val="00F445CC"/>
    <w:rsid w:val="00F44931"/>
    <w:rsid w:val="00F44A98"/>
    <w:rsid w:val="00F44C1C"/>
    <w:rsid w:val="00F44DFE"/>
    <w:rsid w:val="00F44F6D"/>
    <w:rsid w:val="00F455BD"/>
    <w:rsid w:val="00F457FA"/>
    <w:rsid w:val="00F45873"/>
    <w:rsid w:val="00F4653F"/>
    <w:rsid w:val="00F467BF"/>
    <w:rsid w:val="00F470A8"/>
    <w:rsid w:val="00F47A08"/>
    <w:rsid w:val="00F47D03"/>
    <w:rsid w:val="00F5025D"/>
    <w:rsid w:val="00F510BE"/>
    <w:rsid w:val="00F51380"/>
    <w:rsid w:val="00F519C9"/>
    <w:rsid w:val="00F51E2F"/>
    <w:rsid w:val="00F51EBE"/>
    <w:rsid w:val="00F521F9"/>
    <w:rsid w:val="00F5305D"/>
    <w:rsid w:val="00F535DC"/>
    <w:rsid w:val="00F5389C"/>
    <w:rsid w:val="00F54106"/>
    <w:rsid w:val="00F543EF"/>
    <w:rsid w:val="00F5491A"/>
    <w:rsid w:val="00F55082"/>
    <w:rsid w:val="00F5625D"/>
    <w:rsid w:val="00F56439"/>
    <w:rsid w:val="00F565DD"/>
    <w:rsid w:val="00F5692E"/>
    <w:rsid w:val="00F56A63"/>
    <w:rsid w:val="00F56C40"/>
    <w:rsid w:val="00F57018"/>
    <w:rsid w:val="00F57454"/>
    <w:rsid w:val="00F574F8"/>
    <w:rsid w:val="00F575AB"/>
    <w:rsid w:val="00F57AC9"/>
    <w:rsid w:val="00F57F8F"/>
    <w:rsid w:val="00F60781"/>
    <w:rsid w:val="00F60990"/>
    <w:rsid w:val="00F60E31"/>
    <w:rsid w:val="00F61364"/>
    <w:rsid w:val="00F61845"/>
    <w:rsid w:val="00F62468"/>
    <w:rsid w:val="00F625C5"/>
    <w:rsid w:val="00F62A7F"/>
    <w:rsid w:val="00F62AA5"/>
    <w:rsid w:val="00F62D6B"/>
    <w:rsid w:val="00F62D76"/>
    <w:rsid w:val="00F62F4C"/>
    <w:rsid w:val="00F630A4"/>
    <w:rsid w:val="00F633AC"/>
    <w:rsid w:val="00F633D7"/>
    <w:rsid w:val="00F64016"/>
    <w:rsid w:val="00F64253"/>
    <w:rsid w:val="00F64710"/>
    <w:rsid w:val="00F64888"/>
    <w:rsid w:val="00F649C6"/>
    <w:rsid w:val="00F64A6A"/>
    <w:rsid w:val="00F64D14"/>
    <w:rsid w:val="00F64D38"/>
    <w:rsid w:val="00F64D9B"/>
    <w:rsid w:val="00F64EE8"/>
    <w:rsid w:val="00F6503C"/>
    <w:rsid w:val="00F655B2"/>
    <w:rsid w:val="00F65713"/>
    <w:rsid w:val="00F65BE3"/>
    <w:rsid w:val="00F6642A"/>
    <w:rsid w:val="00F66AA5"/>
    <w:rsid w:val="00F66CF5"/>
    <w:rsid w:val="00F66E3D"/>
    <w:rsid w:val="00F66E9A"/>
    <w:rsid w:val="00F675B7"/>
    <w:rsid w:val="00F6788A"/>
    <w:rsid w:val="00F67955"/>
    <w:rsid w:val="00F67AD5"/>
    <w:rsid w:val="00F70082"/>
    <w:rsid w:val="00F706C0"/>
    <w:rsid w:val="00F707AA"/>
    <w:rsid w:val="00F70C0D"/>
    <w:rsid w:val="00F70E61"/>
    <w:rsid w:val="00F711DE"/>
    <w:rsid w:val="00F71424"/>
    <w:rsid w:val="00F7142F"/>
    <w:rsid w:val="00F7158E"/>
    <w:rsid w:val="00F7186A"/>
    <w:rsid w:val="00F71CB1"/>
    <w:rsid w:val="00F71DE2"/>
    <w:rsid w:val="00F7217A"/>
    <w:rsid w:val="00F72195"/>
    <w:rsid w:val="00F72241"/>
    <w:rsid w:val="00F725E6"/>
    <w:rsid w:val="00F72705"/>
    <w:rsid w:val="00F72C2F"/>
    <w:rsid w:val="00F72E54"/>
    <w:rsid w:val="00F72EFF"/>
    <w:rsid w:val="00F73208"/>
    <w:rsid w:val="00F7365B"/>
    <w:rsid w:val="00F736BC"/>
    <w:rsid w:val="00F7373E"/>
    <w:rsid w:val="00F73AED"/>
    <w:rsid w:val="00F74562"/>
    <w:rsid w:val="00F74742"/>
    <w:rsid w:val="00F749D9"/>
    <w:rsid w:val="00F74B13"/>
    <w:rsid w:val="00F74B88"/>
    <w:rsid w:val="00F74BC4"/>
    <w:rsid w:val="00F7531B"/>
    <w:rsid w:val="00F75457"/>
    <w:rsid w:val="00F75A0A"/>
    <w:rsid w:val="00F75A10"/>
    <w:rsid w:val="00F75C8C"/>
    <w:rsid w:val="00F75F09"/>
    <w:rsid w:val="00F75F45"/>
    <w:rsid w:val="00F76ABF"/>
    <w:rsid w:val="00F77825"/>
    <w:rsid w:val="00F77827"/>
    <w:rsid w:val="00F7791A"/>
    <w:rsid w:val="00F77A47"/>
    <w:rsid w:val="00F77CE2"/>
    <w:rsid w:val="00F806AA"/>
    <w:rsid w:val="00F810C0"/>
    <w:rsid w:val="00F8164F"/>
    <w:rsid w:val="00F81756"/>
    <w:rsid w:val="00F81819"/>
    <w:rsid w:val="00F818EE"/>
    <w:rsid w:val="00F81E6E"/>
    <w:rsid w:val="00F81F98"/>
    <w:rsid w:val="00F82135"/>
    <w:rsid w:val="00F8275C"/>
    <w:rsid w:val="00F82A51"/>
    <w:rsid w:val="00F82AE5"/>
    <w:rsid w:val="00F8366E"/>
    <w:rsid w:val="00F83D9B"/>
    <w:rsid w:val="00F84050"/>
    <w:rsid w:val="00F8413B"/>
    <w:rsid w:val="00F843FF"/>
    <w:rsid w:val="00F84732"/>
    <w:rsid w:val="00F8488D"/>
    <w:rsid w:val="00F848C8"/>
    <w:rsid w:val="00F84B54"/>
    <w:rsid w:val="00F84C8B"/>
    <w:rsid w:val="00F84CAD"/>
    <w:rsid w:val="00F84F7D"/>
    <w:rsid w:val="00F85106"/>
    <w:rsid w:val="00F851AB"/>
    <w:rsid w:val="00F85400"/>
    <w:rsid w:val="00F85514"/>
    <w:rsid w:val="00F855F5"/>
    <w:rsid w:val="00F860F7"/>
    <w:rsid w:val="00F8660E"/>
    <w:rsid w:val="00F866C4"/>
    <w:rsid w:val="00F868C2"/>
    <w:rsid w:val="00F86CDA"/>
    <w:rsid w:val="00F87081"/>
    <w:rsid w:val="00F8751A"/>
    <w:rsid w:val="00F876EA"/>
    <w:rsid w:val="00F8777C"/>
    <w:rsid w:val="00F878AC"/>
    <w:rsid w:val="00F878B6"/>
    <w:rsid w:val="00F87EAE"/>
    <w:rsid w:val="00F90009"/>
    <w:rsid w:val="00F9079F"/>
    <w:rsid w:val="00F90BCD"/>
    <w:rsid w:val="00F90CA8"/>
    <w:rsid w:val="00F90DAB"/>
    <w:rsid w:val="00F91269"/>
    <w:rsid w:val="00F912F1"/>
    <w:rsid w:val="00F913D4"/>
    <w:rsid w:val="00F91476"/>
    <w:rsid w:val="00F91496"/>
    <w:rsid w:val="00F9165E"/>
    <w:rsid w:val="00F91D7C"/>
    <w:rsid w:val="00F91FC5"/>
    <w:rsid w:val="00F92318"/>
    <w:rsid w:val="00F92454"/>
    <w:rsid w:val="00F92B6B"/>
    <w:rsid w:val="00F92D6D"/>
    <w:rsid w:val="00F92DC6"/>
    <w:rsid w:val="00F93309"/>
    <w:rsid w:val="00F936B5"/>
    <w:rsid w:val="00F93C97"/>
    <w:rsid w:val="00F93D2D"/>
    <w:rsid w:val="00F9403C"/>
    <w:rsid w:val="00F94367"/>
    <w:rsid w:val="00F94648"/>
    <w:rsid w:val="00F9479A"/>
    <w:rsid w:val="00F94CBD"/>
    <w:rsid w:val="00F9502A"/>
    <w:rsid w:val="00F950A2"/>
    <w:rsid w:val="00F957A5"/>
    <w:rsid w:val="00F95A45"/>
    <w:rsid w:val="00F95BDB"/>
    <w:rsid w:val="00F95E3F"/>
    <w:rsid w:val="00F9640B"/>
    <w:rsid w:val="00F969FF"/>
    <w:rsid w:val="00F96E44"/>
    <w:rsid w:val="00F9704C"/>
    <w:rsid w:val="00F97632"/>
    <w:rsid w:val="00F9782F"/>
    <w:rsid w:val="00F97FE7"/>
    <w:rsid w:val="00FA00DA"/>
    <w:rsid w:val="00FA01F9"/>
    <w:rsid w:val="00FA0416"/>
    <w:rsid w:val="00FA09D5"/>
    <w:rsid w:val="00FA0BA5"/>
    <w:rsid w:val="00FA0F25"/>
    <w:rsid w:val="00FA0F77"/>
    <w:rsid w:val="00FA1344"/>
    <w:rsid w:val="00FA174F"/>
    <w:rsid w:val="00FA19F8"/>
    <w:rsid w:val="00FA1F46"/>
    <w:rsid w:val="00FA1F8C"/>
    <w:rsid w:val="00FA21BA"/>
    <w:rsid w:val="00FA2296"/>
    <w:rsid w:val="00FA26F6"/>
    <w:rsid w:val="00FA2AFF"/>
    <w:rsid w:val="00FA2B7B"/>
    <w:rsid w:val="00FA2BF8"/>
    <w:rsid w:val="00FA2C63"/>
    <w:rsid w:val="00FA3008"/>
    <w:rsid w:val="00FA34C2"/>
    <w:rsid w:val="00FA37C9"/>
    <w:rsid w:val="00FA398E"/>
    <w:rsid w:val="00FA404A"/>
    <w:rsid w:val="00FA439B"/>
    <w:rsid w:val="00FA4613"/>
    <w:rsid w:val="00FA4C60"/>
    <w:rsid w:val="00FA521A"/>
    <w:rsid w:val="00FA521D"/>
    <w:rsid w:val="00FA526F"/>
    <w:rsid w:val="00FA534B"/>
    <w:rsid w:val="00FA5F95"/>
    <w:rsid w:val="00FA6B49"/>
    <w:rsid w:val="00FA7410"/>
    <w:rsid w:val="00FA74AF"/>
    <w:rsid w:val="00FA7A2B"/>
    <w:rsid w:val="00FA7DAF"/>
    <w:rsid w:val="00FB00F4"/>
    <w:rsid w:val="00FB0173"/>
    <w:rsid w:val="00FB0203"/>
    <w:rsid w:val="00FB0223"/>
    <w:rsid w:val="00FB02F2"/>
    <w:rsid w:val="00FB053E"/>
    <w:rsid w:val="00FB07DC"/>
    <w:rsid w:val="00FB0B18"/>
    <w:rsid w:val="00FB0E6E"/>
    <w:rsid w:val="00FB1707"/>
    <w:rsid w:val="00FB199C"/>
    <w:rsid w:val="00FB1B8E"/>
    <w:rsid w:val="00FB1EFC"/>
    <w:rsid w:val="00FB222F"/>
    <w:rsid w:val="00FB2401"/>
    <w:rsid w:val="00FB27F9"/>
    <w:rsid w:val="00FB2843"/>
    <w:rsid w:val="00FB2C95"/>
    <w:rsid w:val="00FB2CB7"/>
    <w:rsid w:val="00FB3068"/>
    <w:rsid w:val="00FB317E"/>
    <w:rsid w:val="00FB3353"/>
    <w:rsid w:val="00FB348D"/>
    <w:rsid w:val="00FB3734"/>
    <w:rsid w:val="00FB389A"/>
    <w:rsid w:val="00FB3C62"/>
    <w:rsid w:val="00FB3F08"/>
    <w:rsid w:val="00FB454B"/>
    <w:rsid w:val="00FB47C0"/>
    <w:rsid w:val="00FB4991"/>
    <w:rsid w:val="00FB4E54"/>
    <w:rsid w:val="00FB50F6"/>
    <w:rsid w:val="00FB5103"/>
    <w:rsid w:val="00FB5123"/>
    <w:rsid w:val="00FB6A70"/>
    <w:rsid w:val="00FB6AD2"/>
    <w:rsid w:val="00FB6DF2"/>
    <w:rsid w:val="00FB76D3"/>
    <w:rsid w:val="00FB7933"/>
    <w:rsid w:val="00FB7C72"/>
    <w:rsid w:val="00FB7C8E"/>
    <w:rsid w:val="00FC02A9"/>
    <w:rsid w:val="00FC0312"/>
    <w:rsid w:val="00FC05DC"/>
    <w:rsid w:val="00FC06D1"/>
    <w:rsid w:val="00FC0AE5"/>
    <w:rsid w:val="00FC0B45"/>
    <w:rsid w:val="00FC1205"/>
    <w:rsid w:val="00FC1293"/>
    <w:rsid w:val="00FC14ED"/>
    <w:rsid w:val="00FC1B9C"/>
    <w:rsid w:val="00FC1E3F"/>
    <w:rsid w:val="00FC1FEB"/>
    <w:rsid w:val="00FC2048"/>
    <w:rsid w:val="00FC2177"/>
    <w:rsid w:val="00FC270A"/>
    <w:rsid w:val="00FC27E4"/>
    <w:rsid w:val="00FC2B36"/>
    <w:rsid w:val="00FC2C3E"/>
    <w:rsid w:val="00FC31C6"/>
    <w:rsid w:val="00FC326A"/>
    <w:rsid w:val="00FC3C66"/>
    <w:rsid w:val="00FC3D9A"/>
    <w:rsid w:val="00FC3F40"/>
    <w:rsid w:val="00FC3FBC"/>
    <w:rsid w:val="00FC4139"/>
    <w:rsid w:val="00FC4300"/>
    <w:rsid w:val="00FC434B"/>
    <w:rsid w:val="00FC43EF"/>
    <w:rsid w:val="00FC440E"/>
    <w:rsid w:val="00FC4845"/>
    <w:rsid w:val="00FC48BC"/>
    <w:rsid w:val="00FC5101"/>
    <w:rsid w:val="00FC5539"/>
    <w:rsid w:val="00FC589F"/>
    <w:rsid w:val="00FC5DDC"/>
    <w:rsid w:val="00FC5DE7"/>
    <w:rsid w:val="00FC63C4"/>
    <w:rsid w:val="00FC65B3"/>
    <w:rsid w:val="00FC65FE"/>
    <w:rsid w:val="00FC66AB"/>
    <w:rsid w:val="00FC6CBF"/>
    <w:rsid w:val="00FC6D5A"/>
    <w:rsid w:val="00FC7071"/>
    <w:rsid w:val="00FC716F"/>
    <w:rsid w:val="00FC755F"/>
    <w:rsid w:val="00FC76D7"/>
    <w:rsid w:val="00FD0315"/>
    <w:rsid w:val="00FD07AB"/>
    <w:rsid w:val="00FD0EF3"/>
    <w:rsid w:val="00FD0F26"/>
    <w:rsid w:val="00FD13AA"/>
    <w:rsid w:val="00FD14BD"/>
    <w:rsid w:val="00FD14E1"/>
    <w:rsid w:val="00FD16E6"/>
    <w:rsid w:val="00FD19CC"/>
    <w:rsid w:val="00FD1CFB"/>
    <w:rsid w:val="00FD208B"/>
    <w:rsid w:val="00FD3944"/>
    <w:rsid w:val="00FD3A52"/>
    <w:rsid w:val="00FD3AD6"/>
    <w:rsid w:val="00FD3FE2"/>
    <w:rsid w:val="00FD411B"/>
    <w:rsid w:val="00FD4125"/>
    <w:rsid w:val="00FD413B"/>
    <w:rsid w:val="00FD4DC1"/>
    <w:rsid w:val="00FD50B1"/>
    <w:rsid w:val="00FD52B2"/>
    <w:rsid w:val="00FD58E6"/>
    <w:rsid w:val="00FD6006"/>
    <w:rsid w:val="00FD6057"/>
    <w:rsid w:val="00FD675A"/>
    <w:rsid w:val="00FD78FD"/>
    <w:rsid w:val="00FD7984"/>
    <w:rsid w:val="00FD7EE4"/>
    <w:rsid w:val="00FD7F2F"/>
    <w:rsid w:val="00FE0250"/>
    <w:rsid w:val="00FE06F3"/>
    <w:rsid w:val="00FE0907"/>
    <w:rsid w:val="00FE09C9"/>
    <w:rsid w:val="00FE0EE6"/>
    <w:rsid w:val="00FE0FD0"/>
    <w:rsid w:val="00FE137A"/>
    <w:rsid w:val="00FE1D33"/>
    <w:rsid w:val="00FE1EC1"/>
    <w:rsid w:val="00FE261A"/>
    <w:rsid w:val="00FE2825"/>
    <w:rsid w:val="00FE320D"/>
    <w:rsid w:val="00FE3B22"/>
    <w:rsid w:val="00FE3C01"/>
    <w:rsid w:val="00FE3F64"/>
    <w:rsid w:val="00FE3FB6"/>
    <w:rsid w:val="00FE4149"/>
    <w:rsid w:val="00FE41DC"/>
    <w:rsid w:val="00FE4EC8"/>
    <w:rsid w:val="00FE5002"/>
    <w:rsid w:val="00FE5B80"/>
    <w:rsid w:val="00FE5DE5"/>
    <w:rsid w:val="00FE67CA"/>
    <w:rsid w:val="00FE76D3"/>
    <w:rsid w:val="00FE7953"/>
    <w:rsid w:val="00FE7F14"/>
    <w:rsid w:val="00FF032B"/>
    <w:rsid w:val="00FF0A33"/>
    <w:rsid w:val="00FF0BAE"/>
    <w:rsid w:val="00FF1664"/>
    <w:rsid w:val="00FF1A9D"/>
    <w:rsid w:val="00FF1B97"/>
    <w:rsid w:val="00FF20E3"/>
    <w:rsid w:val="00FF2343"/>
    <w:rsid w:val="00FF2599"/>
    <w:rsid w:val="00FF2A4E"/>
    <w:rsid w:val="00FF2E83"/>
    <w:rsid w:val="00FF2ED1"/>
    <w:rsid w:val="00FF31FA"/>
    <w:rsid w:val="00FF3F21"/>
    <w:rsid w:val="00FF475D"/>
    <w:rsid w:val="00FF4775"/>
    <w:rsid w:val="00FF4C6A"/>
    <w:rsid w:val="00FF5492"/>
    <w:rsid w:val="00FF55A6"/>
    <w:rsid w:val="00FF63C9"/>
    <w:rsid w:val="00FF646D"/>
    <w:rsid w:val="00FF6B08"/>
    <w:rsid w:val="00FF6F84"/>
    <w:rsid w:val="00FF7006"/>
    <w:rsid w:val="00FF7754"/>
    <w:rsid w:val="00FF79DD"/>
    <w:rsid w:val="012EE3E0"/>
    <w:rsid w:val="02311E88"/>
    <w:rsid w:val="026DD566"/>
    <w:rsid w:val="033F9D03"/>
    <w:rsid w:val="0342F985"/>
    <w:rsid w:val="0447C884"/>
    <w:rsid w:val="04BAA40C"/>
    <w:rsid w:val="04F241A5"/>
    <w:rsid w:val="05385AA3"/>
    <w:rsid w:val="0538F734"/>
    <w:rsid w:val="054C4F76"/>
    <w:rsid w:val="05954600"/>
    <w:rsid w:val="05962243"/>
    <w:rsid w:val="0646D7A8"/>
    <w:rsid w:val="064C88BB"/>
    <w:rsid w:val="065A562F"/>
    <w:rsid w:val="069F4A6E"/>
    <w:rsid w:val="06E24F19"/>
    <w:rsid w:val="06E2D303"/>
    <w:rsid w:val="074420C4"/>
    <w:rsid w:val="0772CF54"/>
    <w:rsid w:val="077E10B6"/>
    <w:rsid w:val="07A36CEA"/>
    <w:rsid w:val="07BC4544"/>
    <w:rsid w:val="07DED624"/>
    <w:rsid w:val="07F2012A"/>
    <w:rsid w:val="08066EC1"/>
    <w:rsid w:val="08D71F8D"/>
    <w:rsid w:val="08DC6482"/>
    <w:rsid w:val="08E32AAF"/>
    <w:rsid w:val="091A01DC"/>
    <w:rsid w:val="097790E6"/>
    <w:rsid w:val="09BED8FE"/>
    <w:rsid w:val="09E63399"/>
    <w:rsid w:val="0A07A428"/>
    <w:rsid w:val="0A0CF2D1"/>
    <w:rsid w:val="0A305374"/>
    <w:rsid w:val="0A6973F2"/>
    <w:rsid w:val="0B3E0467"/>
    <w:rsid w:val="0B5B8EBC"/>
    <w:rsid w:val="0BBBCE5F"/>
    <w:rsid w:val="0BF98636"/>
    <w:rsid w:val="0D3BF93B"/>
    <w:rsid w:val="0D4AC25F"/>
    <w:rsid w:val="0D61E791"/>
    <w:rsid w:val="0E2316F2"/>
    <w:rsid w:val="0E590178"/>
    <w:rsid w:val="0E80D499"/>
    <w:rsid w:val="0E96E4A8"/>
    <w:rsid w:val="0EBE390E"/>
    <w:rsid w:val="0ED8ED83"/>
    <w:rsid w:val="0F1B01B1"/>
    <w:rsid w:val="0F420BFE"/>
    <w:rsid w:val="0F580FAB"/>
    <w:rsid w:val="0FB972C6"/>
    <w:rsid w:val="0FFE64E8"/>
    <w:rsid w:val="102682F3"/>
    <w:rsid w:val="103410E8"/>
    <w:rsid w:val="106B6F79"/>
    <w:rsid w:val="115A1D8A"/>
    <w:rsid w:val="11E92FB4"/>
    <w:rsid w:val="1229CE00"/>
    <w:rsid w:val="123E32D4"/>
    <w:rsid w:val="12779C1C"/>
    <w:rsid w:val="12DF947C"/>
    <w:rsid w:val="131D3D00"/>
    <w:rsid w:val="1333CF97"/>
    <w:rsid w:val="13487F35"/>
    <w:rsid w:val="134BBCDC"/>
    <w:rsid w:val="13A4967A"/>
    <w:rsid w:val="13B79126"/>
    <w:rsid w:val="143FA44E"/>
    <w:rsid w:val="145DE0D8"/>
    <w:rsid w:val="14E2EC95"/>
    <w:rsid w:val="157AA253"/>
    <w:rsid w:val="15A5E993"/>
    <w:rsid w:val="16327E3D"/>
    <w:rsid w:val="1668F152"/>
    <w:rsid w:val="167B7EC2"/>
    <w:rsid w:val="16D98EF1"/>
    <w:rsid w:val="16E25EBD"/>
    <w:rsid w:val="17055593"/>
    <w:rsid w:val="1724A106"/>
    <w:rsid w:val="174615A0"/>
    <w:rsid w:val="1756864F"/>
    <w:rsid w:val="17BD61B7"/>
    <w:rsid w:val="17EB2531"/>
    <w:rsid w:val="18071652"/>
    <w:rsid w:val="185030F5"/>
    <w:rsid w:val="18647229"/>
    <w:rsid w:val="18BF9A30"/>
    <w:rsid w:val="1903259B"/>
    <w:rsid w:val="1905E455"/>
    <w:rsid w:val="1917B733"/>
    <w:rsid w:val="1942E583"/>
    <w:rsid w:val="197D4B39"/>
    <w:rsid w:val="19A15B75"/>
    <w:rsid w:val="19BE8860"/>
    <w:rsid w:val="19ED2E5C"/>
    <w:rsid w:val="1A28399E"/>
    <w:rsid w:val="1A81AC72"/>
    <w:rsid w:val="1A911A9B"/>
    <w:rsid w:val="1AD52A6E"/>
    <w:rsid w:val="1AFACCB4"/>
    <w:rsid w:val="1B29F7EB"/>
    <w:rsid w:val="1B3770D1"/>
    <w:rsid w:val="1B9F91AC"/>
    <w:rsid w:val="1BA5A18C"/>
    <w:rsid w:val="1BBC41EB"/>
    <w:rsid w:val="1C2D2722"/>
    <w:rsid w:val="1C3DDF40"/>
    <w:rsid w:val="1C5C2D5E"/>
    <w:rsid w:val="1C622EB4"/>
    <w:rsid w:val="1C83D6A0"/>
    <w:rsid w:val="1CD2543E"/>
    <w:rsid w:val="1CE18A48"/>
    <w:rsid w:val="1D5D7F09"/>
    <w:rsid w:val="1D7A8301"/>
    <w:rsid w:val="1DACAFB2"/>
    <w:rsid w:val="1DCC470E"/>
    <w:rsid w:val="1E13BF9C"/>
    <w:rsid w:val="1E655E1F"/>
    <w:rsid w:val="1EC32CA5"/>
    <w:rsid w:val="1F08FDF2"/>
    <w:rsid w:val="1F96949C"/>
    <w:rsid w:val="1FBD7313"/>
    <w:rsid w:val="1FE4C62B"/>
    <w:rsid w:val="200BB14D"/>
    <w:rsid w:val="201C6F5D"/>
    <w:rsid w:val="20669200"/>
    <w:rsid w:val="20BA6C8A"/>
    <w:rsid w:val="20D75238"/>
    <w:rsid w:val="211D5DD0"/>
    <w:rsid w:val="2261CF81"/>
    <w:rsid w:val="229D44A5"/>
    <w:rsid w:val="22BD4DFC"/>
    <w:rsid w:val="2333F97E"/>
    <w:rsid w:val="2381D93B"/>
    <w:rsid w:val="2386F3D3"/>
    <w:rsid w:val="2390B70A"/>
    <w:rsid w:val="2392A65C"/>
    <w:rsid w:val="23B4E0C8"/>
    <w:rsid w:val="23BA617E"/>
    <w:rsid w:val="23C429A4"/>
    <w:rsid w:val="250B1BA7"/>
    <w:rsid w:val="253A00C4"/>
    <w:rsid w:val="25413B97"/>
    <w:rsid w:val="2577540D"/>
    <w:rsid w:val="259DFB6E"/>
    <w:rsid w:val="26675DE2"/>
    <w:rsid w:val="26867F9C"/>
    <w:rsid w:val="26C0F3FA"/>
    <w:rsid w:val="2718856C"/>
    <w:rsid w:val="2730EA70"/>
    <w:rsid w:val="2768AF0C"/>
    <w:rsid w:val="279A41AB"/>
    <w:rsid w:val="27C95528"/>
    <w:rsid w:val="2810752D"/>
    <w:rsid w:val="28725F28"/>
    <w:rsid w:val="287C07D0"/>
    <w:rsid w:val="28A29081"/>
    <w:rsid w:val="28F3E07A"/>
    <w:rsid w:val="290C3962"/>
    <w:rsid w:val="29AB980E"/>
    <w:rsid w:val="2A00F1D0"/>
    <w:rsid w:val="2A0C4B35"/>
    <w:rsid w:val="2A312C40"/>
    <w:rsid w:val="2A3581D0"/>
    <w:rsid w:val="2A6F5834"/>
    <w:rsid w:val="2A99ADC0"/>
    <w:rsid w:val="2AE9E4BB"/>
    <w:rsid w:val="2B27ACE8"/>
    <w:rsid w:val="2B74584E"/>
    <w:rsid w:val="2B8A9986"/>
    <w:rsid w:val="2B9AC360"/>
    <w:rsid w:val="2BE7DC75"/>
    <w:rsid w:val="2BF578BB"/>
    <w:rsid w:val="2C072AA9"/>
    <w:rsid w:val="2C413EF5"/>
    <w:rsid w:val="2C45256E"/>
    <w:rsid w:val="2C8D210C"/>
    <w:rsid w:val="2CC67ED4"/>
    <w:rsid w:val="2CD9720C"/>
    <w:rsid w:val="2D0805F4"/>
    <w:rsid w:val="2E07B1D9"/>
    <w:rsid w:val="2E938773"/>
    <w:rsid w:val="2F0FE3B3"/>
    <w:rsid w:val="2F402709"/>
    <w:rsid w:val="2F52EDCC"/>
    <w:rsid w:val="2F7B92C4"/>
    <w:rsid w:val="2F9C2B3C"/>
    <w:rsid w:val="2FC22298"/>
    <w:rsid w:val="3009A2F2"/>
    <w:rsid w:val="30219143"/>
    <w:rsid w:val="30EB0D80"/>
    <w:rsid w:val="30FE55F7"/>
    <w:rsid w:val="3137FFDA"/>
    <w:rsid w:val="313CC04F"/>
    <w:rsid w:val="31751326"/>
    <w:rsid w:val="31DC55CE"/>
    <w:rsid w:val="31F3CD8D"/>
    <w:rsid w:val="3224897A"/>
    <w:rsid w:val="3225D1BF"/>
    <w:rsid w:val="3242035B"/>
    <w:rsid w:val="32ADF044"/>
    <w:rsid w:val="32CC795A"/>
    <w:rsid w:val="33049EBD"/>
    <w:rsid w:val="33181233"/>
    <w:rsid w:val="331980EB"/>
    <w:rsid w:val="3336D570"/>
    <w:rsid w:val="33525977"/>
    <w:rsid w:val="335497C5"/>
    <w:rsid w:val="33624020"/>
    <w:rsid w:val="3391F5C6"/>
    <w:rsid w:val="33A26EA9"/>
    <w:rsid w:val="33FDC558"/>
    <w:rsid w:val="343ECC02"/>
    <w:rsid w:val="347F833A"/>
    <w:rsid w:val="347FA467"/>
    <w:rsid w:val="349CE96E"/>
    <w:rsid w:val="35603855"/>
    <w:rsid w:val="35852E02"/>
    <w:rsid w:val="3599AAE9"/>
    <w:rsid w:val="36350B46"/>
    <w:rsid w:val="36CBF2CD"/>
    <w:rsid w:val="36FE9F2A"/>
    <w:rsid w:val="37061C0D"/>
    <w:rsid w:val="373B4451"/>
    <w:rsid w:val="37EB0829"/>
    <w:rsid w:val="3850348F"/>
    <w:rsid w:val="38B4F16B"/>
    <w:rsid w:val="38EF7D26"/>
    <w:rsid w:val="390B7B4A"/>
    <w:rsid w:val="395745ED"/>
    <w:rsid w:val="39FBD74D"/>
    <w:rsid w:val="3A49E8B2"/>
    <w:rsid w:val="3A6CFF64"/>
    <w:rsid w:val="3A7A476B"/>
    <w:rsid w:val="3A846053"/>
    <w:rsid w:val="3AF99922"/>
    <w:rsid w:val="3B4EBB7F"/>
    <w:rsid w:val="3B8D0119"/>
    <w:rsid w:val="3C08F659"/>
    <w:rsid w:val="3C2EA369"/>
    <w:rsid w:val="3C9E34C1"/>
    <w:rsid w:val="3CBDA912"/>
    <w:rsid w:val="3D05B51B"/>
    <w:rsid w:val="3D1C687F"/>
    <w:rsid w:val="3D358186"/>
    <w:rsid w:val="3D7F9ECF"/>
    <w:rsid w:val="3E0FD510"/>
    <w:rsid w:val="3E281D49"/>
    <w:rsid w:val="3E338CD7"/>
    <w:rsid w:val="3E5FA425"/>
    <w:rsid w:val="3EE1FB5C"/>
    <w:rsid w:val="3EE4EFC0"/>
    <w:rsid w:val="3F3162E7"/>
    <w:rsid w:val="3F8687C4"/>
    <w:rsid w:val="3FB384CE"/>
    <w:rsid w:val="3FB8B451"/>
    <w:rsid w:val="4000E1B6"/>
    <w:rsid w:val="40371BAE"/>
    <w:rsid w:val="4046F6FA"/>
    <w:rsid w:val="40A2C6A8"/>
    <w:rsid w:val="41618953"/>
    <w:rsid w:val="41B27462"/>
    <w:rsid w:val="41D57C2D"/>
    <w:rsid w:val="41F41101"/>
    <w:rsid w:val="4234BCD4"/>
    <w:rsid w:val="4276B30C"/>
    <w:rsid w:val="42B87798"/>
    <w:rsid w:val="43327C50"/>
    <w:rsid w:val="4342A799"/>
    <w:rsid w:val="43558AC9"/>
    <w:rsid w:val="43781E25"/>
    <w:rsid w:val="438B64F8"/>
    <w:rsid w:val="43A6D762"/>
    <w:rsid w:val="43B7F088"/>
    <w:rsid w:val="4417F13D"/>
    <w:rsid w:val="442D147C"/>
    <w:rsid w:val="444C7397"/>
    <w:rsid w:val="447D2446"/>
    <w:rsid w:val="44A9C5A7"/>
    <w:rsid w:val="44D3298B"/>
    <w:rsid w:val="44D96A0E"/>
    <w:rsid w:val="45417B3B"/>
    <w:rsid w:val="45A21354"/>
    <w:rsid w:val="45BB794E"/>
    <w:rsid w:val="45E7B5A9"/>
    <w:rsid w:val="45FA0022"/>
    <w:rsid w:val="46094256"/>
    <w:rsid w:val="46263B00"/>
    <w:rsid w:val="4647E3B4"/>
    <w:rsid w:val="4727FEB5"/>
    <w:rsid w:val="47421434"/>
    <w:rsid w:val="47579D9A"/>
    <w:rsid w:val="47891B49"/>
    <w:rsid w:val="47BE2579"/>
    <w:rsid w:val="47CEEB12"/>
    <w:rsid w:val="47E53A54"/>
    <w:rsid w:val="4822D0BE"/>
    <w:rsid w:val="48293379"/>
    <w:rsid w:val="48B518D7"/>
    <w:rsid w:val="48C0EF29"/>
    <w:rsid w:val="49161235"/>
    <w:rsid w:val="4934EFF2"/>
    <w:rsid w:val="496B9917"/>
    <w:rsid w:val="49A0273F"/>
    <w:rsid w:val="49D4222F"/>
    <w:rsid w:val="4AF672EB"/>
    <w:rsid w:val="4B5B0BEB"/>
    <w:rsid w:val="4BA011E9"/>
    <w:rsid w:val="4BA15C28"/>
    <w:rsid w:val="4C4AC7E1"/>
    <w:rsid w:val="4C4D7639"/>
    <w:rsid w:val="4CC94C8B"/>
    <w:rsid w:val="4D0861BC"/>
    <w:rsid w:val="4D3BE396"/>
    <w:rsid w:val="4D402DDC"/>
    <w:rsid w:val="4D4154AC"/>
    <w:rsid w:val="4D5D3A9D"/>
    <w:rsid w:val="4DA6AAE5"/>
    <w:rsid w:val="4DAA3AEB"/>
    <w:rsid w:val="4DCC15B9"/>
    <w:rsid w:val="4E2F3AC4"/>
    <w:rsid w:val="4E688BF4"/>
    <w:rsid w:val="4E8F137F"/>
    <w:rsid w:val="4EE2928C"/>
    <w:rsid w:val="4EEF71F1"/>
    <w:rsid w:val="4F6EC837"/>
    <w:rsid w:val="4FB0E8BD"/>
    <w:rsid w:val="4FB9C208"/>
    <w:rsid w:val="4FC78915"/>
    <w:rsid w:val="50009DB1"/>
    <w:rsid w:val="50079FA9"/>
    <w:rsid w:val="50986E24"/>
    <w:rsid w:val="51027239"/>
    <w:rsid w:val="518BB7FA"/>
    <w:rsid w:val="51AFCBD7"/>
    <w:rsid w:val="52203127"/>
    <w:rsid w:val="5221EE5B"/>
    <w:rsid w:val="52F05191"/>
    <w:rsid w:val="533ADF33"/>
    <w:rsid w:val="5380327A"/>
    <w:rsid w:val="5399F6D6"/>
    <w:rsid w:val="539BA444"/>
    <w:rsid w:val="53E1BAC4"/>
    <w:rsid w:val="53ED346D"/>
    <w:rsid w:val="53FA7067"/>
    <w:rsid w:val="5407A560"/>
    <w:rsid w:val="54363284"/>
    <w:rsid w:val="545A39D6"/>
    <w:rsid w:val="54C4A431"/>
    <w:rsid w:val="54CF94DD"/>
    <w:rsid w:val="551A094F"/>
    <w:rsid w:val="55A093EE"/>
    <w:rsid w:val="55B0AB8A"/>
    <w:rsid w:val="55C29AD7"/>
    <w:rsid w:val="55F4B0D0"/>
    <w:rsid w:val="56268B69"/>
    <w:rsid w:val="5683C9B8"/>
    <w:rsid w:val="5687246B"/>
    <w:rsid w:val="5688CEF4"/>
    <w:rsid w:val="56D6F3D8"/>
    <w:rsid w:val="576178FE"/>
    <w:rsid w:val="576668A3"/>
    <w:rsid w:val="576C536F"/>
    <w:rsid w:val="57E33388"/>
    <w:rsid w:val="5854CA20"/>
    <w:rsid w:val="58EA6D61"/>
    <w:rsid w:val="58F08168"/>
    <w:rsid w:val="59045D28"/>
    <w:rsid w:val="5944A7BB"/>
    <w:rsid w:val="596BECF1"/>
    <w:rsid w:val="596F15C3"/>
    <w:rsid w:val="5A4D3C7B"/>
    <w:rsid w:val="5A58ADEC"/>
    <w:rsid w:val="5A5C657C"/>
    <w:rsid w:val="5A8A09B3"/>
    <w:rsid w:val="5A94F27B"/>
    <w:rsid w:val="5AB4690F"/>
    <w:rsid w:val="5AB5B607"/>
    <w:rsid w:val="5ACBBB86"/>
    <w:rsid w:val="5B12DFEB"/>
    <w:rsid w:val="5B2EEB30"/>
    <w:rsid w:val="5BD4E17C"/>
    <w:rsid w:val="5C0D51B1"/>
    <w:rsid w:val="5C837027"/>
    <w:rsid w:val="5CCDC12D"/>
    <w:rsid w:val="5D37B18F"/>
    <w:rsid w:val="5D723899"/>
    <w:rsid w:val="5D9E7539"/>
    <w:rsid w:val="5DA4F01A"/>
    <w:rsid w:val="5DD69489"/>
    <w:rsid w:val="5DDDF151"/>
    <w:rsid w:val="5DE401DB"/>
    <w:rsid w:val="5DEA289F"/>
    <w:rsid w:val="5DEACD6E"/>
    <w:rsid w:val="5DFEA628"/>
    <w:rsid w:val="5E563D93"/>
    <w:rsid w:val="5E6537A4"/>
    <w:rsid w:val="5E6EB734"/>
    <w:rsid w:val="5E7DC569"/>
    <w:rsid w:val="5EBAF61C"/>
    <w:rsid w:val="5EDA2BBD"/>
    <w:rsid w:val="5EF60A1F"/>
    <w:rsid w:val="5FC54DA5"/>
    <w:rsid w:val="607B83C4"/>
    <w:rsid w:val="607EFC1C"/>
    <w:rsid w:val="607FB9B8"/>
    <w:rsid w:val="608995E7"/>
    <w:rsid w:val="611FAC9C"/>
    <w:rsid w:val="612E7A9F"/>
    <w:rsid w:val="6141CCFC"/>
    <w:rsid w:val="614E96B8"/>
    <w:rsid w:val="61CC6926"/>
    <w:rsid w:val="6231A331"/>
    <w:rsid w:val="63120608"/>
    <w:rsid w:val="6376E109"/>
    <w:rsid w:val="639A8D47"/>
    <w:rsid w:val="63B0C24A"/>
    <w:rsid w:val="63CE2FC2"/>
    <w:rsid w:val="63E2EC96"/>
    <w:rsid w:val="644AC77F"/>
    <w:rsid w:val="64603D3B"/>
    <w:rsid w:val="6480219C"/>
    <w:rsid w:val="6480B842"/>
    <w:rsid w:val="64ADE574"/>
    <w:rsid w:val="64B835D6"/>
    <w:rsid w:val="64D6FEE6"/>
    <w:rsid w:val="64D8021A"/>
    <w:rsid w:val="64F5D61D"/>
    <w:rsid w:val="64F76CE9"/>
    <w:rsid w:val="65833C6A"/>
    <w:rsid w:val="65AF8083"/>
    <w:rsid w:val="65CDA894"/>
    <w:rsid w:val="661B9BD7"/>
    <w:rsid w:val="662F20DB"/>
    <w:rsid w:val="664688AF"/>
    <w:rsid w:val="665C2843"/>
    <w:rsid w:val="672415E1"/>
    <w:rsid w:val="67268272"/>
    <w:rsid w:val="676FEA81"/>
    <w:rsid w:val="67C2C8DE"/>
    <w:rsid w:val="67EE5DDD"/>
    <w:rsid w:val="67FC1323"/>
    <w:rsid w:val="68781B99"/>
    <w:rsid w:val="68A4052A"/>
    <w:rsid w:val="68C94886"/>
    <w:rsid w:val="68DA9861"/>
    <w:rsid w:val="68F42BF1"/>
    <w:rsid w:val="68F66453"/>
    <w:rsid w:val="6970FB38"/>
    <w:rsid w:val="69E90F2A"/>
    <w:rsid w:val="6A0C9B93"/>
    <w:rsid w:val="6A247D49"/>
    <w:rsid w:val="6A4C3F1B"/>
    <w:rsid w:val="6AA2BBDD"/>
    <w:rsid w:val="6AAD4C77"/>
    <w:rsid w:val="6AECC6C4"/>
    <w:rsid w:val="6AF4CF08"/>
    <w:rsid w:val="6B2A2DA4"/>
    <w:rsid w:val="6B47F5E1"/>
    <w:rsid w:val="6B7B207C"/>
    <w:rsid w:val="6BC2A428"/>
    <w:rsid w:val="6BEFEB7A"/>
    <w:rsid w:val="6C1588F2"/>
    <w:rsid w:val="6C1903B2"/>
    <w:rsid w:val="6C2F5E7E"/>
    <w:rsid w:val="6C68DF89"/>
    <w:rsid w:val="6D3CAD75"/>
    <w:rsid w:val="6D4DE6BA"/>
    <w:rsid w:val="6D6F9566"/>
    <w:rsid w:val="6DAA35F2"/>
    <w:rsid w:val="6DC9E06F"/>
    <w:rsid w:val="6DCC126B"/>
    <w:rsid w:val="6DCFE9F7"/>
    <w:rsid w:val="6DD82161"/>
    <w:rsid w:val="6E5EAC69"/>
    <w:rsid w:val="6EC92515"/>
    <w:rsid w:val="6F0C7E0B"/>
    <w:rsid w:val="6F0FA336"/>
    <w:rsid w:val="6F8A039A"/>
    <w:rsid w:val="6FCDB057"/>
    <w:rsid w:val="6FF56176"/>
    <w:rsid w:val="702856D2"/>
    <w:rsid w:val="708F82F1"/>
    <w:rsid w:val="70C5A9FA"/>
    <w:rsid w:val="70E0A426"/>
    <w:rsid w:val="712317A5"/>
    <w:rsid w:val="712D1458"/>
    <w:rsid w:val="714B3639"/>
    <w:rsid w:val="71790DB2"/>
    <w:rsid w:val="71A8E826"/>
    <w:rsid w:val="72CA4B8E"/>
    <w:rsid w:val="73268A2C"/>
    <w:rsid w:val="735570FF"/>
    <w:rsid w:val="739434D7"/>
    <w:rsid w:val="73B8047F"/>
    <w:rsid w:val="74017EA4"/>
    <w:rsid w:val="7409FB84"/>
    <w:rsid w:val="7439B5CB"/>
    <w:rsid w:val="743EC040"/>
    <w:rsid w:val="74444C96"/>
    <w:rsid w:val="7473C07F"/>
    <w:rsid w:val="749AAB6A"/>
    <w:rsid w:val="74EA6141"/>
    <w:rsid w:val="761E2ECE"/>
    <w:rsid w:val="7654E064"/>
    <w:rsid w:val="767E3124"/>
    <w:rsid w:val="77587720"/>
    <w:rsid w:val="778F1DE5"/>
    <w:rsid w:val="77C04C17"/>
    <w:rsid w:val="77DF057E"/>
    <w:rsid w:val="77E06621"/>
    <w:rsid w:val="77E1B1CE"/>
    <w:rsid w:val="77EEBCAA"/>
    <w:rsid w:val="781C6076"/>
    <w:rsid w:val="7824EE40"/>
    <w:rsid w:val="7835C438"/>
    <w:rsid w:val="78B957EC"/>
    <w:rsid w:val="78D0A4B3"/>
    <w:rsid w:val="78DDA443"/>
    <w:rsid w:val="78DFDD35"/>
    <w:rsid w:val="78E868F3"/>
    <w:rsid w:val="78F878E3"/>
    <w:rsid w:val="7A02A0AB"/>
    <w:rsid w:val="7A3C41F8"/>
    <w:rsid w:val="7A54154F"/>
    <w:rsid w:val="7A964D1E"/>
    <w:rsid w:val="7ABE00E7"/>
    <w:rsid w:val="7AEFCFAA"/>
    <w:rsid w:val="7AF864FB"/>
    <w:rsid w:val="7B623328"/>
    <w:rsid w:val="7B64E807"/>
    <w:rsid w:val="7B8A99BF"/>
    <w:rsid w:val="7B9EF9C6"/>
    <w:rsid w:val="7BBCBD8A"/>
    <w:rsid w:val="7BDBFB2D"/>
    <w:rsid w:val="7C3451E5"/>
    <w:rsid w:val="7C3E0A8A"/>
    <w:rsid w:val="7C618683"/>
    <w:rsid w:val="7CCCE072"/>
    <w:rsid w:val="7CF89FFF"/>
    <w:rsid w:val="7D36CDFF"/>
    <w:rsid w:val="7D75F350"/>
    <w:rsid w:val="7D7C80A0"/>
    <w:rsid w:val="7D8F2C44"/>
    <w:rsid w:val="7E230336"/>
    <w:rsid w:val="7E3432E9"/>
    <w:rsid w:val="7E4D5CF9"/>
    <w:rsid w:val="7E733A11"/>
    <w:rsid w:val="7FDDEF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1761"/>
  <w15:chartTrackingRefBased/>
  <w15:docId w15:val="{901C2550-84F7-49D1-A0C8-5618A186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8C"/>
  </w:style>
  <w:style w:type="paragraph" w:styleId="Heading1">
    <w:name w:val="heading 1"/>
    <w:basedOn w:val="Normal"/>
    <w:next w:val="Normal"/>
    <w:link w:val="Heading1Char"/>
    <w:uiPriority w:val="9"/>
    <w:qFormat/>
    <w:rsid w:val="002D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8F3"/>
    <w:pPr>
      <w:keepNext/>
      <w:keepLines/>
      <w:spacing w:before="160" w:after="80"/>
      <w:outlineLvl w:val="1"/>
    </w:pPr>
    <w:rPr>
      <w:rFonts w:ascii="Arial" w:eastAsiaTheme="majorEastAsia" w:hAnsi="Arial" w:cs="Arial"/>
      <w:b/>
      <w:color w:val="11846A"/>
      <w:sz w:val="32"/>
      <w:szCs w:val="32"/>
      <w:lang w:eastAsia="en-GB"/>
    </w:rPr>
  </w:style>
  <w:style w:type="paragraph" w:styleId="Heading3">
    <w:name w:val="heading 3"/>
    <w:basedOn w:val="Normal"/>
    <w:next w:val="Normal"/>
    <w:link w:val="Heading3Char"/>
    <w:uiPriority w:val="9"/>
    <w:unhideWhenUsed/>
    <w:qFormat/>
    <w:rsid w:val="00B568F3"/>
    <w:pPr>
      <w:keepNext/>
      <w:keepLines/>
      <w:spacing w:before="160" w:after="80"/>
      <w:outlineLvl w:val="2"/>
    </w:pPr>
    <w:rPr>
      <w:rFonts w:ascii="Arial" w:eastAsiaTheme="majorEastAsia" w:hAnsi="Arial" w:cs="Arial"/>
      <w:b/>
      <w:color w:val="000000" w:themeColor="text1"/>
      <w:sz w:val="28"/>
      <w:szCs w:val="28"/>
    </w:rPr>
  </w:style>
  <w:style w:type="paragraph" w:styleId="Heading4">
    <w:name w:val="heading 4"/>
    <w:basedOn w:val="Normal"/>
    <w:next w:val="Normal"/>
    <w:link w:val="Heading4Char"/>
    <w:uiPriority w:val="9"/>
    <w:semiHidden/>
    <w:unhideWhenUsed/>
    <w:qFormat/>
    <w:rsid w:val="002D1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8F3"/>
    <w:rPr>
      <w:rFonts w:ascii="Arial" w:eastAsiaTheme="majorEastAsia" w:hAnsi="Arial" w:cs="Arial"/>
      <w:b/>
      <w:color w:val="11846A"/>
      <w:sz w:val="32"/>
      <w:szCs w:val="32"/>
      <w:lang w:eastAsia="en-GB"/>
    </w:rPr>
  </w:style>
  <w:style w:type="character" w:customStyle="1" w:styleId="Heading3Char">
    <w:name w:val="Heading 3 Char"/>
    <w:basedOn w:val="DefaultParagraphFont"/>
    <w:link w:val="Heading3"/>
    <w:uiPriority w:val="9"/>
    <w:rsid w:val="00B568F3"/>
    <w:rPr>
      <w:rFonts w:ascii="Arial" w:eastAsiaTheme="majorEastAsia" w:hAnsi="Arial" w:cs="Arial"/>
      <w:b/>
      <w:color w:val="000000" w:themeColor="text1"/>
      <w:sz w:val="28"/>
      <w:szCs w:val="28"/>
    </w:rPr>
  </w:style>
  <w:style w:type="character" w:customStyle="1" w:styleId="Heading4Char">
    <w:name w:val="Heading 4 Char"/>
    <w:basedOn w:val="DefaultParagraphFont"/>
    <w:link w:val="Heading4"/>
    <w:uiPriority w:val="9"/>
    <w:semiHidden/>
    <w:rsid w:val="002D1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B1F"/>
    <w:rPr>
      <w:rFonts w:eastAsiaTheme="majorEastAsia" w:cstheme="majorBidi"/>
      <w:color w:val="272727" w:themeColor="text1" w:themeTint="D8"/>
    </w:rPr>
  </w:style>
  <w:style w:type="paragraph" w:styleId="Title">
    <w:name w:val="Title"/>
    <w:basedOn w:val="Normal"/>
    <w:next w:val="Normal"/>
    <w:link w:val="TitleChar"/>
    <w:uiPriority w:val="10"/>
    <w:qFormat/>
    <w:rsid w:val="002D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B1F"/>
    <w:pPr>
      <w:spacing w:before="160"/>
      <w:jc w:val="center"/>
    </w:pPr>
    <w:rPr>
      <w:i/>
      <w:iCs/>
      <w:color w:val="404040" w:themeColor="text1" w:themeTint="BF"/>
    </w:rPr>
  </w:style>
  <w:style w:type="character" w:customStyle="1" w:styleId="QuoteChar">
    <w:name w:val="Quote Char"/>
    <w:basedOn w:val="DefaultParagraphFont"/>
    <w:link w:val="Quote"/>
    <w:uiPriority w:val="29"/>
    <w:rsid w:val="002D1B1F"/>
    <w:rPr>
      <w:i/>
      <w:iCs/>
      <w:color w:val="404040" w:themeColor="text1" w:themeTint="BF"/>
    </w:rPr>
  </w:style>
  <w:style w:type="paragraph" w:styleId="ListParagraph">
    <w:name w:val="List Paragraph"/>
    <w:aliases w:val="F5 List Paragraph,List Paragraph1,List Paragraph3,OBC Bullet,L,B,Dot pt,No Spacing1,List Paragraph Char Char Char,Indicator Text,Numbered Para 1,Bullet Points,MAIN CONTENT,Bullet 1,List Paragraph11,List Paragraph12,Colorful List - Accent"/>
    <w:basedOn w:val="Normal"/>
    <w:link w:val="ListParagraphChar"/>
    <w:uiPriority w:val="34"/>
    <w:qFormat/>
    <w:rsid w:val="002D1B1F"/>
    <w:pPr>
      <w:ind w:left="720"/>
      <w:contextualSpacing/>
    </w:pPr>
  </w:style>
  <w:style w:type="character" w:styleId="IntenseEmphasis">
    <w:name w:val="Intense Emphasis"/>
    <w:basedOn w:val="DefaultParagraphFont"/>
    <w:uiPriority w:val="21"/>
    <w:qFormat/>
    <w:rsid w:val="002D1B1F"/>
    <w:rPr>
      <w:i/>
      <w:iCs/>
      <w:color w:val="0F4761" w:themeColor="accent1" w:themeShade="BF"/>
    </w:rPr>
  </w:style>
  <w:style w:type="paragraph" w:styleId="IntenseQuote">
    <w:name w:val="Intense Quote"/>
    <w:basedOn w:val="Normal"/>
    <w:next w:val="Normal"/>
    <w:link w:val="IntenseQuoteChar"/>
    <w:uiPriority w:val="30"/>
    <w:qFormat/>
    <w:rsid w:val="002D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B1F"/>
    <w:rPr>
      <w:i/>
      <w:iCs/>
      <w:color w:val="0F4761" w:themeColor="accent1" w:themeShade="BF"/>
    </w:rPr>
  </w:style>
  <w:style w:type="character" w:styleId="IntenseReference">
    <w:name w:val="Intense Reference"/>
    <w:basedOn w:val="DefaultParagraphFont"/>
    <w:uiPriority w:val="32"/>
    <w:qFormat/>
    <w:rsid w:val="002D1B1F"/>
    <w:rPr>
      <w:b/>
      <w:bCs/>
      <w:smallCaps/>
      <w:color w:val="0F4761" w:themeColor="accent1" w:themeShade="BF"/>
      <w:spacing w:val="5"/>
    </w:rPr>
  </w:style>
  <w:style w:type="table" w:styleId="TableGrid">
    <w:name w:val="Table Grid"/>
    <w:basedOn w:val="TableNormal"/>
    <w:uiPriority w:val="39"/>
    <w:rsid w:val="002D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1B1F"/>
    <w:rPr>
      <w:sz w:val="16"/>
      <w:szCs w:val="16"/>
    </w:rPr>
  </w:style>
  <w:style w:type="paragraph" w:styleId="CommentText">
    <w:name w:val="annotation text"/>
    <w:basedOn w:val="Normal"/>
    <w:link w:val="CommentTextChar"/>
    <w:uiPriority w:val="99"/>
    <w:unhideWhenUsed/>
    <w:rsid w:val="002D1B1F"/>
    <w:pPr>
      <w:spacing w:line="240" w:lineRule="auto"/>
    </w:pPr>
    <w:rPr>
      <w:sz w:val="20"/>
      <w:szCs w:val="20"/>
    </w:rPr>
  </w:style>
  <w:style w:type="character" w:customStyle="1" w:styleId="CommentTextChar">
    <w:name w:val="Comment Text Char"/>
    <w:basedOn w:val="DefaultParagraphFont"/>
    <w:link w:val="CommentText"/>
    <w:uiPriority w:val="99"/>
    <w:rsid w:val="002D1B1F"/>
    <w:rPr>
      <w:sz w:val="20"/>
      <w:szCs w:val="20"/>
    </w:rPr>
  </w:style>
  <w:style w:type="paragraph" w:styleId="CommentSubject">
    <w:name w:val="annotation subject"/>
    <w:basedOn w:val="CommentText"/>
    <w:next w:val="CommentText"/>
    <w:link w:val="CommentSubjectChar"/>
    <w:uiPriority w:val="99"/>
    <w:semiHidden/>
    <w:unhideWhenUsed/>
    <w:rsid w:val="002D1B1F"/>
    <w:rPr>
      <w:b/>
      <w:bCs/>
    </w:rPr>
  </w:style>
  <w:style w:type="character" w:customStyle="1" w:styleId="CommentSubjectChar">
    <w:name w:val="Comment Subject Char"/>
    <w:basedOn w:val="CommentTextChar"/>
    <w:link w:val="CommentSubject"/>
    <w:uiPriority w:val="99"/>
    <w:semiHidden/>
    <w:rsid w:val="002D1B1F"/>
    <w:rPr>
      <w:b/>
      <w:bCs/>
      <w:sz w:val="20"/>
      <w:szCs w:val="20"/>
    </w:rPr>
  </w:style>
  <w:style w:type="paragraph" w:styleId="BalloonText">
    <w:name w:val="Balloon Text"/>
    <w:basedOn w:val="Normal"/>
    <w:link w:val="BalloonTextChar"/>
    <w:uiPriority w:val="99"/>
    <w:semiHidden/>
    <w:unhideWhenUsed/>
    <w:rsid w:val="002D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1F"/>
    <w:rPr>
      <w:rFonts w:ascii="Segoe UI" w:hAnsi="Segoe UI" w:cs="Segoe UI"/>
      <w:sz w:val="18"/>
      <w:szCs w:val="18"/>
    </w:rPr>
  </w:style>
  <w:style w:type="paragraph" w:customStyle="1" w:styleId="paragraph">
    <w:name w:val="paragraph"/>
    <w:basedOn w:val="Normal"/>
    <w:rsid w:val="002D1B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B1F"/>
  </w:style>
  <w:style w:type="character" w:customStyle="1" w:styleId="eop">
    <w:name w:val="eop"/>
    <w:basedOn w:val="DefaultParagraphFont"/>
    <w:rsid w:val="002D1B1F"/>
  </w:style>
  <w:style w:type="paragraph" w:styleId="Header">
    <w:name w:val="header"/>
    <w:basedOn w:val="Normal"/>
    <w:link w:val="HeaderChar"/>
    <w:uiPriority w:val="99"/>
    <w:unhideWhenUsed/>
    <w:rsid w:val="002D1B1F"/>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2D1B1F"/>
    <w:rPr>
      <w:kern w:val="2"/>
      <w14:ligatures w14:val="standardContextual"/>
    </w:rPr>
  </w:style>
  <w:style w:type="paragraph" w:styleId="Footer">
    <w:name w:val="footer"/>
    <w:basedOn w:val="Normal"/>
    <w:link w:val="FooterChar"/>
    <w:uiPriority w:val="99"/>
    <w:unhideWhenUsed/>
    <w:rsid w:val="002D1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B1F"/>
  </w:style>
  <w:style w:type="character" w:styleId="Hyperlink">
    <w:name w:val="Hyperlink"/>
    <w:basedOn w:val="DefaultParagraphFont"/>
    <w:uiPriority w:val="99"/>
    <w:unhideWhenUsed/>
    <w:rsid w:val="002D1B1F"/>
    <w:rPr>
      <w:color w:val="467886" w:themeColor="hyperlink"/>
      <w:u w:val="single"/>
    </w:rPr>
  </w:style>
  <w:style w:type="character" w:customStyle="1" w:styleId="ListParagraphChar">
    <w:name w:val="List Paragraph Char"/>
    <w:aliases w:val="F5 List Paragraph Char,List Paragraph1 Char,List Paragraph3 Char,OBC Bullet Char,L Char,B Char,Dot pt Char,No Spacing1 Char,List Paragraph Char Char Char Char,Indicator Text Char,Numbered Para 1 Char,Bullet Points Char,Bullet 1 Char"/>
    <w:link w:val="ListParagraph"/>
    <w:uiPriority w:val="34"/>
    <w:qFormat/>
    <w:locked/>
    <w:rsid w:val="002D1B1F"/>
  </w:style>
  <w:style w:type="character" w:styleId="FollowedHyperlink">
    <w:name w:val="FollowedHyperlink"/>
    <w:basedOn w:val="DefaultParagraphFont"/>
    <w:uiPriority w:val="99"/>
    <w:semiHidden/>
    <w:unhideWhenUsed/>
    <w:rsid w:val="002D1B1F"/>
    <w:rPr>
      <w:color w:val="96607D" w:themeColor="followedHyperlink"/>
      <w:u w:val="single"/>
    </w:rPr>
  </w:style>
  <w:style w:type="paragraph" w:styleId="NormalWeb">
    <w:name w:val="Normal (Web)"/>
    <w:basedOn w:val="Normal"/>
    <w:uiPriority w:val="99"/>
    <w:unhideWhenUsed/>
    <w:rsid w:val="002D1B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2D1B1F"/>
    <w:pPr>
      <w:spacing w:after="120"/>
    </w:pPr>
  </w:style>
  <w:style w:type="character" w:customStyle="1" w:styleId="BodyTextChar">
    <w:name w:val="Body Text Char"/>
    <w:basedOn w:val="DefaultParagraphFont"/>
    <w:link w:val="BodyText"/>
    <w:uiPriority w:val="99"/>
    <w:semiHidden/>
    <w:rsid w:val="002D1B1F"/>
  </w:style>
  <w:style w:type="paragraph" w:styleId="BodyTextFirstIndent">
    <w:name w:val="Body Text First Indent"/>
    <w:basedOn w:val="BodyText"/>
    <w:link w:val="BodyTextFirstIndentChar"/>
    <w:rsid w:val="002D1B1F"/>
    <w:pPr>
      <w:spacing w:line="240" w:lineRule="auto"/>
      <w:ind w:left="576"/>
    </w:pPr>
    <w:rPr>
      <w:rFonts w:ascii="Arial" w:eastAsia="Times New Roman" w:hAnsi="Arial" w:cs="Times New Roman"/>
      <w:sz w:val="24"/>
      <w:szCs w:val="20"/>
      <w:lang w:val="en-US" w:eastAsia="en-GB"/>
    </w:rPr>
  </w:style>
  <w:style w:type="character" w:customStyle="1" w:styleId="BodyTextFirstIndentChar">
    <w:name w:val="Body Text First Indent Char"/>
    <w:basedOn w:val="BodyTextChar"/>
    <w:link w:val="BodyTextFirstIndent"/>
    <w:rsid w:val="002D1B1F"/>
    <w:rPr>
      <w:rFonts w:ascii="Arial" w:eastAsia="Times New Roman" w:hAnsi="Arial" w:cs="Times New Roman"/>
      <w:sz w:val="24"/>
      <w:szCs w:val="20"/>
      <w:lang w:val="en-US" w:eastAsia="en-GB"/>
    </w:rPr>
  </w:style>
  <w:style w:type="character" w:styleId="Strong">
    <w:name w:val="Strong"/>
    <w:basedOn w:val="DefaultParagraphFont"/>
    <w:uiPriority w:val="22"/>
    <w:qFormat/>
    <w:rsid w:val="002D1B1F"/>
    <w:rPr>
      <w:b/>
      <w:bCs/>
    </w:rPr>
  </w:style>
  <w:style w:type="character" w:customStyle="1" w:styleId="fontsizelarge">
    <w:name w:val="fontsizelarge"/>
    <w:basedOn w:val="DefaultParagraphFont"/>
    <w:rsid w:val="002D1B1F"/>
  </w:style>
  <w:style w:type="paragraph" w:styleId="NoSpacing">
    <w:name w:val="No Spacing"/>
    <w:uiPriority w:val="1"/>
    <w:qFormat/>
    <w:rsid w:val="002D1B1F"/>
    <w:pPr>
      <w:spacing w:after="0" w:line="240" w:lineRule="auto"/>
    </w:pPr>
  </w:style>
  <w:style w:type="paragraph" w:styleId="FootnoteText">
    <w:name w:val="footnote text"/>
    <w:basedOn w:val="Normal"/>
    <w:link w:val="FootnoteTextChar"/>
    <w:uiPriority w:val="99"/>
    <w:semiHidden/>
    <w:unhideWhenUsed/>
    <w:rsid w:val="002D1B1F"/>
    <w:pPr>
      <w:spacing w:after="0"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2D1B1F"/>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2D1B1F"/>
    <w:rPr>
      <w:vertAlign w:val="superscript"/>
    </w:rPr>
  </w:style>
  <w:style w:type="character" w:styleId="UnresolvedMention">
    <w:name w:val="Unresolved Mention"/>
    <w:basedOn w:val="DefaultParagraphFont"/>
    <w:uiPriority w:val="99"/>
    <w:semiHidden/>
    <w:unhideWhenUsed/>
    <w:rsid w:val="002D1B1F"/>
    <w:rPr>
      <w:color w:val="605E5C"/>
      <w:shd w:val="clear" w:color="auto" w:fill="E1DFDD"/>
    </w:rPr>
  </w:style>
  <w:style w:type="paragraph" w:styleId="TOCHeading">
    <w:name w:val="TOC Heading"/>
    <w:basedOn w:val="Heading1"/>
    <w:next w:val="Normal"/>
    <w:uiPriority w:val="39"/>
    <w:unhideWhenUsed/>
    <w:qFormat/>
    <w:rsid w:val="002D1B1F"/>
    <w:pPr>
      <w:spacing w:before="240" w:after="0"/>
      <w:outlineLvl w:val="9"/>
    </w:pPr>
    <w:rPr>
      <w:sz w:val="32"/>
      <w:szCs w:val="32"/>
      <w:lang w:val="en-US"/>
    </w:rPr>
  </w:style>
  <w:style w:type="paragraph" w:styleId="TOC1">
    <w:name w:val="toc 1"/>
    <w:basedOn w:val="Normal"/>
    <w:next w:val="Normal"/>
    <w:autoRedefine/>
    <w:uiPriority w:val="39"/>
    <w:unhideWhenUsed/>
    <w:rsid w:val="002D1B1F"/>
    <w:pPr>
      <w:spacing w:after="100"/>
    </w:pPr>
  </w:style>
  <w:style w:type="paragraph" w:styleId="TOC2">
    <w:name w:val="toc 2"/>
    <w:basedOn w:val="Normal"/>
    <w:next w:val="Normal"/>
    <w:autoRedefine/>
    <w:uiPriority w:val="39"/>
    <w:unhideWhenUsed/>
    <w:rsid w:val="00335ADC"/>
    <w:pPr>
      <w:tabs>
        <w:tab w:val="right" w:leader="dot" w:pos="9016"/>
      </w:tabs>
      <w:spacing w:after="100"/>
    </w:pPr>
  </w:style>
  <w:style w:type="character" w:styleId="Mention">
    <w:name w:val="Mention"/>
    <w:basedOn w:val="DefaultParagraphFont"/>
    <w:uiPriority w:val="99"/>
    <w:unhideWhenUsed/>
    <w:rsid w:val="007D1B75"/>
    <w:rPr>
      <w:color w:val="2B579A"/>
      <w:shd w:val="clear" w:color="auto" w:fill="E1DFDD"/>
    </w:rPr>
  </w:style>
  <w:style w:type="table" w:styleId="TableGridLight">
    <w:name w:val="Grid Table Light"/>
    <w:basedOn w:val="TableNormal"/>
    <w:uiPriority w:val="40"/>
    <w:rsid w:val="006F1F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50089"/>
    <w:pPr>
      <w:spacing w:after="0" w:line="240" w:lineRule="auto"/>
    </w:pPr>
  </w:style>
  <w:style w:type="character" w:customStyle="1" w:styleId="fadeinm1hgl8">
    <w:name w:val="_fadein_m1hgl_8"/>
    <w:rsid w:val="004B0058"/>
  </w:style>
  <w:style w:type="paragraph" w:customStyle="1" w:styleId="TableParagraph">
    <w:name w:val="Table Paragraph"/>
    <w:basedOn w:val="Normal"/>
    <w:uiPriority w:val="1"/>
    <w:qFormat/>
    <w:rsid w:val="00D91A2F"/>
    <w:pPr>
      <w:widowControl w:val="0"/>
      <w:autoSpaceDE w:val="0"/>
      <w:autoSpaceDN w:val="0"/>
      <w:spacing w:after="0" w:line="240" w:lineRule="auto"/>
    </w:pPr>
    <w:rPr>
      <w:rFonts w:ascii="Arial" w:eastAsia="Arial" w:hAnsi="Arial" w:cs="Arial"/>
      <w:lang w:val="en-US"/>
    </w:rPr>
  </w:style>
  <w:style w:type="paragraph" w:styleId="TOC3">
    <w:name w:val="toc 3"/>
    <w:basedOn w:val="Normal"/>
    <w:next w:val="Normal"/>
    <w:autoRedefine/>
    <w:uiPriority w:val="39"/>
    <w:unhideWhenUsed/>
    <w:rsid w:val="00BD24C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8311">
      <w:bodyDiv w:val="1"/>
      <w:marLeft w:val="0"/>
      <w:marRight w:val="0"/>
      <w:marTop w:val="0"/>
      <w:marBottom w:val="0"/>
      <w:divBdr>
        <w:top w:val="none" w:sz="0" w:space="0" w:color="auto"/>
        <w:left w:val="none" w:sz="0" w:space="0" w:color="auto"/>
        <w:bottom w:val="none" w:sz="0" w:space="0" w:color="auto"/>
        <w:right w:val="none" w:sz="0" w:space="0" w:color="auto"/>
      </w:divBdr>
    </w:div>
    <w:div w:id="103614919">
      <w:bodyDiv w:val="1"/>
      <w:marLeft w:val="0"/>
      <w:marRight w:val="0"/>
      <w:marTop w:val="0"/>
      <w:marBottom w:val="0"/>
      <w:divBdr>
        <w:top w:val="none" w:sz="0" w:space="0" w:color="auto"/>
        <w:left w:val="none" w:sz="0" w:space="0" w:color="auto"/>
        <w:bottom w:val="none" w:sz="0" w:space="0" w:color="auto"/>
        <w:right w:val="none" w:sz="0" w:space="0" w:color="auto"/>
      </w:divBdr>
    </w:div>
    <w:div w:id="122817974">
      <w:bodyDiv w:val="1"/>
      <w:marLeft w:val="0"/>
      <w:marRight w:val="0"/>
      <w:marTop w:val="0"/>
      <w:marBottom w:val="0"/>
      <w:divBdr>
        <w:top w:val="none" w:sz="0" w:space="0" w:color="auto"/>
        <w:left w:val="none" w:sz="0" w:space="0" w:color="auto"/>
        <w:bottom w:val="none" w:sz="0" w:space="0" w:color="auto"/>
        <w:right w:val="none" w:sz="0" w:space="0" w:color="auto"/>
      </w:divBdr>
    </w:div>
    <w:div w:id="125703291">
      <w:bodyDiv w:val="1"/>
      <w:marLeft w:val="0"/>
      <w:marRight w:val="0"/>
      <w:marTop w:val="0"/>
      <w:marBottom w:val="0"/>
      <w:divBdr>
        <w:top w:val="none" w:sz="0" w:space="0" w:color="auto"/>
        <w:left w:val="none" w:sz="0" w:space="0" w:color="auto"/>
        <w:bottom w:val="none" w:sz="0" w:space="0" w:color="auto"/>
        <w:right w:val="none" w:sz="0" w:space="0" w:color="auto"/>
      </w:divBdr>
    </w:div>
    <w:div w:id="171455303">
      <w:bodyDiv w:val="1"/>
      <w:marLeft w:val="0"/>
      <w:marRight w:val="0"/>
      <w:marTop w:val="0"/>
      <w:marBottom w:val="0"/>
      <w:divBdr>
        <w:top w:val="none" w:sz="0" w:space="0" w:color="auto"/>
        <w:left w:val="none" w:sz="0" w:space="0" w:color="auto"/>
        <w:bottom w:val="none" w:sz="0" w:space="0" w:color="auto"/>
        <w:right w:val="none" w:sz="0" w:space="0" w:color="auto"/>
      </w:divBdr>
      <w:divsChild>
        <w:div w:id="304701030">
          <w:marLeft w:val="0"/>
          <w:marRight w:val="0"/>
          <w:marTop w:val="0"/>
          <w:marBottom w:val="0"/>
          <w:divBdr>
            <w:top w:val="none" w:sz="0" w:space="0" w:color="auto"/>
            <w:left w:val="none" w:sz="0" w:space="0" w:color="auto"/>
            <w:bottom w:val="none" w:sz="0" w:space="0" w:color="auto"/>
            <w:right w:val="none" w:sz="0" w:space="0" w:color="auto"/>
          </w:divBdr>
        </w:div>
      </w:divsChild>
    </w:div>
    <w:div w:id="184104150">
      <w:bodyDiv w:val="1"/>
      <w:marLeft w:val="0"/>
      <w:marRight w:val="0"/>
      <w:marTop w:val="0"/>
      <w:marBottom w:val="0"/>
      <w:divBdr>
        <w:top w:val="none" w:sz="0" w:space="0" w:color="auto"/>
        <w:left w:val="none" w:sz="0" w:space="0" w:color="auto"/>
        <w:bottom w:val="none" w:sz="0" w:space="0" w:color="auto"/>
        <w:right w:val="none" w:sz="0" w:space="0" w:color="auto"/>
      </w:divBdr>
    </w:div>
    <w:div w:id="185559584">
      <w:bodyDiv w:val="1"/>
      <w:marLeft w:val="0"/>
      <w:marRight w:val="0"/>
      <w:marTop w:val="0"/>
      <w:marBottom w:val="0"/>
      <w:divBdr>
        <w:top w:val="none" w:sz="0" w:space="0" w:color="auto"/>
        <w:left w:val="none" w:sz="0" w:space="0" w:color="auto"/>
        <w:bottom w:val="none" w:sz="0" w:space="0" w:color="auto"/>
        <w:right w:val="none" w:sz="0" w:space="0" w:color="auto"/>
      </w:divBdr>
    </w:div>
    <w:div w:id="279382467">
      <w:bodyDiv w:val="1"/>
      <w:marLeft w:val="0"/>
      <w:marRight w:val="0"/>
      <w:marTop w:val="0"/>
      <w:marBottom w:val="0"/>
      <w:divBdr>
        <w:top w:val="none" w:sz="0" w:space="0" w:color="auto"/>
        <w:left w:val="none" w:sz="0" w:space="0" w:color="auto"/>
        <w:bottom w:val="none" w:sz="0" w:space="0" w:color="auto"/>
        <w:right w:val="none" w:sz="0" w:space="0" w:color="auto"/>
      </w:divBdr>
    </w:div>
    <w:div w:id="285625875">
      <w:bodyDiv w:val="1"/>
      <w:marLeft w:val="0"/>
      <w:marRight w:val="0"/>
      <w:marTop w:val="0"/>
      <w:marBottom w:val="0"/>
      <w:divBdr>
        <w:top w:val="none" w:sz="0" w:space="0" w:color="auto"/>
        <w:left w:val="none" w:sz="0" w:space="0" w:color="auto"/>
        <w:bottom w:val="none" w:sz="0" w:space="0" w:color="auto"/>
        <w:right w:val="none" w:sz="0" w:space="0" w:color="auto"/>
      </w:divBdr>
    </w:div>
    <w:div w:id="290980092">
      <w:bodyDiv w:val="1"/>
      <w:marLeft w:val="0"/>
      <w:marRight w:val="0"/>
      <w:marTop w:val="0"/>
      <w:marBottom w:val="0"/>
      <w:divBdr>
        <w:top w:val="none" w:sz="0" w:space="0" w:color="auto"/>
        <w:left w:val="none" w:sz="0" w:space="0" w:color="auto"/>
        <w:bottom w:val="none" w:sz="0" w:space="0" w:color="auto"/>
        <w:right w:val="none" w:sz="0" w:space="0" w:color="auto"/>
      </w:divBdr>
    </w:div>
    <w:div w:id="293414706">
      <w:bodyDiv w:val="1"/>
      <w:marLeft w:val="0"/>
      <w:marRight w:val="0"/>
      <w:marTop w:val="0"/>
      <w:marBottom w:val="0"/>
      <w:divBdr>
        <w:top w:val="none" w:sz="0" w:space="0" w:color="auto"/>
        <w:left w:val="none" w:sz="0" w:space="0" w:color="auto"/>
        <w:bottom w:val="none" w:sz="0" w:space="0" w:color="auto"/>
        <w:right w:val="none" w:sz="0" w:space="0" w:color="auto"/>
      </w:divBdr>
      <w:divsChild>
        <w:div w:id="1140267824">
          <w:marLeft w:val="0"/>
          <w:marRight w:val="0"/>
          <w:marTop w:val="0"/>
          <w:marBottom w:val="0"/>
          <w:divBdr>
            <w:top w:val="none" w:sz="0" w:space="0" w:color="auto"/>
            <w:left w:val="none" w:sz="0" w:space="0" w:color="auto"/>
            <w:bottom w:val="none" w:sz="0" w:space="0" w:color="auto"/>
            <w:right w:val="none" w:sz="0" w:space="0" w:color="auto"/>
          </w:divBdr>
        </w:div>
      </w:divsChild>
    </w:div>
    <w:div w:id="299649196">
      <w:bodyDiv w:val="1"/>
      <w:marLeft w:val="0"/>
      <w:marRight w:val="0"/>
      <w:marTop w:val="0"/>
      <w:marBottom w:val="0"/>
      <w:divBdr>
        <w:top w:val="none" w:sz="0" w:space="0" w:color="auto"/>
        <w:left w:val="none" w:sz="0" w:space="0" w:color="auto"/>
        <w:bottom w:val="none" w:sz="0" w:space="0" w:color="auto"/>
        <w:right w:val="none" w:sz="0" w:space="0" w:color="auto"/>
      </w:divBdr>
    </w:div>
    <w:div w:id="380978882">
      <w:bodyDiv w:val="1"/>
      <w:marLeft w:val="0"/>
      <w:marRight w:val="0"/>
      <w:marTop w:val="0"/>
      <w:marBottom w:val="0"/>
      <w:divBdr>
        <w:top w:val="none" w:sz="0" w:space="0" w:color="auto"/>
        <w:left w:val="none" w:sz="0" w:space="0" w:color="auto"/>
        <w:bottom w:val="none" w:sz="0" w:space="0" w:color="auto"/>
        <w:right w:val="none" w:sz="0" w:space="0" w:color="auto"/>
      </w:divBdr>
    </w:div>
    <w:div w:id="397941596">
      <w:bodyDiv w:val="1"/>
      <w:marLeft w:val="0"/>
      <w:marRight w:val="0"/>
      <w:marTop w:val="0"/>
      <w:marBottom w:val="0"/>
      <w:divBdr>
        <w:top w:val="none" w:sz="0" w:space="0" w:color="auto"/>
        <w:left w:val="none" w:sz="0" w:space="0" w:color="auto"/>
        <w:bottom w:val="none" w:sz="0" w:space="0" w:color="auto"/>
        <w:right w:val="none" w:sz="0" w:space="0" w:color="auto"/>
      </w:divBdr>
    </w:div>
    <w:div w:id="430592625">
      <w:bodyDiv w:val="1"/>
      <w:marLeft w:val="0"/>
      <w:marRight w:val="0"/>
      <w:marTop w:val="0"/>
      <w:marBottom w:val="0"/>
      <w:divBdr>
        <w:top w:val="none" w:sz="0" w:space="0" w:color="auto"/>
        <w:left w:val="none" w:sz="0" w:space="0" w:color="auto"/>
        <w:bottom w:val="none" w:sz="0" w:space="0" w:color="auto"/>
        <w:right w:val="none" w:sz="0" w:space="0" w:color="auto"/>
      </w:divBdr>
    </w:div>
    <w:div w:id="507330472">
      <w:bodyDiv w:val="1"/>
      <w:marLeft w:val="0"/>
      <w:marRight w:val="0"/>
      <w:marTop w:val="0"/>
      <w:marBottom w:val="0"/>
      <w:divBdr>
        <w:top w:val="none" w:sz="0" w:space="0" w:color="auto"/>
        <w:left w:val="none" w:sz="0" w:space="0" w:color="auto"/>
        <w:bottom w:val="none" w:sz="0" w:space="0" w:color="auto"/>
        <w:right w:val="none" w:sz="0" w:space="0" w:color="auto"/>
      </w:divBdr>
    </w:div>
    <w:div w:id="576861591">
      <w:bodyDiv w:val="1"/>
      <w:marLeft w:val="0"/>
      <w:marRight w:val="0"/>
      <w:marTop w:val="0"/>
      <w:marBottom w:val="0"/>
      <w:divBdr>
        <w:top w:val="none" w:sz="0" w:space="0" w:color="auto"/>
        <w:left w:val="none" w:sz="0" w:space="0" w:color="auto"/>
        <w:bottom w:val="none" w:sz="0" w:space="0" w:color="auto"/>
        <w:right w:val="none" w:sz="0" w:space="0" w:color="auto"/>
      </w:divBdr>
    </w:div>
    <w:div w:id="587158318">
      <w:bodyDiv w:val="1"/>
      <w:marLeft w:val="0"/>
      <w:marRight w:val="0"/>
      <w:marTop w:val="0"/>
      <w:marBottom w:val="0"/>
      <w:divBdr>
        <w:top w:val="none" w:sz="0" w:space="0" w:color="auto"/>
        <w:left w:val="none" w:sz="0" w:space="0" w:color="auto"/>
        <w:bottom w:val="none" w:sz="0" w:space="0" w:color="auto"/>
        <w:right w:val="none" w:sz="0" w:space="0" w:color="auto"/>
      </w:divBdr>
    </w:div>
    <w:div w:id="591747357">
      <w:bodyDiv w:val="1"/>
      <w:marLeft w:val="0"/>
      <w:marRight w:val="0"/>
      <w:marTop w:val="0"/>
      <w:marBottom w:val="0"/>
      <w:divBdr>
        <w:top w:val="none" w:sz="0" w:space="0" w:color="auto"/>
        <w:left w:val="none" w:sz="0" w:space="0" w:color="auto"/>
        <w:bottom w:val="none" w:sz="0" w:space="0" w:color="auto"/>
        <w:right w:val="none" w:sz="0" w:space="0" w:color="auto"/>
      </w:divBdr>
    </w:div>
    <w:div w:id="596672228">
      <w:bodyDiv w:val="1"/>
      <w:marLeft w:val="0"/>
      <w:marRight w:val="0"/>
      <w:marTop w:val="0"/>
      <w:marBottom w:val="0"/>
      <w:divBdr>
        <w:top w:val="none" w:sz="0" w:space="0" w:color="auto"/>
        <w:left w:val="none" w:sz="0" w:space="0" w:color="auto"/>
        <w:bottom w:val="none" w:sz="0" w:space="0" w:color="auto"/>
        <w:right w:val="none" w:sz="0" w:space="0" w:color="auto"/>
      </w:divBdr>
    </w:div>
    <w:div w:id="632759634">
      <w:bodyDiv w:val="1"/>
      <w:marLeft w:val="0"/>
      <w:marRight w:val="0"/>
      <w:marTop w:val="0"/>
      <w:marBottom w:val="0"/>
      <w:divBdr>
        <w:top w:val="none" w:sz="0" w:space="0" w:color="auto"/>
        <w:left w:val="none" w:sz="0" w:space="0" w:color="auto"/>
        <w:bottom w:val="none" w:sz="0" w:space="0" w:color="auto"/>
        <w:right w:val="none" w:sz="0" w:space="0" w:color="auto"/>
      </w:divBdr>
    </w:div>
    <w:div w:id="701587594">
      <w:bodyDiv w:val="1"/>
      <w:marLeft w:val="0"/>
      <w:marRight w:val="0"/>
      <w:marTop w:val="0"/>
      <w:marBottom w:val="0"/>
      <w:divBdr>
        <w:top w:val="none" w:sz="0" w:space="0" w:color="auto"/>
        <w:left w:val="none" w:sz="0" w:space="0" w:color="auto"/>
        <w:bottom w:val="none" w:sz="0" w:space="0" w:color="auto"/>
        <w:right w:val="none" w:sz="0" w:space="0" w:color="auto"/>
      </w:divBdr>
    </w:div>
    <w:div w:id="703287751">
      <w:bodyDiv w:val="1"/>
      <w:marLeft w:val="0"/>
      <w:marRight w:val="0"/>
      <w:marTop w:val="0"/>
      <w:marBottom w:val="0"/>
      <w:divBdr>
        <w:top w:val="none" w:sz="0" w:space="0" w:color="auto"/>
        <w:left w:val="none" w:sz="0" w:space="0" w:color="auto"/>
        <w:bottom w:val="none" w:sz="0" w:space="0" w:color="auto"/>
        <w:right w:val="none" w:sz="0" w:space="0" w:color="auto"/>
      </w:divBdr>
    </w:div>
    <w:div w:id="708408850">
      <w:bodyDiv w:val="1"/>
      <w:marLeft w:val="0"/>
      <w:marRight w:val="0"/>
      <w:marTop w:val="0"/>
      <w:marBottom w:val="0"/>
      <w:divBdr>
        <w:top w:val="none" w:sz="0" w:space="0" w:color="auto"/>
        <w:left w:val="none" w:sz="0" w:space="0" w:color="auto"/>
        <w:bottom w:val="none" w:sz="0" w:space="0" w:color="auto"/>
        <w:right w:val="none" w:sz="0" w:space="0" w:color="auto"/>
      </w:divBdr>
    </w:div>
    <w:div w:id="774864253">
      <w:bodyDiv w:val="1"/>
      <w:marLeft w:val="0"/>
      <w:marRight w:val="0"/>
      <w:marTop w:val="0"/>
      <w:marBottom w:val="0"/>
      <w:divBdr>
        <w:top w:val="none" w:sz="0" w:space="0" w:color="auto"/>
        <w:left w:val="none" w:sz="0" w:space="0" w:color="auto"/>
        <w:bottom w:val="none" w:sz="0" w:space="0" w:color="auto"/>
        <w:right w:val="none" w:sz="0" w:space="0" w:color="auto"/>
      </w:divBdr>
    </w:div>
    <w:div w:id="789938073">
      <w:bodyDiv w:val="1"/>
      <w:marLeft w:val="0"/>
      <w:marRight w:val="0"/>
      <w:marTop w:val="0"/>
      <w:marBottom w:val="0"/>
      <w:divBdr>
        <w:top w:val="none" w:sz="0" w:space="0" w:color="auto"/>
        <w:left w:val="none" w:sz="0" w:space="0" w:color="auto"/>
        <w:bottom w:val="none" w:sz="0" w:space="0" w:color="auto"/>
        <w:right w:val="none" w:sz="0" w:space="0" w:color="auto"/>
      </w:divBdr>
    </w:div>
    <w:div w:id="810710257">
      <w:bodyDiv w:val="1"/>
      <w:marLeft w:val="0"/>
      <w:marRight w:val="0"/>
      <w:marTop w:val="0"/>
      <w:marBottom w:val="0"/>
      <w:divBdr>
        <w:top w:val="none" w:sz="0" w:space="0" w:color="auto"/>
        <w:left w:val="none" w:sz="0" w:space="0" w:color="auto"/>
        <w:bottom w:val="none" w:sz="0" w:space="0" w:color="auto"/>
        <w:right w:val="none" w:sz="0" w:space="0" w:color="auto"/>
      </w:divBdr>
    </w:div>
    <w:div w:id="815488883">
      <w:bodyDiv w:val="1"/>
      <w:marLeft w:val="0"/>
      <w:marRight w:val="0"/>
      <w:marTop w:val="0"/>
      <w:marBottom w:val="0"/>
      <w:divBdr>
        <w:top w:val="none" w:sz="0" w:space="0" w:color="auto"/>
        <w:left w:val="none" w:sz="0" w:space="0" w:color="auto"/>
        <w:bottom w:val="none" w:sz="0" w:space="0" w:color="auto"/>
        <w:right w:val="none" w:sz="0" w:space="0" w:color="auto"/>
      </w:divBdr>
    </w:div>
    <w:div w:id="843781680">
      <w:bodyDiv w:val="1"/>
      <w:marLeft w:val="0"/>
      <w:marRight w:val="0"/>
      <w:marTop w:val="0"/>
      <w:marBottom w:val="0"/>
      <w:divBdr>
        <w:top w:val="none" w:sz="0" w:space="0" w:color="auto"/>
        <w:left w:val="none" w:sz="0" w:space="0" w:color="auto"/>
        <w:bottom w:val="none" w:sz="0" w:space="0" w:color="auto"/>
        <w:right w:val="none" w:sz="0" w:space="0" w:color="auto"/>
      </w:divBdr>
    </w:div>
    <w:div w:id="955064471">
      <w:bodyDiv w:val="1"/>
      <w:marLeft w:val="0"/>
      <w:marRight w:val="0"/>
      <w:marTop w:val="0"/>
      <w:marBottom w:val="0"/>
      <w:divBdr>
        <w:top w:val="none" w:sz="0" w:space="0" w:color="auto"/>
        <w:left w:val="none" w:sz="0" w:space="0" w:color="auto"/>
        <w:bottom w:val="none" w:sz="0" w:space="0" w:color="auto"/>
        <w:right w:val="none" w:sz="0" w:space="0" w:color="auto"/>
      </w:divBdr>
    </w:div>
    <w:div w:id="962535108">
      <w:bodyDiv w:val="1"/>
      <w:marLeft w:val="0"/>
      <w:marRight w:val="0"/>
      <w:marTop w:val="0"/>
      <w:marBottom w:val="0"/>
      <w:divBdr>
        <w:top w:val="none" w:sz="0" w:space="0" w:color="auto"/>
        <w:left w:val="none" w:sz="0" w:space="0" w:color="auto"/>
        <w:bottom w:val="none" w:sz="0" w:space="0" w:color="auto"/>
        <w:right w:val="none" w:sz="0" w:space="0" w:color="auto"/>
      </w:divBdr>
    </w:div>
    <w:div w:id="983967213">
      <w:bodyDiv w:val="1"/>
      <w:marLeft w:val="0"/>
      <w:marRight w:val="0"/>
      <w:marTop w:val="0"/>
      <w:marBottom w:val="0"/>
      <w:divBdr>
        <w:top w:val="none" w:sz="0" w:space="0" w:color="auto"/>
        <w:left w:val="none" w:sz="0" w:space="0" w:color="auto"/>
        <w:bottom w:val="none" w:sz="0" w:space="0" w:color="auto"/>
        <w:right w:val="none" w:sz="0" w:space="0" w:color="auto"/>
      </w:divBdr>
    </w:div>
    <w:div w:id="992299504">
      <w:bodyDiv w:val="1"/>
      <w:marLeft w:val="0"/>
      <w:marRight w:val="0"/>
      <w:marTop w:val="0"/>
      <w:marBottom w:val="0"/>
      <w:divBdr>
        <w:top w:val="none" w:sz="0" w:space="0" w:color="auto"/>
        <w:left w:val="none" w:sz="0" w:space="0" w:color="auto"/>
        <w:bottom w:val="none" w:sz="0" w:space="0" w:color="auto"/>
        <w:right w:val="none" w:sz="0" w:space="0" w:color="auto"/>
      </w:divBdr>
      <w:divsChild>
        <w:div w:id="1955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54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14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833609">
      <w:bodyDiv w:val="1"/>
      <w:marLeft w:val="0"/>
      <w:marRight w:val="0"/>
      <w:marTop w:val="0"/>
      <w:marBottom w:val="0"/>
      <w:divBdr>
        <w:top w:val="none" w:sz="0" w:space="0" w:color="auto"/>
        <w:left w:val="none" w:sz="0" w:space="0" w:color="auto"/>
        <w:bottom w:val="none" w:sz="0" w:space="0" w:color="auto"/>
        <w:right w:val="none" w:sz="0" w:space="0" w:color="auto"/>
      </w:divBdr>
      <w:divsChild>
        <w:div w:id="71697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94715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781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7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973542">
      <w:bodyDiv w:val="1"/>
      <w:marLeft w:val="0"/>
      <w:marRight w:val="0"/>
      <w:marTop w:val="0"/>
      <w:marBottom w:val="0"/>
      <w:divBdr>
        <w:top w:val="none" w:sz="0" w:space="0" w:color="auto"/>
        <w:left w:val="none" w:sz="0" w:space="0" w:color="auto"/>
        <w:bottom w:val="none" w:sz="0" w:space="0" w:color="auto"/>
        <w:right w:val="none" w:sz="0" w:space="0" w:color="auto"/>
      </w:divBdr>
    </w:div>
    <w:div w:id="1025593942">
      <w:bodyDiv w:val="1"/>
      <w:marLeft w:val="0"/>
      <w:marRight w:val="0"/>
      <w:marTop w:val="0"/>
      <w:marBottom w:val="0"/>
      <w:divBdr>
        <w:top w:val="none" w:sz="0" w:space="0" w:color="auto"/>
        <w:left w:val="none" w:sz="0" w:space="0" w:color="auto"/>
        <w:bottom w:val="none" w:sz="0" w:space="0" w:color="auto"/>
        <w:right w:val="none" w:sz="0" w:space="0" w:color="auto"/>
      </w:divBdr>
    </w:div>
    <w:div w:id="1030685490">
      <w:bodyDiv w:val="1"/>
      <w:marLeft w:val="0"/>
      <w:marRight w:val="0"/>
      <w:marTop w:val="0"/>
      <w:marBottom w:val="0"/>
      <w:divBdr>
        <w:top w:val="none" w:sz="0" w:space="0" w:color="auto"/>
        <w:left w:val="none" w:sz="0" w:space="0" w:color="auto"/>
        <w:bottom w:val="none" w:sz="0" w:space="0" w:color="auto"/>
        <w:right w:val="none" w:sz="0" w:space="0" w:color="auto"/>
      </w:divBdr>
    </w:div>
    <w:div w:id="1116173342">
      <w:bodyDiv w:val="1"/>
      <w:marLeft w:val="0"/>
      <w:marRight w:val="0"/>
      <w:marTop w:val="0"/>
      <w:marBottom w:val="0"/>
      <w:divBdr>
        <w:top w:val="none" w:sz="0" w:space="0" w:color="auto"/>
        <w:left w:val="none" w:sz="0" w:space="0" w:color="auto"/>
        <w:bottom w:val="none" w:sz="0" w:space="0" w:color="auto"/>
        <w:right w:val="none" w:sz="0" w:space="0" w:color="auto"/>
      </w:divBdr>
    </w:div>
    <w:div w:id="1124620649">
      <w:bodyDiv w:val="1"/>
      <w:marLeft w:val="0"/>
      <w:marRight w:val="0"/>
      <w:marTop w:val="0"/>
      <w:marBottom w:val="0"/>
      <w:divBdr>
        <w:top w:val="none" w:sz="0" w:space="0" w:color="auto"/>
        <w:left w:val="none" w:sz="0" w:space="0" w:color="auto"/>
        <w:bottom w:val="none" w:sz="0" w:space="0" w:color="auto"/>
        <w:right w:val="none" w:sz="0" w:space="0" w:color="auto"/>
      </w:divBdr>
    </w:div>
    <w:div w:id="1132476539">
      <w:bodyDiv w:val="1"/>
      <w:marLeft w:val="0"/>
      <w:marRight w:val="0"/>
      <w:marTop w:val="0"/>
      <w:marBottom w:val="0"/>
      <w:divBdr>
        <w:top w:val="none" w:sz="0" w:space="0" w:color="auto"/>
        <w:left w:val="none" w:sz="0" w:space="0" w:color="auto"/>
        <w:bottom w:val="none" w:sz="0" w:space="0" w:color="auto"/>
        <w:right w:val="none" w:sz="0" w:space="0" w:color="auto"/>
      </w:divBdr>
    </w:div>
    <w:div w:id="1138842257">
      <w:bodyDiv w:val="1"/>
      <w:marLeft w:val="0"/>
      <w:marRight w:val="0"/>
      <w:marTop w:val="0"/>
      <w:marBottom w:val="0"/>
      <w:divBdr>
        <w:top w:val="none" w:sz="0" w:space="0" w:color="auto"/>
        <w:left w:val="none" w:sz="0" w:space="0" w:color="auto"/>
        <w:bottom w:val="none" w:sz="0" w:space="0" w:color="auto"/>
        <w:right w:val="none" w:sz="0" w:space="0" w:color="auto"/>
      </w:divBdr>
    </w:div>
    <w:div w:id="1167745229">
      <w:bodyDiv w:val="1"/>
      <w:marLeft w:val="0"/>
      <w:marRight w:val="0"/>
      <w:marTop w:val="0"/>
      <w:marBottom w:val="0"/>
      <w:divBdr>
        <w:top w:val="none" w:sz="0" w:space="0" w:color="auto"/>
        <w:left w:val="none" w:sz="0" w:space="0" w:color="auto"/>
        <w:bottom w:val="none" w:sz="0" w:space="0" w:color="auto"/>
        <w:right w:val="none" w:sz="0" w:space="0" w:color="auto"/>
      </w:divBdr>
    </w:div>
    <w:div w:id="1208298122">
      <w:bodyDiv w:val="1"/>
      <w:marLeft w:val="0"/>
      <w:marRight w:val="0"/>
      <w:marTop w:val="0"/>
      <w:marBottom w:val="0"/>
      <w:divBdr>
        <w:top w:val="none" w:sz="0" w:space="0" w:color="auto"/>
        <w:left w:val="none" w:sz="0" w:space="0" w:color="auto"/>
        <w:bottom w:val="none" w:sz="0" w:space="0" w:color="auto"/>
        <w:right w:val="none" w:sz="0" w:space="0" w:color="auto"/>
      </w:divBdr>
    </w:div>
    <w:div w:id="1211697275">
      <w:bodyDiv w:val="1"/>
      <w:marLeft w:val="0"/>
      <w:marRight w:val="0"/>
      <w:marTop w:val="0"/>
      <w:marBottom w:val="0"/>
      <w:divBdr>
        <w:top w:val="none" w:sz="0" w:space="0" w:color="auto"/>
        <w:left w:val="none" w:sz="0" w:space="0" w:color="auto"/>
        <w:bottom w:val="none" w:sz="0" w:space="0" w:color="auto"/>
        <w:right w:val="none" w:sz="0" w:space="0" w:color="auto"/>
      </w:divBdr>
      <w:divsChild>
        <w:div w:id="1275869300">
          <w:marLeft w:val="0"/>
          <w:marRight w:val="0"/>
          <w:marTop w:val="0"/>
          <w:marBottom w:val="0"/>
          <w:divBdr>
            <w:top w:val="none" w:sz="0" w:space="0" w:color="auto"/>
            <w:left w:val="none" w:sz="0" w:space="0" w:color="auto"/>
            <w:bottom w:val="none" w:sz="0" w:space="0" w:color="auto"/>
            <w:right w:val="none" w:sz="0" w:space="0" w:color="auto"/>
          </w:divBdr>
        </w:div>
      </w:divsChild>
    </w:div>
    <w:div w:id="1213421923">
      <w:bodyDiv w:val="1"/>
      <w:marLeft w:val="0"/>
      <w:marRight w:val="0"/>
      <w:marTop w:val="0"/>
      <w:marBottom w:val="0"/>
      <w:divBdr>
        <w:top w:val="none" w:sz="0" w:space="0" w:color="auto"/>
        <w:left w:val="none" w:sz="0" w:space="0" w:color="auto"/>
        <w:bottom w:val="none" w:sz="0" w:space="0" w:color="auto"/>
        <w:right w:val="none" w:sz="0" w:space="0" w:color="auto"/>
      </w:divBdr>
    </w:div>
    <w:div w:id="1225214477">
      <w:bodyDiv w:val="1"/>
      <w:marLeft w:val="0"/>
      <w:marRight w:val="0"/>
      <w:marTop w:val="0"/>
      <w:marBottom w:val="0"/>
      <w:divBdr>
        <w:top w:val="none" w:sz="0" w:space="0" w:color="auto"/>
        <w:left w:val="none" w:sz="0" w:space="0" w:color="auto"/>
        <w:bottom w:val="none" w:sz="0" w:space="0" w:color="auto"/>
        <w:right w:val="none" w:sz="0" w:space="0" w:color="auto"/>
      </w:divBdr>
    </w:div>
    <w:div w:id="1235117702">
      <w:bodyDiv w:val="1"/>
      <w:marLeft w:val="0"/>
      <w:marRight w:val="0"/>
      <w:marTop w:val="0"/>
      <w:marBottom w:val="0"/>
      <w:divBdr>
        <w:top w:val="none" w:sz="0" w:space="0" w:color="auto"/>
        <w:left w:val="none" w:sz="0" w:space="0" w:color="auto"/>
        <w:bottom w:val="none" w:sz="0" w:space="0" w:color="auto"/>
        <w:right w:val="none" w:sz="0" w:space="0" w:color="auto"/>
      </w:divBdr>
    </w:div>
    <w:div w:id="1273318440">
      <w:bodyDiv w:val="1"/>
      <w:marLeft w:val="0"/>
      <w:marRight w:val="0"/>
      <w:marTop w:val="0"/>
      <w:marBottom w:val="0"/>
      <w:divBdr>
        <w:top w:val="none" w:sz="0" w:space="0" w:color="auto"/>
        <w:left w:val="none" w:sz="0" w:space="0" w:color="auto"/>
        <w:bottom w:val="none" w:sz="0" w:space="0" w:color="auto"/>
        <w:right w:val="none" w:sz="0" w:space="0" w:color="auto"/>
      </w:divBdr>
    </w:div>
    <w:div w:id="1303120778">
      <w:bodyDiv w:val="1"/>
      <w:marLeft w:val="0"/>
      <w:marRight w:val="0"/>
      <w:marTop w:val="0"/>
      <w:marBottom w:val="0"/>
      <w:divBdr>
        <w:top w:val="none" w:sz="0" w:space="0" w:color="auto"/>
        <w:left w:val="none" w:sz="0" w:space="0" w:color="auto"/>
        <w:bottom w:val="none" w:sz="0" w:space="0" w:color="auto"/>
        <w:right w:val="none" w:sz="0" w:space="0" w:color="auto"/>
      </w:divBdr>
    </w:div>
    <w:div w:id="1358431533">
      <w:bodyDiv w:val="1"/>
      <w:marLeft w:val="0"/>
      <w:marRight w:val="0"/>
      <w:marTop w:val="0"/>
      <w:marBottom w:val="0"/>
      <w:divBdr>
        <w:top w:val="none" w:sz="0" w:space="0" w:color="auto"/>
        <w:left w:val="none" w:sz="0" w:space="0" w:color="auto"/>
        <w:bottom w:val="none" w:sz="0" w:space="0" w:color="auto"/>
        <w:right w:val="none" w:sz="0" w:space="0" w:color="auto"/>
      </w:divBdr>
    </w:div>
    <w:div w:id="1373379517">
      <w:bodyDiv w:val="1"/>
      <w:marLeft w:val="0"/>
      <w:marRight w:val="0"/>
      <w:marTop w:val="0"/>
      <w:marBottom w:val="0"/>
      <w:divBdr>
        <w:top w:val="none" w:sz="0" w:space="0" w:color="auto"/>
        <w:left w:val="none" w:sz="0" w:space="0" w:color="auto"/>
        <w:bottom w:val="none" w:sz="0" w:space="0" w:color="auto"/>
        <w:right w:val="none" w:sz="0" w:space="0" w:color="auto"/>
      </w:divBdr>
    </w:div>
    <w:div w:id="1418864884">
      <w:bodyDiv w:val="1"/>
      <w:marLeft w:val="0"/>
      <w:marRight w:val="0"/>
      <w:marTop w:val="0"/>
      <w:marBottom w:val="0"/>
      <w:divBdr>
        <w:top w:val="none" w:sz="0" w:space="0" w:color="auto"/>
        <w:left w:val="none" w:sz="0" w:space="0" w:color="auto"/>
        <w:bottom w:val="none" w:sz="0" w:space="0" w:color="auto"/>
        <w:right w:val="none" w:sz="0" w:space="0" w:color="auto"/>
      </w:divBdr>
    </w:div>
    <w:div w:id="1435321507">
      <w:bodyDiv w:val="1"/>
      <w:marLeft w:val="0"/>
      <w:marRight w:val="0"/>
      <w:marTop w:val="0"/>
      <w:marBottom w:val="0"/>
      <w:divBdr>
        <w:top w:val="none" w:sz="0" w:space="0" w:color="auto"/>
        <w:left w:val="none" w:sz="0" w:space="0" w:color="auto"/>
        <w:bottom w:val="none" w:sz="0" w:space="0" w:color="auto"/>
        <w:right w:val="none" w:sz="0" w:space="0" w:color="auto"/>
      </w:divBdr>
    </w:div>
    <w:div w:id="1437945793">
      <w:bodyDiv w:val="1"/>
      <w:marLeft w:val="0"/>
      <w:marRight w:val="0"/>
      <w:marTop w:val="0"/>
      <w:marBottom w:val="0"/>
      <w:divBdr>
        <w:top w:val="none" w:sz="0" w:space="0" w:color="auto"/>
        <w:left w:val="none" w:sz="0" w:space="0" w:color="auto"/>
        <w:bottom w:val="none" w:sz="0" w:space="0" w:color="auto"/>
        <w:right w:val="none" w:sz="0" w:space="0" w:color="auto"/>
      </w:divBdr>
    </w:div>
    <w:div w:id="1438209905">
      <w:bodyDiv w:val="1"/>
      <w:marLeft w:val="0"/>
      <w:marRight w:val="0"/>
      <w:marTop w:val="0"/>
      <w:marBottom w:val="0"/>
      <w:divBdr>
        <w:top w:val="none" w:sz="0" w:space="0" w:color="auto"/>
        <w:left w:val="none" w:sz="0" w:space="0" w:color="auto"/>
        <w:bottom w:val="none" w:sz="0" w:space="0" w:color="auto"/>
        <w:right w:val="none" w:sz="0" w:space="0" w:color="auto"/>
      </w:divBdr>
    </w:div>
    <w:div w:id="1439251876">
      <w:bodyDiv w:val="1"/>
      <w:marLeft w:val="0"/>
      <w:marRight w:val="0"/>
      <w:marTop w:val="0"/>
      <w:marBottom w:val="0"/>
      <w:divBdr>
        <w:top w:val="none" w:sz="0" w:space="0" w:color="auto"/>
        <w:left w:val="none" w:sz="0" w:space="0" w:color="auto"/>
        <w:bottom w:val="none" w:sz="0" w:space="0" w:color="auto"/>
        <w:right w:val="none" w:sz="0" w:space="0" w:color="auto"/>
      </w:divBdr>
    </w:div>
    <w:div w:id="1463234001">
      <w:bodyDiv w:val="1"/>
      <w:marLeft w:val="0"/>
      <w:marRight w:val="0"/>
      <w:marTop w:val="0"/>
      <w:marBottom w:val="0"/>
      <w:divBdr>
        <w:top w:val="none" w:sz="0" w:space="0" w:color="auto"/>
        <w:left w:val="none" w:sz="0" w:space="0" w:color="auto"/>
        <w:bottom w:val="none" w:sz="0" w:space="0" w:color="auto"/>
        <w:right w:val="none" w:sz="0" w:space="0" w:color="auto"/>
      </w:divBdr>
      <w:divsChild>
        <w:div w:id="89086521">
          <w:marLeft w:val="0"/>
          <w:marRight w:val="0"/>
          <w:marTop w:val="0"/>
          <w:marBottom w:val="0"/>
          <w:divBdr>
            <w:top w:val="none" w:sz="0" w:space="0" w:color="auto"/>
            <w:left w:val="none" w:sz="0" w:space="0" w:color="auto"/>
            <w:bottom w:val="none" w:sz="0" w:space="0" w:color="auto"/>
            <w:right w:val="none" w:sz="0" w:space="0" w:color="auto"/>
          </w:divBdr>
        </w:div>
      </w:divsChild>
    </w:div>
    <w:div w:id="1512909648">
      <w:bodyDiv w:val="1"/>
      <w:marLeft w:val="0"/>
      <w:marRight w:val="0"/>
      <w:marTop w:val="0"/>
      <w:marBottom w:val="0"/>
      <w:divBdr>
        <w:top w:val="none" w:sz="0" w:space="0" w:color="auto"/>
        <w:left w:val="none" w:sz="0" w:space="0" w:color="auto"/>
        <w:bottom w:val="none" w:sz="0" w:space="0" w:color="auto"/>
        <w:right w:val="none" w:sz="0" w:space="0" w:color="auto"/>
      </w:divBdr>
    </w:div>
    <w:div w:id="1518227799">
      <w:bodyDiv w:val="1"/>
      <w:marLeft w:val="0"/>
      <w:marRight w:val="0"/>
      <w:marTop w:val="0"/>
      <w:marBottom w:val="0"/>
      <w:divBdr>
        <w:top w:val="none" w:sz="0" w:space="0" w:color="auto"/>
        <w:left w:val="none" w:sz="0" w:space="0" w:color="auto"/>
        <w:bottom w:val="none" w:sz="0" w:space="0" w:color="auto"/>
        <w:right w:val="none" w:sz="0" w:space="0" w:color="auto"/>
      </w:divBdr>
      <w:divsChild>
        <w:div w:id="1179468250">
          <w:marLeft w:val="0"/>
          <w:marRight w:val="0"/>
          <w:marTop w:val="0"/>
          <w:marBottom w:val="0"/>
          <w:divBdr>
            <w:top w:val="none" w:sz="0" w:space="0" w:color="auto"/>
            <w:left w:val="none" w:sz="0" w:space="0" w:color="auto"/>
            <w:bottom w:val="none" w:sz="0" w:space="0" w:color="auto"/>
            <w:right w:val="none" w:sz="0" w:space="0" w:color="auto"/>
          </w:divBdr>
        </w:div>
      </w:divsChild>
    </w:div>
    <w:div w:id="1656641635">
      <w:bodyDiv w:val="1"/>
      <w:marLeft w:val="0"/>
      <w:marRight w:val="0"/>
      <w:marTop w:val="0"/>
      <w:marBottom w:val="0"/>
      <w:divBdr>
        <w:top w:val="none" w:sz="0" w:space="0" w:color="auto"/>
        <w:left w:val="none" w:sz="0" w:space="0" w:color="auto"/>
        <w:bottom w:val="none" w:sz="0" w:space="0" w:color="auto"/>
        <w:right w:val="none" w:sz="0" w:space="0" w:color="auto"/>
      </w:divBdr>
    </w:div>
    <w:div w:id="1717658529">
      <w:bodyDiv w:val="1"/>
      <w:marLeft w:val="0"/>
      <w:marRight w:val="0"/>
      <w:marTop w:val="0"/>
      <w:marBottom w:val="0"/>
      <w:divBdr>
        <w:top w:val="none" w:sz="0" w:space="0" w:color="auto"/>
        <w:left w:val="none" w:sz="0" w:space="0" w:color="auto"/>
        <w:bottom w:val="none" w:sz="0" w:space="0" w:color="auto"/>
        <w:right w:val="none" w:sz="0" w:space="0" w:color="auto"/>
      </w:divBdr>
    </w:div>
    <w:div w:id="1721513683">
      <w:bodyDiv w:val="1"/>
      <w:marLeft w:val="0"/>
      <w:marRight w:val="0"/>
      <w:marTop w:val="0"/>
      <w:marBottom w:val="0"/>
      <w:divBdr>
        <w:top w:val="none" w:sz="0" w:space="0" w:color="auto"/>
        <w:left w:val="none" w:sz="0" w:space="0" w:color="auto"/>
        <w:bottom w:val="none" w:sz="0" w:space="0" w:color="auto"/>
        <w:right w:val="none" w:sz="0" w:space="0" w:color="auto"/>
      </w:divBdr>
    </w:div>
    <w:div w:id="1726483770">
      <w:bodyDiv w:val="1"/>
      <w:marLeft w:val="0"/>
      <w:marRight w:val="0"/>
      <w:marTop w:val="0"/>
      <w:marBottom w:val="0"/>
      <w:divBdr>
        <w:top w:val="none" w:sz="0" w:space="0" w:color="auto"/>
        <w:left w:val="none" w:sz="0" w:space="0" w:color="auto"/>
        <w:bottom w:val="none" w:sz="0" w:space="0" w:color="auto"/>
        <w:right w:val="none" w:sz="0" w:space="0" w:color="auto"/>
      </w:divBdr>
    </w:div>
    <w:div w:id="1761100475">
      <w:bodyDiv w:val="1"/>
      <w:marLeft w:val="0"/>
      <w:marRight w:val="0"/>
      <w:marTop w:val="0"/>
      <w:marBottom w:val="0"/>
      <w:divBdr>
        <w:top w:val="none" w:sz="0" w:space="0" w:color="auto"/>
        <w:left w:val="none" w:sz="0" w:space="0" w:color="auto"/>
        <w:bottom w:val="none" w:sz="0" w:space="0" w:color="auto"/>
        <w:right w:val="none" w:sz="0" w:space="0" w:color="auto"/>
      </w:divBdr>
    </w:div>
    <w:div w:id="1811511889">
      <w:bodyDiv w:val="1"/>
      <w:marLeft w:val="0"/>
      <w:marRight w:val="0"/>
      <w:marTop w:val="0"/>
      <w:marBottom w:val="0"/>
      <w:divBdr>
        <w:top w:val="none" w:sz="0" w:space="0" w:color="auto"/>
        <w:left w:val="none" w:sz="0" w:space="0" w:color="auto"/>
        <w:bottom w:val="none" w:sz="0" w:space="0" w:color="auto"/>
        <w:right w:val="none" w:sz="0" w:space="0" w:color="auto"/>
      </w:divBdr>
    </w:div>
    <w:div w:id="1831486879">
      <w:bodyDiv w:val="1"/>
      <w:marLeft w:val="0"/>
      <w:marRight w:val="0"/>
      <w:marTop w:val="0"/>
      <w:marBottom w:val="0"/>
      <w:divBdr>
        <w:top w:val="none" w:sz="0" w:space="0" w:color="auto"/>
        <w:left w:val="none" w:sz="0" w:space="0" w:color="auto"/>
        <w:bottom w:val="none" w:sz="0" w:space="0" w:color="auto"/>
        <w:right w:val="none" w:sz="0" w:space="0" w:color="auto"/>
      </w:divBdr>
    </w:div>
    <w:div w:id="1910731697">
      <w:bodyDiv w:val="1"/>
      <w:marLeft w:val="0"/>
      <w:marRight w:val="0"/>
      <w:marTop w:val="0"/>
      <w:marBottom w:val="0"/>
      <w:divBdr>
        <w:top w:val="none" w:sz="0" w:space="0" w:color="auto"/>
        <w:left w:val="none" w:sz="0" w:space="0" w:color="auto"/>
        <w:bottom w:val="none" w:sz="0" w:space="0" w:color="auto"/>
        <w:right w:val="none" w:sz="0" w:space="0" w:color="auto"/>
      </w:divBdr>
    </w:div>
    <w:div w:id="1950039646">
      <w:bodyDiv w:val="1"/>
      <w:marLeft w:val="0"/>
      <w:marRight w:val="0"/>
      <w:marTop w:val="0"/>
      <w:marBottom w:val="0"/>
      <w:divBdr>
        <w:top w:val="none" w:sz="0" w:space="0" w:color="auto"/>
        <w:left w:val="none" w:sz="0" w:space="0" w:color="auto"/>
        <w:bottom w:val="none" w:sz="0" w:space="0" w:color="auto"/>
        <w:right w:val="none" w:sz="0" w:space="0" w:color="auto"/>
      </w:divBdr>
    </w:div>
    <w:div w:id="1957593017">
      <w:bodyDiv w:val="1"/>
      <w:marLeft w:val="0"/>
      <w:marRight w:val="0"/>
      <w:marTop w:val="0"/>
      <w:marBottom w:val="0"/>
      <w:divBdr>
        <w:top w:val="none" w:sz="0" w:space="0" w:color="auto"/>
        <w:left w:val="none" w:sz="0" w:space="0" w:color="auto"/>
        <w:bottom w:val="none" w:sz="0" w:space="0" w:color="auto"/>
        <w:right w:val="none" w:sz="0" w:space="0" w:color="auto"/>
      </w:divBdr>
    </w:div>
    <w:div w:id="2005619430">
      <w:bodyDiv w:val="1"/>
      <w:marLeft w:val="0"/>
      <w:marRight w:val="0"/>
      <w:marTop w:val="0"/>
      <w:marBottom w:val="0"/>
      <w:divBdr>
        <w:top w:val="none" w:sz="0" w:space="0" w:color="auto"/>
        <w:left w:val="none" w:sz="0" w:space="0" w:color="auto"/>
        <w:bottom w:val="none" w:sz="0" w:space="0" w:color="auto"/>
        <w:right w:val="none" w:sz="0" w:space="0" w:color="auto"/>
      </w:divBdr>
    </w:div>
    <w:div w:id="2116485465">
      <w:bodyDiv w:val="1"/>
      <w:marLeft w:val="0"/>
      <w:marRight w:val="0"/>
      <w:marTop w:val="0"/>
      <w:marBottom w:val="0"/>
      <w:divBdr>
        <w:top w:val="none" w:sz="0" w:space="0" w:color="auto"/>
        <w:left w:val="none" w:sz="0" w:space="0" w:color="auto"/>
        <w:bottom w:val="none" w:sz="0" w:space="0" w:color="auto"/>
        <w:right w:val="none" w:sz="0" w:space="0" w:color="auto"/>
      </w:divBdr>
    </w:div>
    <w:div w:id="2117870514">
      <w:bodyDiv w:val="1"/>
      <w:marLeft w:val="0"/>
      <w:marRight w:val="0"/>
      <w:marTop w:val="0"/>
      <w:marBottom w:val="0"/>
      <w:divBdr>
        <w:top w:val="none" w:sz="0" w:space="0" w:color="auto"/>
        <w:left w:val="none" w:sz="0" w:space="0" w:color="auto"/>
        <w:bottom w:val="none" w:sz="0" w:space="0" w:color="auto"/>
        <w:right w:val="none" w:sz="0" w:space="0" w:color="auto"/>
      </w:divBdr>
    </w:div>
    <w:div w:id="2133476536">
      <w:bodyDiv w:val="1"/>
      <w:marLeft w:val="0"/>
      <w:marRight w:val="0"/>
      <w:marTop w:val="0"/>
      <w:marBottom w:val="0"/>
      <w:divBdr>
        <w:top w:val="none" w:sz="0" w:space="0" w:color="auto"/>
        <w:left w:val="none" w:sz="0" w:space="0" w:color="auto"/>
        <w:bottom w:val="none" w:sz="0" w:space="0" w:color="auto"/>
        <w:right w:val="none" w:sz="0" w:space="0" w:color="auto"/>
      </w:divBdr>
    </w:div>
    <w:div w:id="2135635446">
      <w:bodyDiv w:val="1"/>
      <w:marLeft w:val="0"/>
      <w:marRight w:val="0"/>
      <w:marTop w:val="0"/>
      <w:marBottom w:val="0"/>
      <w:divBdr>
        <w:top w:val="none" w:sz="0" w:space="0" w:color="auto"/>
        <w:left w:val="none" w:sz="0" w:space="0" w:color="auto"/>
        <w:bottom w:val="none" w:sz="0" w:space="0" w:color="auto"/>
        <w:right w:val="none" w:sz="0" w:space="0" w:color="auto"/>
      </w:divBdr>
    </w:div>
    <w:div w:id="21468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falcymdeithasol.cymru/cms-assets/documents/cynllun-cyflawni-gweithlu-gofal-cymdeithasol-2024-i-2027.docx" TargetMode="External"/><Relationship Id="rId18" Type="http://schemas.openxmlformats.org/officeDocument/2006/relationships/chart" Target="charts/chart3.xml"/><Relationship Id="rId26" Type="http://schemas.openxmlformats.org/officeDocument/2006/relationships/hyperlink" Target="https://insightcollective.socialcare.wales/reports/the-digital-potential-tool-an-insight-into-the-digital-maturity-and-literacy-of-social-care-in-wales" TargetMode="External"/><Relationship Id="rId39" Type="http://schemas.openxmlformats.org/officeDocument/2006/relationships/theme" Target="theme/theme1.xml"/><Relationship Id="rId21" Type="http://schemas.openxmlformats.org/officeDocument/2006/relationships/hyperlink" Target="https://socialcare.wales/about-us/workforce-strategy/social-care-delivery-plan-2024-to-2027?_gl=1*1t95r7n*_ga*MTUwNTkxMjU5OC4xNzM5NDQyNDk5*_ga_NZV6WMW0HJ*MTczOTQ0MjQ5OC4xLjAuMTczOTQ0MjUwNy4wLjAuMA.." TargetMode="External"/><Relationship Id="rId34" Type="http://schemas.openxmlformats.org/officeDocument/2006/relationships/hyperlink" Target="https://vimeo.com/1037901179?share=cop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1.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8.xml"/><Relationship Id="rId32" Type="http://schemas.openxmlformats.org/officeDocument/2006/relationships/hyperlink" Target="https://dragonsheart.org/programme/climb/"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ocialcare.wales/about-us/workforce-strategy/social-work-workforce-plan-2022-to-2025" TargetMode="External"/><Relationship Id="rId23" Type="http://schemas.openxmlformats.org/officeDocument/2006/relationships/chart" Target="charts/chart7.xml"/><Relationship Id="rId28" Type="http://schemas.openxmlformats.org/officeDocument/2006/relationships/chart" Target="charts/chart10.xml"/><Relationship Id="rId36" Type="http://schemas.openxmlformats.org/officeDocument/2006/relationships/hyperlink" Target="https://www.medr.cymru/en/" TargetMode="Externa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hyperlink" Target="https://socialcare.wales/about-us/workforce-strategy/social-work-workforce-plan-2022-to-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care.wales/about-us/workforce-strategy" TargetMode="External"/><Relationship Id="rId22" Type="http://schemas.openxmlformats.org/officeDocument/2006/relationships/chart" Target="charts/chart6.xml"/><Relationship Id="rId27" Type="http://schemas.openxmlformats.org/officeDocument/2006/relationships/chart" Target="charts/chart9.xml"/><Relationship Id="rId30" Type="http://schemas.openxmlformats.org/officeDocument/2006/relationships/hyperlink" Target="https://www.medr.cymru/en/" TargetMode="External"/><Relationship Id="rId35" Type="http://schemas.openxmlformats.org/officeDocument/2006/relationships/hyperlink" Target="https://insightcollective.socialcare.wales/reports/the-digital-potential-tool-an-insight-into-the-digital-maturity-and-literacy-of-social-care-in-wal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yperlink" Target="https://socialcare.wales/news-stories/workforce-planning-report" TargetMode="External"/><Relationship Id="rId33" Type="http://schemas.openxmlformats.org/officeDocument/2006/relationships/hyperlink" Target="https://nhswalesleadershipportal.heiw.wales/about-gwella" TargetMode="Externa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wales/sites/default/files/publications/2024-07/national-framework-for-commissioning-care-and-support-code-of-practice.pdf" TargetMode="External"/><Relationship Id="rId1" Type="http://schemas.openxmlformats.org/officeDocument/2006/relationships/hyperlink" Target="https://www.gov.wales/sites/default/files/publications/2024-07/national-framework-for-commissioning-care-and-support-code-of-practic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1" Type="http://schemas.openxmlformats.org/officeDocument/2006/relationships/oleObject" Target="https://socialcarewales.sharepoint.com/sites/SCWWDP/Data/2024-2025%20End%20of%20year%20report%20dat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https://socialcarewales.sharepoint.com/sites/SCWWDP/Data/2024-2025%20End%20of%20year%20report%20dat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035125238974"/>
          <c:y val="1.3597036927274679E-2"/>
          <c:w val="0.8484965136933641"/>
          <c:h val="0.92119965101247259"/>
        </c:manualLayout>
      </c:layout>
      <c:barChart>
        <c:barDir val="col"/>
        <c:grouping val="clustered"/>
        <c:varyColors val="0"/>
        <c:ser>
          <c:idx val="0"/>
          <c:order val="0"/>
          <c:tx>
            <c:strRef>
              <c:f>'Figure 1 Total spend'!$B$3</c:f>
              <c:strCache>
                <c:ptCount val="1"/>
                <c:pt idx="0">
                  <c:v>Total Spend</c:v>
                </c:pt>
              </c:strCache>
            </c:strRef>
          </c:tx>
          <c:spPr>
            <a:solidFill>
              <a:srgbClr val="257D86"/>
            </a:solidFill>
            <a:ln w="9525" cap="flat" cmpd="sng" algn="ctr">
              <a:solidFill>
                <a:srgbClr val="257D86"/>
              </a:solidFill>
              <a:round/>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1 Total spend'!$A$4:$A$6</c:f>
              <c:strCache>
                <c:ptCount val="3"/>
                <c:pt idx="0">
                  <c:v>2022/2023</c:v>
                </c:pt>
                <c:pt idx="1">
                  <c:v>2023/2024</c:v>
                </c:pt>
                <c:pt idx="2">
                  <c:v>2024/2025</c:v>
                </c:pt>
              </c:strCache>
            </c:strRef>
          </c:cat>
          <c:val>
            <c:numRef>
              <c:f>'Figure 1 Total spend'!$B$4:$B$6</c:f>
              <c:numCache>
                <c:formatCode>_-"£"* #,##0_-;\-"£"* #,##0_-;_-"£"* "-"??_-;_-@_-</c:formatCode>
                <c:ptCount val="3"/>
                <c:pt idx="0">
                  <c:v>12475258.369999999</c:v>
                </c:pt>
                <c:pt idx="1">
                  <c:v>12694344.42</c:v>
                </c:pt>
                <c:pt idx="2">
                  <c:v>12755886.4</c:v>
                </c:pt>
              </c:numCache>
            </c:numRef>
          </c:val>
          <c:extLst>
            <c:ext xmlns:c16="http://schemas.microsoft.com/office/drawing/2014/chart" uri="{C3380CC4-5D6E-409C-BE32-E72D297353CC}">
              <c16:uniqueId val="{00000000-6E46-416B-80AD-70A693B1FD07}"/>
            </c:ext>
          </c:extLst>
        </c:ser>
        <c:dLbls>
          <c:showLegendKey val="0"/>
          <c:showVal val="0"/>
          <c:showCatName val="0"/>
          <c:showSerName val="0"/>
          <c:showPercent val="0"/>
          <c:showBubbleSize val="0"/>
        </c:dLbls>
        <c:gapWidth val="100"/>
        <c:overlap val="-24"/>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_-&quot;£&quot;* #,##0_-;\-&quot;£&quot;* #,##0_-;_-&quot;£&quot;* &quot;-&quot;??_-;_-@_-"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'Training Data'!$A$4</c:f>
              <c:strCache>
                <c:ptCount val="1"/>
                <c:pt idx="0">
                  <c:v>2024/2025</c:v>
                </c:pt>
              </c:strCache>
            </c:strRef>
          </c:tx>
          <c:spPr>
            <a:solidFill>
              <a:srgbClr val="257D86"/>
            </a:solidFill>
            <a:ln w="9525" cap="flat" cmpd="sng" algn="ctr">
              <a:solidFill>
                <a:srgbClr val="257D86"/>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'Training Data'!$A$45:$A$49</c:f>
              <c:strCache>
                <c:ptCount val="5"/>
                <c:pt idx="0">
                  <c:v>Statutory</c:v>
                </c:pt>
                <c:pt idx="1">
                  <c:v>Voluntary</c:v>
                </c:pt>
                <c:pt idx="2">
                  <c:v>Private</c:v>
                </c:pt>
                <c:pt idx="3">
                  <c:v>Other</c:v>
                </c:pt>
                <c:pt idx="4">
                  <c:v>Total</c:v>
                </c:pt>
              </c:strCache>
            </c:strRef>
          </c:cat>
          <c:val>
            <c:numRef>
              <c:f>'Training Data'!$L$4:$P$4</c:f>
              <c:numCache>
                <c:formatCode>0.0</c:formatCode>
                <c:ptCount val="5"/>
                <c:pt idx="0">
                  <c:v>88.713245370189114</c:v>
                </c:pt>
                <c:pt idx="1">
                  <c:v>62.10585585585585</c:v>
                </c:pt>
                <c:pt idx="2">
                  <c:v>79.064100651449593</c:v>
                </c:pt>
                <c:pt idx="3">
                  <c:v>82.335363751292959</c:v>
                </c:pt>
                <c:pt idx="4">
                  <c:v>86.155836046563493</c:v>
                </c:pt>
              </c:numCache>
            </c:numRef>
          </c:val>
          <c:extLst>
            <c:ext xmlns:c16="http://schemas.microsoft.com/office/drawing/2014/chart" uri="{C3380CC4-5D6E-409C-BE32-E72D297353CC}">
              <c16:uniqueId val="{00000000-576E-48D2-A9F3-279E4041B677}"/>
            </c:ext>
          </c:extLst>
        </c:ser>
        <c:ser>
          <c:idx val="1"/>
          <c:order val="1"/>
          <c:tx>
            <c:strRef>
              <c:f>'Training Data'!$A$5</c:f>
              <c:strCache>
                <c:ptCount val="1"/>
                <c:pt idx="0">
                  <c:v>2023/2024</c:v>
                </c:pt>
              </c:strCache>
            </c:strRef>
          </c:tx>
          <c:spPr>
            <a:solidFill>
              <a:srgbClr val="CB8540"/>
            </a:solidFill>
            <a:ln w="9525" cap="flat" cmpd="sng" algn="ctr">
              <a:solidFill>
                <a:srgbClr val="CB8540"/>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'Training Data'!$A$45:$A$49</c:f>
              <c:strCache>
                <c:ptCount val="5"/>
                <c:pt idx="0">
                  <c:v>Statutory</c:v>
                </c:pt>
                <c:pt idx="1">
                  <c:v>Voluntary</c:v>
                </c:pt>
                <c:pt idx="2">
                  <c:v>Private</c:v>
                </c:pt>
                <c:pt idx="3">
                  <c:v>Other</c:v>
                </c:pt>
                <c:pt idx="4">
                  <c:v>Total</c:v>
                </c:pt>
              </c:strCache>
            </c:strRef>
          </c:cat>
          <c:val>
            <c:numRef>
              <c:f>'Training Data'!$L$5:$P$5</c:f>
              <c:numCache>
                <c:formatCode>0.0</c:formatCode>
                <c:ptCount val="5"/>
                <c:pt idx="0">
                  <c:v>84.558873546017281</c:v>
                </c:pt>
                <c:pt idx="1">
                  <c:v>80.677290836653384</c:v>
                </c:pt>
                <c:pt idx="2">
                  <c:v>73.145859085290482</c:v>
                </c:pt>
                <c:pt idx="3">
                  <c:v>84.162151702786375</c:v>
                </c:pt>
                <c:pt idx="4">
                  <c:v>82.817066043249568</c:v>
                </c:pt>
              </c:numCache>
            </c:numRef>
          </c:val>
          <c:extLst>
            <c:ext xmlns:c16="http://schemas.microsoft.com/office/drawing/2014/chart" uri="{C3380CC4-5D6E-409C-BE32-E72D297353CC}">
              <c16:uniqueId val="{00000001-576E-48D2-A9F3-279E4041B677}"/>
            </c:ext>
          </c:extLst>
        </c:ser>
        <c:ser>
          <c:idx val="2"/>
          <c:order val="2"/>
          <c:tx>
            <c:strRef>
              <c:f>'Training Data'!$A$6</c:f>
              <c:strCache>
                <c:ptCount val="1"/>
                <c:pt idx="0">
                  <c:v>2022/2023</c:v>
                </c:pt>
              </c:strCache>
            </c:strRef>
          </c:tx>
          <c:spPr>
            <a:solidFill>
              <a:srgbClr val="37394C"/>
            </a:solidFill>
            <a:ln w="9525" cap="flat" cmpd="sng" algn="ctr">
              <a:solidFill>
                <a:srgbClr val="37394C"/>
              </a:solidFill>
              <a:round/>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'Training Data'!$A$45:$A$49</c:f>
              <c:strCache>
                <c:ptCount val="5"/>
                <c:pt idx="0">
                  <c:v>Statutory</c:v>
                </c:pt>
                <c:pt idx="1">
                  <c:v>Voluntary</c:v>
                </c:pt>
                <c:pt idx="2">
                  <c:v>Private</c:v>
                </c:pt>
                <c:pt idx="3">
                  <c:v>Other</c:v>
                </c:pt>
                <c:pt idx="4">
                  <c:v>Total</c:v>
                </c:pt>
              </c:strCache>
            </c:strRef>
          </c:cat>
          <c:val>
            <c:numRef>
              <c:f>'Training Data'!$L$6:$P$6</c:f>
              <c:numCache>
                <c:formatCode>0.0</c:formatCode>
                <c:ptCount val="5"/>
                <c:pt idx="0">
                  <c:v>87.206730421214345</c:v>
                </c:pt>
                <c:pt idx="1">
                  <c:v>76.550522648083614</c:v>
                </c:pt>
                <c:pt idx="2">
                  <c:v>79.227590591226956</c:v>
                </c:pt>
                <c:pt idx="3">
                  <c:v>83.019329581600203</c:v>
                </c:pt>
                <c:pt idx="4">
                  <c:v>85.552157365939337</c:v>
                </c:pt>
              </c:numCache>
            </c:numRef>
          </c:val>
          <c:extLst>
            <c:ext xmlns:c16="http://schemas.microsoft.com/office/drawing/2014/chart" uri="{C3380CC4-5D6E-409C-BE32-E72D297353CC}">
              <c16:uniqueId val="{00000002-576E-48D2-A9F3-279E4041B677}"/>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strRef>
              <c:f>'Quals Data'!$B$123</c:f>
              <c:strCache>
                <c:ptCount val="1"/>
                <c:pt idx="0">
                  <c:v>Vocational Awards Level 2-5</c:v>
                </c:pt>
              </c:strCache>
            </c:strRef>
          </c:tx>
          <c:spPr>
            <a:solidFill>
              <a:srgbClr val="257D86"/>
            </a:solidFill>
            <a:ln w="9525" cap="flat" cmpd="sng" algn="ctr">
              <a:solidFill>
                <a:srgbClr val="257D86"/>
              </a:solidFill>
              <a:round/>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'Quals Data'!$A$124:$A$126</c:f>
              <c:strCache>
                <c:ptCount val="3"/>
                <c:pt idx="0">
                  <c:v>2024/2025</c:v>
                </c:pt>
                <c:pt idx="1">
                  <c:v>2023/2024</c:v>
                </c:pt>
                <c:pt idx="2">
                  <c:v>2022/2023</c:v>
                </c:pt>
              </c:strCache>
            </c:strRef>
          </c:cat>
          <c:val>
            <c:numRef>
              <c:f>'Quals Data'!$B$124:$B$126</c:f>
              <c:numCache>
                <c:formatCode>General</c:formatCode>
                <c:ptCount val="3"/>
                <c:pt idx="0">
                  <c:v>2486</c:v>
                </c:pt>
                <c:pt idx="1">
                  <c:v>1889</c:v>
                </c:pt>
                <c:pt idx="2">
                  <c:v>1836</c:v>
                </c:pt>
              </c:numCache>
            </c:numRef>
          </c:val>
          <c:extLst>
            <c:ext xmlns:c16="http://schemas.microsoft.com/office/drawing/2014/chart" uri="{C3380CC4-5D6E-409C-BE32-E72D297353CC}">
              <c16:uniqueId val="{00000000-6890-4F6A-84CB-2F227C40EC7A}"/>
            </c:ext>
          </c:extLst>
        </c:ser>
        <c:ser>
          <c:idx val="0"/>
          <c:order val="1"/>
          <c:tx>
            <c:strRef>
              <c:f>'Quals Data'!$C$123</c:f>
              <c:strCache>
                <c:ptCount val="1"/>
                <c:pt idx="0">
                  <c:v>AWIF</c:v>
                </c:pt>
              </c:strCache>
            </c:strRef>
          </c:tx>
          <c:spPr>
            <a:solidFill>
              <a:srgbClr val="CB8540"/>
            </a:solidFill>
            <a:ln w="9525" cap="flat" cmpd="sng" algn="ctr">
              <a:solidFill>
                <a:srgbClr val="CB8540"/>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'Quals Data'!$A$124:$A$126</c:f>
              <c:strCache>
                <c:ptCount val="3"/>
                <c:pt idx="0">
                  <c:v>2024/2025</c:v>
                </c:pt>
                <c:pt idx="1">
                  <c:v>2023/2024</c:v>
                </c:pt>
                <c:pt idx="2">
                  <c:v>2022/2023</c:v>
                </c:pt>
              </c:strCache>
            </c:strRef>
          </c:cat>
          <c:val>
            <c:numRef>
              <c:f>'Quals Data'!$C$124:$C$126</c:f>
              <c:numCache>
                <c:formatCode>General</c:formatCode>
                <c:ptCount val="3"/>
                <c:pt idx="0">
                  <c:v>530</c:v>
                </c:pt>
                <c:pt idx="1">
                  <c:v>779</c:v>
                </c:pt>
                <c:pt idx="2">
                  <c:v>801</c:v>
                </c:pt>
              </c:numCache>
            </c:numRef>
          </c:val>
          <c:extLst>
            <c:ext xmlns:c16="http://schemas.microsoft.com/office/drawing/2014/chart" uri="{C3380CC4-5D6E-409C-BE32-E72D297353CC}">
              <c16:uniqueId val="{00000001-6890-4F6A-84CB-2F227C40EC7A}"/>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Value £</c:v>
          </c:tx>
          <c:dPt>
            <c:idx val="0"/>
            <c:bubble3D val="0"/>
            <c:spPr>
              <a:solidFill>
                <a:srgbClr val="257D86"/>
              </a:solidFill>
              <a:ln w="19050">
                <a:solidFill>
                  <a:srgbClr val="11846A"/>
                </a:solidFill>
              </a:ln>
              <a:effectLst/>
            </c:spPr>
            <c:extLst>
              <c:ext xmlns:c16="http://schemas.microsoft.com/office/drawing/2014/chart" uri="{C3380CC4-5D6E-409C-BE32-E72D297353CC}">
                <c16:uniqueId val="{00000001-E54B-4178-B86A-D757BBABF3D0}"/>
              </c:ext>
            </c:extLst>
          </c:dPt>
          <c:dPt>
            <c:idx val="1"/>
            <c:bubble3D val="0"/>
            <c:spPr>
              <a:solidFill>
                <a:srgbClr val="CB8540"/>
              </a:solidFill>
              <a:ln w="19050">
                <a:solidFill>
                  <a:srgbClr val="CB8540"/>
                </a:solidFill>
              </a:ln>
              <a:effectLst/>
            </c:spPr>
            <c:extLst>
              <c:ext xmlns:c16="http://schemas.microsoft.com/office/drawing/2014/chart" uri="{C3380CC4-5D6E-409C-BE32-E72D297353CC}">
                <c16:uniqueId val="{00000003-E54B-4178-B86A-D757BBABF3D0}"/>
              </c:ext>
            </c:extLst>
          </c:dPt>
          <c:dPt>
            <c:idx val="2"/>
            <c:bubble3D val="0"/>
            <c:spPr>
              <a:solidFill>
                <a:srgbClr val="37394C"/>
              </a:solidFill>
              <a:ln w="19050">
                <a:solidFill>
                  <a:srgbClr val="37394C"/>
                </a:solidFill>
              </a:ln>
              <a:effectLst/>
            </c:spPr>
            <c:extLst>
              <c:ext xmlns:c16="http://schemas.microsoft.com/office/drawing/2014/chart" uri="{C3380CC4-5D6E-409C-BE32-E72D297353CC}">
                <c16:uniqueId val="{00000005-E54B-4178-B86A-D757BBABF3D0}"/>
              </c:ext>
            </c:extLst>
          </c:dPt>
          <c:dLbls>
            <c:dLbl>
              <c:idx val="0"/>
              <c:layout>
                <c:manualLayout>
                  <c:x val="1.2347089669924316E-2"/>
                  <c:y val="-3.8375442260163026E-2"/>
                </c:manualLayout>
              </c:layout>
              <c:tx>
                <c:rich>
                  <a:bodyPr/>
                  <a:lstStyle/>
                  <a:p>
                    <a:fld id="{B2BB4E7A-5F7D-4DCC-A4E2-950A069C3EBC}" type="CATEGORYNAME">
                      <a:rPr lang="en-US"/>
                      <a:pPr/>
                      <a:t>[CATEGORY NAME]</a:t>
                    </a:fld>
                    <a:endParaRPr lang="en-US" baseline="0"/>
                  </a:p>
                  <a:p>
                    <a:fld id="{594755E8-B504-41D6-A7EA-E87776B550F8}" type="VALUE">
                      <a:rPr lang="en-US"/>
                      <a:pPr/>
                      <a:t>[VALUE]</a:t>
                    </a:fld>
                    <a:r>
                      <a:rPr lang="en-US"/>
                      <a:t> /</a:t>
                    </a:r>
                    <a:r>
                      <a:rPr lang="en-US" baseline="0"/>
                      <a:t> </a:t>
                    </a:r>
                    <a:r>
                      <a:rPr lang="en-US"/>
                      <a:t>59.9%</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4B-4178-B86A-D757BBABF3D0}"/>
                </c:ext>
              </c:extLst>
            </c:dLbl>
            <c:dLbl>
              <c:idx val="1"/>
              <c:layout>
                <c:manualLayout>
                  <c:x val="-2.596493525627384E-2"/>
                  <c:y val="-2.996743261249768E-2"/>
                </c:manualLayout>
              </c:layout>
              <c:tx>
                <c:rich>
                  <a:bodyPr/>
                  <a:lstStyle/>
                  <a:p>
                    <a:fld id="{C4FE4E6C-BAC0-4546-B50B-9834A76E92A6}" type="CATEGORYNAME">
                      <a:rPr lang="en-US"/>
                      <a:pPr/>
                      <a:t>[CATEGORY NAME]</a:t>
                    </a:fld>
                    <a:endParaRPr lang="en-US" baseline="0"/>
                  </a:p>
                  <a:p>
                    <a:fld id="{4E9A3C40-1387-4FA1-97F8-1071D1EC1511}" type="VALUE">
                      <a:rPr lang="en-US"/>
                      <a:pPr/>
                      <a:t>[VALUE]</a:t>
                    </a:fld>
                    <a:r>
                      <a:rPr lang="en-US"/>
                      <a:t> / 25.6%</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4B-4178-B86A-D757BBABF3D0}"/>
                </c:ext>
              </c:extLst>
            </c:dLbl>
            <c:dLbl>
              <c:idx val="2"/>
              <c:layout>
                <c:manualLayout>
                  <c:x val="-2.0154315429905981E-2"/>
                  <c:y val="1.8030560795185321E-2"/>
                </c:manualLayout>
              </c:layout>
              <c:tx>
                <c:rich>
                  <a:bodyPr/>
                  <a:lstStyle/>
                  <a:p>
                    <a:fld id="{B05BCA81-962B-4771-AA82-8645F72532EC}" type="CATEGORYNAME">
                      <a:rPr lang="en-US"/>
                      <a:pPr/>
                      <a:t>[CATEGORY NAME]</a:t>
                    </a:fld>
                    <a:endParaRPr lang="en-US" baseline="0"/>
                  </a:p>
                  <a:p>
                    <a:fld id="{D3C7BB4D-74E8-43E0-AF56-9D24CAB79204}" type="VALUE">
                      <a:rPr lang="en-US"/>
                      <a:pPr/>
                      <a:t>[VALUE]</a:t>
                    </a:fld>
                    <a:r>
                      <a:rPr lang="en-US"/>
                      <a:t> /14.5%</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4B-4178-B86A-D757BBABF3D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'Figure 2 Proportion of funding'!$A$3:$A$5</c:f>
              <c:strCache>
                <c:ptCount val="3"/>
                <c:pt idx="0">
                  <c:v>SCWWDP grant (70%)</c:v>
                </c:pt>
                <c:pt idx="1">
                  <c:v>Local authority contribution (30%)</c:v>
                </c:pt>
                <c:pt idx="2">
                  <c:v>Additional local authority funding</c:v>
                </c:pt>
              </c:strCache>
            </c:strRef>
          </c:cat>
          <c:val>
            <c:numRef>
              <c:f>'Figure 2 Proportion of funding'!$B$3:$B$5</c:f>
              <c:numCache>
                <c:formatCode>_-"£"* #,##0_-;\-"£"* #,##0_-;_-"£"* "-"??_-;_-@_-</c:formatCode>
                <c:ptCount val="3"/>
                <c:pt idx="0">
                  <c:v>7640051</c:v>
                </c:pt>
                <c:pt idx="1">
                  <c:v>3261951</c:v>
                </c:pt>
                <c:pt idx="2">
                  <c:v>1853884.3999999997</c:v>
                </c:pt>
              </c:numCache>
            </c:numRef>
          </c:val>
          <c:extLst>
            <c:ext xmlns:c16="http://schemas.microsoft.com/office/drawing/2014/chart" uri="{C3380CC4-5D6E-409C-BE32-E72D297353CC}">
              <c16:uniqueId val="{00000006-E54B-4178-B86A-D757BBABF3D0}"/>
            </c:ext>
          </c:extLst>
        </c:ser>
        <c:ser>
          <c:idx val="1"/>
          <c:order val="1"/>
          <c:tx>
            <c:v>Percentage</c:v>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E54B-4178-B86A-D757BBABF3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E54B-4178-B86A-D757BBABF3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E54B-4178-B86A-D757BBABF3D0}"/>
              </c:ext>
            </c:extLst>
          </c:dPt>
          <c:cat>
            <c:strRef>
              <c:f>'Figure 2 Proportion of funding'!$A$3:$A$5</c:f>
              <c:strCache>
                <c:ptCount val="3"/>
                <c:pt idx="0">
                  <c:v>SCWWDP grant (70%)</c:v>
                </c:pt>
                <c:pt idx="1">
                  <c:v>Local authority contribution (30%)</c:v>
                </c:pt>
                <c:pt idx="2">
                  <c:v>Additional local authority funding</c:v>
                </c:pt>
              </c:strCache>
            </c:strRef>
          </c:cat>
          <c:val>
            <c:numRef>
              <c:f>'Figure 2 Proportion of funding'!$C$3:$C$5</c:f>
              <c:numCache>
                <c:formatCode>0.0%</c:formatCode>
                <c:ptCount val="3"/>
                <c:pt idx="0">
                  <c:v>0.59894316713262674</c:v>
                </c:pt>
                <c:pt idx="1">
                  <c:v>0.25572123313986239</c:v>
                </c:pt>
                <c:pt idx="2">
                  <c:v>0.14533559972751087</c:v>
                </c:pt>
              </c:numCache>
            </c:numRef>
          </c:val>
          <c:extLst>
            <c:ext xmlns:c16="http://schemas.microsoft.com/office/drawing/2014/chart" uri="{C3380CC4-5D6E-409C-BE32-E72D297353CC}">
              <c16:uniqueId val="{0000000D-E54B-4178-B86A-D757BBABF3D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 Spend split by heading'!$B$3</c:f>
              <c:strCache>
                <c:ptCount val="1"/>
                <c:pt idx="0">
                  <c:v>% SCWWDP</c:v>
                </c:pt>
              </c:strCache>
            </c:strRef>
          </c:tx>
          <c:spPr>
            <a:solidFill>
              <a:srgbClr val="257D86"/>
            </a:solidFill>
            <a:ln w="9525" cap="flat" cmpd="sng" algn="ctr">
              <a:solidFill>
                <a:srgbClr val="11846A"/>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3 Spend split by heading'!$A$4:$A$7</c:f>
              <c:strCache>
                <c:ptCount val="4"/>
                <c:pt idx="0">
                  <c:v>Delivery staff</c:v>
                </c:pt>
                <c:pt idx="1">
                  <c:v>Management and admin</c:v>
                </c:pt>
                <c:pt idx="2">
                  <c:v>National Priorities</c:v>
                </c:pt>
                <c:pt idx="3">
                  <c:v>Other Priorities</c:v>
                </c:pt>
              </c:strCache>
            </c:strRef>
          </c:cat>
          <c:val>
            <c:numRef>
              <c:f>'Figure 3 Spend split by heading'!$B$4:$B$7</c:f>
              <c:numCache>
                <c:formatCode>0.0%</c:formatCode>
                <c:ptCount val="4"/>
                <c:pt idx="0">
                  <c:v>0.47315248428683099</c:v>
                </c:pt>
                <c:pt idx="1">
                  <c:v>0.23330857488376905</c:v>
                </c:pt>
                <c:pt idx="2">
                  <c:v>0.26258483533574839</c:v>
                </c:pt>
                <c:pt idx="3">
                  <c:v>1.3856431139895223E-2</c:v>
                </c:pt>
              </c:numCache>
            </c:numRef>
          </c:val>
          <c:extLst>
            <c:ext xmlns:c16="http://schemas.microsoft.com/office/drawing/2014/chart" uri="{C3380CC4-5D6E-409C-BE32-E72D297353CC}">
              <c16:uniqueId val="{00000000-0487-4AB2-B279-5AD90BA788A8}"/>
            </c:ext>
          </c:extLst>
        </c:ser>
        <c:ser>
          <c:idx val="1"/>
          <c:order val="1"/>
          <c:tx>
            <c:strRef>
              <c:f>'Figure 3 Spend split by heading'!$C$3</c:f>
              <c:strCache>
                <c:ptCount val="1"/>
                <c:pt idx="0">
                  <c:v>% Overall</c:v>
                </c:pt>
              </c:strCache>
            </c:strRef>
          </c:tx>
          <c:spPr>
            <a:solidFill>
              <a:srgbClr val="CB8540"/>
            </a:soli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3 Spend split by heading'!$A$4:$A$7</c:f>
              <c:strCache>
                <c:ptCount val="4"/>
                <c:pt idx="0">
                  <c:v>Delivery staff</c:v>
                </c:pt>
                <c:pt idx="1">
                  <c:v>Management and admin</c:v>
                </c:pt>
                <c:pt idx="2">
                  <c:v>National Priorities</c:v>
                </c:pt>
                <c:pt idx="3">
                  <c:v>Other Priorities</c:v>
                </c:pt>
              </c:strCache>
            </c:strRef>
          </c:cat>
          <c:val>
            <c:numRef>
              <c:f>'Figure 3 Spend split by heading'!$C$4:$C$7</c:f>
              <c:numCache>
                <c:formatCode>0.0%</c:formatCode>
                <c:ptCount val="4"/>
                <c:pt idx="0">
                  <c:v>0.43554754375987542</c:v>
                </c:pt>
                <c:pt idx="1">
                  <c:v>0.22103758152001102</c:v>
                </c:pt>
                <c:pt idx="2">
                  <c:v>0.25740911270580147</c:v>
                </c:pt>
                <c:pt idx="3">
                  <c:v>4.4333325201140077E-2</c:v>
                </c:pt>
              </c:numCache>
            </c:numRef>
          </c:val>
          <c:extLst>
            <c:ext xmlns:c16="http://schemas.microsoft.com/office/drawing/2014/chart" uri="{C3380CC4-5D6E-409C-BE32-E72D297353CC}">
              <c16:uniqueId val="{00000001-0487-4AB2-B279-5AD90BA788A8}"/>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 &amp; 5 Staff'!$B$3</c:f>
              <c:strCache>
                <c:ptCount val="1"/>
                <c:pt idx="0">
                  <c:v>SCWWDP</c:v>
                </c:pt>
              </c:strCache>
            </c:strRef>
          </c:tx>
          <c:spPr>
            <a:solidFill>
              <a:srgbClr val="257D86"/>
            </a:solidFill>
            <a:ln w="9525" cap="flat" cmpd="sng" algn="ctr">
              <a:solidFill>
                <a:srgbClr val="257D86"/>
              </a:solidFill>
              <a:round/>
            </a:ln>
            <a:effectLst/>
          </c:spPr>
          <c:invertIfNegative val="0"/>
          <c:dLbls>
            <c:numFmt formatCode="&quot;£&quot;#,##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4 &amp; 5 Staff'!$A$4:$A$5</c:f>
              <c:strCache>
                <c:ptCount val="2"/>
                <c:pt idx="0">
                  <c:v>Delivery staff</c:v>
                </c:pt>
                <c:pt idx="1">
                  <c:v>Management and admin</c:v>
                </c:pt>
              </c:strCache>
            </c:strRef>
          </c:cat>
          <c:val>
            <c:numRef>
              <c:f>'Figure 4 &amp; 5 Staff'!$B$4:$B$5</c:f>
              <c:numCache>
                <c:formatCode>#,##0</c:formatCode>
                <c:ptCount val="2"/>
                <c:pt idx="0">
                  <c:v>5158309.33</c:v>
                </c:pt>
                <c:pt idx="1">
                  <c:v>2543530.5499999998</c:v>
                </c:pt>
              </c:numCache>
            </c:numRef>
          </c:val>
          <c:extLst>
            <c:ext xmlns:c16="http://schemas.microsoft.com/office/drawing/2014/chart" uri="{C3380CC4-5D6E-409C-BE32-E72D297353CC}">
              <c16:uniqueId val="{00000000-B5F9-4AD7-B2DC-BBA73A0F66BE}"/>
            </c:ext>
          </c:extLst>
        </c:ser>
        <c:ser>
          <c:idx val="1"/>
          <c:order val="1"/>
          <c:tx>
            <c:strRef>
              <c:f>'Figure 4 &amp; 5 Staff'!$C$3</c:f>
              <c:strCache>
                <c:ptCount val="1"/>
                <c:pt idx="0">
                  <c:v>Local authority additional funding</c:v>
                </c:pt>
              </c:strCache>
            </c:strRef>
          </c:tx>
          <c:spPr>
            <a:solidFill>
              <a:srgbClr val="CB8540"/>
            </a:solidFill>
            <a:ln w="9525" cap="flat" cmpd="sng" algn="ctr">
              <a:solidFill>
                <a:schemeClr val="accent2">
                  <a:shade val="95000"/>
                </a:schemeClr>
              </a:solidFill>
              <a:round/>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4 &amp; 5 Staff'!$A$4:$A$5</c:f>
              <c:strCache>
                <c:ptCount val="2"/>
                <c:pt idx="0">
                  <c:v>Delivery staff</c:v>
                </c:pt>
                <c:pt idx="1">
                  <c:v>Management and admin</c:v>
                </c:pt>
              </c:strCache>
            </c:strRef>
          </c:cat>
          <c:val>
            <c:numRef>
              <c:f>'Figure 4 &amp; 5 Staff'!$C$4:$C$5</c:f>
              <c:numCache>
                <c:formatCode>#,##0</c:formatCode>
                <c:ptCount val="2"/>
                <c:pt idx="0">
                  <c:v>397485.66</c:v>
                </c:pt>
                <c:pt idx="1">
                  <c:v>275999.73</c:v>
                </c:pt>
              </c:numCache>
            </c:numRef>
          </c:val>
          <c:extLst>
            <c:ext xmlns:c16="http://schemas.microsoft.com/office/drawing/2014/chart" uri="{C3380CC4-5D6E-409C-BE32-E72D297353CC}">
              <c16:uniqueId val="{00000001-B5F9-4AD7-B2DC-BBA73A0F66BE}"/>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quot;£&quot;#,##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035125238974"/>
          <c:y val="1.3597036927274679E-2"/>
          <c:w val="0.8484965136933641"/>
          <c:h val="0.92119965101247259"/>
        </c:manualLayout>
      </c:layout>
      <c:barChart>
        <c:barDir val="col"/>
        <c:grouping val="clustered"/>
        <c:varyColors val="0"/>
        <c:ser>
          <c:idx val="0"/>
          <c:order val="0"/>
          <c:tx>
            <c:strRef>
              <c:f>'Figure 6 Health and Safety'!$B$3</c:f>
              <c:strCache>
                <c:ptCount val="1"/>
                <c:pt idx="0">
                  <c:v>Total Spend</c:v>
                </c:pt>
              </c:strCache>
            </c:strRef>
          </c:tx>
          <c:spPr>
            <a:solidFill>
              <a:srgbClr val="257D86"/>
            </a:solidFill>
            <a:ln w="9525" cap="flat" cmpd="sng" algn="ctr">
              <a:solidFill>
                <a:srgbClr val="11846A"/>
              </a:solidFill>
              <a:round/>
            </a:ln>
            <a:effectLst/>
          </c:spPr>
          <c:invertIfNegative val="0"/>
          <c:dLbls>
            <c:dLbl>
              <c:idx val="0"/>
              <c:tx>
                <c:rich>
                  <a:bodyPr/>
                  <a:lstStyle/>
                  <a:p>
                    <a:fld id="{8A861B10-AC31-4D9E-9E7F-CB2D517ECE19}" type="VALUE">
                      <a:rPr lang="en-US"/>
                      <a:pPr/>
                      <a:t>[VALUE]</a:t>
                    </a:fld>
                    <a:r>
                      <a:rPr lang="en-US"/>
                      <a:t> (1.7%)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778-4ADA-8C06-6F6DD2722AD0}"/>
                </c:ext>
              </c:extLst>
            </c:dLbl>
            <c:dLbl>
              <c:idx val="1"/>
              <c:tx>
                <c:rich>
                  <a:bodyPr/>
                  <a:lstStyle/>
                  <a:p>
                    <a:fld id="{1FFBEC8A-4508-42E4-A2E9-45B19F7FBBFC}" type="VALUE">
                      <a:rPr lang="en-US"/>
                      <a:pPr/>
                      <a:t>[VALUE]</a:t>
                    </a:fld>
                    <a:r>
                      <a:rPr lang="en-US"/>
                      <a:t> (36.3%)</a:t>
                    </a:r>
                  </a:p>
                </c:rich>
              </c:tx>
              <c:showLegendKey val="0"/>
              <c:showVal val="1"/>
              <c:showCatName val="0"/>
              <c:showSerName val="0"/>
              <c:showPercent val="0"/>
              <c:showBubbleSize val="0"/>
              <c:extLst>
                <c:ext xmlns:c15="http://schemas.microsoft.com/office/drawing/2012/chart" uri="{CE6537A1-D6FC-4f65-9D91-7224C49458BB}">
                  <c15:layout>
                    <c:manualLayout>
                      <c:w val="0.22042986926656327"/>
                      <c:h val="7.8078078078078081E-2"/>
                    </c:manualLayout>
                  </c15:layout>
                  <c15:dlblFieldTable/>
                  <c15:showDataLabelsRange val="0"/>
                </c:ext>
                <c:ext xmlns:c16="http://schemas.microsoft.com/office/drawing/2014/chart" uri="{C3380CC4-5D6E-409C-BE32-E72D297353CC}">
                  <c16:uniqueId val="{00000001-7778-4ADA-8C06-6F6DD2722AD0}"/>
                </c:ext>
              </c:extLst>
            </c:dLbl>
            <c:dLbl>
              <c:idx val="2"/>
              <c:tx>
                <c:rich>
                  <a:bodyPr/>
                  <a:lstStyle/>
                  <a:p>
                    <a:fld id="{76E57F2D-EDC5-4F66-93C2-39575FE4CD62}" type="VALUE">
                      <a:rPr lang="en-US"/>
                      <a:pPr/>
                      <a:t>[VALUE]</a:t>
                    </a:fld>
                    <a:r>
                      <a:rPr lang="en-US"/>
                      <a:t> (4.2%)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778-4ADA-8C06-6F6DD2722AD0}"/>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6 Health and Safety'!$A$4:$A$6</c:f>
              <c:strCache>
                <c:ptCount val="3"/>
                <c:pt idx="0">
                  <c:v>SCWWDP</c:v>
                </c:pt>
                <c:pt idx="1">
                  <c:v>Local authority additional funding</c:v>
                </c:pt>
                <c:pt idx="2">
                  <c:v>Overall</c:v>
                </c:pt>
              </c:strCache>
            </c:strRef>
          </c:cat>
          <c:val>
            <c:numRef>
              <c:f>'Figure 6 Health and Safety'!$B$4:$B$6</c:f>
              <c:numCache>
                <c:formatCode>_-"£"* #,##0_-;\-"£"* #,##0_-;_-"£"* "-"??_-;_-@_-</c:formatCode>
                <c:ptCount val="3"/>
                <c:pt idx="0">
                  <c:v>186399.95</c:v>
                </c:pt>
                <c:pt idx="1">
                  <c:v>345169.94</c:v>
                </c:pt>
                <c:pt idx="2">
                  <c:v>531569.89</c:v>
                </c:pt>
              </c:numCache>
            </c:numRef>
          </c:val>
          <c:extLst>
            <c:ext xmlns:c16="http://schemas.microsoft.com/office/drawing/2014/chart" uri="{C3380CC4-5D6E-409C-BE32-E72D297353CC}">
              <c16:uniqueId val="{00000003-7778-4ADA-8C06-6F6DD2722AD0}"/>
            </c:ext>
          </c:extLst>
        </c:ser>
        <c:dLbls>
          <c:showLegendKey val="0"/>
          <c:showVal val="0"/>
          <c:showCatName val="0"/>
          <c:showSerName val="0"/>
          <c:showPercent val="0"/>
          <c:showBubbleSize val="0"/>
        </c:dLbls>
        <c:gapWidth val="100"/>
        <c:overlap val="-24"/>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_-&quot;£&quot;* #,##0_-;\-&quot;£&quot;* #,##0_-;_-&quot;£&quot;* &quot;-&quot;??_-;_-@_-"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87208038389145E-2"/>
          <c:y val="8.3536317002178381E-2"/>
          <c:w val="0.88605188661181666"/>
          <c:h val="0.73733605046668371"/>
        </c:manualLayout>
      </c:layout>
      <c:barChart>
        <c:barDir val="col"/>
        <c:grouping val="clustered"/>
        <c:varyColors val="0"/>
        <c:ser>
          <c:idx val="0"/>
          <c:order val="0"/>
          <c:tx>
            <c:strRef>
              <c:f>'Figure 7-8'!$B$2</c:f>
              <c:strCache>
                <c:ptCount val="1"/>
                <c:pt idx="0">
                  <c:v>SCWWDP</c:v>
                </c:pt>
              </c:strCache>
            </c:strRef>
          </c:tx>
          <c:spPr>
            <a:solidFill>
              <a:srgbClr val="257D86"/>
            </a:solidFill>
            <a:ln w="9525" cap="flat" cmpd="sng" algn="ctr">
              <a:solidFill>
                <a:srgbClr val="257D86"/>
              </a:solidFill>
              <a:round/>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7-8'!$A$16:$A$21</c:f>
              <c:strCache>
                <c:ptCount val="6"/>
                <c:pt idx="0">
                  <c:v>Build a digtially ready workforce </c:v>
                </c:pt>
                <c:pt idx="1">
                  <c:v>Excellent education and learning </c:v>
                </c:pt>
                <c:pt idx="2">
                  <c:v>Provision of qualifying and post qualifying social work training </c:v>
                </c:pt>
                <c:pt idx="3">
                  <c:v>Leadership and succession </c:v>
                </c:pt>
                <c:pt idx="4">
                  <c:v>Workforce shape and supply </c:v>
                </c:pt>
                <c:pt idx="5">
                  <c:v>Other Priorities</c:v>
                </c:pt>
              </c:strCache>
            </c:strRef>
          </c:cat>
          <c:val>
            <c:numRef>
              <c:f>'Figure 7-8'!$B$16:$B$21</c:f>
              <c:numCache>
                <c:formatCode>_-"£"* #,##0_-;\-"£"* #,##0_-;_-"£"* "-"??_-;_-@_-</c:formatCode>
                <c:ptCount val="6"/>
                <c:pt idx="0">
                  <c:v>161192.53</c:v>
                </c:pt>
                <c:pt idx="1">
                  <c:v>1266534.25</c:v>
                </c:pt>
                <c:pt idx="2">
                  <c:v>1104636.8999999999</c:v>
                </c:pt>
                <c:pt idx="3">
                  <c:v>182359.54</c:v>
                </c:pt>
                <c:pt idx="4">
                  <c:v>147977.18</c:v>
                </c:pt>
                <c:pt idx="5">
                  <c:v>151062.84</c:v>
                </c:pt>
              </c:numCache>
            </c:numRef>
          </c:val>
          <c:extLst>
            <c:ext xmlns:c16="http://schemas.microsoft.com/office/drawing/2014/chart" uri="{C3380CC4-5D6E-409C-BE32-E72D297353CC}">
              <c16:uniqueId val="{00000000-3220-434C-ACB2-F9F92FDBA064}"/>
            </c:ext>
          </c:extLst>
        </c:ser>
        <c:ser>
          <c:idx val="1"/>
          <c:order val="1"/>
          <c:tx>
            <c:strRef>
              <c:f>'Figure 7-8'!$C$2</c:f>
              <c:strCache>
                <c:ptCount val="1"/>
                <c:pt idx="0">
                  <c:v>Local authority additional funding</c:v>
                </c:pt>
              </c:strCache>
            </c:strRef>
          </c:tx>
          <c:spPr>
            <a:solidFill>
              <a:srgbClr val="CB8540"/>
            </a:solidFill>
            <a:ln w="9525" cap="flat" cmpd="sng" algn="ctr">
              <a:solidFill>
                <a:srgbClr val="CB8540"/>
              </a:solidFill>
              <a:round/>
            </a:ln>
            <a:effectLst/>
          </c:spPr>
          <c:invertIfNegative val="0"/>
          <c:dLbls>
            <c:numFmt formatCode="&quot;£&quot;#,##0" sourceLinked="0"/>
            <c:spPr>
              <a:noFill/>
              <a:ln>
                <a:noFill/>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7-8'!$A$16:$A$21</c:f>
              <c:strCache>
                <c:ptCount val="6"/>
                <c:pt idx="0">
                  <c:v>Build a digtially ready workforce </c:v>
                </c:pt>
                <c:pt idx="1">
                  <c:v>Excellent education and learning </c:v>
                </c:pt>
                <c:pt idx="2">
                  <c:v>Provision of qualifying and post qualifying social work training </c:v>
                </c:pt>
                <c:pt idx="3">
                  <c:v>Leadership and succession </c:v>
                </c:pt>
                <c:pt idx="4">
                  <c:v>Workforce shape and supply </c:v>
                </c:pt>
                <c:pt idx="5">
                  <c:v>Other Priorities</c:v>
                </c:pt>
              </c:strCache>
            </c:strRef>
          </c:cat>
          <c:val>
            <c:numRef>
              <c:f>'Figure 7-8'!$C$16:$C$21</c:f>
              <c:numCache>
                <c:formatCode>_-"£"* #,##0_-;\-"£"* #,##0_-;_-"£"* "-"??_-;_-@_-</c:formatCode>
                <c:ptCount val="6"/>
                <c:pt idx="0">
                  <c:v>1432</c:v>
                </c:pt>
                <c:pt idx="1">
                  <c:v>243067.27</c:v>
                </c:pt>
                <c:pt idx="2">
                  <c:v>118486</c:v>
                </c:pt>
                <c:pt idx="3">
                  <c:v>18679.87</c:v>
                </c:pt>
                <c:pt idx="4">
                  <c:v>39115.86</c:v>
                </c:pt>
                <c:pt idx="5">
                  <c:v>414448.02</c:v>
                </c:pt>
              </c:numCache>
            </c:numRef>
          </c:val>
          <c:extLst>
            <c:ext xmlns:c16="http://schemas.microsoft.com/office/drawing/2014/chart" uri="{C3380CC4-5D6E-409C-BE32-E72D297353CC}">
              <c16:uniqueId val="{00000001-3220-434C-ACB2-F9F92FDBA064}"/>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quot;£&quot;#,##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tr"/>
      <c:layout>
        <c:manualLayout>
          <c:xMode val="edge"/>
          <c:yMode val="edge"/>
          <c:x val="0.52076695800230355"/>
          <c:y val="1.2688341528858567E-2"/>
          <c:w val="0.47025436635235413"/>
          <c:h val="7.216802294824771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87208038389145E-2"/>
          <c:y val="4.2828647610953466E-2"/>
          <c:w val="0.88605188661181666"/>
          <c:h val="0.80866896799657251"/>
        </c:manualLayout>
      </c:layout>
      <c:barChart>
        <c:barDir val="col"/>
        <c:grouping val="clustered"/>
        <c:varyColors val="0"/>
        <c:ser>
          <c:idx val="0"/>
          <c:order val="0"/>
          <c:tx>
            <c:strRef>
              <c:f>'Figure 7-8'!$B$2</c:f>
              <c:strCache>
                <c:ptCount val="1"/>
                <c:pt idx="0">
                  <c:v>SCWWDP</c:v>
                </c:pt>
              </c:strCache>
            </c:strRef>
          </c:tx>
          <c:spPr>
            <a:solidFill>
              <a:srgbClr val="257D86"/>
            </a:solidFill>
            <a:ln w="9525" cap="flat" cmpd="sng" algn="ctr">
              <a:solidFill>
                <a:srgbClr val="257D86"/>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7-8'!$A$16:$A$21</c:f>
              <c:strCache>
                <c:ptCount val="6"/>
                <c:pt idx="0">
                  <c:v>Build a digtially ready workforce </c:v>
                </c:pt>
                <c:pt idx="1">
                  <c:v>Excellent education and learning </c:v>
                </c:pt>
                <c:pt idx="2">
                  <c:v>Provision of qualifying and post qualifying social work training </c:v>
                </c:pt>
                <c:pt idx="3">
                  <c:v>Leadership and succession </c:v>
                </c:pt>
                <c:pt idx="4">
                  <c:v>Workforce shape and supply </c:v>
                </c:pt>
                <c:pt idx="5">
                  <c:v>Other Priorities</c:v>
                </c:pt>
              </c:strCache>
            </c:strRef>
          </c:cat>
          <c:val>
            <c:numRef>
              <c:f>'Figure 7-8'!$B$25:$B$30</c:f>
              <c:numCache>
                <c:formatCode>0.0%</c:formatCode>
                <c:ptCount val="6"/>
                <c:pt idx="0">
                  <c:v>1.4785589839370786E-2</c:v>
                </c:pt>
                <c:pt idx="1">
                  <c:v>0.11617446502027792</c:v>
                </c:pt>
                <c:pt idx="2">
                  <c:v>0.10132422466992759</c:v>
                </c:pt>
                <c:pt idx="3">
                  <c:v>1.6727160754510962E-2</c:v>
                </c:pt>
                <c:pt idx="4">
                  <c:v>1.3573395051661153E-2</c:v>
                </c:pt>
                <c:pt idx="5">
                  <c:v>1.3856431139895223E-2</c:v>
                </c:pt>
              </c:numCache>
            </c:numRef>
          </c:val>
          <c:extLst>
            <c:ext xmlns:c16="http://schemas.microsoft.com/office/drawing/2014/chart" uri="{C3380CC4-5D6E-409C-BE32-E72D297353CC}">
              <c16:uniqueId val="{00000000-2D9C-40DF-94AE-CEC23C2C0055}"/>
            </c:ext>
          </c:extLst>
        </c:ser>
        <c:ser>
          <c:idx val="1"/>
          <c:order val="1"/>
          <c:tx>
            <c:strRef>
              <c:f>'Figure 7-8'!$D$2</c:f>
              <c:strCache>
                <c:ptCount val="1"/>
                <c:pt idx="0">
                  <c:v>Overall</c:v>
                </c:pt>
              </c:strCache>
            </c:strRef>
          </c:tx>
          <c:spPr>
            <a:solidFill>
              <a:srgbClr val="CB8540"/>
            </a:solidFill>
            <a:ln w="9525" cap="flat" cmpd="sng" algn="ctr">
              <a:solidFill>
                <a:srgbClr val="CB8540"/>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7-8'!$A$16:$A$21</c:f>
              <c:strCache>
                <c:ptCount val="6"/>
                <c:pt idx="0">
                  <c:v>Build a digtially ready workforce </c:v>
                </c:pt>
                <c:pt idx="1">
                  <c:v>Excellent education and learning </c:v>
                </c:pt>
                <c:pt idx="2">
                  <c:v>Provision of qualifying and post qualifying social work training </c:v>
                </c:pt>
                <c:pt idx="3">
                  <c:v>Leadership and succession </c:v>
                </c:pt>
                <c:pt idx="4">
                  <c:v>Workforce shape and supply </c:v>
                </c:pt>
                <c:pt idx="5">
                  <c:v>Other Priorities</c:v>
                </c:pt>
              </c:strCache>
            </c:strRef>
          </c:cat>
          <c:val>
            <c:numRef>
              <c:f>'Figure 7-8'!$D$25:$D$30</c:f>
              <c:numCache>
                <c:formatCode>0.0%</c:formatCode>
                <c:ptCount val="6"/>
                <c:pt idx="0">
                  <c:v>1.2748979169334715E-2</c:v>
                </c:pt>
                <c:pt idx="1">
                  <c:v>0.11834548165935375</c:v>
                </c:pt>
                <c:pt idx="2">
                  <c:v>9.5886938911591432E-2</c:v>
                </c:pt>
                <c:pt idx="3">
                  <c:v>1.5760520570330575E-2</c:v>
                </c:pt>
                <c:pt idx="4">
                  <c:v>1.4667192395190974E-2</c:v>
                </c:pt>
                <c:pt idx="5">
                  <c:v>4.4333325201140077E-2</c:v>
                </c:pt>
              </c:numCache>
            </c:numRef>
          </c:val>
          <c:extLst>
            <c:ext xmlns:c16="http://schemas.microsoft.com/office/drawing/2014/chart" uri="{C3380CC4-5D6E-409C-BE32-E72D297353CC}">
              <c16:uniqueId val="{00000001-2D9C-40DF-94AE-CEC23C2C0055}"/>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tr"/>
      <c:layout>
        <c:manualLayout>
          <c:xMode val="edge"/>
          <c:yMode val="edge"/>
          <c:x val="0.52076695800230355"/>
          <c:y val="1.2688341528858567E-2"/>
          <c:w val="0.47025436635235413"/>
          <c:h val="7.216802294824771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87208038389145E-2"/>
          <c:y val="4.2828647610953466E-2"/>
          <c:w val="0.88605188661181666"/>
          <c:h val="0.80866896799657251"/>
        </c:manualLayout>
      </c:layout>
      <c:barChart>
        <c:barDir val="col"/>
        <c:grouping val="clustered"/>
        <c:varyColors val="0"/>
        <c:ser>
          <c:idx val="0"/>
          <c:order val="0"/>
          <c:tx>
            <c:strRef>
              <c:f>'Figure 7-8'!$B$2</c:f>
              <c:strCache>
                <c:ptCount val="1"/>
                <c:pt idx="0">
                  <c:v>SCWWDP</c:v>
                </c:pt>
              </c:strCache>
            </c:strRef>
          </c:tx>
          <c:spPr>
            <a:solidFill>
              <a:srgbClr val="257D86"/>
            </a:solidFill>
            <a:ln w="9525" cap="flat" cmpd="sng" algn="ctr">
              <a:solidFill>
                <a:srgbClr val="257D86"/>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7-8'!$A$16:$A$21</c:f>
              <c:strCache>
                <c:ptCount val="6"/>
                <c:pt idx="0">
                  <c:v>Build a digtially ready workforce </c:v>
                </c:pt>
                <c:pt idx="1">
                  <c:v>Excellent education and learning </c:v>
                </c:pt>
                <c:pt idx="2">
                  <c:v>Provision of qualifying and post qualifying social work training </c:v>
                </c:pt>
                <c:pt idx="3">
                  <c:v>Leadership and succession </c:v>
                </c:pt>
                <c:pt idx="4">
                  <c:v>Workforce shape and supply </c:v>
                </c:pt>
                <c:pt idx="5">
                  <c:v>Other Priorities</c:v>
                </c:pt>
              </c:strCache>
            </c:strRef>
          </c:cat>
          <c:val>
            <c:numRef>
              <c:f>'Figure 7-8'!$B$33:$B$38</c:f>
              <c:numCache>
                <c:formatCode>0.0%</c:formatCode>
                <c:ptCount val="6"/>
                <c:pt idx="0">
                  <c:v>-0.18808626590319061</c:v>
                </c:pt>
                <c:pt idx="1">
                  <c:v>-9.3906707780703508E-2</c:v>
                </c:pt>
                <c:pt idx="2">
                  <c:v>-3.6486385765805006E-2</c:v>
                </c:pt>
                <c:pt idx="3">
                  <c:v>-6.2365789324846092E-2</c:v>
                </c:pt>
                <c:pt idx="4">
                  <c:v>0.241513033702209</c:v>
                </c:pt>
                <c:pt idx="5">
                  <c:v>-0.11540254546828016</c:v>
                </c:pt>
              </c:numCache>
            </c:numRef>
          </c:val>
          <c:extLst>
            <c:ext xmlns:c16="http://schemas.microsoft.com/office/drawing/2014/chart" uri="{C3380CC4-5D6E-409C-BE32-E72D297353CC}">
              <c16:uniqueId val="{00000000-1584-40F0-9679-3E185F4ABBE1}"/>
            </c:ext>
          </c:extLst>
        </c:ser>
        <c:ser>
          <c:idx val="1"/>
          <c:order val="1"/>
          <c:tx>
            <c:strRef>
              <c:f>'Figure 7-8'!$C$2</c:f>
              <c:strCache>
                <c:ptCount val="1"/>
                <c:pt idx="0">
                  <c:v>Local authority additional funding</c:v>
                </c:pt>
              </c:strCache>
            </c:strRef>
          </c:tx>
          <c:spPr>
            <a:solidFill>
              <a:srgbClr val="CB8540"/>
            </a:solidFill>
            <a:ln w="9525" cap="flat" cmpd="sng" algn="ctr">
              <a:solidFill>
                <a:srgbClr val="CB8540"/>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7-8'!$A$16:$A$21</c:f>
              <c:strCache>
                <c:ptCount val="6"/>
                <c:pt idx="0">
                  <c:v>Build a digtially ready workforce </c:v>
                </c:pt>
                <c:pt idx="1">
                  <c:v>Excellent education and learning </c:v>
                </c:pt>
                <c:pt idx="2">
                  <c:v>Provision of qualifying and post qualifying social work training </c:v>
                </c:pt>
                <c:pt idx="3">
                  <c:v>Leadership and succession </c:v>
                </c:pt>
                <c:pt idx="4">
                  <c:v>Workforce shape and supply </c:v>
                </c:pt>
                <c:pt idx="5">
                  <c:v>Other Priorities</c:v>
                </c:pt>
              </c:strCache>
            </c:strRef>
          </c:cat>
          <c:val>
            <c:numRef>
              <c:f>'Figure 7-8'!$C$33:$C$38</c:f>
              <c:numCache>
                <c:formatCode>0.0%</c:formatCode>
                <c:ptCount val="6"/>
                <c:pt idx="0">
                  <c:v>-0.9180027485112231</c:v>
                </c:pt>
                <c:pt idx="1">
                  <c:v>-8.7315662972344388E-2</c:v>
                </c:pt>
                <c:pt idx="2">
                  <c:v>-0.48411900190267199</c:v>
                </c:pt>
                <c:pt idx="3">
                  <c:v>0.247486977427541</c:v>
                </c:pt>
                <c:pt idx="4">
                  <c:v>1.0273587643827098</c:v>
                </c:pt>
                <c:pt idx="5">
                  <c:v>0.69857813433220894</c:v>
                </c:pt>
              </c:numCache>
            </c:numRef>
          </c:val>
          <c:extLst>
            <c:ext xmlns:c16="http://schemas.microsoft.com/office/drawing/2014/chart" uri="{C3380CC4-5D6E-409C-BE32-E72D297353CC}">
              <c16:uniqueId val="{00000001-1584-40F0-9679-3E185F4ABBE1}"/>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majorUnit val="0.2"/>
      </c:valAx>
      <c:spPr>
        <a:noFill/>
        <a:ln>
          <a:noFill/>
        </a:ln>
        <a:effectLst/>
      </c:spPr>
    </c:plotArea>
    <c:legend>
      <c:legendPos val="tr"/>
      <c:layout>
        <c:manualLayout>
          <c:xMode val="edge"/>
          <c:yMode val="edge"/>
          <c:x val="0.11523010802100918"/>
          <c:y val="4.6523918939148076E-2"/>
          <c:w val="0.47025436635235413"/>
          <c:h val="7.216802294824771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600401801626652E-2"/>
          <c:y val="4.7760516421933748E-2"/>
          <c:w val="0.89343513878946945"/>
          <c:h val="0.7978709418079496"/>
        </c:manualLayout>
      </c:layout>
      <c:barChart>
        <c:barDir val="col"/>
        <c:grouping val="clustered"/>
        <c:varyColors val="0"/>
        <c:ser>
          <c:idx val="0"/>
          <c:order val="0"/>
          <c:tx>
            <c:strRef>
              <c:f>'Training Data'!$A$4</c:f>
              <c:strCache>
                <c:ptCount val="1"/>
                <c:pt idx="0">
                  <c:v>2024/2025</c:v>
                </c:pt>
              </c:strCache>
            </c:strRef>
          </c:tx>
          <c:spPr>
            <a:solidFill>
              <a:srgbClr val="257D86"/>
            </a:solidFill>
            <a:ln w="9525" cap="flat" cmpd="sng" algn="ctr">
              <a:solidFill>
                <a:srgbClr val="257D86"/>
              </a:solidFill>
              <a:round/>
            </a:ln>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'Training Data'!$B$3:$F$3</c:f>
              <c:strCache>
                <c:ptCount val="5"/>
                <c:pt idx="0">
                  <c:v>Statutory</c:v>
                </c:pt>
                <c:pt idx="1">
                  <c:v>Voluntary</c:v>
                </c:pt>
                <c:pt idx="2">
                  <c:v>Private</c:v>
                </c:pt>
                <c:pt idx="3">
                  <c:v>Other</c:v>
                </c:pt>
                <c:pt idx="4">
                  <c:v>Overall</c:v>
                </c:pt>
              </c:strCache>
            </c:strRef>
          </c:cat>
          <c:val>
            <c:numRef>
              <c:f>'Training Data'!$B$4:$F$4</c:f>
              <c:numCache>
                <c:formatCode>General</c:formatCode>
                <c:ptCount val="5"/>
                <c:pt idx="0">
                  <c:v>102164</c:v>
                </c:pt>
                <c:pt idx="1">
                  <c:v>3552</c:v>
                </c:pt>
                <c:pt idx="2">
                  <c:v>20109</c:v>
                </c:pt>
                <c:pt idx="3">
                  <c:v>8701</c:v>
                </c:pt>
                <c:pt idx="4">
                  <c:v>134526</c:v>
                </c:pt>
              </c:numCache>
            </c:numRef>
          </c:val>
          <c:extLst>
            <c:ext xmlns:c16="http://schemas.microsoft.com/office/drawing/2014/chart" uri="{C3380CC4-5D6E-409C-BE32-E72D297353CC}">
              <c16:uniqueId val="{00000000-8184-4FE7-A0CC-2A60111C913C}"/>
            </c:ext>
          </c:extLst>
        </c:ser>
        <c:ser>
          <c:idx val="1"/>
          <c:order val="1"/>
          <c:tx>
            <c:strRef>
              <c:f>'Training Data'!$A$5</c:f>
              <c:strCache>
                <c:ptCount val="1"/>
                <c:pt idx="0">
                  <c:v>2023/2024</c:v>
                </c:pt>
              </c:strCache>
            </c:strRef>
          </c:tx>
          <c:spPr>
            <a:solidFill>
              <a:srgbClr val="CB8540"/>
            </a:solidFill>
            <a:ln w="9525" cap="flat" cmpd="sng" algn="ctr">
              <a:solidFill>
                <a:srgbClr val="CB8540"/>
              </a:solidFill>
              <a:round/>
            </a:ln>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'Training Data'!$B$3:$F$3</c:f>
              <c:strCache>
                <c:ptCount val="5"/>
                <c:pt idx="0">
                  <c:v>Statutory</c:v>
                </c:pt>
                <c:pt idx="1">
                  <c:v>Voluntary</c:v>
                </c:pt>
                <c:pt idx="2">
                  <c:v>Private</c:v>
                </c:pt>
                <c:pt idx="3">
                  <c:v>Other</c:v>
                </c:pt>
                <c:pt idx="4">
                  <c:v>Overall</c:v>
                </c:pt>
              </c:strCache>
            </c:strRef>
          </c:cat>
          <c:val>
            <c:numRef>
              <c:f>'Training Data'!$B$5:$F$5</c:f>
              <c:numCache>
                <c:formatCode>General</c:formatCode>
                <c:ptCount val="5"/>
                <c:pt idx="0">
                  <c:v>102907</c:v>
                </c:pt>
                <c:pt idx="1">
                  <c:v>2510</c:v>
                </c:pt>
                <c:pt idx="2">
                  <c:v>19416</c:v>
                </c:pt>
                <c:pt idx="3">
                  <c:v>10336</c:v>
                </c:pt>
                <c:pt idx="4">
                  <c:v>135169</c:v>
                </c:pt>
              </c:numCache>
            </c:numRef>
          </c:val>
          <c:extLst>
            <c:ext xmlns:c16="http://schemas.microsoft.com/office/drawing/2014/chart" uri="{C3380CC4-5D6E-409C-BE32-E72D297353CC}">
              <c16:uniqueId val="{00000001-8184-4FE7-A0CC-2A60111C913C}"/>
            </c:ext>
          </c:extLst>
        </c:ser>
        <c:ser>
          <c:idx val="2"/>
          <c:order val="2"/>
          <c:tx>
            <c:strRef>
              <c:f>'Training Data'!$A$6</c:f>
              <c:strCache>
                <c:ptCount val="1"/>
                <c:pt idx="0">
                  <c:v>2022/2023</c:v>
                </c:pt>
              </c:strCache>
            </c:strRef>
          </c:tx>
          <c:spPr>
            <a:solidFill>
              <a:srgbClr val="37394C"/>
            </a:solidFill>
            <a:ln w="9525" cap="flat" cmpd="sng" algn="ctr">
              <a:solidFill>
                <a:sysClr val="windowText" lastClr="000000"/>
              </a:solidFill>
              <a:round/>
            </a:ln>
            <a:effectLst/>
          </c:spPr>
          <c:invertIfNegative val="0"/>
          <c:dPt>
            <c:idx val="0"/>
            <c:invertIfNegative val="0"/>
            <c:bubble3D val="0"/>
            <c:spPr>
              <a:solidFill>
                <a:srgbClr val="37394C"/>
              </a:solidFill>
              <a:ln w="9525" cap="flat" cmpd="sng" algn="ctr">
                <a:solidFill>
                  <a:srgbClr val="37394C"/>
                </a:solidFill>
                <a:round/>
              </a:ln>
              <a:effectLst/>
            </c:spPr>
            <c:extLst>
              <c:ext xmlns:c16="http://schemas.microsoft.com/office/drawing/2014/chart" uri="{C3380CC4-5D6E-409C-BE32-E72D297353CC}">
                <c16:uniqueId val="{00000003-8184-4FE7-A0CC-2A60111C913C}"/>
              </c:ext>
            </c:extLst>
          </c:dPt>
          <c:dLbls>
            <c:numFmt formatCode="#,##0" sourceLinked="0"/>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'Training Data'!$B$3:$F$3</c:f>
              <c:strCache>
                <c:ptCount val="5"/>
                <c:pt idx="0">
                  <c:v>Statutory</c:v>
                </c:pt>
                <c:pt idx="1">
                  <c:v>Voluntary</c:v>
                </c:pt>
                <c:pt idx="2">
                  <c:v>Private</c:v>
                </c:pt>
                <c:pt idx="3">
                  <c:v>Other</c:v>
                </c:pt>
                <c:pt idx="4">
                  <c:v>Overall</c:v>
                </c:pt>
              </c:strCache>
            </c:strRef>
          </c:cat>
          <c:val>
            <c:numRef>
              <c:f>'Training Data'!$B$6:$F$6</c:f>
              <c:numCache>
                <c:formatCode>#,##0</c:formatCode>
                <c:ptCount val="5"/>
                <c:pt idx="0">
                  <c:v>124331</c:v>
                </c:pt>
                <c:pt idx="1">
                  <c:v>2870</c:v>
                </c:pt>
                <c:pt idx="2">
                  <c:v>25168</c:v>
                </c:pt>
                <c:pt idx="3">
                  <c:v>8174</c:v>
                </c:pt>
                <c:pt idx="4" formatCode="General">
                  <c:v>160543</c:v>
                </c:pt>
              </c:numCache>
            </c:numRef>
          </c:val>
          <c:extLst>
            <c:ext xmlns:c16="http://schemas.microsoft.com/office/drawing/2014/chart" uri="{C3380CC4-5D6E-409C-BE32-E72D297353CC}">
              <c16:uniqueId val="{00000004-8184-4FE7-A0CC-2A60111C913C}"/>
            </c:ext>
          </c:extLst>
        </c:ser>
        <c:dLbls>
          <c:showLegendKey val="0"/>
          <c:showVal val="0"/>
          <c:showCatName val="0"/>
          <c:showSerName val="0"/>
          <c:showPercent val="0"/>
          <c:showBubbleSize val="0"/>
        </c:dLbls>
        <c:gapWidth val="100"/>
        <c:axId val="1111668767"/>
        <c:axId val="1111669727"/>
      </c:barChart>
      <c:catAx>
        <c:axId val="1111668767"/>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9727"/>
        <c:crosses val="autoZero"/>
        <c:auto val="1"/>
        <c:lblAlgn val="ctr"/>
        <c:lblOffset val="100"/>
        <c:noMultiLvlLbl val="0"/>
      </c:catAx>
      <c:valAx>
        <c:axId val="1111669727"/>
        <c:scaling>
          <c:orientation val="minMax"/>
        </c:scaling>
        <c:delete val="0"/>
        <c:axPos val="l"/>
        <c:numFmt formatCode="#,##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1668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EBE95A93-09A0-470B-803E-85BAB41F5ACC}">
    <t:Anchor>
      <t:Comment id="1668985563"/>
    </t:Anchor>
    <t:History>
      <t:Event id="{E929B416-D75A-4159-A5E7-326866AD860B}" time="2024-10-08T20:02:38.418Z">
        <t:Attribution userId="S::lisa.trigg@socialcare.wales::7033e36b-da3d-418e-8aa1-a243891800bb" userProvider="AD" userName="Lisa Trigg"/>
        <t:Anchor>
          <t:Comment id="1668985563"/>
        </t:Anchor>
        <t:Create/>
      </t:Event>
      <t:Event id="{7EBE53EA-D0E2-4C3F-96D2-98EFAAB44271}" time="2024-10-08T20:02:38.418Z">
        <t:Attribution userId="S::lisa.trigg@socialcare.wales::7033e36b-da3d-418e-8aa1-a243891800bb" userProvider="AD" userName="Lisa Trigg"/>
        <t:Anchor>
          <t:Comment id="1668985563"/>
        </t:Anchor>
        <t:Assign userId="S::erin.jones@socialcare.wales::4940aa6f-db69-4476-b739-37fe96bec683" userProvider="AD" userName="Erin Jones"/>
      </t:Event>
      <t:Event id="{ADD2E676-D629-486E-AE6A-78F4D518E6E2}" time="2024-10-08T20:02:38.418Z">
        <t:Attribution userId="S::lisa.trigg@socialcare.wales::7033e36b-da3d-418e-8aa1-a243891800bb" userProvider="AD" userName="Lisa Trigg"/>
        <t:Anchor>
          <t:Comment id="1668985563"/>
        </t:Anchor>
        <t:SetTitle title="Would you be able to pull these figures out for Rachel S @Erin Jones "/>
      </t:Event>
      <t:Event id="{017C7FF2-4EB3-4A7D-ABDD-C51532B5C6D3}" time="2024-10-11T13:08:24.158Z">
        <t:Attribution userId="S::erin.jones@socialcare.wales::4940aa6f-db69-4476-b739-37fe96bec683" userProvider="AD" userName="Erin Jones"/>
        <t:Progress percentComplete="100"/>
      </t:Event>
    </t:History>
  </t:Task>
</t:Tasks>
</file>

<file path=word/drawings/drawing1.xml><?xml version="1.0" encoding="utf-8"?>
<c:userShapes xmlns:c="http://schemas.openxmlformats.org/drawingml/2006/chart">
  <cdr:relSizeAnchor xmlns:cdr="http://schemas.openxmlformats.org/drawingml/2006/chartDrawing">
    <cdr:from>
      <cdr:x>0.34121</cdr:x>
      <cdr:y>0.48619</cdr:y>
    </cdr:from>
    <cdr:to>
      <cdr:x>0.44896</cdr:x>
      <cdr:y>0.6322</cdr:y>
    </cdr:to>
    <cdr:sp macro="" textlink="">
      <cdr:nvSpPr>
        <cdr:cNvPr id="2" name="TextBox 1">
          <a:extLst xmlns:a="http://schemas.openxmlformats.org/drawingml/2006/main">
            <a:ext uri="{FF2B5EF4-FFF2-40B4-BE49-F238E27FC236}">
              <a16:creationId xmlns:a16="http://schemas.microsoft.com/office/drawing/2014/main" id="{256EF241-A423-8FD7-37B1-952FABB3368B}"/>
            </a:ext>
          </a:extLst>
        </cdr:cNvPr>
        <cdr:cNvSpPr txBox="1"/>
      </cdr:nvSpPr>
      <cdr:spPr>
        <a:xfrm xmlns:a="http://schemas.openxmlformats.org/drawingml/2006/main">
          <a:off x="1955638" y="2056151"/>
          <a:ext cx="617570" cy="6174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b="1" kern="1200">
              <a:latin typeface="Arial" panose="020B0604020202020204" pitchFamily="34" charset="0"/>
              <a:cs typeface="Arial" panose="020B0604020202020204" pitchFamily="34" charset="0"/>
            </a:rPr>
            <a:t>1.8% increase</a:t>
          </a:r>
        </a:p>
      </cdr:txBody>
    </cdr:sp>
  </cdr:relSizeAnchor>
  <cdr:relSizeAnchor xmlns:cdr="http://schemas.openxmlformats.org/drawingml/2006/chartDrawing">
    <cdr:from>
      <cdr:x>0.60999</cdr:x>
      <cdr:y>0.08059</cdr:y>
    </cdr:from>
    <cdr:to>
      <cdr:x>0.71774</cdr:x>
      <cdr:y>0.22659</cdr:y>
    </cdr:to>
    <cdr:sp macro="" textlink="">
      <cdr:nvSpPr>
        <cdr:cNvPr id="3" name="TextBox 1">
          <a:extLst xmlns:a="http://schemas.openxmlformats.org/drawingml/2006/main">
            <a:ext uri="{FF2B5EF4-FFF2-40B4-BE49-F238E27FC236}">
              <a16:creationId xmlns:a16="http://schemas.microsoft.com/office/drawing/2014/main" id="{20A7A526-5C7D-2383-987B-CB51509D30DC}"/>
            </a:ext>
          </a:extLst>
        </cdr:cNvPr>
        <cdr:cNvSpPr txBox="1"/>
      </cdr:nvSpPr>
      <cdr:spPr>
        <a:xfrm xmlns:a="http://schemas.openxmlformats.org/drawingml/2006/main">
          <a:off x="3496182" y="340832"/>
          <a:ext cx="617570" cy="61744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kern="1200">
              <a:latin typeface="Arial" panose="020B0604020202020204" pitchFamily="34" charset="0"/>
              <a:cs typeface="Arial" panose="020B0604020202020204" pitchFamily="34" charset="0"/>
            </a:rPr>
            <a:t>0.5% increase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1C71786A93F40AABB5CB43A7ED88F" ma:contentTypeVersion="3" ma:contentTypeDescription="Create a new document." ma:contentTypeScope="" ma:versionID="20e5ddb79364f30e3913e04f79aae1e4">
  <xsd:schema xmlns:xsd="http://www.w3.org/2001/XMLSchema" xmlns:xs="http://www.w3.org/2001/XMLSchema" xmlns:p="http://schemas.microsoft.com/office/2006/metadata/properties" xmlns:ns2="ca9407b4-48e6-4854-a397-7cdd11c80aac" targetNamespace="http://schemas.microsoft.com/office/2006/metadata/properties" ma:root="true" ma:fieldsID="31842d4a108cba50079c925f9c8bb5f1" ns2:_="">
    <xsd:import namespace="ca9407b4-48e6-4854-a397-7cdd11c80a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407b4-48e6-4854-a397-7cdd11c80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7A43F-6EBC-4DBF-8679-02161013D920}">
  <ds:schemaRefs>
    <ds:schemaRef ds:uri="http://schemas.microsoft.com/office/infopath/2007/PartnerControls"/>
    <ds:schemaRef ds:uri="ca9407b4-48e6-4854-a397-7cdd11c80aac"/>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E7299D3-597F-4CC1-9F72-3C63874E7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407b4-48e6-4854-a397-7cdd11c80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5D475-E8EE-4DC3-9E2F-DF04DB6EF09F}">
  <ds:schemaRefs>
    <ds:schemaRef ds:uri="http://schemas.openxmlformats.org/officeDocument/2006/bibliography"/>
  </ds:schemaRefs>
</ds:datastoreItem>
</file>

<file path=customXml/itemProps4.xml><?xml version="1.0" encoding="utf-8"?>
<ds:datastoreItem xmlns:ds="http://schemas.openxmlformats.org/officeDocument/2006/customXml" ds:itemID="{9343E711-B222-404B-9F66-2DABB700A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19350</Words>
  <Characters>103717</Characters>
  <Application>Microsoft Office Word</Application>
  <DocSecurity>0</DocSecurity>
  <Lines>3345</Lines>
  <Paragraphs>1500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121567</CharactersWithSpaces>
  <SharedDoc>false</SharedDoc>
  <HLinks>
    <vt:vector size="168" baseType="variant">
      <vt:variant>
        <vt:i4>7209005</vt:i4>
      </vt:variant>
      <vt:variant>
        <vt:i4>120</vt:i4>
      </vt:variant>
      <vt:variant>
        <vt:i4>0</vt:i4>
      </vt:variant>
      <vt:variant>
        <vt:i4>5</vt:i4>
      </vt:variant>
      <vt:variant>
        <vt:lpwstr>https://www.medr.cymru/en/</vt:lpwstr>
      </vt:variant>
      <vt:variant>
        <vt:lpwstr/>
      </vt:variant>
      <vt:variant>
        <vt:i4>7012392</vt:i4>
      </vt:variant>
      <vt:variant>
        <vt:i4>114</vt:i4>
      </vt:variant>
      <vt:variant>
        <vt:i4>0</vt:i4>
      </vt:variant>
      <vt:variant>
        <vt:i4>5</vt:i4>
      </vt:variant>
      <vt:variant>
        <vt:lpwstr>https://insightcollective.socialcare.wales/reports/the-digital-potential-tool-an-insight-into-the-digital-maturity-and-literacy-of-social-care-in-wales</vt:lpwstr>
      </vt:variant>
      <vt:variant>
        <vt:lpwstr/>
      </vt:variant>
      <vt:variant>
        <vt:i4>2621552</vt:i4>
      </vt:variant>
      <vt:variant>
        <vt:i4>111</vt:i4>
      </vt:variant>
      <vt:variant>
        <vt:i4>0</vt:i4>
      </vt:variant>
      <vt:variant>
        <vt:i4>5</vt:i4>
      </vt:variant>
      <vt:variant>
        <vt:lpwstr>https://vimeo.com/1037901179?share=copy</vt:lpwstr>
      </vt:variant>
      <vt:variant>
        <vt:lpwstr/>
      </vt:variant>
      <vt:variant>
        <vt:i4>4784136</vt:i4>
      </vt:variant>
      <vt:variant>
        <vt:i4>108</vt:i4>
      </vt:variant>
      <vt:variant>
        <vt:i4>0</vt:i4>
      </vt:variant>
      <vt:variant>
        <vt:i4>5</vt:i4>
      </vt:variant>
      <vt:variant>
        <vt:lpwstr>https://nhswalesleadershipportal.heiw.wales/about-gwella</vt:lpwstr>
      </vt:variant>
      <vt:variant>
        <vt:lpwstr/>
      </vt:variant>
      <vt:variant>
        <vt:i4>1179658</vt:i4>
      </vt:variant>
      <vt:variant>
        <vt:i4>105</vt:i4>
      </vt:variant>
      <vt:variant>
        <vt:i4>0</vt:i4>
      </vt:variant>
      <vt:variant>
        <vt:i4>5</vt:i4>
      </vt:variant>
      <vt:variant>
        <vt:lpwstr>https://dragonsheart.org/programme/climb/</vt:lpwstr>
      </vt:variant>
      <vt:variant>
        <vt:lpwstr/>
      </vt:variant>
      <vt:variant>
        <vt:i4>5570562</vt:i4>
      </vt:variant>
      <vt:variant>
        <vt:i4>102</vt:i4>
      </vt:variant>
      <vt:variant>
        <vt:i4>0</vt:i4>
      </vt:variant>
      <vt:variant>
        <vt:i4>5</vt:i4>
      </vt:variant>
      <vt:variant>
        <vt:lpwstr>https://socialcare.wales/about-us/workforce-strategy/social-work-workforce-plan-2022-to-2025</vt:lpwstr>
      </vt:variant>
      <vt:variant>
        <vt:lpwstr/>
      </vt:variant>
      <vt:variant>
        <vt:i4>7209005</vt:i4>
      </vt:variant>
      <vt:variant>
        <vt:i4>99</vt:i4>
      </vt:variant>
      <vt:variant>
        <vt:i4>0</vt:i4>
      </vt:variant>
      <vt:variant>
        <vt:i4>5</vt:i4>
      </vt:variant>
      <vt:variant>
        <vt:lpwstr>https://www.medr.cymru/en/</vt:lpwstr>
      </vt:variant>
      <vt:variant>
        <vt:lpwstr/>
      </vt:variant>
      <vt:variant>
        <vt:i4>7012392</vt:i4>
      </vt:variant>
      <vt:variant>
        <vt:i4>96</vt:i4>
      </vt:variant>
      <vt:variant>
        <vt:i4>0</vt:i4>
      </vt:variant>
      <vt:variant>
        <vt:i4>5</vt:i4>
      </vt:variant>
      <vt:variant>
        <vt:lpwstr>https://insightcollective.socialcare.wales/reports/the-digital-potential-tool-an-insight-into-the-digital-maturity-and-literacy-of-social-care-in-wales</vt:lpwstr>
      </vt:variant>
      <vt:variant>
        <vt:lpwstr/>
      </vt:variant>
      <vt:variant>
        <vt:i4>3539063</vt:i4>
      </vt:variant>
      <vt:variant>
        <vt:i4>93</vt:i4>
      </vt:variant>
      <vt:variant>
        <vt:i4>0</vt:i4>
      </vt:variant>
      <vt:variant>
        <vt:i4>5</vt:i4>
      </vt:variant>
      <vt:variant>
        <vt:lpwstr>https://socialcare.wales/news-stories/workforce-planning-report</vt:lpwstr>
      </vt:variant>
      <vt:variant>
        <vt:lpwstr/>
      </vt:variant>
      <vt:variant>
        <vt:i4>4718661</vt:i4>
      </vt:variant>
      <vt:variant>
        <vt:i4>90</vt:i4>
      </vt:variant>
      <vt:variant>
        <vt:i4>0</vt:i4>
      </vt:variant>
      <vt:variant>
        <vt:i4>5</vt:i4>
      </vt:variant>
      <vt:variant>
        <vt:lpwstr>https://socialcare.wales/about-us/workforce-strategy/social-care-delivery-plan-2024-to-2027?_gl=1*1t95r7n*_ga*MTUwNTkxMjU5OC4xNzM5NDQyNDk5*_ga_NZV6WMW0HJ*MTczOTQ0MjQ5OC4xLjAuMTczOTQ0MjUwNy4wLjAuMA..</vt:lpwstr>
      </vt:variant>
      <vt:variant>
        <vt:lpwstr/>
      </vt:variant>
      <vt:variant>
        <vt:i4>5570562</vt:i4>
      </vt:variant>
      <vt:variant>
        <vt:i4>87</vt:i4>
      </vt:variant>
      <vt:variant>
        <vt:i4>0</vt:i4>
      </vt:variant>
      <vt:variant>
        <vt:i4>5</vt:i4>
      </vt:variant>
      <vt:variant>
        <vt:lpwstr>https://socialcare.wales/about-us/workforce-strategy/social-work-workforce-plan-2022-to-2025</vt:lpwstr>
      </vt:variant>
      <vt:variant>
        <vt:lpwstr/>
      </vt:variant>
      <vt:variant>
        <vt:i4>1769482</vt:i4>
      </vt:variant>
      <vt:variant>
        <vt:i4>84</vt:i4>
      </vt:variant>
      <vt:variant>
        <vt:i4>0</vt:i4>
      </vt:variant>
      <vt:variant>
        <vt:i4>5</vt:i4>
      </vt:variant>
      <vt:variant>
        <vt:lpwstr>https://socialcare.wales/about-us/workforce-strategy</vt:lpwstr>
      </vt:variant>
      <vt:variant>
        <vt:lpwstr/>
      </vt:variant>
      <vt:variant>
        <vt:i4>1966130</vt:i4>
      </vt:variant>
      <vt:variant>
        <vt:i4>77</vt:i4>
      </vt:variant>
      <vt:variant>
        <vt:i4>0</vt:i4>
      </vt:variant>
      <vt:variant>
        <vt:i4>5</vt:i4>
      </vt:variant>
      <vt:variant>
        <vt:lpwstr/>
      </vt:variant>
      <vt:variant>
        <vt:lpwstr>_Toc211279638</vt:lpwstr>
      </vt:variant>
      <vt:variant>
        <vt:i4>1966130</vt:i4>
      </vt:variant>
      <vt:variant>
        <vt:i4>71</vt:i4>
      </vt:variant>
      <vt:variant>
        <vt:i4>0</vt:i4>
      </vt:variant>
      <vt:variant>
        <vt:i4>5</vt:i4>
      </vt:variant>
      <vt:variant>
        <vt:lpwstr/>
      </vt:variant>
      <vt:variant>
        <vt:lpwstr>_Toc211279637</vt:lpwstr>
      </vt:variant>
      <vt:variant>
        <vt:i4>1966130</vt:i4>
      </vt:variant>
      <vt:variant>
        <vt:i4>65</vt:i4>
      </vt:variant>
      <vt:variant>
        <vt:i4>0</vt:i4>
      </vt:variant>
      <vt:variant>
        <vt:i4>5</vt:i4>
      </vt:variant>
      <vt:variant>
        <vt:lpwstr/>
      </vt:variant>
      <vt:variant>
        <vt:lpwstr>_Toc211279633</vt:lpwstr>
      </vt:variant>
      <vt:variant>
        <vt:i4>1966130</vt:i4>
      </vt:variant>
      <vt:variant>
        <vt:i4>59</vt:i4>
      </vt:variant>
      <vt:variant>
        <vt:i4>0</vt:i4>
      </vt:variant>
      <vt:variant>
        <vt:i4>5</vt:i4>
      </vt:variant>
      <vt:variant>
        <vt:lpwstr/>
      </vt:variant>
      <vt:variant>
        <vt:lpwstr>_Toc211279631</vt:lpwstr>
      </vt:variant>
      <vt:variant>
        <vt:i4>2031666</vt:i4>
      </vt:variant>
      <vt:variant>
        <vt:i4>53</vt:i4>
      </vt:variant>
      <vt:variant>
        <vt:i4>0</vt:i4>
      </vt:variant>
      <vt:variant>
        <vt:i4>5</vt:i4>
      </vt:variant>
      <vt:variant>
        <vt:lpwstr/>
      </vt:variant>
      <vt:variant>
        <vt:lpwstr>_Toc211279629</vt:lpwstr>
      </vt:variant>
      <vt:variant>
        <vt:i4>2031666</vt:i4>
      </vt:variant>
      <vt:variant>
        <vt:i4>47</vt:i4>
      </vt:variant>
      <vt:variant>
        <vt:i4>0</vt:i4>
      </vt:variant>
      <vt:variant>
        <vt:i4>5</vt:i4>
      </vt:variant>
      <vt:variant>
        <vt:lpwstr/>
      </vt:variant>
      <vt:variant>
        <vt:lpwstr>_Toc211279628</vt:lpwstr>
      </vt:variant>
      <vt:variant>
        <vt:i4>2031666</vt:i4>
      </vt:variant>
      <vt:variant>
        <vt:i4>41</vt:i4>
      </vt:variant>
      <vt:variant>
        <vt:i4>0</vt:i4>
      </vt:variant>
      <vt:variant>
        <vt:i4>5</vt:i4>
      </vt:variant>
      <vt:variant>
        <vt:lpwstr/>
      </vt:variant>
      <vt:variant>
        <vt:lpwstr>_Toc211279626</vt:lpwstr>
      </vt:variant>
      <vt:variant>
        <vt:i4>2031666</vt:i4>
      </vt:variant>
      <vt:variant>
        <vt:i4>35</vt:i4>
      </vt:variant>
      <vt:variant>
        <vt:i4>0</vt:i4>
      </vt:variant>
      <vt:variant>
        <vt:i4>5</vt:i4>
      </vt:variant>
      <vt:variant>
        <vt:lpwstr/>
      </vt:variant>
      <vt:variant>
        <vt:lpwstr>_Toc211279624</vt:lpwstr>
      </vt:variant>
      <vt:variant>
        <vt:i4>2031666</vt:i4>
      </vt:variant>
      <vt:variant>
        <vt:i4>29</vt:i4>
      </vt:variant>
      <vt:variant>
        <vt:i4>0</vt:i4>
      </vt:variant>
      <vt:variant>
        <vt:i4>5</vt:i4>
      </vt:variant>
      <vt:variant>
        <vt:lpwstr/>
      </vt:variant>
      <vt:variant>
        <vt:lpwstr>_Toc211279623</vt:lpwstr>
      </vt:variant>
      <vt:variant>
        <vt:i4>1835058</vt:i4>
      </vt:variant>
      <vt:variant>
        <vt:i4>23</vt:i4>
      </vt:variant>
      <vt:variant>
        <vt:i4>0</vt:i4>
      </vt:variant>
      <vt:variant>
        <vt:i4>5</vt:i4>
      </vt:variant>
      <vt:variant>
        <vt:lpwstr/>
      </vt:variant>
      <vt:variant>
        <vt:lpwstr>_Toc211279618</vt:lpwstr>
      </vt:variant>
      <vt:variant>
        <vt:i4>1835058</vt:i4>
      </vt:variant>
      <vt:variant>
        <vt:i4>17</vt:i4>
      </vt:variant>
      <vt:variant>
        <vt:i4>0</vt:i4>
      </vt:variant>
      <vt:variant>
        <vt:i4>5</vt:i4>
      </vt:variant>
      <vt:variant>
        <vt:lpwstr/>
      </vt:variant>
      <vt:variant>
        <vt:lpwstr>_Toc211279614</vt:lpwstr>
      </vt:variant>
      <vt:variant>
        <vt:i4>1835058</vt:i4>
      </vt:variant>
      <vt:variant>
        <vt:i4>11</vt:i4>
      </vt:variant>
      <vt:variant>
        <vt:i4>0</vt:i4>
      </vt:variant>
      <vt:variant>
        <vt:i4>5</vt:i4>
      </vt:variant>
      <vt:variant>
        <vt:lpwstr/>
      </vt:variant>
      <vt:variant>
        <vt:lpwstr>_Toc211279612</vt:lpwstr>
      </vt:variant>
      <vt:variant>
        <vt:i4>1835058</vt:i4>
      </vt:variant>
      <vt:variant>
        <vt:i4>5</vt:i4>
      </vt:variant>
      <vt:variant>
        <vt:i4>0</vt:i4>
      </vt:variant>
      <vt:variant>
        <vt:i4>5</vt:i4>
      </vt:variant>
      <vt:variant>
        <vt:lpwstr/>
      </vt:variant>
      <vt:variant>
        <vt:lpwstr>_Toc211279610</vt:lpwstr>
      </vt:variant>
      <vt:variant>
        <vt:i4>7864441</vt:i4>
      </vt:variant>
      <vt:variant>
        <vt:i4>0</vt:i4>
      </vt:variant>
      <vt:variant>
        <vt:i4>0</vt:i4>
      </vt:variant>
      <vt:variant>
        <vt:i4>5</vt:i4>
      </vt:variant>
      <vt:variant>
        <vt:lpwstr>https://gofalcymdeithasol.cymru/cms-assets/documents/cynllun-cyflawni-gweithlu-gofal-cymdeithasol-2024-i-2027.docx</vt:lpwstr>
      </vt:variant>
      <vt:variant>
        <vt:lpwstr/>
      </vt:variant>
      <vt:variant>
        <vt:i4>851987</vt:i4>
      </vt:variant>
      <vt:variant>
        <vt:i4>3</vt:i4>
      </vt:variant>
      <vt:variant>
        <vt:i4>0</vt:i4>
      </vt:variant>
      <vt:variant>
        <vt:i4>5</vt:i4>
      </vt:variant>
      <vt:variant>
        <vt:lpwstr>https://www.gov.wales/sites/default/files/publications/2024-07/national-framework-for-commissioning-care-and-support-code-of-practice.pdf</vt:lpwstr>
      </vt:variant>
      <vt:variant>
        <vt:lpwstr/>
      </vt:variant>
      <vt:variant>
        <vt:i4>851987</vt:i4>
      </vt:variant>
      <vt:variant>
        <vt:i4>0</vt:i4>
      </vt:variant>
      <vt:variant>
        <vt:i4>0</vt:i4>
      </vt:variant>
      <vt:variant>
        <vt:i4>5</vt:i4>
      </vt:variant>
      <vt:variant>
        <vt:lpwstr>https://www.gov.wales/sites/default/files/publications/2024-07/national-framework-for-commissioning-care-and-support-code-of-practice.pdf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Jones</dc:creator>
  <cp:keywords/>
  <dc:description/>
  <cp:lastModifiedBy>Carys Jones</cp:lastModifiedBy>
  <cp:revision>2</cp:revision>
  <dcterms:created xsi:type="dcterms:W3CDTF">2026-01-07T16:02:00Z</dcterms:created>
  <dcterms:modified xsi:type="dcterms:W3CDTF">2026-01-07T16:02:00Z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2024-09-06T08:32:40Z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c7bf4477-bf6b-4e75-8b40-c19a596f771f</vt:lpwstr>
  </property>
  <property fmtid="{D5CDD505-2E9C-101B-9397-08002B2CF9AE}" pid="8" name="MSIP_Label_d3f1612d-fb9f-4910-9745-3218a93e4acc_ContentBits">
    <vt:lpwstr>0</vt:lpwstr>
  </property>
  <property fmtid="{D5CDD505-2E9C-101B-9397-08002B2CF9AE}" pid="9" name="ContentTypeId">
    <vt:lpwstr>0x010100D991C71786A93F40AABB5CB43A7ED88F</vt:lpwstr>
  </property>
</Properties>
</file>