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BE141B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0A19E3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  <w:r w:rsidR="006A23B2">
        <w:rPr>
          <w:b/>
          <w:sz w:val="36"/>
        </w:rPr>
        <w:t xml:space="preserve"> – March 2017</w:t>
      </w:r>
    </w:p>
    <w:p w:rsidR="00653824" w:rsidRDefault="00653824" w:rsidP="00A60B65"/>
    <w:p w:rsidR="00A60B65" w:rsidRPr="00BE141B" w:rsidRDefault="006A5DE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</w:rPr>
      </w:pPr>
      <w:r>
        <w:rPr>
          <w:rFonts w:ascii="Arial" w:hAnsi="Arial" w:cs="Arial"/>
          <w:b/>
          <w:color w:val="5CC9E3"/>
          <w:sz w:val="72"/>
        </w:rPr>
        <w:t xml:space="preserve">Well-being and </w:t>
      </w:r>
      <w:bookmarkStart w:id="0" w:name="_GoBack"/>
      <w:bookmarkEnd w:id="0"/>
      <w:r>
        <w:rPr>
          <w:rFonts w:ascii="Arial" w:hAnsi="Arial" w:cs="Arial"/>
          <w:b/>
          <w:color w:val="5CC9E3"/>
          <w:sz w:val="72"/>
        </w:rPr>
        <w:t>Welfare</w:t>
      </w:r>
    </w:p>
    <w:p w:rsidR="00BE141B" w:rsidRPr="00BE141B" w:rsidRDefault="00BE141B" w:rsidP="00BE141B">
      <w:pPr>
        <w:pStyle w:val="Heading1"/>
      </w:pPr>
      <w:r w:rsidRPr="00BE141B">
        <w:t>Introduction</w:t>
      </w:r>
    </w:p>
    <w:p w:rsidR="00BE141B" w:rsidRDefault="00BE141B" w:rsidP="00BE141B">
      <w:pPr>
        <w:rPr>
          <w:color w:val="000000" w:themeColor="text1"/>
          <w:szCs w:val="24"/>
        </w:rPr>
      </w:pPr>
      <w:r w:rsidRPr="00003069">
        <w:rPr>
          <w:color w:val="000000" w:themeColor="text1"/>
          <w:szCs w:val="24"/>
        </w:rPr>
        <w:t xml:space="preserve">In this handout, the blue boxes contain quotes from the Social Services and Well-being (Wales) Act 2014 </w:t>
      </w:r>
      <w:r w:rsidR="00E0180D">
        <w:rPr>
          <w:color w:val="000000" w:themeColor="text1"/>
          <w:szCs w:val="24"/>
        </w:rPr>
        <w:t>(the Act)</w:t>
      </w:r>
      <w:r w:rsidRPr="00003069">
        <w:rPr>
          <w:color w:val="000000" w:themeColor="text1"/>
          <w:szCs w:val="24"/>
        </w:rPr>
        <w:t>, and the yellow boxes contain quotes from other legislation for comparison.</w:t>
      </w:r>
    </w:p>
    <w:p w:rsidR="00BE141B" w:rsidRPr="00003069" w:rsidRDefault="00BE141B" w:rsidP="00BE141B">
      <w:pPr>
        <w:rPr>
          <w:color w:val="000000" w:themeColor="text1"/>
          <w:szCs w:val="24"/>
        </w:rPr>
      </w:pPr>
    </w:p>
    <w:p w:rsidR="00BE141B" w:rsidRDefault="00524955" w:rsidP="00BE141B">
      <w:pPr>
        <w:pStyle w:val="Heading1"/>
      </w:pPr>
      <w:r>
        <w:t>Well-being and Welfare</w:t>
      </w:r>
    </w:p>
    <w:p w:rsidR="00524955" w:rsidRDefault="00524955" w:rsidP="00524955">
      <w:r w:rsidRPr="008F6324">
        <w:t>Part 2 of the Act requires “</w:t>
      </w:r>
      <w:r w:rsidRPr="008F6324">
        <w:rPr>
          <w:i/>
          <w:iCs/>
        </w:rPr>
        <w:t>any persons exercising functions under the Act to seek to promote the well-being of people who need care and support, and carers who need support.”</w:t>
      </w:r>
      <w:r>
        <w:rPr>
          <w:i/>
          <w:iCs/>
        </w:rPr>
        <w:t xml:space="preserve"> </w:t>
      </w:r>
      <w:r>
        <w:t>Well-being is defined in Part 2:</w:t>
      </w:r>
    </w:p>
    <w:p w:rsidR="00524955" w:rsidRDefault="00524955" w:rsidP="00524955">
      <w:r w:rsidRPr="00104FAA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A62B3" wp14:editId="76892D03">
                <wp:simplePos x="0" y="0"/>
                <wp:positionH relativeFrom="margin">
                  <wp:posOffset>-1270</wp:posOffset>
                </wp:positionH>
                <wp:positionV relativeFrom="paragraph">
                  <wp:posOffset>70485</wp:posOffset>
                </wp:positionV>
                <wp:extent cx="5735320" cy="2087880"/>
                <wp:effectExtent l="0" t="0" r="17780" b="2667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087880"/>
                        </a:xfrm>
                        <a:prstGeom prst="roundRect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955" w:rsidRPr="00524955" w:rsidRDefault="0052495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“</w:t>
                            </w:r>
                            <w:r w:rsidRPr="005249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Well-being</w:t>
                            </w:r>
                            <w:r w:rsidRPr="0052495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”, in relation to a person, means well-being in relation to any of the following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2495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— (a) physical and mental health and emotional well-being; (b) protection from abuse and neglect; (c) education, training and recreation; (d) domestic, family and personal relationships; (e) contribution made to society; (f) securing rights and entitlements; (g) social and economic well-being; (h) suitability of living accommodation.</w:t>
                            </w:r>
                          </w:p>
                          <w:p w:rsidR="00524955" w:rsidRPr="00524955" w:rsidRDefault="0052495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24955" w:rsidRPr="00524955" w:rsidRDefault="0052495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In relation to a child, “well-being” also includes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2495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— (a) physical, intellectual, emotional, social and behavioural development; (b) “welfare” as that word is interpreted for the purposes of the Children Act 1989.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9AC22D" id="Rounded Rectangle 6" o:spid="_x0000_s1026" style="position:absolute;margin-left:-.1pt;margin-top:5.55pt;width:451.6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amGAIAAG8EAAAOAAAAZHJzL2Uyb0RvYy54bWysVMGO0zAQvSPxD5bvNGmrbkvVdIW6LBcE&#10;qy58gOuMG0uOJ9huk/49YydNK0AcEDk4djzz3ptnTzaPXW3YGZzXaAs+neScgZVYanss+Pdvz+9W&#10;nPkgbCkMWij4BTx/3L59s2mbNcywQlOCYwRi/bptCl6F0KyzzMsKauEn2IClTYWuFoGW7piVTrSE&#10;XptslucPWYuubBxK8J6+PvWbfJvwlQIZvirlITBTcNIW0ujSeIhjtt2I9dGJptJykCH+QUUttCXS&#10;EepJBMFOTv8GVWvp0KMKE4l1hkppCakGqmaa/1LNayUaSLWQOb4ZbfL/D1Z+Ob84psuCLzmzoqYj&#10;2uPJllCyPZkn7NEAe4g2tY1fU/Rr8+KGladprLlTro5vqoZ1ydrLaC10gUn6uFjOF/MZnYCkvVm+&#10;Wq5Wyfzslt44Hz4B1ixOCu6ijKgh+SrOn30gXoq/xkVKj0aXz9qYtHDHw844dhZ02Ivd7v3HeRRO&#10;KXdhWayjV55m4WIgJhu7B0VGkNZZYkxXEEY8ISXYMO23KlHCQJPTc2WJlzZmJM4EGJEVyRuxB4Br&#10;ZA9yxe7FDvExFdINHpPzvwnrk8eMxIw2jMm1tuj+BGCoqoG5jyf5d9bEaegOHYXE6QHLC92Yllqm&#10;4P7HSTjgzAWzw77DhJUVUoPJ0JNZ/HAKqHQ6vBvAwEG3Opk1dGBsm/t1irr9J7Y/AQAA//8DAFBL&#10;AwQUAAYACAAAACEAvnlB/N0AAAAIAQAADwAAAGRycy9kb3ducmV2LnhtbEyPS0/DMBCE70j8B2sr&#10;cWudNBJqQpyqAnHiAJTC2bE3D9WPyHbbwK9nOdHjzoy+nam3szXsjCGO3gnIVxkwdMrr0fUCDh/P&#10;yw2wmKTT0niHAr4xwra5vallpf3FveN5n3pGEBcrKWBIaao4j2pAK+PKT+jI63ywMtEZeq6DvBDc&#10;Gr7Osntu5ejowyAnfBxQHfcnS5SX17cufJndoXxC9dN1qv00GyHuFvPuAVjCOf2H4a8+VYeGOrX+&#10;5HRkRsByTUGS8xwY2WVW0LRWQFGUJfCm5tcDml8AAAD//wMAUEsBAi0AFAAGAAgAAAAhALaDOJL+&#10;AAAA4QEAABMAAAAAAAAAAAAAAAAAAAAAAFtDb250ZW50X1R5cGVzXS54bWxQSwECLQAUAAYACAAA&#10;ACEAOP0h/9YAAACUAQAACwAAAAAAAAAAAAAAAAAvAQAAX3JlbHMvLnJlbHNQSwECLQAUAAYACAAA&#10;ACEAQDm2phgCAABvBAAADgAAAAAAAAAAAAAAAAAuAgAAZHJzL2Uyb0RvYy54bWxQSwECLQAUAAYA&#10;CAAAACEAvnlB/N0AAAAIAQAADwAAAAAAAAAAAAAAAAByBAAAZHJzL2Rvd25yZXYueG1sUEsFBgAA&#10;AAAEAAQA8wAAAHwFAAAAAA==&#10;" fillcolor="#5cc9e3" strokecolor="#243f60 [1604]" strokeweight="2pt">
                <v:textbox>
                  <w:txbxContent>
                    <w:p w:rsidR="00524955" w:rsidRPr="00524955" w:rsidRDefault="0052495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“</w:t>
                      </w:r>
                      <w:r w:rsidRPr="005249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Well-being</w:t>
                      </w:r>
                      <w:r w:rsidRPr="00524955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”, in relation to a person, means well-being in relation to any of the following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24955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— (a) physical and mental health and emotional well-being; (b) protection from abuse and neglect; (c) education, training and recreation; (d) domestic, family and personal relationships; (e) contribution made to society; (f) securing rights and entitlements; (g) social and economic well-being; (h) suitability of living accommodation.</w:t>
                      </w:r>
                    </w:p>
                    <w:p w:rsidR="00524955" w:rsidRPr="00524955" w:rsidRDefault="0052495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524955" w:rsidRPr="00524955" w:rsidRDefault="0052495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In relation to a child, “well-being” also includes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24955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— (a) physical, intellectual, emotional, social and behavioural development; (b) “welfare” as that word is interpreted for the purposes of the Children Act 1989.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4955" w:rsidRDefault="00524955" w:rsidP="00524955"/>
    <w:p w:rsidR="00524955" w:rsidRDefault="00524955" w:rsidP="00524955"/>
    <w:p w:rsidR="00524955" w:rsidRDefault="00524955" w:rsidP="00524955"/>
    <w:p w:rsidR="00524955" w:rsidRDefault="00524955" w:rsidP="00524955"/>
    <w:p w:rsidR="00524955" w:rsidRDefault="00524955" w:rsidP="00524955">
      <w:pPr>
        <w:rPr>
          <w:szCs w:val="24"/>
        </w:rPr>
      </w:pPr>
    </w:p>
    <w:p w:rsidR="00524955" w:rsidRDefault="00524955" w:rsidP="00524955">
      <w:pPr>
        <w:rPr>
          <w:szCs w:val="24"/>
        </w:rPr>
      </w:pPr>
    </w:p>
    <w:p w:rsidR="00524955" w:rsidRDefault="00524955" w:rsidP="00524955">
      <w:pPr>
        <w:rPr>
          <w:szCs w:val="24"/>
        </w:rPr>
      </w:pPr>
    </w:p>
    <w:p w:rsidR="00524955" w:rsidRDefault="00524955" w:rsidP="00524955">
      <w:pPr>
        <w:rPr>
          <w:szCs w:val="24"/>
        </w:rPr>
      </w:pPr>
    </w:p>
    <w:p w:rsidR="00524955" w:rsidRDefault="00524955" w:rsidP="00524955">
      <w:pPr>
        <w:rPr>
          <w:szCs w:val="24"/>
        </w:rPr>
      </w:pPr>
    </w:p>
    <w:p w:rsidR="00524955" w:rsidRDefault="00524955" w:rsidP="00524955">
      <w:pPr>
        <w:rPr>
          <w:szCs w:val="24"/>
        </w:rPr>
      </w:pPr>
    </w:p>
    <w:p w:rsidR="00524955" w:rsidRPr="00104FAA" w:rsidRDefault="00524955" w:rsidP="00524955">
      <w:pPr>
        <w:rPr>
          <w:szCs w:val="24"/>
        </w:rPr>
      </w:pPr>
    </w:p>
    <w:p w:rsidR="00524955" w:rsidRDefault="00524955" w:rsidP="00524955">
      <w:pPr>
        <w:rPr>
          <w:szCs w:val="24"/>
        </w:rPr>
      </w:pPr>
    </w:p>
    <w:p w:rsidR="00524955" w:rsidRPr="00ED4691" w:rsidRDefault="00524955" w:rsidP="00524955">
      <w:pPr>
        <w:rPr>
          <w:i/>
          <w:lang w:val="en"/>
        </w:rPr>
      </w:pPr>
      <w:r>
        <w:rPr>
          <w:szCs w:val="24"/>
        </w:rPr>
        <w:t xml:space="preserve">As this definition shows, the Children Act 1989 talks about welfare rather than well-being. Section 1 of the Children Act says that </w:t>
      </w:r>
      <w:r w:rsidRPr="00ED4691">
        <w:rPr>
          <w:i/>
          <w:szCs w:val="24"/>
        </w:rPr>
        <w:t>“w</w:t>
      </w:r>
      <w:proofErr w:type="spellStart"/>
      <w:r w:rsidRPr="00ED4691">
        <w:rPr>
          <w:rStyle w:val="legds"/>
          <w:i/>
          <w:lang w:val="en"/>
        </w:rPr>
        <w:t>hen</w:t>
      </w:r>
      <w:proofErr w:type="spellEnd"/>
      <w:r w:rsidRPr="00ED4691">
        <w:rPr>
          <w:rStyle w:val="legds"/>
          <w:i/>
          <w:lang w:val="en"/>
        </w:rPr>
        <w:t xml:space="preserve"> a court determines any question with respect to the upbringing of a child or the administration of a child’s property or the application of any income arising from it, </w:t>
      </w:r>
      <w:r w:rsidRPr="00ED4691">
        <w:rPr>
          <w:i/>
          <w:lang w:val="en"/>
        </w:rPr>
        <w:t>the child’s welfare shall be the court’s paramount consideration.</w:t>
      </w:r>
      <w:r>
        <w:rPr>
          <w:i/>
          <w:lang w:val="en"/>
        </w:rPr>
        <w:t>”</w:t>
      </w:r>
      <w:r w:rsidRPr="00ED4691">
        <w:rPr>
          <w:i/>
          <w:lang w:val="en"/>
        </w:rPr>
        <w:t xml:space="preserve"> </w:t>
      </w:r>
    </w:p>
    <w:p w:rsidR="00524955" w:rsidRDefault="00524955">
      <w:pPr>
        <w:spacing w:after="200" w:line="276" w:lineRule="auto"/>
        <w:rPr>
          <w:rStyle w:val="legds"/>
          <w:lang w:val="en"/>
        </w:rPr>
      </w:pPr>
      <w:r>
        <w:rPr>
          <w:rStyle w:val="legds"/>
          <w:lang w:val="en"/>
        </w:rPr>
        <w:br w:type="page"/>
      </w:r>
    </w:p>
    <w:p w:rsidR="00524955" w:rsidRPr="00ED4691" w:rsidRDefault="00524955" w:rsidP="00524955">
      <w:pPr>
        <w:rPr>
          <w:lang w:val="en"/>
        </w:rPr>
      </w:pPr>
      <w:r>
        <w:rPr>
          <w:rStyle w:val="legds"/>
          <w:lang w:val="en"/>
        </w:rPr>
        <w:lastRenderedPageBreak/>
        <w:t>Courts that are making decisions relating to a child’s welfare have to have regard to particular areas:</w:t>
      </w:r>
    </w:p>
    <w:p w:rsidR="00BE141B" w:rsidRDefault="00524955" w:rsidP="00BE141B">
      <w:pPr>
        <w:rPr>
          <w:szCs w:val="24"/>
        </w:rPr>
      </w:pPr>
      <w:r w:rsidRPr="00104FAA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D0F1" wp14:editId="59AC62F9">
                <wp:simplePos x="0" y="0"/>
                <wp:positionH relativeFrom="margin">
                  <wp:posOffset>-1270</wp:posOffset>
                </wp:positionH>
                <wp:positionV relativeFrom="paragraph">
                  <wp:posOffset>71120</wp:posOffset>
                </wp:positionV>
                <wp:extent cx="5880100" cy="2613660"/>
                <wp:effectExtent l="0" t="0" r="25400" b="1524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6136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the ascertainable wishes and feelings of the child concerned (considered in the light of his age and understanding);</w:t>
                            </w:r>
                          </w:p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his physical, emotional and educational needs;</w:t>
                            </w:r>
                          </w:p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the likely effect on him of any change in his circumstances;</w:t>
                            </w:r>
                          </w:p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his age, sex, background and any characteristics of his which the court considers relevant;</w:t>
                            </w:r>
                          </w:p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any harm which he has suffered or is at risk of suffering;</w:t>
                            </w:r>
                          </w:p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how capable each of his parents, and any other person in relation to whom the court considers the question to be relevant, is of meeting his needs;</w:t>
                            </w:r>
                            <w:r w:rsidR="00863DC6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and</w:t>
                            </w:r>
                          </w:p>
                          <w:p w:rsidR="00524955" w:rsidRPr="00524955" w:rsidRDefault="0052495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</w:pPr>
                            <w:proofErr w:type="gramStart"/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the</w:t>
                            </w:r>
                            <w:proofErr w:type="gramEnd"/>
                            <w:r w:rsidRPr="0052495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range of powers available to the court under this Act in the proceedings in question.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8F1834" id="Rounded Rectangle 14" o:spid="_x0000_s1027" style="position:absolute;margin-left:-.1pt;margin-top:5.6pt;width:463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aeGAIAAHgEAAAOAAAAZHJzL2Uyb0RvYy54bWysVMGO2jAQvVfqP1i+lwRa0AoRVhUreqna&#10;Fdt+gHHGxJLjSW1Dwt93bIcsaqseql6MHc+89+Z5hs3j0Bp2Aec12orPZyVnYCXW2p4q/v3b/t0D&#10;Zz4IWwuDFip+Bc8ft2/fbPpuDQts0NTgGIFYv+67ijchdOui8LKBVvgZdmDpUqFrRaCjOxW1Ez2h&#10;t6ZYlOWq6NHVnUMJ3tPXp3zJtwlfKZDhq1IeAjMVJ20hrS6tx7gW241Yn5zoGi1HGeIfVLRCWyKd&#10;oJ5EEOzs9G9QrZYOPaowk9gWqJSWkGqgaublL9W8NKKDVAuZ47vJJv//YOWXy7Njuqa3W3JmRUtv&#10;dMCzraFmB3JP2JMBNv8Qjeo7v6b4l+7ZjSdP21j1oFwbf6keNiRzr5O5MAQm6ePy4YEqpDeQdLdY&#10;zd+vVsn+4jW9cz58AmxZ3FTcRR1RRHJWXD77QLwUf4uLlB6NrvfamHRwp+POOHYR9Nz7/a4kvpxy&#10;F1bEOrLytAtXAzHZ2AMosoK0LhJjakKY8ISUYMM8XzWihkyzJJKJJbZtzEgyE2BEViRvwh4BbpEZ&#10;5IadxY7xMRVSD0/J5d+E5eQpIzGjDVNyqy26PwEYqmpkzvEk/86auA3DcchtcuuEI9ZXap2eZqfi&#10;/sdZOODMBbPDPGrCygZp0mTInBY/ngMqnd4wQmaAkYraO3k2jmKcn/tzinr9w9j+BAAA//8DAFBL&#10;AwQUAAYACAAAACEAu0qTFdwAAAAIAQAADwAAAGRycy9kb3ducmV2LnhtbEyPQU/DMAyF70j8h8hI&#10;XNCWJoJplKYTAnHixDaJa9qYtqJxSpNu4d9jTnCy7Pf0/L1ql/0oTjjHIZABtS5AILXBDdQZOB5e&#10;VlsQMVlydgyEBr4xwq6+vKhs6cKZ3vC0T53gEIqlNdCnNJVSxrZHb+M6TEisfYTZ28Tr3Ek32zOH&#10;+1HqothIbwfiD72d8KnH9nO/eANZqZvn96k5fsV82IQcFpVfF2Our/LjA4iEOf2Z4Ref0aFmpiYs&#10;5KIYDaw0G/mseLJ8r++4SWPgVustyLqS/wvUPwAAAP//AwBQSwECLQAUAAYACAAAACEAtoM4kv4A&#10;AADhAQAAEwAAAAAAAAAAAAAAAAAAAAAAW0NvbnRlbnRfVHlwZXNdLnhtbFBLAQItABQABgAIAAAA&#10;IQA4/SH/1gAAAJQBAAALAAAAAAAAAAAAAAAAAC8BAABfcmVscy8ucmVsc1BLAQItABQABgAIAAAA&#10;IQB0d0aeGAIAAHgEAAAOAAAAAAAAAAAAAAAAAC4CAABkcnMvZTJvRG9jLnhtbFBLAQItABQABgAI&#10;AAAAIQC7SpMV3AAAAAgBAAAPAAAAAAAAAAAAAAAAAHIEAABkcnMvZG93bnJldi54bWxQSwUGAAAA&#10;AAQABADzAAAAewUAAAAA&#10;" fillcolor="#ffc000" strokecolor="#243f60 [1604]" strokeweight="2pt">
                <v:textbox>
                  <w:txbxContent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the ascertainable wishes and feelings of the child concerned (considered in the light of his age and understanding);</w:t>
                      </w:r>
                    </w:p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his physical, emotional and educational needs;</w:t>
                      </w:r>
                    </w:p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the likely effect on him of any change in his circumstances;</w:t>
                      </w:r>
                    </w:p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his age, sex, background and any characteristics of his which the court considers relevant;</w:t>
                      </w:r>
                    </w:p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any harm which he has suffered or is at risk of suffering;</w:t>
                      </w:r>
                    </w:p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how capable each of his parents, and any other person in relation to whom the court considers the question to be relevant, is of meeting his needs;</w:t>
                      </w:r>
                      <w:r w:rsidR="00863DC6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 and</w:t>
                      </w:r>
                    </w:p>
                    <w:p w:rsidR="00524955" w:rsidRPr="00524955" w:rsidRDefault="0052495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</w:pPr>
                      <w:proofErr w:type="gramStart"/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the</w:t>
                      </w:r>
                      <w:proofErr w:type="gramEnd"/>
                      <w:r w:rsidRPr="0052495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 range of powers available to the court under this Act in the proceedings in question.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41B" w:rsidRDefault="00BE141B" w:rsidP="00BE141B">
      <w:pPr>
        <w:pStyle w:val="FacilitatorNotesNumberList"/>
        <w:numPr>
          <w:ilvl w:val="0"/>
          <w:numId w:val="0"/>
        </w:numPr>
        <w:rPr>
          <w:szCs w:val="24"/>
        </w:rPr>
      </w:pPr>
    </w:p>
    <w:p w:rsidR="00BE141B" w:rsidRDefault="00BE141B" w:rsidP="00BE141B">
      <w:pPr>
        <w:pStyle w:val="FacilitatorNotesNumberList"/>
        <w:numPr>
          <w:ilvl w:val="0"/>
          <w:numId w:val="0"/>
        </w:numPr>
        <w:rPr>
          <w:szCs w:val="24"/>
        </w:rPr>
      </w:pPr>
    </w:p>
    <w:p w:rsidR="00362BEC" w:rsidRDefault="00362BEC" w:rsidP="00BE141B">
      <w:pPr>
        <w:rPr>
          <w:szCs w:val="24"/>
        </w:rPr>
      </w:pPr>
    </w:p>
    <w:p w:rsidR="00362BEC" w:rsidRDefault="00362BEC" w:rsidP="00BE141B">
      <w:pPr>
        <w:rPr>
          <w:szCs w:val="24"/>
        </w:rPr>
      </w:pPr>
    </w:p>
    <w:p w:rsidR="00362BEC" w:rsidRDefault="00362BEC" w:rsidP="00BE141B">
      <w:pPr>
        <w:rPr>
          <w:szCs w:val="24"/>
        </w:rPr>
      </w:pPr>
    </w:p>
    <w:p w:rsidR="00A11033" w:rsidRDefault="00A11033" w:rsidP="00A60B65"/>
    <w:p w:rsidR="00524955" w:rsidRDefault="00524955" w:rsidP="00A60B65"/>
    <w:p w:rsidR="00524955" w:rsidRDefault="00524955" w:rsidP="00A60B65"/>
    <w:p w:rsidR="00524955" w:rsidRDefault="00524955" w:rsidP="00A60B65"/>
    <w:p w:rsidR="00524955" w:rsidRDefault="00524955" w:rsidP="00A60B65"/>
    <w:p w:rsidR="00524955" w:rsidRDefault="00524955" w:rsidP="00A60B65"/>
    <w:p w:rsidR="00524955" w:rsidRDefault="00524955" w:rsidP="00A60B65"/>
    <w:p w:rsidR="00524955" w:rsidRDefault="00524955" w:rsidP="00A60B65"/>
    <w:p w:rsidR="003C6329" w:rsidRPr="003C6329" w:rsidRDefault="003C6329" w:rsidP="003C6329"/>
    <w:p w:rsidR="0016143B" w:rsidRDefault="0016143B" w:rsidP="0016143B">
      <w:pPr>
        <w:rPr>
          <w:szCs w:val="24"/>
        </w:rPr>
      </w:pPr>
      <w:r>
        <w:rPr>
          <w:szCs w:val="24"/>
        </w:rPr>
        <w:t>The concept of well-being rather than welfare for children was first introduced in law in the Children Act 2004. Section 25 states that local authorities in Wales must make arrangements to promote co-operation with a view to improving the well-being of children in the authority’s area. Well-being relates to:</w:t>
      </w:r>
    </w:p>
    <w:p w:rsidR="00BB0BCC" w:rsidRDefault="00BB0BCC" w:rsidP="0016143B">
      <w:pPr>
        <w:rPr>
          <w:szCs w:val="24"/>
        </w:rPr>
      </w:pPr>
      <w:r w:rsidRPr="00A6125A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4183" wp14:editId="69394263">
                <wp:simplePos x="0" y="0"/>
                <wp:positionH relativeFrom="margin">
                  <wp:posOffset>-24130</wp:posOffset>
                </wp:positionH>
                <wp:positionV relativeFrom="paragraph">
                  <wp:posOffset>140970</wp:posOffset>
                </wp:positionV>
                <wp:extent cx="5821045" cy="1287780"/>
                <wp:effectExtent l="0" t="0" r="27305" b="26670"/>
                <wp:wrapNone/>
                <wp:docPr id="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12877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3B" w:rsidRPr="0016143B" w:rsidRDefault="0016143B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6143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physical and mental health and emotional well-being;</w:t>
                            </w:r>
                          </w:p>
                          <w:p w:rsidR="0016143B" w:rsidRPr="0016143B" w:rsidRDefault="0016143B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6143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protection from harm and neglect;</w:t>
                            </w:r>
                          </w:p>
                          <w:p w:rsidR="0016143B" w:rsidRPr="0016143B" w:rsidRDefault="0016143B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6143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education, training and recreation;</w:t>
                            </w:r>
                          </w:p>
                          <w:p w:rsidR="0016143B" w:rsidRPr="0016143B" w:rsidRDefault="0016143B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6143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the contribution made by them to society;</w:t>
                            </w:r>
                            <w:r w:rsidR="00863DC6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and</w:t>
                            </w:r>
                          </w:p>
                          <w:p w:rsidR="0016143B" w:rsidRPr="0016143B" w:rsidRDefault="0016143B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16143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social</w:t>
                            </w:r>
                            <w:proofErr w:type="gramEnd"/>
                            <w:r w:rsidRPr="0016143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and economic well-being.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-1.9pt;margin-top:11.1pt;width:458.3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XwGAIAAHcEAAAOAAAAZHJzL2Uyb0RvYy54bWysVNuO0zAQfUfiHyy/01ygbFU1XaGuyguC&#10;VXf5ANcZN5YcT7DdJv17xk6bVoB4QLw4vsycc+Z4nNXj0Bp2Auc12ooXs5wzsBJrbQ8V//66fbfg&#10;zAdha2HQQsXP4Pnj+u2bVd8tocQGTQ2OEYj1y76reBNCt8wyLxtohZ9hB5YOFbpWBFq6Q1Y70RN6&#10;a7Iyzz9mPbq6cyjBe9p9Gg/5OuErBTJ8U8pDYKbipC2k0aVxH8dsvRLLgxNdo+VFhvgHFa3Qlkgn&#10;qCcRBDs6/RtUq6VDjyrMJLYZKqUlpBqomiL/pZqXRnSQaiFzfDfZ5P8frPx6enZM1xV/z5kVLV3R&#10;Do+2hprtyDxhDwZYkXzqO7+k8Jfu2ZFrceVpGoselGvjl8phQ/L2PHkLQ2CSNueLssg/zDmTdFaU&#10;i4eHRULNbumd8+EzYMvipOIu6ogikrHi9MUH4qX4a1yk9Gh0vdXGpIU77DfGsZOg295uN3l+pbgL&#10;y27K0yycDcRkY3egyAnSWibG1IMw4QkpwYZiPGpEDSPNnEgmlti1MSPJTIARWZG8CfsCcI0cQa7Y&#10;Y32X+JgKqYWn5PxvwsbkKSMxow1Tcqstuj8BGKrqwjzGk/w7a+I0DPshdUkZI+POHuszdU5PT6fi&#10;/sdROODMBbPB8aUJKxukhybDyGnx0zGg0ukObwAXKuru5NnlJcbnc79OUbf/xfonAAAA//8DAFBL&#10;AwQUAAYACAAAACEAnuYA390AAAAJAQAADwAAAGRycy9kb3ducmV2LnhtbEyPwW7CMBBE75X6D9ZW&#10;4lKBY1dFJcRBqBWnngpIXJ14m0TE6xA74P59zak97sxo5m2xibZnVxx950iBWGTAkGpnOmoUHA+7&#10;+RswHzQZ3TtCBT/oYVM+PhQ6N+5GX3jdh4alEvK5VtCGMOSc+7pFq/3CDUjJ+3aj1SGdY8PNqG+p&#10;3PZcZtmSW91RWmj1gO8t1uf9ZBVEIZ4/TkN1vPh4WLroJhE/J6VmT3G7BhYwhr8w3PETOpSJqXIT&#10;Gc96BfOXRB4USCmBJX8l5ApYdRdeM+Blwf9/UP4CAAD//wMAUEsBAi0AFAAGAAgAAAAhALaDOJL+&#10;AAAA4QEAABMAAAAAAAAAAAAAAAAAAAAAAFtDb250ZW50X1R5cGVzXS54bWxQSwECLQAUAAYACAAA&#10;ACEAOP0h/9YAAACUAQAACwAAAAAAAAAAAAAAAAAvAQAAX3JlbHMvLnJlbHNQSwECLQAUAAYACAAA&#10;ACEA0RSF8BgCAAB3BAAADgAAAAAAAAAAAAAAAAAuAgAAZHJzL2Uyb0RvYy54bWxQSwECLQAUAAYA&#10;CAAAACEAnuYA390AAAAJAQAADwAAAAAAAAAAAAAAAAByBAAAZHJzL2Rvd25yZXYueG1sUEsFBgAA&#10;AAAEAAQA8wAAAHwFAAAAAA==&#10;" fillcolor="#ffc000" strokecolor="#243f60 [1604]" strokeweight="2pt">
                <v:textbox>
                  <w:txbxContent>
                    <w:p w:rsidR="0016143B" w:rsidRPr="0016143B" w:rsidRDefault="0016143B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16143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physical and mental health and emotional well-being;</w:t>
                      </w:r>
                    </w:p>
                    <w:p w:rsidR="0016143B" w:rsidRPr="0016143B" w:rsidRDefault="0016143B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16143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protection from harm and neglect;</w:t>
                      </w:r>
                    </w:p>
                    <w:p w:rsidR="0016143B" w:rsidRPr="0016143B" w:rsidRDefault="0016143B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16143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education, training and recreation;</w:t>
                      </w:r>
                    </w:p>
                    <w:p w:rsidR="0016143B" w:rsidRPr="0016143B" w:rsidRDefault="0016143B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16143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the contribution made by them to society;</w:t>
                      </w:r>
                      <w:r w:rsidR="00863DC6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 and</w:t>
                      </w:r>
                    </w:p>
                    <w:p w:rsidR="0016143B" w:rsidRPr="0016143B" w:rsidRDefault="0016143B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16143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social</w:t>
                      </w:r>
                      <w:proofErr w:type="gramEnd"/>
                      <w:r w:rsidRPr="0016143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 and economic well-being.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143B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</w:p>
    <w:p w:rsidR="0016143B" w:rsidRPr="00104FAA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</w:p>
    <w:p w:rsidR="0016143B" w:rsidRDefault="0016143B" w:rsidP="0016143B">
      <w:pPr>
        <w:rPr>
          <w:szCs w:val="24"/>
        </w:rPr>
      </w:pPr>
      <w:r>
        <w:rPr>
          <w:szCs w:val="24"/>
        </w:rPr>
        <w:t>These areas are similar to the areas of well-being in the Act.</w:t>
      </w:r>
    </w:p>
    <w:p w:rsidR="0016143B" w:rsidRDefault="0016143B" w:rsidP="0016143B">
      <w:pPr>
        <w:rPr>
          <w:szCs w:val="24"/>
        </w:rPr>
      </w:pPr>
    </w:p>
    <w:p w:rsidR="00E0180D" w:rsidRDefault="0016143B" w:rsidP="00A60B65">
      <w:r w:rsidRPr="00E0180D">
        <w:rPr>
          <w:b/>
        </w:rPr>
        <w:t>There is no conflict between well-being and welfare</w:t>
      </w:r>
      <w:r w:rsidRPr="003C6329">
        <w:t>. Welfare has a particular</w:t>
      </w:r>
      <w:r>
        <w:t xml:space="preserve"> meaning under the Children Act 1989 and will continue to do so. Language in the</w:t>
      </w:r>
      <w:r w:rsidR="00E0180D">
        <w:t xml:space="preserve"> </w:t>
      </w:r>
      <w:r>
        <w:t xml:space="preserve">Act reflects the newer concept of well-being. </w:t>
      </w:r>
    </w:p>
    <w:p w:rsidR="00E0180D" w:rsidRDefault="00E0180D" w:rsidP="00A60B65"/>
    <w:p w:rsidR="00524955" w:rsidRDefault="0016143B" w:rsidP="00A60B65">
      <w:r>
        <w:t>Any activities under the Act, whether or not they relate to safeguarding, must be done with the overarching aim of promoting the child’s well-being. This includes the existing considerations of welfare that are set out in the Children Act 1989.</w:t>
      </w:r>
    </w:p>
    <w:sectPr w:rsidR="00524955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60" w:rsidRDefault="00FF1260" w:rsidP="00A60B65">
      <w:r>
        <w:separator/>
      </w:r>
    </w:p>
  </w:endnote>
  <w:endnote w:type="continuationSeparator" w:id="0">
    <w:p w:rsidR="00FF1260" w:rsidRDefault="00FF126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A23B2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A23B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60" w:rsidRDefault="00FF1260" w:rsidP="00A60B65">
      <w:r>
        <w:separator/>
      </w:r>
    </w:p>
  </w:footnote>
  <w:footnote w:type="continuationSeparator" w:id="0">
    <w:p w:rsidR="00FF1260" w:rsidRDefault="00FF126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0D458D08" wp14:editId="40402214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6A23B2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F3D3848" wp14:editId="1AA5243C">
          <wp:simplePos x="0" y="0"/>
          <wp:positionH relativeFrom="column">
            <wp:posOffset>158750</wp:posOffset>
          </wp:positionH>
          <wp:positionV relativeFrom="paragraph">
            <wp:posOffset>50800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2747C4" wp14:editId="33F8EA31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6A"/>
    <w:multiLevelType w:val="hybridMultilevel"/>
    <w:tmpl w:val="A4980E22"/>
    <w:lvl w:ilvl="0" w:tplc="BE204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7D3169"/>
    <w:multiLevelType w:val="hybridMultilevel"/>
    <w:tmpl w:val="C08C6B72"/>
    <w:lvl w:ilvl="0" w:tplc="0ADCF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F912D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D2390"/>
    <w:multiLevelType w:val="hybridMultilevel"/>
    <w:tmpl w:val="173822AE"/>
    <w:lvl w:ilvl="0" w:tplc="BE204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32"/>
    <w:lvlOverride w:ilvl="0">
      <w:startOverride w:val="1"/>
    </w:lvlOverride>
  </w:num>
  <w:num w:numId="8">
    <w:abstractNumId w:val="22"/>
  </w:num>
  <w:num w:numId="9">
    <w:abstractNumId w:val="32"/>
  </w:num>
  <w:num w:numId="10">
    <w:abstractNumId w:val="17"/>
  </w:num>
  <w:num w:numId="11">
    <w:abstractNumId w:val="2"/>
  </w:num>
  <w:num w:numId="12">
    <w:abstractNumId w:val="24"/>
  </w:num>
  <w:num w:numId="13">
    <w:abstractNumId w:val="28"/>
  </w:num>
  <w:num w:numId="14">
    <w:abstractNumId w:val="15"/>
  </w:num>
  <w:num w:numId="15">
    <w:abstractNumId w:val="14"/>
  </w:num>
  <w:num w:numId="16">
    <w:abstractNumId w:val="27"/>
  </w:num>
  <w:num w:numId="17">
    <w:abstractNumId w:val="3"/>
  </w:num>
  <w:num w:numId="18">
    <w:abstractNumId w:val="9"/>
  </w:num>
  <w:num w:numId="19">
    <w:abstractNumId w:val="16"/>
  </w:num>
  <w:num w:numId="20">
    <w:abstractNumId w:val="5"/>
  </w:num>
  <w:num w:numId="21">
    <w:abstractNumId w:val="29"/>
  </w:num>
  <w:num w:numId="22">
    <w:abstractNumId w:val="13"/>
  </w:num>
  <w:num w:numId="23">
    <w:abstractNumId w:val="23"/>
  </w:num>
  <w:num w:numId="24">
    <w:abstractNumId w:val="30"/>
  </w:num>
  <w:num w:numId="25">
    <w:abstractNumId w:val="5"/>
    <w:lvlOverride w:ilvl="0">
      <w:startOverride w:val="1"/>
    </w:lvlOverride>
  </w:num>
  <w:num w:numId="26">
    <w:abstractNumId w:val="26"/>
  </w:num>
  <w:num w:numId="27">
    <w:abstractNumId w:val="31"/>
  </w:num>
  <w:num w:numId="28">
    <w:abstractNumId w:val="20"/>
  </w:num>
  <w:num w:numId="29">
    <w:abstractNumId w:val="7"/>
  </w:num>
  <w:num w:numId="30">
    <w:abstractNumId w:val="11"/>
  </w:num>
  <w:num w:numId="31">
    <w:abstractNumId w:val="10"/>
  </w:num>
  <w:num w:numId="32">
    <w:abstractNumId w:val="1"/>
  </w:num>
  <w:num w:numId="33">
    <w:abstractNumId w:val="19"/>
  </w:num>
  <w:num w:numId="34">
    <w:abstractNumId w:val="0"/>
  </w:num>
  <w:num w:numId="35">
    <w:abstractNumId w:val="18"/>
  </w:num>
  <w:num w:numId="36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ldine Nosowska">
    <w15:presenceInfo w15:providerId="Windows Live" w15:userId="232c4aa18c4b2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26CDD"/>
    <w:rsid w:val="00130FC5"/>
    <w:rsid w:val="00132179"/>
    <w:rsid w:val="00142149"/>
    <w:rsid w:val="0016143B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0036D"/>
    <w:rsid w:val="0031794B"/>
    <w:rsid w:val="003525D3"/>
    <w:rsid w:val="00362BEC"/>
    <w:rsid w:val="00383BC9"/>
    <w:rsid w:val="003927DD"/>
    <w:rsid w:val="00396DF0"/>
    <w:rsid w:val="003C6329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4F3B87"/>
    <w:rsid w:val="00523FA3"/>
    <w:rsid w:val="00524955"/>
    <w:rsid w:val="00582A3D"/>
    <w:rsid w:val="005D358F"/>
    <w:rsid w:val="00653824"/>
    <w:rsid w:val="00694756"/>
    <w:rsid w:val="006A23B2"/>
    <w:rsid w:val="006A5DE8"/>
    <w:rsid w:val="006B55EC"/>
    <w:rsid w:val="006E4991"/>
    <w:rsid w:val="0076052D"/>
    <w:rsid w:val="007726F9"/>
    <w:rsid w:val="007A2579"/>
    <w:rsid w:val="00803080"/>
    <w:rsid w:val="00810563"/>
    <w:rsid w:val="00840504"/>
    <w:rsid w:val="00842CC1"/>
    <w:rsid w:val="00863DC6"/>
    <w:rsid w:val="00873E3A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42501"/>
    <w:rsid w:val="00B70B7B"/>
    <w:rsid w:val="00BB0BCC"/>
    <w:rsid w:val="00BB506D"/>
    <w:rsid w:val="00BC5279"/>
    <w:rsid w:val="00BC5D28"/>
    <w:rsid w:val="00BC68AD"/>
    <w:rsid w:val="00BD47C9"/>
    <w:rsid w:val="00BE141B"/>
    <w:rsid w:val="00BF3F9A"/>
    <w:rsid w:val="00C06D15"/>
    <w:rsid w:val="00C158AE"/>
    <w:rsid w:val="00C33CB5"/>
    <w:rsid w:val="00C65408"/>
    <w:rsid w:val="00CC56C9"/>
    <w:rsid w:val="00CE0D57"/>
    <w:rsid w:val="00D20A4F"/>
    <w:rsid w:val="00D24A65"/>
    <w:rsid w:val="00D53F01"/>
    <w:rsid w:val="00D76AFB"/>
    <w:rsid w:val="00D7779D"/>
    <w:rsid w:val="00DC4B1A"/>
    <w:rsid w:val="00DD31AE"/>
    <w:rsid w:val="00DE4ACB"/>
    <w:rsid w:val="00E0180D"/>
    <w:rsid w:val="00E16677"/>
    <w:rsid w:val="00E354E3"/>
    <w:rsid w:val="00E5345F"/>
    <w:rsid w:val="00E70786"/>
    <w:rsid w:val="00E74299"/>
    <w:rsid w:val="00E91747"/>
    <w:rsid w:val="00E96BDC"/>
    <w:rsid w:val="00EB58AA"/>
    <w:rsid w:val="00EC750B"/>
    <w:rsid w:val="00EE24DA"/>
    <w:rsid w:val="00F17682"/>
    <w:rsid w:val="00F3509B"/>
    <w:rsid w:val="00F366B1"/>
    <w:rsid w:val="00F97D0D"/>
    <w:rsid w:val="00FA0525"/>
    <w:rsid w:val="00FD39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legclearfix">
    <w:name w:val="legclearfix"/>
    <w:basedOn w:val="Normal"/>
    <w:rsid w:val="005249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524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legclearfix">
    <w:name w:val="legclearfix"/>
    <w:basedOn w:val="Normal"/>
    <w:rsid w:val="005249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52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118-B1FE-4C55-A2BB-A23A0FB8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2017-03-20T11:36:00Z</dcterms:created>
  <dcterms:modified xsi:type="dcterms:W3CDTF">2017-05-23T10:19:00Z</dcterms:modified>
</cp:coreProperties>
</file>