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3A" w:rsidRDefault="00825A3A">
      <w:pPr>
        <w:rPr>
          <w:b/>
          <w:sz w:val="40"/>
          <w:szCs w:val="40"/>
        </w:rPr>
      </w:pPr>
      <w:r w:rsidRPr="00825A3A">
        <w:rPr>
          <w:b/>
          <w:sz w:val="40"/>
          <w:szCs w:val="40"/>
        </w:rPr>
        <w:t xml:space="preserve">Lesson </w:t>
      </w:r>
      <w:r w:rsidR="00A00F75">
        <w:rPr>
          <w:b/>
          <w:sz w:val="40"/>
          <w:szCs w:val="40"/>
        </w:rPr>
        <w:t>p</w:t>
      </w:r>
      <w:r w:rsidRPr="00825A3A">
        <w:rPr>
          <w:b/>
          <w:sz w:val="40"/>
          <w:szCs w:val="40"/>
        </w:rPr>
        <w:t>lan</w:t>
      </w:r>
      <w:r w:rsidR="00A124BD">
        <w:rPr>
          <w:b/>
          <w:sz w:val="40"/>
          <w:szCs w:val="40"/>
        </w:rPr>
        <w:t xml:space="preserve"> – Introduction and B</w:t>
      </w:r>
      <w:r>
        <w:rPr>
          <w:b/>
          <w:sz w:val="40"/>
          <w:szCs w:val="40"/>
        </w:rPr>
        <w:t>ackground</w:t>
      </w:r>
      <w:r w:rsidR="00A124BD">
        <w:rPr>
          <w:b/>
          <w:sz w:val="40"/>
          <w:szCs w:val="40"/>
        </w:rPr>
        <w:t xml:space="preserve"> </w:t>
      </w:r>
      <w:r w:rsidR="00A00F75">
        <w:rPr>
          <w:b/>
          <w:sz w:val="40"/>
          <w:szCs w:val="40"/>
        </w:rPr>
        <w:t>m</w:t>
      </w:r>
      <w:bookmarkStart w:id="0" w:name="_GoBack"/>
      <w:bookmarkEnd w:id="0"/>
      <w:r w:rsidR="00A124BD">
        <w:rPr>
          <w:b/>
          <w:sz w:val="40"/>
          <w:szCs w:val="40"/>
        </w:rPr>
        <w:t>odule</w:t>
      </w:r>
    </w:p>
    <w:p w:rsidR="008655D4" w:rsidRDefault="008655D4">
      <w:pPr>
        <w:rPr>
          <w:b/>
        </w:rPr>
      </w:pPr>
      <w:r>
        <w:rPr>
          <w:b/>
        </w:rPr>
        <w:t>This module offers an introduction to modules 1</w:t>
      </w:r>
      <w:r w:rsidR="00AB2D96">
        <w:rPr>
          <w:b/>
        </w:rPr>
        <w:t>-</w:t>
      </w:r>
      <w:r>
        <w:rPr>
          <w:b/>
        </w:rPr>
        <w:t>3. It should be delivered prior to any standalone module but does not need to be repeated should more than one module be delivered to the same group of learners.</w:t>
      </w:r>
    </w:p>
    <w:p w:rsidR="008655D4" w:rsidRDefault="008655D4">
      <w:pPr>
        <w:rPr>
          <w:b/>
        </w:rPr>
      </w:pPr>
      <w:r>
        <w:rPr>
          <w:b/>
        </w:rPr>
        <w:t>The timings are suggestions only. The trainer should use their own judgement to plan timings dependent on the size of the group and whether participants are already familiar with each other.</w:t>
      </w:r>
    </w:p>
    <w:p w:rsidR="008655D4" w:rsidRDefault="008655D4">
      <w:pPr>
        <w:rPr>
          <w:b/>
          <w:sz w:val="40"/>
          <w:szCs w:val="40"/>
        </w:rPr>
      </w:pPr>
    </w:p>
    <w:tbl>
      <w:tblPr>
        <w:tblStyle w:val="TableGrid"/>
        <w:tblW w:w="0" w:type="auto"/>
        <w:tblLayout w:type="fixed"/>
        <w:tblLook w:val="04A0" w:firstRow="1" w:lastRow="0" w:firstColumn="1" w:lastColumn="0" w:noHBand="0" w:noVBand="1"/>
      </w:tblPr>
      <w:tblGrid>
        <w:gridCol w:w="675"/>
        <w:gridCol w:w="1276"/>
        <w:gridCol w:w="3402"/>
        <w:gridCol w:w="3889"/>
      </w:tblGrid>
      <w:tr w:rsidR="00825A3A" w:rsidTr="00AA2B6A">
        <w:tc>
          <w:tcPr>
            <w:tcW w:w="675" w:type="dxa"/>
          </w:tcPr>
          <w:p w:rsidR="00825A3A" w:rsidRPr="00825A3A" w:rsidRDefault="00825A3A">
            <w:pPr>
              <w:rPr>
                <w:b/>
              </w:rPr>
            </w:pPr>
            <w:r w:rsidRPr="00825A3A">
              <w:rPr>
                <w:b/>
              </w:rPr>
              <w:t>Slide no.</w:t>
            </w:r>
          </w:p>
        </w:tc>
        <w:tc>
          <w:tcPr>
            <w:tcW w:w="1276" w:type="dxa"/>
          </w:tcPr>
          <w:p w:rsidR="00825A3A" w:rsidRPr="00825A3A" w:rsidRDefault="00AA2B6A" w:rsidP="00AB2D96">
            <w:pPr>
              <w:rPr>
                <w:b/>
                <w:szCs w:val="40"/>
              </w:rPr>
            </w:pPr>
            <w:r>
              <w:rPr>
                <w:b/>
                <w:szCs w:val="40"/>
              </w:rPr>
              <w:t xml:space="preserve">Suggested </w:t>
            </w:r>
            <w:r w:rsidR="00AB2D96">
              <w:rPr>
                <w:b/>
                <w:szCs w:val="40"/>
              </w:rPr>
              <w:t>ti</w:t>
            </w:r>
            <w:r w:rsidR="00825A3A" w:rsidRPr="00825A3A">
              <w:rPr>
                <w:b/>
                <w:szCs w:val="40"/>
              </w:rPr>
              <w:t xml:space="preserve">ming </w:t>
            </w:r>
            <w:r w:rsidR="00825A3A">
              <w:rPr>
                <w:b/>
                <w:szCs w:val="40"/>
              </w:rPr>
              <w:t xml:space="preserve"> </w:t>
            </w:r>
          </w:p>
        </w:tc>
        <w:tc>
          <w:tcPr>
            <w:tcW w:w="3402" w:type="dxa"/>
          </w:tcPr>
          <w:p w:rsidR="00825A3A" w:rsidRPr="00825A3A" w:rsidRDefault="00825A3A">
            <w:pPr>
              <w:rPr>
                <w:b/>
                <w:szCs w:val="40"/>
              </w:rPr>
            </w:pPr>
            <w:r w:rsidRPr="00825A3A">
              <w:rPr>
                <w:b/>
                <w:szCs w:val="40"/>
              </w:rPr>
              <w:t>Content</w:t>
            </w:r>
          </w:p>
        </w:tc>
        <w:tc>
          <w:tcPr>
            <w:tcW w:w="3889" w:type="dxa"/>
          </w:tcPr>
          <w:p w:rsidR="00825A3A" w:rsidRPr="00825A3A" w:rsidRDefault="00825A3A" w:rsidP="00825A3A">
            <w:pPr>
              <w:rPr>
                <w:b/>
                <w:szCs w:val="40"/>
              </w:rPr>
            </w:pPr>
            <w:r w:rsidRPr="00825A3A">
              <w:rPr>
                <w:b/>
                <w:szCs w:val="40"/>
              </w:rPr>
              <w:t xml:space="preserve">Aim </w:t>
            </w:r>
          </w:p>
        </w:tc>
      </w:tr>
      <w:tr w:rsidR="00825A3A" w:rsidTr="00AA2B6A">
        <w:tc>
          <w:tcPr>
            <w:tcW w:w="675" w:type="dxa"/>
          </w:tcPr>
          <w:p w:rsidR="00825A3A" w:rsidRPr="00825A3A" w:rsidRDefault="00825A3A">
            <w:r w:rsidRPr="00825A3A">
              <w:t>1</w:t>
            </w:r>
          </w:p>
        </w:tc>
        <w:tc>
          <w:tcPr>
            <w:tcW w:w="1276" w:type="dxa"/>
          </w:tcPr>
          <w:p w:rsidR="00AB2D96" w:rsidRPr="00825A3A" w:rsidRDefault="00AB2D96">
            <w:r>
              <w:t>–</w:t>
            </w:r>
          </w:p>
        </w:tc>
        <w:tc>
          <w:tcPr>
            <w:tcW w:w="3402" w:type="dxa"/>
          </w:tcPr>
          <w:p w:rsidR="00825A3A" w:rsidRPr="00825A3A" w:rsidRDefault="00825A3A" w:rsidP="00AB2D96">
            <w:r>
              <w:t xml:space="preserve">Title </w:t>
            </w:r>
            <w:r w:rsidR="00AB2D96">
              <w:t>s</w:t>
            </w:r>
            <w:r>
              <w:t>lide</w:t>
            </w:r>
          </w:p>
        </w:tc>
        <w:tc>
          <w:tcPr>
            <w:tcW w:w="3889" w:type="dxa"/>
          </w:tcPr>
          <w:p w:rsidR="00AB2D96" w:rsidRPr="00825A3A" w:rsidRDefault="00AB2D96">
            <w:r>
              <w:t>–</w:t>
            </w:r>
          </w:p>
        </w:tc>
      </w:tr>
      <w:tr w:rsidR="00825A3A" w:rsidTr="00AA2B6A">
        <w:tc>
          <w:tcPr>
            <w:tcW w:w="675" w:type="dxa"/>
          </w:tcPr>
          <w:p w:rsidR="00825A3A" w:rsidRPr="00825A3A" w:rsidRDefault="00825A3A">
            <w:r>
              <w:t>2</w:t>
            </w:r>
          </w:p>
        </w:tc>
        <w:tc>
          <w:tcPr>
            <w:tcW w:w="1276" w:type="dxa"/>
          </w:tcPr>
          <w:p w:rsidR="00825A3A" w:rsidRPr="00825A3A" w:rsidRDefault="00825A3A">
            <w:r>
              <w:t>5</w:t>
            </w:r>
            <w:r w:rsidR="00AA2B6A">
              <w:t xml:space="preserve"> mins</w:t>
            </w:r>
          </w:p>
        </w:tc>
        <w:tc>
          <w:tcPr>
            <w:tcW w:w="3402" w:type="dxa"/>
          </w:tcPr>
          <w:p w:rsidR="00825A3A" w:rsidRPr="00825A3A" w:rsidRDefault="00825A3A" w:rsidP="00AB2D96">
            <w:r>
              <w:t xml:space="preserve">Learning </w:t>
            </w:r>
            <w:r w:rsidR="00AB2D96">
              <w:t>o</w:t>
            </w:r>
            <w:r>
              <w:t>utcomes</w:t>
            </w:r>
            <w:r w:rsidR="00AB2D96">
              <w:t xml:space="preserve"> </w:t>
            </w:r>
          </w:p>
        </w:tc>
        <w:tc>
          <w:tcPr>
            <w:tcW w:w="3889" w:type="dxa"/>
          </w:tcPr>
          <w:p w:rsidR="00825A3A" w:rsidRPr="00825A3A" w:rsidRDefault="00825A3A">
            <w:r>
              <w:t>Inform learners of the aims of the session and what they can expect to know by the end of the module</w:t>
            </w:r>
          </w:p>
        </w:tc>
      </w:tr>
      <w:tr w:rsidR="00AA2B6A" w:rsidTr="00AA2B6A">
        <w:tc>
          <w:tcPr>
            <w:tcW w:w="675" w:type="dxa"/>
          </w:tcPr>
          <w:p w:rsidR="00AA2B6A" w:rsidRPr="00825A3A" w:rsidRDefault="00AA2B6A">
            <w:r>
              <w:t>3</w:t>
            </w:r>
          </w:p>
        </w:tc>
        <w:tc>
          <w:tcPr>
            <w:tcW w:w="1276" w:type="dxa"/>
            <w:vMerge w:val="restart"/>
          </w:tcPr>
          <w:p w:rsidR="00AA2B6A" w:rsidRPr="00825A3A" w:rsidRDefault="00AA2B6A">
            <w:r>
              <w:t>10 mins</w:t>
            </w:r>
          </w:p>
        </w:tc>
        <w:tc>
          <w:tcPr>
            <w:tcW w:w="3402" w:type="dxa"/>
            <w:vMerge w:val="restart"/>
          </w:tcPr>
          <w:p w:rsidR="00AA2B6A" w:rsidRPr="00825A3A" w:rsidRDefault="00AA2B6A">
            <w:r>
              <w:t>The background to the training modules</w:t>
            </w:r>
          </w:p>
        </w:tc>
        <w:tc>
          <w:tcPr>
            <w:tcW w:w="3889" w:type="dxa"/>
            <w:vMerge w:val="restart"/>
          </w:tcPr>
          <w:p w:rsidR="00AA2B6A" w:rsidRPr="00825A3A" w:rsidRDefault="00AA2B6A" w:rsidP="00AB2D96">
            <w:r>
              <w:t>To inform learners of the origins of the training modules and the reasoning behind their development. Introduces the Social Services and Well</w:t>
            </w:r>
            <w:r w:rsidR="00AB2D96">
              <w:t>-</w:t>
            </w:r>
            <w:r>
              <w:t>being</w:t>
            </w:r>
            <w:r w:rsidR="00AB2D96">
              <w:t xml:space="preserve"> (Wales)</w:t>
            </w:r>
            <w:r>
              <w:t xml:space="preserve"> Act (‘</w:t>
            </w:r>
            <w:r w:rsidR="00AB2D96">
              <w:t>t</w:t>
            </w:r>
            <w:r>
              <w:t>he Act’).</w:t>
            </w:r>
          </w:p>
        </w:tc>
      </w:tr>
      <w:tr w:rsidR="00AA2B6A" w:rsidTr="00AA2B6A">
        <w:tc>
          <w:tcPr>
            <w:tcW w:w="675" w:type="dxa"/>
          </w:tcPr>
          <w:p w:rsidR="00AA2B6A" w:rsidRPr="00825A3A" w:rsidRDefault="00AA2B6A">
            <w:r>
              <w:t>4</w:t>
            </w:r>
          </w:p>
        </w:tc>
        <w:tc>
          <w:tcPr>
            <w:tcW w:w="1276" w:type="dxa"/>
            <w:vMerge/>
          </w:tcPr>
          <w:p w:rsidR="00AA2B6A" w:rsidRPr="00825A3A" w:rsidRDefault="00AA2B6A"/>
        </w:tc>
        <w:tc>
          <w:tcPr>
            <w:tcW w:w="3402" w:type="dxa"/>
            <w:vMerge/>
          </w:tcPr>
          <w:p w:rsidR="00AA2B6A" w:rsidRPr="00825A3A" w:rsidRDefault="00AA2B6A"/>
        </w:tc>
        <w:tc>
          <w:tcPr>
            <w:tcW w:w="3889" w:type="dxa"/>
            <w:vMerge/>
          </w:tcPr>
          <w:p w:rsidR="00AA2B6A" w:rsidRPr="00825A3A" w:rsidRDefault="00AA2B6A"/>
        </w:tc>
      </w:tr>
      <w:tr w:rsidR="00AA2B6A" w:rsidTr="00AA2B6A">
        <w:tc>
          <w:tcPr>
            <w:tcW w:w="675" w:type="dxa"/>
          </w:tcPr>
          <w:p w:rsidR="00AA2B6A" w:rsidRPr="00825A3A" w:rsidRDefault="00AA2B6A">
            <w:r>
              <w:t>5</w:t>
            </w:r>
          </w:p>
        </w:tc>
        <w:tc>
          <w:tcPr>
            <w:tcW w:w="1276" w:type="dxa"/>
            <w:vMerge/>
          </w:tcPr>
          <w:p w:rsidR="00AA2B6A" w:rsidRPr="00825A3A" w:rsidRDefault="00AA2B6A"/>
        </w:tc>
        <w:tc>
          <w:tcPr>
            <w:tcW w:w="3402" w:type="dxa"/>
            <w:vMerge/>
          </w:tcPr>
          <w:p w:rsidR="00AA2B6A" w:rsidRPr="00825A3A" w:rsidRDefault="00AA2B6A"/>
        </w:tc>
        <w:tc>
          <w:tcPr>
            <w:tcW w:w="3889" w:type="dxa"/>
            <w:vMerge/>
          </w:tcPr>
          <w:p w:rsidR="00AA2B6A" w:rsidRPr="00825A3A" w:rsidRDefault="00AA2B6A"/>
        </w:tc>
      </w:tr>
      <w:tr w:rsidR="00AA2B6A" w:rsidTr="00AA2B6A">
        <w:tc>
          <w:tcPr>
            <w:tcW w:w="675" w:type="dxa"/>
          </w:tcPr>
          <w:p w:rsidR="00AA2B6A" w:rsidRPr="00825A3A" w:rsidRDefault="00AA2B6A">
            <w:r>
              <w:t>6</w:t>
            </w:r>
          </w:p>
        </w:tc>
        <w:tc>
          <w:tcPr>
            <w:tcW w:w="1276" w:type="dxa"/>
            <w:vMerge w:val="restart"/>
          </w:tcPr>
          <w:p w:rsidR="00AA2B6A" w:rsidRPr="00825A3A" w:rsidRDefault="00AA2B6A">
            <w:r>
              <w:t>10 mins</w:t>
            </w:r>
          </w:p>
        </w:tc>
        <w:tc>
          <w:tcPr>
            <w:tcW w:w="3402" w:type="dxa"/>
            <w:vMerge w:val="restart"/>
          </w:tcPr>
          <w:p w:rsidR="00AA2B6A" w:rsidRPr="00825A3A" w:rsidRDefault="00AA2B6A" w:rsidP="00AB2D96">
            <w:r>
              <w:t xml:space="preserve">Introducing </w:t>
            </w:r>
            <w:r w:rsidR="00AB2D96">
              <w:t>t</w:t>
            </w:r>
            <w:r>
              <w:t>he Act and its main principles</w:t>
            </w:r>
          </w:p>
        </w:tc>
        <w:tc>
          <w:tcPr>
            <w:tcW w:w="3889" w:type="dxa"/>
            <w:vMerge w:val="restart"/>
          </w:tcPr>
          <w:p w:rsidR="00AA2B6A" w:rsidRPr="00825A3A" w:rsidRDefault="00AA2B6A" w:rsidP="00AA2B6A">
            <w:r>
              <w:t>Further information and detail about the Act.</w:t>
            </w:r>
          </w:p>
        </w:tc>
      </w:tr>
      <w:tr w:rsidR="00AA2B6A" w:rsidTr="00AA2B6A">
        <w:tc>
          <w:tcPr>
            <w:tcW w:w="675" w:type="dxa"/>
          </w:tcPr>
          <w:p w:rsidR="00AA2B6A" w:rsidRPr="00825A3A" w:rsidRDefault="00AA2B6A">
            <w:r>
              <w:t>7</w:t>
            </w:r>
          </w:p>
        </w:tc>
        <w:tc>
          <w:tcPr>
            <w:tcW w:w="1276" w:type="dxa"/>
            <w:vMerge/>
          </w:tcPr>
          <w:p w:rsidR="00AA2B6A" w:rsidRPr="00825A3A" w:rsidRDefault="00AA2B6A"/>
        </w:tc>
        <w:tc>
          <w:tcPr>
            <w:tcW w:w="3402" w:type="dxa"/>
            <w:vMerge/>
          </w:tcPr>
          <w:p w:rsidR="00AA2B6A" w:rsidRPr="00825A3A" w:rsidRDefault="00AA2B6A"/>
        </w:tc>
        <w:tc>
          <w:tcPr>
            <w:tcW w:w="3889" w:type="dxa"/>
            <w:vMerge/>
          </w:tcPr>
          <w:p w:rsidR="00AA2B6A" w:rsidRPr="00825A3A" w:rsidRDefault="00AA2B6A"/>
        </w:tc>
      </w:tr>
      <w:tr w:rsidR="00AA2B6A" w:rsidTr="00AA2B6A">
        <w:tc>
          <w:tcPr>
            <w:tcW w:w="675" w:type="dxa"/>
          </w:tcPr>
          <w:p w:rsidR="00AA2B6A" w:rsidRPr="00825A3A" w:rsidRDefault="00AA2B6A">
            <w:r>
              <w:t>8</w:t>
            </w:r>
          </w:p>
        </w:tc>
        <w:tc>
          <w:tcPr>
            <w:tcW w:w="1276" w:type="dxa"/>
            <w:vMerge w:val="restart"/>
          </w:tcPr>
          <w:p w:rsidR="00AA2B6A" w:rsidRPr="00825A3A" w:rsidRDefault="00AA2B6A">
            <w:r>
              <w:t>20 mins</w:t>
            </w:r>
          </w:p>
        </w:tc>
        <w:tc>
          <w:tcPr>
            <w:tcW w:w="3402" w:type="dxa"/>
            <w:vMerge w:val="restart"/>
          </w:tcPr>
          <w:p w:rsidR="00AA2B6A" w:rsidRPr="00825A3A" w:rsidRDefault="00AA2B6A" w:rsidP="00AB2D96">
            <w:r>
              <w:t xml:space="preserve">What does </w:t>
            </w:r>
            <w:r w:rsidR="00AB2D96">
              <w:t>t</w:t>
            </w:r>
            <w:r>
              <w:t>he Act say about advocacy?</w:t>
            </w:r>
          </w:p>
        </w:tc>
        <w:tc>
          <w:tcPr>
            <w:tcW w:w="3889" w:type="dxa"/>
            <w:vMerge w:val="restart"/>
          </w:tcPr>
          <w:p w:rsidR="00AA2B6A" w:rsidRPr="00825A3A" w:rsidRDefault="00AB2D96" w:rsidP="00AB2D96">
            <w:r>
              <w:t>Making the clear links between t</w:t>
            </w:r>
            <w:r w:rsidR="00AA2B6A">
              <w:t xml:space="preserve">he Act and </w:t>
            </w:r>
            <w:r>
              <w:t>a</w:t>
            </w:r>
            <w:r w:rsidR="00AA2B6A">
              <w:t>dvocacy. Pinpointing what the Act says and encouraging discussion around this.</w:t>
            </w:r>
          </w:p>
        </w:tc>
      </w:tr>
      <w:tr w:rsidR="00AA2B6A" w:rsidTr="00AA2B6A">
        <w:tc>
          <w:tcPr>
            <w:tcW w:w="675" w:type="dxa"/>
          </w:tcPr>
          <w:p w:rsidR="00AA2B6A" w:rsidRPr="00825A3A" w:rsidRDefault="00AA2B6A">
            <w:r>
              <w:t>9</w:t>
            </w:r>
          </w:p>
        </w:tc>
        <w:tc>
          <w:tcPr>
            <w:tcW w:w="1276" w:type="dxa"/>
            <w:vMerge/>
          </w:tcPr>
          <w:p w:rsidR="00AA2B6A" w:rsidRPr="00825A3A" w:rsidRDefault="00AA2B6A"/>
        </w:tc>
        <w:tc>
          <w:tcPr>
            <w:tcW w:w="3402" w:type="dxa"/>
            <w:vMerge/>
          </w:tcPr>
          <w:p w:rsidR="00AA2B6A" w:rsidRPr="00825A3A" w:rsidRDefault="00AA2B6A"/>
        </w:tc>
        <w:tc>
          <w:tcPr>
            <w:tcW w:w="3889" w:type="dxa"/>
            <w:vMerge/>
          </w:tcPr>
          <w:p w:rsidR="00AA2B6A" w:rsidRPr="00825A3A" w:rsidRDefault="00AA2B6A"/>
        </w:tc>
      </w:tr>
      <w:tr w:rsidR="00825A3A" w:rsidTr="00AA2B6A">
        <w:tc>
          <w:tcPr>
            <w:tcW w:w="675" w:type="dxa"/>
          </w:tcPr>
          <w:p w:rsidR="00825A3A" w:rsidRPr="00825A3A" w:rsidRDefault="00825A3A">
            <w:r>
              <w:t>10</w:t>
            </w:r>
          </w:p>
        </w:tc>
        <w:tc>
          <w:tcPr>
            <w:tcW w:w="1276" w:type="dxa"/>
          </w:tcPr>
          <w:p w:rsidR="00825A3A" w:rsidRPr="00825A3A" w:rsidRDefault="00AA2B6A">
            <w:r>
              <w:t>10 mins</w:t>
            </w:r>
          </w:p>
        </w:tc>
        <w:tc>
          <w:tcPr>
            <w:tcW w:w="3402" w:type="dxa"/>
          </w:tcPr>
          <w:p w:rsidR="00825A3A" w:rsidRPr="00825A3A" w:rsidRDefault="00AA2B6A">
            <w:r>
              <w:t>Why is this relevant to me?</w:t>
            </w:r>
          </w:p>
        </w:tc>
        <w:tc>
          <w:tcPr>
            <w:tcW w:w="3889" w:type="dxa"/>
          </w:tcPr>
          <w:p w:rsidR="00825A3A" w:rsidRPr="00825A3A" w:rsidRDefault="00AA2B6A" w:rsidP="00AB2D96">
            <w:r>
              <w:t xml:space="preserve">Support learners to begin to </w:t>
            </w:r>
            <w:r w:rsidR="008655D4">
              <w:t xml:space="preserve">understand and </w:t>
            </w:r>
            <w:r>
              <w:t xml:space="preserve">acknowledge how </w:t>
            </w:r>
            <w:r w:rsidR="00AB2D96">
              <w:t>t</w:t>
            </w:r>
            <w:r>
              <w:t>he Act may affect them and/or the people they support.</w:t>
            </w:r>
          </w:p>
        </w:tc>
      </w:tr>
      <w:tr w:rsidR="00825A3A" w:rsidTr="00AA2B6A">
        <w:tc>
          <w:tcPr>
            <w:tcW w:w="675" w:type="dxa"/>
          </w:tcPr>
          <w:p w:rsidR="00825A3A" w:rsidRPr="00825A3A" w:rsidRDefault="00825A3A">
            <w:r>
              <w:t>11</w:t>
            </w:r>
          </w:p>
        </w:tc>
        <w:tc>
          <w:tcPr>
            <w:tcW w:w="1276" w:type="dxa"/>
          </w:tcPr>
          <w:p w:rsidR="00825A3A" w:rsidRPr="00825A3A" w:rsidRDefault="008655D4">
            <w:r>
              <w:t>5 mins</w:t>
            </w:r>
          </w:p>
        </w:tc>
        <w:tc>
          <w:tcPr>
            <w:tcW w:w="3402" w:type="dxa"/>
          </w:tcPr>
          <w:p w:rsidR="00825A3A" w:rsidRPr="00825A3A" w:rsidRDefault="008655D4" w:rsidP="00AB2D96">
            <w:r>
              <w:t xml:space="preserve">Introducing the </w:t>
            </w:r>
            <w:r w:rsidR="00AB2D96">
              <w:t>three</w:t>
            </w:r>
            <w:r>
              <w:t xml:space="preserve"> advocacy modules</w:t>
            </w:r>
          </w:p>
        </w:tc>
        <w:tc>
          <w:tcPr>
            <w:tcW w:w="3889" w:type="dxa"/>
          </w:tcPr>
          <w:p w:rsidR="00825A3A" w:rsidRPr="00825A3A" w:rsidRDefault="008655D4">
            <w:r>
              <w:t xml:space="preserve">Inform learners of the training that’s available in relation to the information they’ve received about </w:t>
            </w:r>
            <w:r w:rsidR="00AB2D96">
              <w:t xml:space="preserve">the </w:t>
            </w:r>
            <w:r>
              <w:t>Act and advocacy</w:t>
            </w:r>
            <w:r w:rsidR="00AB2D96">
              <w:t>.</w:t>
            </w:r>
          </w:p>
        </w:tc>
      </w:tr>
      <w:tr w:rsidR="00825A3A" w:rsidTr="00AA2B6A">
        <w:tc>
          <w:tcPr>
            <w:tcW w:w="675" w:type="dxa"/>
          </w:tcPr>
          <w:p w:rsidR="00825A3A" w:rsidRPr="00825A3A" w:rsidRDefault="00825A3A">
            <w:r>
              <w:t>12</w:t>
            </w:r>
          </w:p>
        </w:tc>
        <w:tc>
          <w:tcPr>
            <w:tcW w:w="1276" w:type="dxa"/>
          </w:tcPr>
          <w:p w:rsidR="00825A3A" w:rsidRPr="00825A3A" w:rsidRDefault="008655D4">
            <w:r>
              <w:t>Dependent on group size</w:t>
            </w:r>
          </w:p>
        </w:tc>
        <w:tc>
          <w:tcPr>
            <w:tcW w:w="3402" w:type="dxa"/>
          </w:tcPr>
          <w:p w:rsidR="00825A3A" w:rsidRPr="00825A3A" w:rsidRDefault="008655D4">
            <w:r>
              <w:t>Icebreaker/ground rules activity</w:t>
            </w:r>
          </w:p>
        </w:tc>
        <w:tc>
          <w:tcPr>
            <w:tcW w:w="3889" w:type="dxa"/>
          </w:tcPr>
          <w:p w:rsidR="00825A3A" w:rsidRPr="00825A3A" w:rsidRDefault="008655D4" w:rsidP="00AB2D96">
            <w:r>
              <w:t xml:space="preserve">To support learners to become familiar with other group members and agree ground rules to ensure learner comfort for the module to follow.  </w:t>
            </w:r>
          </w:p>
        </w:tc>
      </w:tr>
    </w:tbl>
    <w:p w:rsidR="00825A3A" w:rsidRPr="00825A3A" w:rsidRDefault="00825A3A">
      <w:pPr>
        <w:rPr>
          <w:sz w:val="40"/>
          <w:szCs w:val="40"/>
        </w:rPr>
      </w:pPr>
    </w:p>
    <w:sectPr w:rsidR="00825A3A" w:rsidRPr="00825A3A" w:rsidSect="007403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3A" w:rsidRDefault="00825A3A" w:rsidP="00825A3A">
      <w:pPr>
        <w:spacing w:after="0" w:line="240" w:lineRule="auto"/>
      </w:pPr>
      <w:r>
        <w:separator/>
      </w:r>
    </w:p>
  </w:endnote>
  <w:endnote w:type="continuationSeparator" w:id="0">
    <w:p w:rsidR="00825A3A" w:rsidRDefault="00825A3A" w:rsidP="0082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3A" w:rsidRDefault="00825A3A" w:rsidP="00825A3A">
      <w:pPr>
        <w:spacing w:after="0" w:line="240" w:lineRule="auto"/>
      </w:pPr>
      <w:r>
        <w:separator/>
      </w:r>
    </w:p>
  </w:footnote>
  <w:footnote w:type="continuationSeparator" w:id="0">
    <w:p w:rsidR="00825A3A" w:rsidRDefault="00825A3A" w:rsidP="0082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3A" w:rsidRDefault="008C4CFC">
    <w:pPr>
      <w:pStyle w:val="Header"/>
    </w:pPr>
    <w:r>
      <w:rPr>
        <w:noProof/>
        <w:lang w:eastAsia="en-GB"/>
      </w:rPr>
      <w:drawing>
        <wp:anchor distT="0" distB="0" distL="114300" distR="114300" simplePos="0" relativeHeight="251661312" behindDoc="0" locked="0" layoutInCell="1" allowOverlap="1">
          <wp:simplePos x="0" y="0"/>
          <wp:positionH relativeFrom="column">
            <wp:posOffset>-365760</wp:posOffset>
          </wp:positionH>
          <wp:positionV relativeFrom="paragraph">
            <wp:posOffset>-229509</wp:posOffset>
          </wp:positionV>
          <wp:extent cx="829820"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820" cy="586740"/>
                  </a:xfrm>
                  <a:prstGeom prst="rect">
                    <a:avLst/>
                  </a:prstGeom>
                </pic:spPr>
              </pic:pic>
            </a:graphicData>
          </a:graphic>
          <wp14:sizeRelH relativeFrom="page">
            <wp14:pctWidth>0</wp14:pctWidth>
          </wp14:sizeRelH>
          <wp14:sizeRelV relativeFrom="page">
            <wp14:pctHeight>0</wp14:pctHeight>
          </wp14:sizeRelV>
        </wp:anchor>
      </w:drawing>
    </w:r>
    <w:r w:rsidR="00A00F75">
      <w:rPr>
        <w:noProof/>
        <w:lang w:val="en-US" w:eastAsia="zh-TW"/>
      </w:rPr>
      <w:pict>
        <v:shapetype id="_x0000_t202" coordsize="21600,21600" o:spt="202" path="m,l,21600r21600,l21600,xe">
          <v:stroke joinstyle="miter"/>
          <v:path gradientshapeok="t" o:connecttype="rect"/>
        </v:shapetype>
        <v:shape id="_x0000_s1025" type="#_x0000_t202" style="position:absolute;margin-left:417pt;margin-top:-22.7pt;width:70.5pt;height:51.05pt;z-index:251660288;mso-position-horizontal-relative:text;mso-position-vertical-relative:text;mso-width-relative:margin;mso-height-relative:margin" stroked="f">
          <v:textbox>
            <w:txbxContent>
              <w:p w:rsidR="00825A3A" w:rsidRDefault="00825A3A">
                <w:r w:rsidRPr="00825A3A">
                  <w:rPr>
                    <w:noProof/>
                    <w:lang w:eastAsia="en-GB"/>
                  </w:rPr>
                  <w:drawing>
                    <wp:inline distT="0" distB="0" distL="0" distR="0">
                      <wp:extent cx="782557" cy="60007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a:xfrm>
                                <a:off x="0" y="0"/>
                                <a:ext cx="783944" cy="601139"/>
                              </a:xfrm>
                              <a:prstGeom prst="rect">
                                <a:avLst/>
                              </a:prstGeom>
                            </pic:spPr>
                          </pic:pic>
                        </a:graphicData>
                      </a:graphic>
                    </wp:inline>
                  </w:drawing>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25A3A"/>
    <w:rsid w:val="00740323"/>
    <w:rsid w:val="00825A3A"/>
    <w:rsid w:val="008655D4"/>
    <w:rsid w:val="008C4CFC"/>
    <w:rsid w:val="00A00F75"/>
    <w:rsid w:val="00A124BD"/>
    <w:rsid w:val="00AA2B6A"/>
    <w:rsid w:val="00AB2D96"/>
    <w:rsid w:val="00C8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3A"/>
  </w:style>
  <w:style w:type="paragraph" w:styleId="Footer">
    <w:name w:val="footer"/>
    <w:basedOn w:val="Normal"/>
    <w:link w:val="FooterChar"/>
    <w:uiPriority w:val="99"/>
    <w:unhideWhenUsed/>
    <w:rsid w:val="00825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3A"/>
  </w:style>
  <w:style w:type="paragraph" w:styleId="BalloonText">
    <w:name w:val="Balloon Text"/>
    <w:basedOn w:val="Normal"/>
    <w:link w:val="BalloonTextChar"/>
    <w:uiPriority w:val="99"/>
    <w:semiHidden/>
    <w:unhideWhenUsed/>
    <w:rsid w:val="0082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3A"/>
    <w:rPr>
      <w:rFonts w:ascii="Tahoma" w:hAnsi="Tahoma" w:cs="Tahoma"/>
      <w:sz w:val="16"/>
      <w:szCs w:val="16"/>
    </w:rPr>
  </w:style>
  <w:style w:type="table" w:styleId="TableGrid">
    <w:name w:val="Table Grid"/>
    <w:basedOn w:val="TableNormal"/>
    <w:uiPriority w:val="59"/>
    <w:rsid w:val="00825A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Bethan Price</cp:lastModifiedBy>
  <cp:revision>6</cp:revision>
  <dcterms:created xsi:type="dcterms:W3CDTF">2016-05-26T09:03:00Z</dcterms:created>
  <dcterms:modified xsi:type="dcterms:W3CDTF">2016-07-08T10:03:00Z</dcterms:modified>
</cp:coreProperties>
</file>