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2B3" w:rsidP="71796CB3" w:rsidRDefault="002E32B3" w14:paraId="5C1FEB9F" w14:textId="6D4E2D51">
      <w:pPr>
        <w:pStyle w:val="Normal"/>
        <w:bidi w:val="0"/>
        <w:spacing w:before="0" w:beforeAutospacing="off" w:after="160" w:afterAutospacing="off" w:line="259" w:lineRule="auto"/>
        <w:ind w:left="0" w:right="0"/>
        <w:jc w:val="left"/>
        <w:rPr>
          <w:rFonts w:ascii="Arial" w:hAnsi="Arial" w:eastAsia="Arial" w:cs="Arial"/>
          <w:b w:val="1"/>
          <w:bCs w:val="1"/>
          <w:color w:val="18B78F"/>
          <w:sz w:val="32"/>
          <w:szCs w:val="32"/>
        </w:rPr>
      </w:pPr>
      <w:r w:rsidRPr="71796CB3" w:rsidR="002E32B3">
        <w:rPr>
          <w:rFonts w:ascii="Arial" w:hAnsi="Arial" w:eastAsia="Arial" w:cs="Arial"/>
          <w:b w:val="1"/>
          <w:bCs w:val="1"/>
          <w:color w:val="18B78F"/>
          <w:sz w:val="32"/>
          <w:szCs w:val="32"/>
        </w:rPr>
        <w:t>H</w:t>
      </w:r>
      <w:r w:rsidRPr="71796CB3" w:rsidR="43435FDF">
        <w:rPr>
          <w:rFonts w:ascii="Arial" w:hAnsi="Arial" w:eastAsia="Arial" w:cs="Arial"/>
          <w:b w:val="1"/>
          <w:bCs w:val="1"/>
          <w:color w:val="18B78F"/>
          <w:sz w:val="32"/>
          <w:szCs w:val="32"/>
        </w:rPr>
        <w:t>andout</w:t>
      </w:r>
      <w:r w:rsidRPr="71796CB3" w:rsidR="002E32B3">
        <w:rPr>
          <w:rFonts w:ascii="Arial" w:hAnsi="Arial" w:eastAsia="Arial" w:cs="Arial"/>
          <w:b w:val="1"/>
          <w:bCs w:val="1"/>
          <w:color w:val="18B78F"/>
          <w:sz w:val="32"/>
          <w:szCs w:val="32"/>
        </w:rPr>
        <w:t>: C</w:t>
      </w:r>
      <w:r w:rsidRPr="71796CB3" w:rsidR="7F63B7BA">
        <w:rPr>
          <w:rFonts w:ascii="Arial" w:hAnsi="Arial" w:eastAsia="Arial" w:cs="Arial"/>
          <w:b w:val="1"/>
          <w:bCs w:val="1"/>
          <w:color w:val="18B78F"/>
          <w:sz w:val="32"/>
          <w:szCs w:val="32"/>
        </w:rPr>
        <w:t>onsent of adult at risk</w:t>
      </w:r>
    </w:p>
    <w:tbl>
      <w:tblPr>
        <w:tblStyle w:val="PlainTable4"/>
        <w:tblW w:w="9120" w:type="dxa"/>
        <w:tblBorders/>
        <w:tblLook w:val="04A0" w:firstRow="1" w:lastRow="0" w:firstColumn="1" w:lastColumn="0" w:noHBand="0" w:noVBand="1"/>
      </w:tblPr>
      <w:tblGrid>
        <w:gridCol w:w="9120"/>
      </w:tblGrid>
      <w:tr w:rsidR="002E32B3" w:rsidTr="2EC4F040" w14:paraId="79343051" w14:textId="77777777">
        <w:tc>
          <w:tcPr>
            <w:cnfStyle w:val="001000000000" w:firstRow="0" w:lastRow="0" w:firstColumn="1" w:lastColumn="0" w:oddVBand="0" w:evenVBand="0" w:oddHBand="0" w:evenHBand="0" w:firstRowFirstColumn="0" w:firstRowLastColumn="0" w:lastRowFirstColumn="0" w:lastRowLastColumn="0"/>
            <w:tcW w:w="9120" w:type="dxa"/>
            <w:tcMar/>
          </w:tcPr>
          <w:p w:rsidRPr="00D95869" w:rsidR="002E32B3" w:rsidP="71796CB3" w:rsidRDefault="002E32B3" w14:paraId="14DE96E7" w14:textId="77777777">
            <w:pPr>
              <w:spacing w:after="120"/>
              <w:rPr>
                <w:rFonts w:ascii="Arial" w:hAnsi="Arial" w:eastAsia="Arial" w:cs="Arial"/>
                <w:b w:val="1"/>
                <w:bCs w:val="1"/>
                <w:color w:val="18B78F"/>
                <w:sz w:val="28"/>
                <w:szCs w:val="28"/>
              </w:rPr>
            </w:pPr>
            <w:r w:rsidRPr="71796CB3" w:rsidR="002E32B3">
              <w:rPr>
                <w:rFonts w:ascii="Arial" w:hAnsi="Arial" w:eastAsia="Arial" w:cs="Arial"/>
                <w:b w:val="1"/>
                <w:bCs w:val="1"/>
                <w:color w:val="18B78F"/>
                <w:sz w:val="28"/>
                <w:szCs w:val="28"/>
              </w:rPr>
              <w:t>Seeking consent to a report</w:t>
            </w:r>
          </w:p>
          <w:p w:rsidRPr="002E32B3" w:rsidR="002E32B3" w:rsidP="71796CB3" w:rsidRDefault="002E32B3" w14:paraId="125E77EE" w14:textId="08F85DC2">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The interests of the </w:t>
            </w:r>
            <w:hyperlink w:anchor="tooltip" r:id="R01f10ed112444909">
              <w:r w:rsidRPr="2EC4F040" w:rsidR="002E32B3">
                <w:rPr>
                  <w:rStyle w:val="Hyperlink"/>
                  <w:rFonts w:ascii="Arial" w:hAnsi="Arial" w:eastAsia="Arial" w:cs="Arial"/>
                  <w:b w:val="0"/>
                  <w:bCs w:val="0"/>
                  <w:color w:val="92D050"/>
                  <w:sz w:val="24"/>
                  <w:szCs w:val="24"/>
                </w:rPr>
                <w:t>adult at risk</w:t>
              </w:r>
            </w:hyperlink>
            <w:r w:rsidRPr="2EC4F040" w:rsidR="002E32B3">
              <w:rPr>
                <w:rFonts w:ascii="Arial" w:hAnsi="Arial" w:eastAsia="Arial" w:cs="Arial"/>
                <w:b w:val="0"/>
                <w:bCs w:val="0"/>
                <w:sz w:val="24"/>
                <w:szCs w:val="24"/>
              </w:rPr>
              <w:t> must be the overriding consideration in making any decisions whether to seek consent prior to making a report. </w:t>
            </w:r>
            <w:hyperlink w:anchor="tooltip" r:id="R5e6f4b0657d74ed2">
              <w:r w:rsidRPr="2EC4F040" w:rsidR="002E32B3">
                <w:rPr>
                  <w:rStyle w:val="Hyperlink"/>
                  <w:rFonts w:ascii="Arial" w:hAnsi="Arial" w:eastAsia="Arial" w:cs="Arial"/>
                  <w:b w:val="0"/>
                  <w:bCs w:val="0"/>
                  <w:color w:val="92D050"/>
                  <w:sz w:val="24"/>
                  <w:szCs w:val="24"/>
                </w:rPr>
                <w:t>Practitioners</w:t>
              </w:r>
            </w:hyperlink>
            <w:r w:rsidRPr="2EC4F040" w:rsidR="002E32B3">
              <w:rPr>
                <w:rFonts w:ascii="Arial" w:hAnsi="Arial" w:eastAsia="Arial" w:cs="Arial"/>
                <w:b w:val="0"/>
                <w:bCs w:val="0"/>
                <w:sz w:val="24"/>
                <w:szCs w:val="24"/>
              </w:rPr>
              <w:t xml:space="preserve">, however, should aim to seek consent from the adult where possible. </w:t>
            </w:r>
          </w:p>
          <w:p w:rsidRPr="002E32B3" w:rsidR="002E32B3" w:rsidP="71796CB3" w:rsidRDefault="002E32B3" w14:paraId="3A4FCA39" w14:textId="7A117D82">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The reasons for this are that it is more likely to:</w:t>
            </w:r>
          </w:p>
          <w:p w:rsidRPr="002E32B3" w:rsidR="002E32B3" w:rsidP="71796CB3" w:rsidRDefault="002E32B3" w14:paraId="220DD04A" w14:textId="0C640F47">
            <w:pPr>
              <w:numPr>
                <w:ilvl w:val="0"/>
                <w:numId w:val="10"/>
              </w:numPr>
              <w:tabs>
                <w:tab w:val="num" w:pos="720"/>
              </w:tabs>
              <w:spacing w:after="120"/>
              <w:rPr>
                <w:rFonts w:ascii="Arial" w:hAnsi="Arial" w:eastAsia="Arial" w:cs="Arial"/>
                <w:sz w:val="24"/>
                <w:szCs w:val="24"/>
              </w:rPr>
            </w:pPr>
            <w:r w:rsidRPr="2EC4F040" w:rsidR="002E32B3">
              <w:rPr>
                <w:rFonts w:ascii="Arial" w:hAnsi="Arial" w:eastAsia="Arial" w:cs="Arial"/>
                <w:b w:val="0"/>
                <w:bCs w:val="0"/>
                <w:sz w:val="24"/>
                <w:szCs w:val="24"/>
              </w:rPr>
              <w:t>lead to engagement in the </w:t>
            </w:r>
            <w:hyperlink w:anchor="tooltip" r:id="Rf5249e26fd5142fd">
              <w:r w:rsidRPr="2EC4F040" w:rsidR="002E32B3">
                <w:rPr>
                  <w:rStyle w:val="Hyperlink"/>
                  <w:rFonts w:ascii="Arial" w:hAnsi="Arial" w:eastAsia="Arial" w:cs="Arial"/>
                  <w:b w:val="0"/>
                  <w:bCs w:val="0"/>
                  <w:color w:val="92D050"/>
                  <w:sz w:val="24"/>
                  <w:szCs w:val="24"/>
                </w:rPr>
                <w:t>safeguarding</w:t>
              </w:r>
            </w:hyperlink>
            <w:r w:rsidRPr="2EC4F040" w:rsidR="002E32B3">
              <w:rPr>
                <w:rFonts w:ascii="Arial" w:hAnsi="Arial" w:eastAsia="Arial" w:cs="Arial"/>
                <w:b w:val="0"/>
                <w:bCs w:val="0"/>
                <w:sz w:val="24"/>
                <w:szCs w:val="24"/>
              </w:rPr>
              <w:t> process and to effective outcomes</w:t>
            </w:r>
          </w:p>
          <w:p w:rsidRPr="002E32B3" w:rsidR="002E32B3" w:rsidP="71796CB3" w:rsidRDefault="002E32B3" w14:paraId="06FC69B9" w14:textId="77777777">
            <w:pPr>
              <w:numPr>
                <w:ilvl w:val="0"/>
                <w:numId w:val="10"/>
              </w:numPr>
              <w:tabs>
                <w:tab w:val="num" w:pos="720"/>
              </w:tabs>
              <w:spacing w:after="120"/>
              <w:rPr>
                <w:rFonts w:ascii="Arial" w:hAnsi="Arial" w:eastAsia="Arial" w:cs="Arial"/>
                <w:sz w:val="24"/>
                <w:szCs w:val="24"/>
              </w:rPr>
            </w:pPr>
            <w:r w:rsidRPr="2EC4F040" w:rsidR="002E32B3">
              <w:rPr>
                <w:rFonts w:ascii="Arial" w:hAnsi="Arial" w:eastAsia="Arial" w:cs="Arial"/>
                <w:b w:val="0"/>
                <w:bCs w:val="0"/>
                <w:sz w:val="24"/>
                <w:szCs w:val="24"/>
              </w:rPr>
              <w:t>promote an effective working partnership with the adult.</w:t>
            </w:r>
          </w:p>
          <w:p w:rsidRPr="002E32B3" w:rsidR="002E32B3" w:rsidP="2EC4F040" w:rsidRDefault="002E32B3" w14:paraId="1C709296" w14:textId="4AE55D52">
            <w:pPr>
              <w:pStyle w:val="Normal"/>
              <w:spacing w:after="120"/>
              <w:rPr>
                <w:rFonts w:ascii="Arial" w:hAnsi="Arial" w:eastAsia="Arial" w:cs="Arial"/>
                <w:b w:val="0"/>
                <w:bCs w:val="0"/>
                <w:i w:val="0"/>
                <w:iCs w:val="0"/>
                <w:noProof w:val="0"/>
                <w:color w:val="86BC25"/>
                <w:sz w:val="24"/>
                <w:szCs w:val="24"/>
                <w:u w:val="single"/>
                <w:lang w:val="cy-GB"/>
              </w:rPr>
            </w:pPr>
            <w:r w:rsidRPr="2EC4F040" w:rsidR="002E32B3">
              <w:rPr>
                <w:rFonts w:ascii="Arial" w:hAnsi="Arial" w:eastAsia="Arial" w:cs="Arial"/>
                <w:b w:val="0"/>
                <w:bCs w:val="0"/>
                <w:sz w:val="24"/>
                <w:szCs w:val="24"/>
              </w:rPr>
              <w:t>It is important to engage adults in the process as early as possible to ensure their wishes and feelings are taken into consideration where possible and to avoid them becoming mere ‘objects of concern’.</w:t>
            </w:r>
            <w:r w:rsidRPr="2EC4F040" w:rsidR="7396C955">
              <w:rPr>
                <w:rFonts w:ascii="Arial" w:hAnsi="Arial" w:eastAsia="Arial" w:cs="Arial"/>
                <w:b w:val="0"/>
                <w:bCs w:val="0"/>
                <w:sz w:val="24"/>
                <w:szCs w:val="24"/>
              </w:rPr>
              <w:t xml:space="preserve"> </w:t>
            </w:r>
          </w:p>
          <w:p w:rsidRPr="002E32B3" w:rsidR="002E32B3" w:rsidP="71796CB3" w:rsidRDefault="002E32B3" w14:paraId="25B436B2" w14:textId="77777777">
            <w:pPr>
              <w:spacing w:after="120"/>
              <w:rPr>
                <w:rFonts w:ascii="Arial" w:hAnsi="Arial" w:eastAsia="Arial" w:cs="Arial"/>
                <w:b w:val="1"/>
                <w:bCs w:val="1"/>
                <w:sz w:val="24"/>
                <w:szCs w:val="24"/>
              </w:rPr>
            </w:pPr>
          </w:p>
          <w:p w:rsidRPr="00D95869" w:rsidR="002E32B3" w:rsidP="71796CB3" w:rsidRDefault="002E32B3" w14:paraId="0DA318F8" w14:textId="77777777">
            <w:pPr>
              <w:spacing w:after="120"/>
              <w:rPr>
                <w:rFonts w:ascii="Arial" w:hAnsi="Arial" w:eastAsia="Arial" w:cs="Arial"/>
                <w:b w:val="1"/>
                <w:bCs w:val="1"/>
                <w:color w:val="18B78F"/>
                <w:sz w:val="28"/>
                <w:szCs w:val="28"/>
              </w:rPr>
            </w:pPr>
            <w:r w:rsidRPr="71796CB3" w:rsidR="002E32B3">
              <w:rPr>
                <w:rFonts w:ascii="Arial" w:hAnsi="Arial" w:eastAsia="Arial" w:cs="Arial"/>
                <w:b w:val="1"/>
                <w:bCs w:val="1"/>
                <w:color w:val="18B78F"/>
                <w:sz w:val="28"/>
                <w:szCs w:val="28"/>
              </w:rPr>
              <w:t>Pointers for Practice: Seeking consent</w:t>
            </w:r>
          </w:p>
          <w:p w:rsidRPr="002E32B3" w:rsidR="002E32B3" w:rsidP="71796CB3" w:rsidRDefault="002E32B3" w14:paraId="67C2BFFF" w14:textId="10EB52E3">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Seeking consent for agencies to share information, when the intention is to make a report to social services, can be daunting. In a study completed by Horwath (2007)</w:t>
            </w:r>
            <w:r w:rsidRPr="2EC4F040" w:rsidR="494032CA">
              <w:rPr>
                <w:rFonts w:ascii="Arial" w:hAnsi="Arial" w:eastAsia="Arial" w:cs="Arial"/>
                <w:b w:val="0"/>
                <w:bCs w:val="0"/>
                <w:sz w:val="24"/>
                <w:szCs w:val="24"/>
              </w:rPr>
              <w:t>,</w:t>
            </w:r>
            <w:r w:rsidRPr="2EC4F040" w:rsidR="002E32B3">
              <w:rPr>
                <w:rFonts w:ascii="Arial" w:hAnsi="Arial" w:eastAsia="Arial" w:cs="Arial"/>
                <w:b w:val="0"/>
                <w:bCs w:val="0"/>
                <w:sz w:val="24"/>
                <w:szCs w:val="24"/>
              </w:rPr>
              <w:t xml:space="preserve"> practitioners from a diverse range of disciplines described how they were often anxious about the potential responses of families. They feared either fight responses such as aggression both physical and verbal or flight responses such as withdrawal from services.</w:t>
            </w:r>
          </w:p>
          <w:p w:rsidRPr="002E32B3" w:rsidR="002E32B3" w:rsidP="71796CB3" w:rsidRDefault="002E32B3" w14:paraId="354C7AE5" w14:textId="77777777">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The potential for negative responses is likely to be reduced if the practitioner seeking consent:</w:t>
            </w:r>
          </w:p>
          <w:p w:rsidRPr="002E32B3" w:rsidR="002E32B3" w:rsidP="71796CB3" w:rsidRDefault="002E32B3" w14:paraId="52137430" w14:textId="28C57E35">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explains why information needs to be shared and with whom (</w:t>
            </w:r>
            <w:r w:rsidRPr="2EC4F040" w:rsidR="649489A6">
              <w:rPr>
                <w:rFonts w:ascii="Arial" w:hAnsi="Arial" w:eastAsia="Arial" w:cs="Arial"/>
                <w:b w:val="0"/>
                <w:bCs w:val="0"/>
                <w:sz w:val="24"/>
                <w:szCs w:val="24"/>
              </w:rPr>
              <w:t>t</w:t>
            </w:r>
            <w:r w:rsidRPr="2EC4F040" w:rsidR="002E32B3">
              <w:rPr>
                <w:rFonts w:ascii="Arial" w:hAnsi="Arial" w:eastAsia="Arial" w:cs="Arial"/>
                <w:b w:val="0"/>
                <w:bCs w:val="0"/>
                <w:sz w:val="24"/>
                <w:szCs w:val="24"/>
              </w:rPr>
              <w:t>o comply with the law relating</w:t>
            </w:r>
            <w:r w:rsidRPr="2EC4F040" w:rsidR="016B9365">
              <w:rPr>
                <w:rFonts w:ascii="Arial" w:hAnsi="Arial" w:eastAsia="Arial" w:cs="Arial"/>
                <w:b w:val="0"/>
                <w:bCs w:val="0"/>
                <w:sz w:val="24"/>
                <w:szCs w:val="24"/>
              </w:rPr>
              <w:t xml:space="preserve"> </w:t>
            </w:r>
            <w:r w:rsidRPr="2EC4F040" w:rsidR="002E32B3">
              <w:rPr>
                <w:rFonts w:ascii="Arial" w:hAnsi="Arial" w:eastAsia="Arial" w:cs="Arial"/>
                <w:b w:val="0"/>
                <w:bCs w:val="0"/>
                <w:sz w:val="24"/>
                <w:szCs w:val="24"/>
              </w:rPr>
              <w:t>to</w:t>
            </w:r>
            <w:r w:rsidRPr="2EC4F040" w:rsidR="72269C94">
              <w:rPr>
                <w:rFonts w:ascii="Arial" w:hAnsi="Arial" w:eastAsia="Arial" w:cs="Arial"/>
                <w:b w:val="0"/>
                <w:bCs w:val="0"/>
                <w:sz w:val="24"/>
                <w:szCs w:val="24"/>
              </w:rPr>
              <w:t xml:space="preserve"> </w:t>
            </w:r>
            <w:r w:rsidRPr="2EC4F040" w:rsidR="002E32B3">
              <w:rPr>
                <w:rFonts w:ascii="Arial" w:hAnsi="Arial" w:eastAsia="Arial" w:cs="Arial"/>
                <w:b w:val="0"/>
                <w:bCs w:val="0"/>
                <w:sz w:val="24"/>
                <w:szCs w:val="24"/>
              </w:rPr>
              <w:t>confidentiality, data protection and human rights, practitioners should be able to explain the legitimate purpose for sharing information)</w:t>
            </w:r>
          </w:p>
          <w:p w:rsidRPr="002E32B3" w:rsidR="002E32B3" w:rsidP="71796CB3" w:rsidRDefault="002E32B3" w14:paraId="4F5D3CD7" w14:textId="6F80B97D">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 xml:space="preserve">checks any </w:t>
            </w:r>
            <w:proofErr w:type="gramStart"/>
            <w:r w:rsidRPr="2EC4F040" w:rsidR="002E32B3">
              <w:rPr>
                <w:rFonts w:ascii="Arial" w:hAnsi="Arial" w:eastAsia="Arial" w:cs="Arial"/>
                <w:b w:val="0"/>
                <w:bCs w:val="0"/>
                <w:sz w:val="24"/>
                <w:szCs w:val="24"/>
              </w:rPr>
              <w:t>factual information</w:t>
            </w:r>
            <w:proofErr w:type="gramEnd"/>
            <w:r w:rsidRPr="2EC4F040" w:rsidR="002E32B3">
              <w:rPr>
                <w:rFonts w:ascii="Arial" w:hAnsi="Arial" w:eastAsia="Arial" w:cs="Arial"/>
                <w:b w:val="0"/>
                <w:bCs w:val="0"/>
                <w:sz w:val="24"/>
                <w:szCs w:val="24"/>
              </w:rPr>
              <w:t xml:space="preserve"> is accurate and </w:t>
            </w:r>
            <w:proofErr w:type="gramStart"/>
            <w:r w:rsidRPr="2EC4F040" w:rsidR="002E32B3">
              <w:rPr>
                <w:rFonts w:ascii="Arial" w:hAnsi="Arial" w:eastAsia="Arial" w:cs="Arial"/>
                <w:b w:val="0"/>
                <w:bCs w:val="0"/>
                <w:sz w:val="24"/>
                <w:szCs w:val="24"/>
              </w:rPr>
              <w:t>up-to-date</w:t>
            </w:r>
            <w:proofErr w:type="gramEnd"/>
            <w:r w:rsidRPr="2EC4F040" w:rsidR="002E32B3">
              <w:rPr>
                <w:rFonts w:ascii="Arial" w:hAnsi="Arial" w:eastAsia="Arial" w:cs="Arial"/>
                <w:b w:val="0"/>
                <w:bCs w:val="0"/>
                <w:sz w:val="24"/>
                <w:szCs w:val="24"/>
              </w:rPr>
              <w:t>, such as names, birth dates</w:t>
            </w:r>
          </w:p>
          <w:p w:rsidRPr="002E32B3" w:rsidR="002E32B3" w:rsidP="71796CB3" w:rsidRDefault="002E32B3" w14:paraId="46F3D10F" w14:textId="31F81349">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ensures the information is proportionate for the purpose</w:t>
            </w:r>
          </w:p>
          <w:p w:rsidRPr="002E32B3" w:rsidR="002E32B3" w:rsidP="71796CB3" w:rsidRDefault="002E32B3" w14:paraId="12A7F4D5" w14:textId="73CFF1F2">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clarifies how the information will be used</w:t>
            </w:r>
          </w:p>
          <w:p w:rsidRPr="002E32B3" w:rsidR="002E32B3" w:rsidP="71796CB3" w:rsidRDefault="002E32B3" w14:paraId="506854B0" w14:textId="10E5B48B">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specifies how it will be shared and how it will be stored securely</w:t>
            </w:r>
          </w:p>
          <w:p w:rsidRPr="002E32B3" w:rsidR="002E32B3" w:rsidP="71796CB3" w:rsidRDefault="002E32B3" w14:paraId="4D85BE73" w14:textId="5FB8F9B7">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outlines the implications of not giving consent</w:t>
            </w:r>
          </w:p>
          <w:p w:rsidRPr="002E32B3" w:rsidR="002E32B3" w:rsidP="71796CB3" w:rsidRDefault="002E32B3" w14:paraId="1EE82BCE" w14:textId="77777777">
            <w:pPr>
              <w:pStyle w:val="ListParagraph"/>
              <w:numPr>
                <w:ilvl w:val="0"/>
                <w:numId w:val="11"/>
              </w:numPr>
              <w:spacing w:after="120"/>
              <w:rPr>
                <w:rFonts w:ascii="Arial" w:hAnsi="Arial" w:eastAsia="Arial" w:cs="Arial"/>
                <w:sz w:val="24"/>
                <w:szCs w:val="24"/>
              </w:rPr>
            </w:pPr>
            <w:r w:rsidRPr="2EC4F040" w:rsidR="002E32B3">
              <w:rPr>
                <w:rFonts w:ascii="Arial" w:hAnsi="Arial" w:eastAsia="Arial" w:cs="Arial"/>
                <w:b w:val="0"/>
                <w:bCs w:val="0"/>
                <w:sz w:val="24"/>
                <w:szCs w:val="24"/>
              </w:rPr>
              <w:t>explains next steps.</w:t>
            </w:r>
          </w:p>
          <w:p w:rsidRPr="002E32B3" w:rsidR="002E32B3" w:rsidP="71796CB3" w:rsidRDefault="002E32B3" w14:paraId="4BE53223" w14:textId="77777777">
            <w:pPr>
              <w:spacing w:after="120"/>
              <w:rPr>
                <w:rFonts w:ascii="Arial" w:hAnsi="Arial" w:eastAsia="Arial" w:cs="Arial"/>
                <w:sz w:val="24"/>
                <w:szCs w:val="24"/>
              </w:rPr>
            </w:pPr>
          </w:p>
          <w:p w:rsidRPr="00D95869" w:rsidR="002E32B3" w:rsidP="71796CB3" w:rsidRDefault="002E32B3" w14:paraId="39E6E17C" w14:textId="77777777">
            <w:pPr>
              <w:spacing w:after="120"/>
              <w:rPr>
                <w:rFonts w:ascii="Arial" w:hAnsi="Arial" w:eastAsia="Arial" w:cs="Arial"/>
                <w:b w:val="1"/>
                <w:bCs w:val="1"/>
                <w:color w:val="18B78F"/>
                <w:sz w:val="28"/>
                <w:szCs w:val="28"/>
              </w:rPr>
            </w:pPr>
            <w:r w:rsidRPr="71796CB3" w:rsidR="002E32B3">
              <w:rPr>
                <w:rFonts w:ascii="Arial" w:hAnsi="Arial" w:eastAsia="Arial" w:cs="Arial"/>
                <w:b w:val="1"/>
                <w:bCs w:val="1"/>
                <w:color w:val="18B78F"/>
                <w:sz w:val="28"/>
                <w:szCs w:val="28"/>
              </w:rPr>
              <w:t>Making a report without consent</w:t>
            </w:r>
          </w:p>
          <w:p w:rsidRPr="002E32B3" w:rsidR="002E32B3" w:rsidP="71796CB3" w:rsidRDefault="002E32B3" w14:paraId="69652464" w14:textId="1799B99C">
            <w:pPr>
              <w:spacing w:after="120" w:line="240" w:lineRule="auto"/>
              <w:rPr>
                <w:rFonts w:ascii="Arial" w:hAnsi="Arial" w:eastAsia="Arial" w:cs="Arial"/>
                <w:b w:val="0"/>
                <w:bCs w:val="0"/>
                <w:sz w:val="24"/>
                <w:szCs w:val="24"/>
              </w:rPr>
            </w:pPr>
            <w:r w:rsidRPr="2EC4F040" w:rsidR="002E32B3">
              <w:rPr>
                <w:rFonts w:ascii="Arial" w:hAnsi="Arial" w:eastAsia="Arial" w:cs="Arial"/>
                <w:b w:val="0"/>
                <w:bCs w:val="0"/>
                <w:sz w:val="24"/>
                <w:szCs w:val="24"/>
              </w:rPr>
              <w:t>The adult at risk is sometimes the only source of information about what has happened to them. Where a decision is made not to seek consent relevant circumstances for this decision must be recorded and could include:</w:t>
            </w:r>
          </w:p>
          <w:p w:rsidRPr="002E32B3" w:rsidR="002E32B3" w:rsidP="71796CB3" w:rsidRDefault="002E32B3" w14:paraId="68320211" w14:textId="54850173">
            <w:pPr>
              <w:numPr>
                <w:ilvl w:val="0"/>
                <w:numId w:val="14"/>
              </w:numPr>
              <w:tabs>
                <w:tab w:val="num" w:pos="720"/>
              </w:tabs>
              <w:spacing w:after="120" w:line="240" w:lineRule="auto"/>
              <w:rPr>
                <w:rFonts w:ascii="Arial" w:hAnsi="Arial" w:eastAsia="Arial" w:cs="Arial"/>
                <w:sz w:val="24"/>
                <w:szCs w:val="24"/>
              </w:rPr>
            </w:pPr>
            <w:r w:rsidRPr="2EC4F040" w:rsidR="002E32B3">
              <w:rPr>
                <w:rFonts w:ascii="Arial" w:hAnsi="Arial" w:eastAsia="Arial" w:cs="Arial"/>
                <w:b w:val="0"/>
                <w:bCs w:val="0"/>
                <w:sz w:val="24"/>
                <w:szCs w:val="24"/>
              </w:rPr>
              <w:t>the possibility that the adult would be put at further risk</w:t>
            </w:r>
          </w:p>
          <w:p w:rsidRPr="002E32B3" w:rsidR="002E32B3" w:rsidP="71796CB3" w:rsidRDefault="002E32B3" w14:paraId="61863C09" w14:textId="06E0A15D">
            <w:pPr>
              <w:numPr>
                <w:ilvl w:val="0"/>
                <w:numId w:val="14"/>
              </w:numPr>
              <w:tabs>
                <w:tab w:val="num" w:pos="720"/>
              </w:tabs>
              <w:spacing w:after="120" w:line="240" w:lineRule="auto"/>
              <w:rPr>
                <w:rFonts w:ascii="Arial" w:hAnsi="Arial" w:eastAsia="Arial" w:cs="Arial"/>
                <w:sz w:val="24"/>
                <w:szCs w:val="24"/>
              </w:rPr>
            </w:pPr>
            <w:r w:rsidRPr="2EC4F040" w:rsidR="002E32B3">
              <w:rPr>
                <w:rFonts w:ascii="Arial" w:hAnsi="Arial" w:eastAsia="Arial" w:cs="Arial"/>
                <w:b w:val="0"/>
                <w:bCs w:val="0"/>
                <w:sz w:val="24"/>
                <w:szCs w:val="24"/>
              </w:rPr>
              <w:t>the possibility that an adult would be threatened or otherwise coerced into silence</w:t>
            </w:r>
          </w:p>
          <w:p w:rsidRPr="002E32B3" w:rsidR="002E32B3" w:rsidP="71796CB3" w:rsidRDefault="002E32B3" w14:paraId="75BA1AC1" w14:textId="4B26585B">
            <w:pPr>
              <w:numPr>
                <w:ilvl w:val="0"/>
                <w:numId w:val="14"/>
              </w:numPr>
              <w:tabs>
                <w:tab w:val="num" w:pos="720"/>
              </w:tabs>
              <w:spacing w:after="120" w:line="240" w:lineRule="auto"/>
              <w:rPr>
                <w:rFonts w:ascii="Arial" w:hAnsi="Arial" w:eastAsia="Arial" w:cs="Arial"/>
                <w:sz w:val="24"/>
                <w:szCs w:val="24"/>
              </w:rPr>
            </w:pPr>
            <w:r w:rsidRPr="2EC4F040" w:rsidR="002E32B3">
              <w:rPr>
                <w:rFonts w:ascii="Arial" w:hAnsi="Arial" w:eastAsia="Arial" w:cs="Arial"/>
                <w:b w:val="0"/>
                <w:bCs w:val="0"/>
                <w:sz w:val="24"/>
                <w:szCs w:val="24"/>
              </w:rPr>
              <w:t>a strong likelihood that important evidence would be destroyed/lost</w:t>
            </w:r>
          </w:p>
          <w:p w:rsidRPr="002E32B3" w:rsidR="002E32B3" w:rsidP="71796CB3" w:rsidRDefault="002E32B3" w14:paraId="7FA1571E" w14:textId="74EC8957">
            <w:pPr>
              <w:numPr>
                <w:ilvl w:val="0"/>
                <w:numId w:val="14"/>
              </w:numPr>
              <w:tabs>
                <w:tab w:val="num" w:pos="720"/>
              </w:tabs>
              <w:spacing w:after="120" w:line="240" w:lineRule="auto"/>
              <w:rPr>
                <w:rFonts w:ascii="Arial" w:hAnsi="Arial" w:eastAsia="Arial" w:cs="Arial"/>
                <w:sz w:val="24"/>
                <w:szCs w:val="24"/>
              </w:rPr>
            </w:pPr>
            <w:r w:rsidRPr="2EC4F040" w:rsidR="002E32B3">
              <w:rPr>
                <w:rFonts w:ascii="Arial" w:hAnsi="Arial" w:eastAsia="Arial" w:cs="Arial"/>
                <w:b w:val="0"/>
                <w:bCs w:val="0"/>
                <w:sz w:val="24"/>
                <w:szCs w:val="24"/>
              </w:rPr>
              <w:t>if a carer or family member is identified as the alleged abuser</w:t>
            </w:r>
            <w:r w:rsidRPr="2EC4F040" w:rsidR="37196EFE">
              <w:rPr>
                <w:rFonts w:ascii="Arial" w:hAnsi="Arial" w:eastAsia="Arial" w:cs="Arial"/>
                <w:b w:val="0"/>
                <w:bCs w:val="0"/>
                <w:sz w:val="24"/>
                <w:szCs w:val="24"/>
              </w:rPr>
              <w:t>.</w:t>
            </w:r>
          </w:p>
          <w:p w:rsidR="71796CB3" w:rsidP="71796CB3" w:rsidRDefault="71796CB3" w14:paraId="1DEE8831" w14:textId="5C700467">
            <w:pPr>
              <w:pStyle w:val="Normal"/>
              <w:spacing w:after="120" w:line="240" w:lineRule="auto"/>
              <w:ind w:left="0"/>
              <w:rPr>
                <w:rFonts w:ascii="Arial" w:hAnsi="Arial" w:eastAsia="Arial" w:cs="Arial"/>
                <w:b w:val="0"/>
                <w:bCs w:val="0"/>
                <w:sz w:val="24"/>
                <w:szCs w:val="24"/>
              </w:rPr>
            </w:pPr>
          </w:p>
          <w:p w:rsidRPr="002E32B3" w:rsidR="002E32B3" w:rsidP="71796CB3" w:rsidRDefault="002E32B3" w14:paraId="2071918E" w14:textId="77777777">
            <w:pPr>
              <w:spacing w:after="120" w:line="240" w:lineRule="auto"/>
              <w:rPr>
                <w:rFonts w:ascii="Arial" w:hAnsi="Arial" w:eastAsia="Arial" w:cs="Arial"/>
                <w:b w:val="0"/>
                <w:bCs w:val="0"/>
                <w:sz w:val="24"/>
                <w:szCs w:val="24"/>
              </w:rPr>
            </w:pPr>
            <w:r w:rsidRPr="2EC4F040" w:rsidR="002E32B3">
              <w:rPr>
                <w:rFonts w:ascii="Arial" w:hAnsi="Arial" w:eastAsia="Arial" w:cs="Arial"/>
                <w:b w:val="0"/>
                <w:bCs w:val="0"/>
                <w:sz w:val="24"/>
                <w:szCs w:val="24"/>
              </w:rPr>
              <w:t>Practitioners should discuss whether it is appropriate to seek consent from the adult with their agency's </w:t>
            </w:r>
            <w:hyperlink w:anchor="tooltip" r:id="Rc89aec8e7bb84aa3">
              <w:r w:rsidRPr="2EC4F040" w:rsidR="002E32B3">
                <w:rPr>
                  <w:rStyle w:val="Hyperlink"/>
                  <w:rFonts w:ascii="Arial" w:hAnsi="Arial" w:eastAsia="Arial" w:cs="Arial"/>
                  <w:b w:val="0"/>
                  <w:bCs w:val="0"/>
                  <w:color w:val="92D050"/>
                  <w:sz w:val="24"/>
                  <w:szCs w:val="24"/>
                </w:rPr>
                <w:t>designated safeguarding person</w:t>
              </w:r>
            </w:hyperlink>
            <w:r w:rsidRPr="2EC4F040" w:rsidR="002E32B3">
              <w:rPr>
                <w:rFonts w:ascii="Arial" w:hAnsi="Arial" w:eastAsia="Arial" w:cs="Arial"/>
                <w:b w:val="0"/>
                <w:bCs w:val="0"/>
                <w:sz w:val="24"/>
                <w:szCs w:val="24"/>
              </w:rPr>
              <w:t>. (See local procedures for further information).</w:t>
            </w:r>
          </w:p>
          <w:p w:rsidRPr="002E32B3" w:rsidR="002E32B3" w:rsidP="71796CB3" w:rsidRDefault="002E32B3" w14:paraId="3FE9BC5E" w14:textId="77777777">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If, having taken account of the adult’s wishes, it is still considered that there is a need for a report their wishes may be over-ridden. In this situation:</w:t>
            </w:r>
          </w:p>
          <w:p w:rsidRPr="002E32B3" w:rsidR="002E32B3" w:rsidP="71796CB3" w:rsidRDefault="002E32B3" w14:paraId="04EC3C71" w14:textId="0F2751DA">
            <w:pPr>
              <w:numPr>
                <w:ilvl w:val="0"/>
                <w:numId w:val="15"/>
              </w:numPr>
              <w:tabs>
                <w:tab w:val="num" w:pos="720"/>
              </w:tabs>
              <w:spacing w:after="120"/>
              <w:rPr>
                <w:rFonts w:ascii="Arial" w:hAnsi="Arial" w:eastAsia="Arial" w:cs="Arial"/>
                <w:sz w:val="24"/>
                <w:szCs w:val="24"/>
              </w:rPr>
            </w:pPr>
            <w:r w:rsidRPr="2EC4F040" w:rsidR="002E32B3">
              <w:rPr>
                <w:rFonts w:ascii="Arial" w:hAnsi="Arial" w:eastAsia="Arial" w:cs="Arial"/>
                <w:b w:val="0"/>
                <w:bCs w:val="0"/>
                <w:sz w:val="24"/>
                <w:szCs w:val="24"/>
              </w:rPr>
              <w:t>the reason for proceeding without consent must be recorded</w:t>
            </w:r>
          </w:p>
          <w:p w:rsidRPr="002E32B3" w:rsidR="002E32B3" w:rsidP="71796CB3" w:rsidRDefault="002E32B3" w14:paraId="75D769CE" w14:textId="67F9EEB3">
            <w:pPr>
              <w:numPr>
                <w:ilvl w:val="0"/>
                <w:numId w:val="15"/>
              </w:numPr>
              <w:tabs>
                <w:tab w:val="num" w:pos="720"/>
              </w:tabs>
              <w:spacing w:after="120"/>
              <w:rPr>
                <w:rFonts w:ascii="Arial" w:hAnsi="Arial" w:eastAsia="Arial" w:cs="Arial"/>
                <w:sz w:val="24"/>
                <w:szCs w:val="24"/>
              </w:rPr>
            </w:pPr>
            <w:r w:rsidRPr="2EC4F040" w:rsidR="002E32B3">
              <w:rPr>
                <w:rFonts w:ascii="Arial" w:hAnsi="Arial" w:eastAsia="Arial" w:cs="Arial"/>
                <w:b w:val="0"/>
                <w:bCs w:val="0"/>
                <w:sz w:val="24"/>
                <w:szCs w:val="24"/>
              </w:rPr>
              <w:t>social services should be informed that the adult has not given their permission</w:t>
            </w:r>
          </w:p>
          <w:p w:rsidRPr="002E32B3" w:rsidR="002E32B3" w:rsidP="71796CB3" w:rsidRDefault="002E32B3" w14:paraId="6402EADC" w14:textId="77777777">
            <w:pPr>
              <w:numPr>
                <w:ilvl w:val="0"/>
                <w:numId w:val="15"/>
              </w:numPr>
              <w:tabs>
                <w:tab w:val="num" w:pos="720"/>
              </w:tabs>
              <w:spacing w:after="120"/>
              <w:rPr>
                <w:rFonts w:ascii="Arial" w:hAnsi="Arial" w:eastAsia="Arial" w:cs="Arial"/>
                <w:sz w:val="24"/>
                <w:szCs w:val="24"/>
              </w:rPr>
            </w:pPr>
            <w:r w:rsidRPr="2EC4F040" w:rsidR="002E32B3">
              <w:rPr>
                <w:rFonts w:ascii="Arial" w:hAnsi="Arial" w:eastAsia="Arial" w:cs="Arial"/>
                <w:b w:val="0"/>
                <w:bCs w:val="0"/>
                <w:sz w:val="24"/>
                <w:szCs w:val="24"/>
              </w:rPr>
              <w:t>the adult should be informed by the referrer that a report has been made despite their wishes.</w:t>
            </w:r>
          </w:p>
          <w:p w:rsidR="71796CB3" w:rsidP="71796CB3" w:rsidRDefault="71796CB3" w14:paraId="0FFC4BF6" w14:textId="251BE4E0">
            <w:pPr>
              <w:pStyle w:val="Normal"/>
              <w:spacing w:after="120"/>
              <w:ind w:left="0"/>
              <w:rPr>
                <w:rFonts w:ascii="Arial" w:hAnsi="Arial" w:eastAsia="Arial" w:cs="Arial"/>
                <w:b w:val="0"/>
                <w:bCs w:val="0"/>
                <w:sz w:val="24"/>
                <w:szCs w:val="24"/>
              </w:rPr>
            </w:pPr>
          </w:p>
          <w:p w:rsidRPr="002E32B3" w:rsidR="002E32B3" w:rsidP="71796CB3" w:rsidRDefault="002E32B3" w14:paraId="5EF8F0D5" w14:textId="39460C8E">
            <w:pPr>
              <w:spacing w:after="120"/>
              <w:rPr>
                <w:rFonts w:ascii="Arial" w:hAnsi="Arial" w:eastAsia="Arial" w:cs="Arial"/>
                <w:b w:val="0"/>
                <w:bCs w:val="0"/>
                <w:sz w:val="24"/>
                <w:szCs w:val="24"/>
              </w:rPr>
            </w:pPr>
            <w:r w:rsidRPr="2EC4F040" w:rsidR="002E32B3">
              <w:rPr>
                <w:rFonts w:ascii="Arial" w:hAnsi="Arial" w:eastAsia="Arial" w:cs="Arial"/>
                <w:b w:val="0"/>
                <w:bCs w:val="0"/>
                <w:sz w:val="24"/>
                <w:szCs w:val="24"/>
              </w:rPr>
              <w:t>The General Data Protection Regulation (GDPR)</w:t>
            </w:r>
            <w:r w:rsidRPr="2EC4F040" w:rsidR="002E32B3">
              <w:rPr>
                <w:rFonts w:ascii="Arial" w:hAnsi="Arial" w:eastAsia="Arial" w:cs="Arial"/>
                <w:b w:val="0"/>
                <w:bCs w:val="0"/>
                <w:sz w:val="24"/>
                <w:szCs w:val="24"/>
              </w:rPr>
              <w:t> gives individuals greater control over their own personal data. But it does not prevent agencies sharing information when there are concerns about an adult at risk.</w:t>
            </w:r>
          </w:p>
          <w:p w:rsidRPr="002E32B3" w:rsidR="002E32B3" w:rsidP="71796CB3" w:rsidRDefault="002E32B3" w14:paraId="0F3BFF56" w14:textId="77777777">
            <w:pPr>
              <w:spacing w:after="120"/>
              <w:rPr>
                <w:rFonts w:ascii="Arial" w:hAnsi="Arial" w:eastAsia="Arial" w:cs="Arial"/>
                <w:sz w:val="24"/>
                <w:szCs w:val="24"/>
              </w:rPr>
            </w:pPr>
          </w:p>
        </w:tc>
      </w:tr>
    </w:tbl>
    <w:p w:rsidR="00EA4545" w:rsidRDefault="00EA4545" w14:paraId="622E7B33" w14:textId="77777777"/>
    <w:p w:rsidR="002E32B3" w:rsidRDefault="002E32B3" w14:paraId="2C394366" w14:textId="77777777"/>
    <w:p w:rsidR="002E32B3" w:rsidRDefault="002E32B3" w14:paraId="2BDB5ACD" w14:textId="77777777"/>
    <w:sectPr w:rsidR="002E32B3">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869" w:rsidP="00D95869" w:rsidRDefault="00D95869" w14:paraId="1174F927" w14:textId="77777777">
      <w:pPr>
        <w:spacing w:after="0" w:line="240" w:lineRule="auto"/>
      </w:pPr>
      <w:r>
        <w:separator/>
      </w:r>
    </w:p>
  </w:endnote>
  <w:endnote w:type="continuationSeparator" w:id="0">
    <w:p w:rsidR="00D95869" w:rsidP="00D95869" w:rsidRDefault="00D95869" w14:paraId="2E969E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869" w:rsidP="00D95869" w:rsidRDefault="00D95869" w14:paraId="2942DA4B" w14:textId="77777777">
      <w:pPr>
        <w:spacing w:after="0" w:line="240" w:lineRule="auto"/>
      </w:pPr>
      <w:r>
        <w:separator/>
      </w:r>
    </w:p>
  </w:footnote>
  <w:footnote w:type="continuationSeparator" w:id="0">
    <w:p w:rsidR="00D95869" w:rsidP="00D95869" w:rsidRDefault="00D95869" w14:paraId="618CEE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95869" w:rsidRDefault="00D95869" w14:paraId="359C94B8" w14:textId="7DD5B395">
    <w:pPr>
      <w:pStyle w:val="Header"/>
    </w:pPr>
    <w:r>
      <w:rPr>
        <w:noProof/>
      </w:rPr>
      <w:drawing>
        <wp:anchor distT="0" distB="0" distL="114300" distR="114300" simplePos="0" relativeHeight="251659264" behindDoc="0" locked="0" layoutInCell="1" allowOverlap="1" wp14:anchorId="0A574DEC" wp14:editId="33A55791">
          <wp:simplePos x="0" y="0"/>
          <wp:positionH relativeFrom="column">
            <wp:posOffset>1727200</wp:posOffset>
          </wp:positionH>
          <wp:positionV relativeFrom="paragraph">
            <wp:posOffset>-229235</wp:posOffset>
          </wp:positionV>
          <wp:extent cx="2286000" cy="603250"/>
          <wp:effectExtent l="0" t="0" r="0" b="0"/>
          <wp:wrapSquare wrapText="bothSides"/>
          <wp:docPr id="21" name="Picture 2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71796CB3">
      <w:rPr/>
      <w:t/>
    </w:r>
    <w:r w:rsidR="2EC4F04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710"/>
    <w:multiLevelType w:val="multilevel"/>
    <w:tmpl w:val="3ABA3D8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 w15:restartNumberingAfterBreak="0">
    <w:nsid w:val="115F2BD7"/>
    <w:multiLevelType w:val="multilevel"/>
    <w:tmpl w:val="17BC0FBA"/>
    <w:lvl w:ilvl="0">
      <w:start w:val="1"/>
      <w:numFmt w:val="bullet"/>
      <w:lvlText w:val=""/>
      <w:lvlJc w:val="left"/>
      <w:pPr>
        <w:ind w:left="360" w:hanging="360"/>
      </w:pPr>
      <w:rPr>
        <w:rFonts w:hint="default" w:ascii="Symbol" w:hAnsi="Symbol" w:cs="Symbol"/>
        <w:color w:val="16B68F"/>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17443978"/>
    <w:multiLevelType w:val="hybridMultilevel"/>
    <w:tmpl w:val="E8D4AF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252A1A"/>
    <w:multiLevelType w:val="multilevel"/>
    <w:tmpl w:val="E94EE70E"/>
    <w:lvl w:ilvl="0" w:tplc="761C9640">
      <w:start w:val="1"/>
      <w:numFmt w:val="bullet"/>
      <w:lvlText w:val=""/>
      <w:lvlJc w:val="left"/>
      <w:pPr>
        <w:ind w:left="360" w:hanging="360"/>
      </w:pPr>
      <w:rPr>
        <w:rFonts w:hint="default" w:ascii="Symbol" w:hAnsi="Symbol" w:cs="Symbol"/>
        <w:color w:val="16B68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01D76AA"/>
    <w:multiLevelType w:val="hybridMultilevel"/>
    <w:tmpl w:val="678CE80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39AD5D3F"/>
    <w:multiLevelType w:val="multilevel"/>
    <w:tmpl w:val="FF620A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AE116CD"/>
    <w:multiLevelType w:val="hybridMultilevel"/>
    <w:tmpl w:val="EB1AC8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EA635A9"/>
    <w:multiLevelType w:val="multilevel"/>
    <w:tmpl w:val="C178A09E"/>
    <w:lvl w:ilvl="0" w:tplc="761C9640">
      <w:start w:val="1"/>
      <w:numFmt w:val="bullet"/>
      <w:lvlText w:val=""/>
      <w:lvlJc w:val="left"/>
      <w:pPr>
        <w:ind w:left="360" w:hanging="360"/>
      </w:pPr>
      <w:rPr>
        <w:rFonts w:hint="default" w:ascii="Symbol" w:hAnsi="Symbol" w:cs="Symbol"/>
        <w:color w:val="16B68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4786939"/>
    <w:multiLevelType w:val="multilevel"/>
    <w:tmpl w:val="EE3065D6"/>
    <w:lvl w:ilvl="0" w:tplc="761C9640">
      <w:start w:val="1"/>
      <w:numFmt w:val="bullet"/>
      <w:lvlText w:val=""/>
      <w:lvlJc w:val="left"/>
      <w:pPr>
        <w:ind w:left="360" w:hanging="360"/>
      </w:pPr>
      <w:rPr>
        <w:rFonts w:hint="default" w:ascii="Symbol" w:hAnsi="Symbol" w:cs="Symbol"/>
        <w:color w:val="16B68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9" w15:restartNumberingAfterBreak="0">
    <w:nsid w:val="481F1126"/>
    <w:multiLevelType w:val="hybridMultilevel"/>
    <w:tmpl w:val="1494B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C1D4B8F"/>
    <w:multiLevelType w:val="multilevel"/>
    <w:tmpl w:val="F64A3958"/>
    <w:lvl w:ilvl="0">
      <w:start w:val="1"/>
      <w:numFmt w:val="bullet"/>
      <w:lvlText w:val=""/>
      <w:lvlJc w:val="left"/>
      <w:pPr>
        <w:ind w:left="360" w:hanging="360"/>
      </w:pPr>
      <w:rPr>
        <w:rFonts w:hint="default" w:ascii="Symbol" w:hAnsi="Symbol" w:cs="Symbol"/>
        <w:color w:val="16B68F"/>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53174DBC"/>
    <w:multiLevelType w:val="multilevel"/>
    <w:tmpl w:val="E1A872D4"/>
    <w:lvl w:ilvl="0" w:tplc="761C9640">
      <w:start w:val="1"/>
      <w:numFmt w:val="bullet"/>
      <w:lvlText w:val=""/>
      <w:lvlJc w:val="left"/>
      <w:pPr>
        <w:ind w:left="360" w:hanging="360"/>
      </w:pPr>
      <w:rPr>
        <w:rFonts w:hint="default" w:ascii="Symbol" w:hAnsi="Symbol" w:cs="Symbol"/>
        <w:color w:val="16B68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7786F91"/>
    <w:multiLevelType w:val="hybridMultilevel"/>
    <w:tmpl w:val="A23EBFB4"/>
    <w:lvl w:ilvl="0" w:tplc="761C9640">
      <w:start w:val="1"/>
      <w:numFmt w:val="bullet"/>
      <w:lvlText w:val=""/>
      <w:lvlJc w:val="left"/>
      <w:pPr>
        <w:ind w:left="360" w:hanging="360"/>
      </w:pPr>
      <w:rPr>
        <w:rFonts w:hint="default" w:ascii="Symbol" w:hAnsi="Symbol" w:cs="Symbol"/>
        <w:color w:val="16B68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5E26C4"/>
    <w:multiLevelType w:val="hybridMultilevel"/>
    <w:tmpl w:val="BD2E0F60"/>
    <w:lvl w:ilvl="0">
      <w:start w:val="1"/>
      <w:numFmt w:val="bullet"/>
      <w:lvlText w:val=""/>
      <w:lvlJc w:val="left"/>
      <w:pPr>
        <w:ind w:left="360" w:hanging="360"/>
      </w:pPr>
      <w:rPr>
        <w:rFonts w:hint="default" w:ascii="Symbol" w:hAnsi="Symbol" w:cs="Symbol"/>
        <w:color w:val="16B68F"/>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61E7322A"/>
    <w:multiLevelType w:val="hybridMultilevel"/>
    <w:tmpl w:val="7BFE52E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5" w15:restartNumberingAfterBreak="0">
    <w:nsid w:val="644C110D"/>
    <w:multiLevelType w:val="hybridMultilevel"/>
    <w:tmpl w:val="801E67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9"/>
  </w:num>
  <w:num w:numId="3">
    <w:abstractNumId w:val="14"/>
  </w:num>
  <w:num w:numId="4">
    <w:abstractNumId w:val="2"/>
  </w:num>
  <w:num w:numId="5">
    <w:abstractNumId w:val="0"/>
  </w:num>
  <w:num w:numId="6">
    <w:abstractNumId w:val="4"/>
  </w:num>
  <w:num w:numId="7">
    <w:abstractNumId w:val="15"/>
  </w:num>
  <w:num w:numId="8">
    <w:abstractNumId w:val="5"/>
  </w:num>
  <w:num w:numId="9">
    <w:abstractNumId w:val="8"/>
  </w:num>
  <w:num w:numId="10">
    <w:abstractNumId w:val="10"/>
  </w:num>
  <w:num w:numId="11">
    <w:abstractNumId w:val="3"/>
  </w:num>
  <w:num w:numId="12">
    <w:abstractNumId w:val="12"/>
  </w:num>
  <w:num w:numId="13">
    <w:abstractNumId w:val="7"/>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3"/>
    <w:rsid w:val="00062699"/>
    <w:rsid w:val="002E32B3"/>
    <w:rsid w:val="00331B07"/>
    <w:rsid w:val="00416DF4"/>
    <w:rsid w:val="0043482E"/>
    <w:rsid w:val="007F7748"/>
    <w:rsid w:val="0089708F"/>
    <w:rsid w:val="008A1011"/>
    <w:rsid w:val="00A548CF"/>
    <w:rsid w:val="00AB2112"/>
    <w:rsid w:val="00B0131C"/>
    <w:rsid w:val="00D95869"/>
    <w:rsid w:val="00EA4545"/>
    <w:rsid w:val="0159B1DB"/>
    <w:rsid w:val="016B9365"/>
    <w:rsid w:val="02DC864A"/>
    <w:rsid w:val="03E9C3C6"/>
    <w:rsid w:val="05999262"/>
    <w:rsid w:val="12ACE7B9"/>
    <w:rsid w:val="1F021E7E"/>
    <w:rsid w:val="2EC4F040"/>
    <w:rsid w:val="31CF08A2"/>
    <w:rsid w:val="37196EFE"/>
    <w:rsid w:val="43435FDF"/>
    <w:rsid w:val="44D4D52C"/>
    <w:rsid w:val="494032CA"/>
    <w:rsid w:val="497F8B35"/>
    <w:rsid w:val="5089930C"/>
    <w:rsid w:val="576AF4D1"/>
    <w:rsid w:val="63100833"/>
    <w:rsid w:val="649489A6"/>
    <w:rsid w:val="6B3344EB"/>
    <w:rsid w:val="6F59EBBD"/>
    <w:rsid w:val="70DAD4CF"/>
    <w:rsid w:val="71796CB3"/>
    <w:rsid w:val="72269C94"/>
    <w:rsid w:val="7396C955"/>
    <w:rsid w:val="74E195DC"/>
    <w:rsid w:val="768B4A1A"/>
    <w:rsid w:val="7B5BAA43"/>
    <w:rsid w:val="7F63B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3DD6"/>
  <w15:chartTrackingRefBased/>
  <w15:docId w15:val="{3231611D-C5D1-4685-8688-C6106C8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3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32B3"/>
    <w:pPr>
      <w:ind w:left="720"/>
      <w:contextualSpacing/>
    </w:pPr>
  </w:style>
  <w:style w:type="character" w:styleId="Hyperlink">
    <w:name w:val="Hyperlink"/>
    <w:basedOn w:val="DefaultParagraphFont"/>
    <w:uiPriority w:val="99"/>
    <w:unhideWhenUsed/>
    <w:rsid w:val="002E32B3"/>
    <w:rPr>
      <w:color w:val="0563C1" w:themeColor="hyperlink"/>
      <w:u w:val="single"/>
    </w:rPr>
  </w:style>
  <w:style w:type="character" w:styleId="UnresolvedMention1" w:customStyle="1">
    <w:name w:val="Unresolved Mention1"/>
    <w:basedOn w:val="DefaultParagraphFont"/>
    <w:uiPriority w:val="99"/>
    <w:semiHidden/>
    <w:unhideWhenUsed/>
    <w:rsid w:val="002E32B3"/>
    <w:rPr>
      <w:color w:val="605E5C"/>
      <w:shd w:val="clear" w:color="auto" w:fill="E1DFDD"/>
    </w:rPr>
  </w:style>
  <w:style w:type="paragraph" w:styleId="Header">
    <w:name w:val="header"/>
    <w:basedOn w:val="Normal"/>
    <w:link w:val="HeaderChar"/>
    <w:uiPriority w:val="99"/>
    <w:unhideWhenUsed/>
    <w:rsid w:val="00D95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5869"/>
  </w:style>
  <w:style w:type="paragraph" w:styleId="Footer">
    <w:name w:val="footer"/>
    <w:basedOn w:val="Normal"/>
    <w:link w:val="FooterChar"/>
    <w:uiPriority w:val="99"/>
    <w:unhideWhenUsed/>
    <w:rsid w:val="00D95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5869"/>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0144">
      <w:bodyDiv w:val="1"/>
      <w:marLeft w:val="0"/>
      <w:marRight w:val="0"/>
      <w:marTop w:val="0"/>
      <w:marBottom w:val="0"/>
      <w:divBdr>
        <w:top w:val="none" w:sz="0" w:space="0" w:color="auto"/>
        <w:left w:val="none" w:sz="0" w:space="0" w:color="auto"/>
        <w:bottom w:val="none" w:sz="0" w:space="0" w:color="auto"/>
        <w:right w:val="none" w:sz="0" w:space="0" w:color="auto"/>
      </w:divBdr>
    </w:div>
    <w:div w:id="908268896">
      <w:bodyDiv w:val="1"/>
      <w:marLeft w:val="0"/>
      <w:marRight w:val="0"/>
      <w:marTop w:val="0"/>
      <w:marBottom w:val="0"/>
      <w:divBdr>
        <w:top w:val="none" w:sz="0" w:space="0" w:color="auto"/>
        <w:left w:val="none" w:sz="0" w:space="0" w:color="auto"/>
        <w:bottom w:val="none" w:sz="0" w:space="0" w:color="auto"/>
        <w:right w:val="none" w:sz="0" w:space="0" w:color="auto"/>
      </w:divBdr>
    </w:div>
    <w:div w:id="1522166014">
      <w:bodyDiv w:val="1"/>
      <w:marLeft w:val="0"/>
      <w:marRight w:val="0"/>
      <w:marTop w:val="0"/>
      <w:marBottom w:val="0"/>
      <w:divBdr>
        <w:top w:val="none" w:sz="0" w:space="0" w:color="auto"/>
        <w:left w:val="none" w:sz="0" w:space="0" w:color="auto"/>
        <w:bottom w:val="none" w:sz="0" w:space="0" w:color="auto"/>
        <w:right w:val="none" w:sz="0" w:space="0" w:color="auto"/>
      </w:divBdr>
    </w:div>
    <w:div w:id="16026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www.myguideapps.com/projects/wales_safeguarding_procedures/default/adu/a2/a2.p13.html?nocache=0.7970104926603399" TargetMode="External" Id="R01f10ed112444909" /><Relationship Type="http://schemas.openxmlformats.org/officeDocument/2006/relationships/hyperlink" Target="http://www.myguideapps.com/projects/wales_safeguarding_procedures/default/adu/a2/a2.p13.html?nocache=0.7970104926603399" TargetMode="External" Id="R5e6f4b0657d74ed2" /><Relationship Type="http://schemas.openxmlformats.org/officeDocument/2006/relationships/hyperlink" Target="http://www.myguideapps.com/projects/wales_safeguarding_procedures/default/adu/a2/a2.p13.html?nocache=0.7970104926603399" TargetMode="External" Id="Rf5249e26fd5142fd" /><Relationship Type="http://schemas.openxmlformats.org/officeDocument/2006/relationships/hyperlink" Target="http://www.myguideapps.com/projects/wales_safeguarding_procedures/default/adu/a2/a2.p13.html?nocache=0.7970104926603399" TargetMode="External" Id="Rc89aec8e7bb84a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B8619-1B88-452D-9451-7004BF44B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8545D-A9A7-4DA7-BA63-95EA52CDB837}">
  <ds:schemaRefs>
    <ds:schemaRef ds:uri="http://schemas.microsoft.com/sharepoint/v3/contenttype/forms"/>
  </ds:schemaRefs>
</ds:datastoreItem>
</file>

<file path=customXml/itemProps3.xml><?xml version="1.0" encoding="utf-8"?>
<ds:datastoreItem xmlns:ds="http://schemas.openxmlformats.org/officeDocument/2006/customXml" ds:itemID="{50F3B617-FA12-467B-A0BE-32B6ECF2D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14</revision>
  <dcterms:created xsi:type="dcterms:W3CDTF">2020-01-30T08:55:00.0000000Z</dcterms:created>
  <dcterms:modified xsi:type="dcterms:W3CDTF">2020-08-26T17:40:46.8733032Z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