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C5AA" w14:textId="77777777" w:rsidR="0074301B" w:rsidRPr="00AF2AF0" w:rsidRDefault="0074301B" w:rsidP="0074301B">
      <w:pPr>
        <w:rPr>
          <w:rFonts w:ascii="Arial" w:eastAsiaTheme="majorEastAsia" w:hAnsi="Arial" w:cs="Arial"/>
          <w:b/>
          <w:color w:val="42B088"/>
          <w:kern w:val="24"/>
          <w:position w:val="1"/>
          <w:sz w:val="28"/>
          <w:szCs w:val="28"/>
        </w:rPr>
      </w:pPr>
      <w:bookmarkStart w:id="0" w:name="_Hlk505172648"/>
      <w:bookmarkStart w:id="1" w:name="_GoBack"/>
      <w:bookmarkEnd w:id="1"/>
      <w:r w:rsidRPr="00AF2AF0">
        <w:rPr>
          <w:rFonts w:ascii="Arial" w:eastAsiaTheme="majorEastAsia" w:hAnsi="Arial" w:cs="Arial"/>
          <w:b/>
          <w:color w:val="42B088"/>
          <w:kern w:val="24"/>
          <w:position w:val="1"/>
          <w:sz w:val="28"/>
          <w:szCs w:val="28"/>
        </w:rPr>
        <w:t xml:space="preserve">All Wales induction framework for health and social care </w:t>
      </w:r>
    </w:p>
    <w:p w14:paraId="62E301D1" w14:textId="76329883" w:rsidR="0074301B" w:rsidRDefault="0074301B" w:rsidP="0074301B">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t>Learning and assessment methods</w:t>
      </w:r>
    </w:p>
    <w:p w14:paraId="239069AB" w14:textId="77777777" w:rsidR="0074301B" w:rsidRPr="0074301B" w:rsidRDefault="0074301B" w:rsidP="0074301B">
      <w:pPr>
        <w:rPr>
          <w:rFonts w:ascii="Arial" w:eastAsiaTheme="majorEastAsia" w:hAnsi="Arial" w:cs="Arial"/>
          <w:b/>
          <w:color w:val="42B088"/>
          <w:kern w:val="24"/>
          <w:position w:val="1"/>
          <w:sz w:val="28"/>
          <w:szCs w:val="28"/>
        </w:rPr>
      </w:pPr>
    </w:p>
    <w:p w14:paraId="301EF47F" w14:textId="0E11E02A" w:rsidR="000E478E" w:rsidRPr="000E478E" w:rsidRDefault="000E478E" w:rsidP="000E478E">
      <w:pPr>
        <w:rPr>
          <w:rFonts w:ascii="Arial" w:hAnsi="Arial" w:cs="Arial"/>
          <w:b/>
          <w:sz w:val="24"/>
          <w:szCs w:val="24"/>
        </w:rPr>
      </w:pPr>
      <w:r>
        <w:rPr>
          <w:rFonts w:ascii="Arial" w:hAnsi="Arial" w:cs="Arial"/>
          <w:b/>
          <w:sz w:val="24"/>
          <w:szCs w:val="24"/>
        </w:rPr>
        <w:t>Some of the l</w:t>
      </w:r>
      <w:r w:rsidRPr="000E478E">
        <w:rPr>
          <w:rFonts w:ascii="Arial" w:hAnsi="Arial" w:cs="Arial"/>
          <w:b/>
          <w:sz w:val="24"/>
          <w:szCs w:val="24"/>
        </w:rPr>
        <w:t>earning and assessment methods</w:t>
      </w:r>
      <w:r w:rsidR="0074301B">
        <w:rPr>
          <w:rFonts w:ascii="Arial" w:hAnsi="Arial" w:cs="Arial"/>
          <w:b/>
          <w:sz w:val="24"/>
          <w:szCs w:val="24"/>
        </w:rPr>
        <w:t>:</w:t>
      </w:r>
    </w:p>
    <w:p w14:paraId="5F879A86" w14:textId="77777777" w:rsidR="000E478E" w:rsidRPr="000E478E" w:rsidRDefault="000E478E" w:rsidP="00033C96">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mentoring by a more experienced colleague</w:t>
      </w:r>
    </w:p>
    <w:p w14:paraId="70400109" w14:textId="77777777" w:rsidR="000E478E" w:rsidRPr="000E478E" w:rsidRDefault="000E478E" w:rsidP="00033C96">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 xml:space="preserve">coaching </w:t>
      </w:r>
    </w:p>
    <w:p w14:paraId="6274A7DC"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distance learning</w:t>
      </w:r>
    </w:p>
    <w:p w14:paraId="30588AD9"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e-learning</w:t>
      </w:r>
    </w:p>
    <w:p w14:paraId="4FD37E33"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guided reading</w:t>
      </w:r>
    </w:p>
    <w:p w14:paraId="7F9D3C6C"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structured use of supervision</w:t>
      </w:r>
    </w:p>
    <w:p w14:paraId="4E23E987"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shadowing</w:t>
      </w:r>
    </w:p>
    <w:p w14:paraId="52C2C844"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taught programmes / training</w:t>
      </w:r>
    </w:p>
    <w:p w14:paraId="1589CBF2"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group work</w:t>
      </w:r>
    </w:p>
    <w:p w14:paraId="6261C453" w14:textId="77777777" w:rsidR="000E478E" w:rsidRPr="000E478E" w:rsidRDefault="000E478E" w:rsidP="000E478E">
      <w:pPr>
        <w:numPr>
          <w:ilvl w:val="0"/>
          <w:numId w:val="3"/>
        </w:numPr>
        <w:spacing w:after="0" w:line="276" w:lineRule="auto"/>
        <w:contextualSpacing/>
        <w:rPr>
          <w:rFonts w:ascii="Arial" w:hAnsi="Arial" w:cs="Arial"/>
          <w:sz w:val="24"/>
          <w:szCs w:val="24"/>
        </w:rPr>
      </w:pPr>
      <w:r w:rsidRPr="000E478E">
        <w:rPr>
          <w:rFonts w:ascii="Arial" w:hAnsi="Arial" w:cs="Arial"/>
          <w:sz w:val="24"/>
          <w:szCs w:val="24"/>
        </w:rPr>
        <w:t>practical experience</w:t>
      </w:r>
    </w:p>
    <w:p w14:paraId="2BE35B98" w14:textId="3A7351E9" w:rsidR="00033C96" w:rsidRPr="0074301B" w:rsidRDefault="000E478E" w:rsidP="00033C96">
      <w:pPr>
        <w:numPr>
          <w:ilvl w:val="0"/>
          <w:numId w:val="3"/>
        </w:numPr>
        <w:spacing w:after="0" w:line="276" w:lineRule="auto"/>
        <w:contextualSpacing/>
        <w:rPr>
          <w:rFonts w:ascii="Arial" w:hAnsi="Arial" w:cs="Arial"/>
          <w:sz w:val="24"/>
          <w:szCs w:val="24"/>
        </w:rPr>
      </w:pPr>
      <w:r w:rsidRPr="0074301B">
        <w:rPr>
          <w:rFonts w:ascii="Arial" w:hAnsi="Arial" w:cs="Arial"/>
          <w:sz w:val="24"/>
          <w:szCs w:val="24"/>
        </w:rPr>
        <w:t>reflective practice</w:t>
      </w:r>
    </w:p>
    <w:p w14:paraId="71D8ECF8" w14:textId="77777777" w:rsidR="000E478E" w:rsidRPr="000E478E" w:rsidRDefault="000E478E" w:rsidP="00033C96">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completing the workbooks</w:t>
      </w:r>
    </w:p>
    <w:p w14:paraId="2A07DC2F" w14:textId="77777777" w:rsidR="000E478E" w:rsidRPr="000E478E" w:rsidRDefault="000E478E" w:rsidP="00033C96">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written or verbal questioning</w:t>
      </w:r>
    </w:p>
    <w:p w14:paraId="0A96CBD2"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assignments</w:t>
      </w:r>
    </w:p>
    <w:p w14:paraId="5615FB79"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case studies with questions</w:t>
      </w:r>
    </w:p>
    <w:p w14:paraId="245D360A"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presentations</w:t>
      </w:r>
    </w:p>
    <w:p w14:paraId="26EED262"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 xml:space="preserve">tests </w:t>
      </w:r>
    </w:p>
    <w:p w14:paraId="3309CEA5"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direct observation of practice</w:t>
      </w:r>
    </w:p>
    <w:p w14:paraId="1A497001"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feedback from others – for example, individuals, carers, other workers</w:t>
      </w:r>
    </w:p>
    <w:p w14:paraId="0E5A8499"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self-assessment / reflective accounts</w:t>
      </w:r>
    </w:p>
    <w:p w14:paraId="419D97D5" w14:textId="77777777" w:rsidR="000E478E" w:rsidRPr="000E478E" w:rsidRDefault="000E478E" w:rsidP="000E478E">
      <w:pPr>
        <w:numPr>
          <w:ilvl w:val="0"/>
          <w:numId w:val="4"/>
        </w:numPr>
        <w:spacing w:after="0" w:line="276" w:lineRule="auto"/>
        <w:contextualSpacing/>
        <w:rPr>
          <w:rFonts w:ascii="Arial" w:hAnsi="Arial" w:cs="Arial"/>
          <w:b/>
          <w:sz w:val="24"/>
          <w:szCs w:val="24"/>
        </w:rPr>
      </w:pPr>
      <w:r w:rsidRPr="000E478E">
        <w:rPr>
          <w:rFonts w:ascii="Arial" w:hAnsi="Arial" w:cs="Arial"/>
          <w:sz w:val="24"/>
          <w:szCs w:val="24"/>
        </w:rPr>
        <w:t>evidence of accredited training / qualifications.</w:t>
      </w:r>
    </w:p>
    <w:p w14:paraId="44197465" w14:textId="243505BF" w:rsidR="000E478E" w:rsidRPr="000E478E" w:rsidRDefault="000E478E" w:rsidP="000E478E">
      <w:pPr>
        <w:spacing w:after="0"/>
        <w:rPr>
          <w:rFonts w:ascii="Arial" w:hAnsi="Arial" w:cs="Arial"/>
          <w:b/>
          <w:sz w:val="24"/>
          <w:szCs w:val="24"/>
        </w:rPr>
      </w:pPr>
    </w:p>
    <w:p w14:paraId="6BAFA36D" w14:textId="209B19AA" w:rsidR="000E478E" w:rsidRDefault="000E478E" w:rsidP="000E478E">
      <w:pPr>
        <w:spacing w:after="0"/>
        <w:rPr>
          <w:rFonts w:ascii="Arial" w:hAnsi="Arial" w:cs="Arial"/>
          <w:sz w:val="24"/>
          <w:szCs w:val="24"/>
        </w:rPr>
      </w:pPr>
      <w:r w:rsidRPr="000E478E">
        <w:rPr>
          <w:rFonts w:ascii="Arial" w:hAnsi="Arial" w:cs="Arial"/>
          <w:b/>
          <w:sz w:val="24"/>
          <w:szCs w:val="24"/>
        </w:rPr>
        <w:t xml:space="preserve">Follow up questions: </w:t>
      </w:r>
      <w:r w:rsidRPr="000E478E">
        <w:rPr>
          <w:rFonts w:ascii="Arial" w:hAnsi="Arial" w:cs="Arial"/>
          <w:sz w:val="24"/>
          <w:szCs w:val="24"/>
        </w:rPr>
        <w:t>You may need to use ‘follow up’ questions to test the understanding of a new worker in more depth. Ideally, this should be done in a way that draws out their thinking and helps them discuss their thoughts</w:t>
      </w:r>
    </w:p>
    <w:p w14:paraId="793448AD" w14:textId="77777777" w:rsidR="00033C96" w:rsidRPr="000E478E" w:rsidRDefault="00033C96" w:rsidP="000E478E">
      <w:pPr>
        <w:spacing w:after="0"/>
        <w:rPr>
          <w:rFonts w:ascii="Arial" w:hAnsi="Arial" w:cs="Arial"/>
          <w:sz w:val="24"/>
          <w:szCs w:val="24"/>
        </w:rPr>
      </w:pPr>
    </w:p>
    <w:p w14:paraId="4C1D8C6D" w14:textId="77777777" w:rsidR="000E478E" w:rsidRPr="000E478E" w:rsidRDefault="000E478E" w:rsidP="000E478E">
      <w:pPr>
        <w:spacing w:after="0"/>
        <w:rPr>
          <w:rFonts w:ascii="Arial" w:hAnsi="Arial" w:cs="Arial"/>
          <w:sz w:val="24"/>
          <w:szCs w:val="24"/>
        </w:rPr>
      </w:pPr>
      <w:r w:rsidRPr="000E478E">
        <w:rPr>
          <w:rFonts w:ascii="Arial" w:hAnsi="Arial" w:cs="Arial"/>
          <w:b/>
          <w:sz w:val="24"/>
          <w:szCs w:val="24"/>
        </w:rPr>
        <w:t xml:space="preserve">Direct observation of practice: </w:t>
      </w:r>
      <w:r w:rsidRPr="000E478E">
        <w:rPr>
          <w:rFonts w:ascii="Arial" w:hAnsi="Arial" w:cs="Arial"/>
          <w:sz w:val="24"/>
          <w:szCs w:val="24"/>
        </w:rPr>
        <w:t>This aspect of assessment will provide evidence of how a new worker is performing in their role and how they are applying their knowledge and understanding to their practice. Constructive feedback about their practice will help new workers know how they are doing and understand the areas they need to improve in a supportive way.</w:t>
      </w:r>
    </w:p>
    <w:p w14:paraId="24A106F1" w14:textId="77777777" w:rsidR="000E478E" w:rsidRPr="000E478E" w:rsidRDefault="000E478E" w:rsidP="000E478E">
      <w:pPr>
        <w:spacing w:after="0"/>
        <w:rPr>
          <w:rFonts w:ascii="Arial" w:hAnsi="Arial" w:cs="Arial"/>
          <w:sz w:val="24"/>
          <w:szCs w:val="24"/>
        </w:rPr>
      </w:pPr>
    </w:p>
    <w:p w14:paraId="5094211E" w14:textId="77777777" w:rsidR="000E478E" w:rsidRPr="000E478E" w:rsidRDefault="000E478E" w:rsidP="000E478E">
      <w:pPr>
        <w:spacing w:after="0"/>
        <w:rPr>
          <w:rFonts w:ascii="Arial" w:hAnsi="Arial" w:cs="Arial"/>
          <w:sz w:val="24"/>
          <w:szCs w:val="24"/>
        </w:rPr>
      </w:pPr>
      <w:r w:rsidRPr="000E478E">
        <w:rPr>
          <w:rFonts w:ascii="Arial" w:hAnsi="Arial" w:cs="Arial"/>
          <w:b/>
          <w:sz w:val="24"/>
          <w:szCs w:val="24"/>
        </w:rPr>
        <w:t>Feedback from others:</w:t>
      </w:r>
      <w:r w:rsidRPr="000E478E">
        <w:rPr>
          <w:rFonts w:ascii="Arial" w:hAnsi="Arial" w:cs="Arial"/>
          <w:sz w:val="24"/>
          <w:szCs w:val="24"/>
        </w:rPr>
        <w:t xml:space="preserve"> Feedback from individuals, carers and other workers can be valuable in establishing how well the new worker is doing. It is important that this is done in a way that is open and supportive to learning.</w:t>
      </w:r>
    </w:p>
    <w:p w14:paraId="5DC7665F" w14:textId="77777777" w:rsidR="000E478E" w:rsidRPr="000E478E" w:rsidRDefault="000E478E" w:rsidP="000E478E">
      <w:pPr>
        <w:spacing w:after="0"/>
        <w:rPr>
          <w:rFonts w:ascii="Arial" w:hAnsi="Arial" w:cs="Arial"/>
          <w:sz w:val="24"/>
          <w:szCs w:val="24"/>
        </w:rPr>
      </w:pPr>
    </w:p>
    <w:p w14:paraId="45AF289F" w14:textId="77777777" w:rsidR="000E478E" w:rsidRPr="000E478E" w:rsidRDefault="000E478E" w:rsidP="000E478E">
      <w:pPr>
        <w:spacing w:after="0"/>
        <w:rPr>
          <w:rFonts w:ascii="Arial" w:hAnsi="Arial" w:cs="Arial"/>
          <w:sz w:val="24"/>
          <w:szCs w:val="24"/>
        </w:rPr>
      </w:pPr>
      <w:r w:rsidRPr="000E478E">
        <w:rPr>
          <w:rFonts w:ascii="Arial" w:hAnsi="Arial" w:cs="Arial"/>
          <w:b/>
          <w:sz w:val="24"/>
          <w:szCs w:val="24"/>
        </w:rPr>
        <w:t xml:space="preserve">Reflection: </w:t>
      </w:r>
      <w:r w:rsidRPr="000E478E">
        <w:rPr>
          <w:rFonts w:ascii="Arial" w:hAnsi="Arial" w:cs="Arial"/>
          <w:sz w:val="24"/>
          <w:szCs w:val="24"/>
        </w:rPr>
        <w:t>The new worker can be asked to give a work-related example of something they have done and consider whether it went well, what the outcomes were and what they learnt from this. It is a good way of judging whether a worker can think through tasks and learn through reflection and analysis.</w:t>
      </w:r>
    </w:p>
    <w:bookmarkEnd w:id="0"/>
    <w:p w14:paraId="6C6D8A18" w14:textId="478597A9" w:rsidR="000E478E" w:rsidRDefault="000E478E"/>
    <w:sectPr w:rsidR="000E47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8626" w14:textId="77777777" w:rsidR="0018738A" w:rsidRDefault="0018738A" w:rsidP="00FE1280">
      <w:pPr>
        <w:spacing w:after="0" w:line="240" w:lineRule="auto"/>
      </w:pPr>
      <w:r>
        <w:separator/>
      </w:r>
    </w:p>
  </w:endnote>
  <w:endnote w:type="continuationSeparator" w:id="0">
    <w:p w14:paraId="134BEBB9" w14:textId="77777777" w:rsidR="0018738A" w:rsidRDefault="0018738A" w:rsidP="00F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E218" w14:textId="77777777" w:rsidR="00063D1F" w:rsidRDefault="00063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863828"/>
      <w:docPartObj>
        <w:docPartGallery w:val="Page Numbers (Bottom of Page)"/>
        <w:docPartUnique/>
      </w:docPartObj>
    </w:sdtPr>
    <w:sdtEndPr>
      <w:rPr>
        <w:noProof/>
      </w:rPr>
    </w:sdtEndPr>
    <w:sdtContent>
      <w:p w14:paraId="618627EC" w14:textId="5B01BAEC" w:rsidR="007A6F7E" w:rsidRDefault="007A6F7E">
        <w:pPr>
          <w:pStyle w:val="Footer"/>
          <w:jc w:val="right"/>
        </w:pPr>
        <w:r>
          <w:fldChar w:fldCharType="begin"/>
        </w:r>
        <w:r>
          <w:instrText xml:space="preserve"> PAGE   \* MERGEFORMAT </w:instrText>
        </w:r>
        <w:r>
          <w:fldChar w:fldCharType="separate"/>
        </w:r>
        <w:r w:rsidR="00BC5938">
          <w:rPr>
            <w:noProof/>
          </w:rPr>
          <w:t>1</w:t>
        </w:r>
        <w:r>
          <w:rPr>
            <w:noProof/>
          </w:rPr>
          <w:fldChar w:fldCharType="end"/>
        </w:r>
      </w:p>
    </w:sdtContent>
  </w:sdt>
  <w:p w14:paraId="50A1951E" w14:textId="02B60289" w:rsidR="007A6F7E" w:rsidRPr="00BE1E02" w:rsidRDefault="00063D1F" w:rsidP="00BE1E02">
    <w:pPr>
      <w:pStyle w:val="Footer"/>
      <w:rPr>
        <w:color w:val="A6A6A6" w:themeColor="background1" w:themeShade="A6"/>
      </w:rPr>
    </w:pPr>
    <w:r>
      <w:rPr>
        <w:rFonts w:ascii="Arial" w:hAnsi="Arial" w:cs="Arial"/>
        <w:color w:val="A6A6A6" w:themeColor="background1" w:themeShade="A6"/>
        <w:sz w:val="24"/>
      </w:rPr>
      <w:t>Appendix g – L</w:t>
    </w:r>
    <w:r w:rsidR="00BE1E02" w:rsidRPr="00BE1E02">
      <w:rPr>
        <w:rFonts w:ascii="Arial" w:hAnsi="Arial" w:cs="Arial"/>
        <w:color w:val="A6A6A6" w:themeColor="background1" w:themeShade="A6"/>
        <w:sz w:val="24"/>
      </w:rPr>
      <w:t>earning and assessment methods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A22D" w14:textId="77777777" w:rsidR="00063D1F" w:rsidRDefault="0006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B852" w14:textId="77777777" w:rsidR="0018738A" w:rsidRDefault="0018738A" w:rsidP="00FE1280">
      <w:pPr>
        <w:spacing w:after="0" w:line="240" w:lineRule="auto"/>
      </w:pPr>
      <w:r>
        <w:separator/>
      </w:r>
    </w:p>
  </w:footnote>
  <w:footnote w:type="continuationSeparator" w:id="0">
    <w:p w14:paraId="6D6411A3" w14:textId="77777777" w:rsidR="0018738A" w:rsidRDefault="0018738A" w:rsidP="00FE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591B" w14:textId="77777777" w:rsidR="00063D1F" w:rsidRDefault="0006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BF2A" w14:textId="01BD3FFA" w:rsidR="00FE1280" w:rsidRDefault="00BE1E02">
    <w:pPr>
      <w:pStyle w:val="Header"/>
      <w:rPr>
        <w:rFonts w:ascii="Arial" w:hAnsi="Arial" w:cs="Arial"/>
        <w:sz w:val="24"/>
      </w:rPr>
    </w:pPr>
    <w:r w:rsidRPr="00A87325">
      <w:rPr>
        <w:rFonts w:ascii="Arial" w:hAnsi="Arial" w:cs="Arial"/>
        <w:noProof/>
        <w:lang w:eastAsia="en-GB"/>
      </w:rPr>
      <w:drawing>
        <wp:inline distT="0" distB="0" distL="0" distR="0" wp14:anchorId="2C2C493B" wp14:editId="3A0227AA">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544BFD69" w14:textId="77777777" w:rsidR="00BE1E02" w:rsidRDefault="00BE1E02">
    <w:pPr>
      <w:pStyle w:val="Header"/>
      <w:rPr>
        <w:rFonts w:ascii="Arial" w:hAnsi="Arial" w:cs="Arial"/>
        <w:sz w:val="24"/>
      </w:rPr>
    </w:pPr>
  </w:p>
  <w:p w14:paraId="024589B4" w14:textId="77777777" w:rsidR="00BE1E02" w:rsidRPr="00FE1280" w:rsidRDefault="00BE1E02">
    <w:pPr>
      <w:pStyle w:val="Header"/>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25F7" w14:textId="77777777" w:rsidR="00063D1F" w:rsidRDefault="00063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D86"/>
    <w:multiLevelType w:val="hybridMultilevel"/>
    <w:tmpl w:val="3C32A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12101"/>
    <w:multiLevelType w:val="hybridMultilevel"/>
    <w:tmpl w:val="6DA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80"/>
    <w:rsid w:val="00033C96"/>
    <w:rsid w:val="00063D1F"/>
    <w:rsid w:val="000E478E"/>
    <w:rsid w:val="0018738A"/>
    <w:rsid w:val="00565B1F"/>
    <w:rsid w:val="00640AAA"/>
    <w:rsid w:val="00660D57"/>
    <w:rsid w:val="006D545B"/>
    <w:rsid w:val="0074301B"/>
    <w:rsid w:val="007A6F7E"/>
    <w:rsid w:val="007D5286"/>
    <w:rsid w:val="00A87325"/>
    <w:rsid w:val="00BC5938"/>
    <w:rsid w:val="00BE1E02"/>
    <w:rsid w:val="00D02DA7"/>
    <w:rsid w:val="00D810E4"/>
    <w:rsid w:val="00EB047B"/>
    <w:rsid w:val="00ED2753"/>
    <w:rsid w:val="00F10934"/>
    <w:rsid w:val="00F63385"/>
    <w:rsid w:val="00FE1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298B"/>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280"/>
    <w:pPr>
      <w:ind w:left="720"/>
      <w:contextualSpacing/>
    </w:pPr>
  </w:style>
  <w:style w:type="table" w:styleId="TableGrid">
    <w:name w:val="Table Grid"/>
    <w:basedOn w:val="TableNormal"/>
    <w:uiPriority w:val="39"/>
    <w:rsid w:val="00FE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80"/>
  </w:style>
  <w:style w:type="paragraph" w:styleId="Footer">
    <w:name w:val="footer"/>
    <w:basedOn w:val="Normal"/>
    <w:link w:val="FooterChar"/>
    <w:uiPriority w:val="99"/>
    <w:unhideWhenUsed/>
    <w:rsid w:val="00FE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80"/>
  </w:style>
  <w:style w:type="paragraph" w:styleId="BalloonText">
    <w:name w:val="Balloon Text"/>
    <w:basedOn w:val="Normal"/>
    <w:link w:val="BalloonTextChar"/>
    <w:uiPriority w:val="99"/>
    <w:semiHidden/>
    <w:unhideWhenUsed/>
    <w:rsid w:val="0056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Props1.xml><?xml version="1.0" encoding="utf-8"?>
<ds:datastoreItem xmlns:ds="http://schemas.openxmlformats.org/officeDocument/2006/customXml" ds:itemID="{B7FD3460-5D9A-4ED9-A0FA-E182CB384064}">
  <ds:schemaRefs>
    <ds:schemaRef ds:uri="http://schemas.microsoft.com/sharepoint/v3/contenttype/forms"/>
  </ds:schemaRefs>
</ds:datastoreItem>
</file>

<file path=customXml/itemProps2.xml><?xml version="1.0" encoding="utf-8"?>
<ds:datastoreItem xmlns:ds="http://schemas.openxmlformats.org/officeDocument/2006/customXml" ds:itemID="{788AB9BA-0753-45F4-A470-DA7ABDB16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EF66B-399E-4E73-9C0D-C3152ED4334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573c7cb-c389-4e3e-ad3a-d71029d3e8b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Ffyona Usher</cp:lastModifiedBy>
  <cp:revision>2</cp:revision>
  <cp:lastPrinted>2018-01-31T15:20:00Z</cp:lastPrinted>
  <dcterms:created xsi:type="dcterms:W3CDTF">2018-04-13T14:19:00Z</dcterms:created>
  <dcterms:modified xsi:type="dcterms:W3CDTF">2018-04-13T14:19:00Z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