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F1" w:rsidRPr="004177CA" w:rsidRDefault="004A5BC0" w:rsidP="004A5BC0">
      <w:pPr>
        <w:spacing w:after="0" w:line="240" w:lineRule="auto"/>
        <w:rPr>
          <w:rFonts w:ascii="Arial" w:eastAsia="Frutiger-Light" w:hAnsi="Arial" w:cs="Frutiger-Light"/>
          <w:color w:val="ED1D86"/>
          <w:position w:val="-1"/>
          <w:sz w:val="65"/>
          <w:szCs w:val="65"/>
          <w:u w:val="single"/>
        </w:rPr>
      </w:pPr>
      <w:r w:rsidRPr="004177CA">
        <w:rPr>
          <w:rFonts w:ascii="Arial" w:eastAsia="Frutiger-Light" w:hAnsi="Arial" w:cs="Frutiger-Light"/>
          <w:color w:val="ED1D86"/>
          <w:position w:val="-1"/>
          <w:sz w:val="65"/>
          <w:szCs w:val="65"/>
          <w:u w:val="single"/>
        </w:rPr>
        <w:t xml:space="preserve">Population Assessment </w:t>
      </w:r>
    </w:p>
    <w:p w:rsidR="004A5BC0" w:rsidRPr="004177CA" w:rsidRDefault="004A5BC0" w:rsidP="004A5BC0">
      <w:pPr>
        <w:spacing w:after="0" w:line="240" w:lineRule="auto"/>
        <w:rPr>
          <w:rFonts w:ascii="Arial" w:eastAsia="Frutiger-Bold" w:hAnsi="Arial" w:cs="Frutiger-Bold"/>
          <w:b/>
          <w:bCs/>
          <w:color w:val="4D4D4F"/>
          <w:spacing w:val="-5"/>
          <w:sz w:val="24"/>
          <w:szCs w:val="24"/>
        </w:rPr>
      </w:pPr>
    </w:p>
    <w:p w:rsidR="004A5BC0" w:rsidRPr="004177CA" w:rsidRDefault="004A5BC0" w:rsidP="004A5BC0">
      <w:pPr>
        <w:spacing w:after="0" w:line="240" w:lineRule="auto"/>
        <w:rPr>
          <w:rFonts w:ascii="Arial" w:eastAsia="Frutiger-Bold" w:hAnsi="Arial" w:cs="Frutiger-Bold"/>
          <w:b/>
          <w:bCs/>
          <w:color w:val="4D4D4F"/>
          <w:spacing w:val="-5"/>
          <w:sz w:val="24"/>
          <w:szCs w:val="24"/>
        </w:rPr>
      </w:pPr>
    </w:p>
    <w:p w:rsidR="004A5BC0" w:rsidRPr="004177CA" w:rsidRDefault="004A5BC0" w:rsidP="004177CA">
      <w:pPr>
        <w:pStyle w:val="ListParagraph"/>
        <w:numPr>
          <w:ilvl w:val="0"/>
          <w:numId w:val="2"/>
        </w:numPr>
        <w:spacing w:after="0" w:line="240" w:lineRule="auto"/>
        <w:rPr>
          <w:rFonts w:ascii="Arial" w:hAnsi="Arial" w:cs="Arial"/>
          <w:b/>
        </w:rPr>
      </w:pPr>
      <w:r w:rsidRPr="004177CA">
        <w:rPr>
          <w:rFonts w:ascii="Arial" w:eastAsia="Frutiger-Bold" w:hAnsi="Arial" w:cs="Frutiger-Bold"/>
          <w:b/>
          <w:bCs/>
          <w:color w:val="4D4D4F"/>
          <w:spacing w:val="-5"/>
          <w:sz w:val="24"/>
          <w:szCs w:val="24"/>
        </w:rPr>
        <w:t>What is a population assessment report?</w:t>
      </w:r>
      <w:r w:rsidR="004177CA" w:rsidRPr="004177CA">
        <w:rPr>
          <w:rFonts w:ascii="Arial" w:eastAsia="Frutiger-Bold" w:hAnsi="Arial" w:cs="Frutiger-Bold"/>
          <w:b/>
          <w:bCs/>
          <w:color w:val="4D4D4F"/>
          <w:spacing w:val="-5"/>
          <w:sz w:val="24"/>
          <w:szCs w:val="24"/>
        </w:rPr>
        <w:t xml:space="preserve"> </w:t>
      </w:r>
    </w:p>
    <w:p w:rsidR="004A5BC0" w:rsidRPr="004A5BC0" w:rsidRDefault="004A5BC0" w:rsidP="004A5BC0">
      <w:pPr>
        <w:pStyle w:val="ListParagraph"/>
        <w:spacing w:after="0" w:line="240" w:lineRule="auto"/>
        <w:ind w:left="360"/>
        <w:rPr>
          <w:rFonts w:ascii="Arial" w:hAnsi="Arial" w:cs="Arial"/>
        </w:rPr>
      </w:pPr>
    </w:p>
    <w:p w:rsidR="004A5BC0" w:rsidRPr="004A5BC0" w:rsidRDefault="004A5BC0" w:rsidP="004A5BC0">
      <w:pPr>
        <w:spacing w:after="0" w:line="240" w:lineRule="auto"/>
        <w:rPr>
          <w:rFonts w:ascii="Arial" w:hAnsi="Arial" w:cs="Arial"/>
        </w:rPr>
      </w:pPr>
      <w:r w:rsidRPr="004177CA">
        <w:rPr>
          <w:rFonts w:ascii="Arial" w:eastAsia="Frutiger-Light" w:hAnsi="Arial" w:cs="Frutiger-Light"/>
          <w:color w:val="4D4D4F"/>
          <w:spacing w:val="-2"/>
          <w:sz w:val="24"/>
          <w:szCs w:val="24"/>
        </w:rPr>
        <w:t>A population assess</w:t>
      </w:r>
      <w:r w:rsidR="00587ADC" w:rsidRPr="004177CA">
        <w:rPr>
          <w:rFonts w:ascii="Arial" w:eastAsia="Frutiger-Light" w:hAnsi="Arial" w:cs="Frutiger-Light"/>
          <w:color w:val="4D4D4F"/>
          <w:spacing w:val="-2"/>
          <w:sz w:val="24"/>
          <w:szCs w:val="24"/>
        </w:rPr>
        <w:t>ment report is a clear evidence-</w:t>
      </w:r>
      <w:r w:rsidRPr="004177CA">
        <w:rPr>
          <w:rFonts w:ascii="Arial" w:eastAsia="Frutiger-Light" w:hAnsi="Arial" w:cs="Frutiger-Light"/>
          <w:color w:val="4D4D4F"/>
          <w:spacing w:val="-2"/>
          <w:sz w:val="24"/>
          <w:szCs w:val="24"/>
        </w:rPr>
        <w:t>based assessment of people’s care and support needs.</w:t>
      </w:r>
      <w:r w:rsidR="004177CA">
        <w:rPr>
          <w:rFonts w:ascii="Arial" w:hAnsi="Arial" w:cs="Arial"/>
        </w:rPr>
        <w:t xml:space="preserve"> </w:t>
      </w:r>
    </w:p>
    <w:p w:rsidR="004A5BC0" w:rsidRPr="004A5BC0" w:rsidRDefault="004A5BC0" w:rsidP="004A5BC0">
      <w:pPr>
        <w:spacing w:after="0" w:line="240" w:lineRule="auto"/>
        <w:rPr>
          <w:rFonts w:ascii="Arial" w:hAnsi="Arial" w:cs="Arial"/>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The Social Services and Well-being Act (Wales) 2014 places a duty on local authorities and local health boards to jointly carry out an assessment of care and support needs (including the support needs of carers). Working in partnership (see FAQ 2), local authorities and the local health boards must produce a combined population assessment report of the whole local health board area. The report must also include an assessment of the range and level of services required to meet the identified need, including the range and level of preventative services (see FAQ 8).</w:t>
      </w:r>
    </w:p>
    <w:p w:rsidR="004A5BC0" w:rsidRPr="004177CA" w:rsidRDefault="004A5BC0" w:rsidP="004A5BC0">
      <w:pPr>
        <w:spacing w:after="0" w:line="240" w:lineRule="auto"/>
        <w:rPr>
          <w:rFonts w:ascii="Arial" w:eastAsia="Frutiger-Bold" w:hAnsi="Arial" w:cs="Frutiger-Bold"/>
          <w:b/>
          <w:bCs/>
          <w:color w:val="4D4D4F"/>
          <w:spacing w:val="-5"/>
          <w:sz w:val="24"/>
          <w:szCs w:val="24"/>
        </w:rPr>
      </w:pPr>
    </w:p>
    <w:p w:rsidR="004A5BC0" w:rsidRPr="004177CA" w:rsidRDefault="004A5BC0" w:rsidP="004177CA">
      <w:pPr>
        <w:pStyle w:val="ListParagraph"/>
        <w:numPr>
          <w:ilvl w:val="0"/>
          <w:numId w:val="2"/>
        </w:numPr>
        <w:spacing w:after="0" w:line="240" w:lineRule="auto"/>
        <w:rPr>
          <w:rFonts w:ascii="Arial" w:eastAsia="Frutiger-Bold" w:hAnsi="Arial" w:cs="Frutiger-Bold"/>
          <w:b/>
          <w:bCs/>
          <w:color w:val="4D4D4F"/>
          <w:spacing w:val="-5"/>
          <w:sz w:val="24"/>
          <w:szCs w:val="24"/>
        </w:rPr>
      </w:pPr>
      <w:r w:rsidRPr="004177CA">
        <w:rPr>
          <w:rFonts w:ascii="Arial" w:eastAsia="Frutiger-Bold" w:hAnsi="Arial" w:cs="Frutiger-Bold"/>
          <w:b/>
          <w:bCs/>
          <w:color w:val="4D4D4F"/>
          <w:spacing w:val="-5"/>
          <w:sz w:val="24"/>
          <w:szCs w:val="24"/>
        </w:rPr>
        <w:t>Who is responsible for producing a population assessment report?</w:t>
      </w:r>
    </w:p>
    <w:p w:rsidR="004A5BC0" w:rsidRPr="004A5BC0" w:rsidRDefault="004A5BC0" w:rsidP="004A5BC0">
      <w:pPr>
        <w:pStyle w:val="ListParagraph"/>
        <w:spacing w:after="0" w:line="240" w:lineRule="auto"/>
        <w:ind w:left="360"/>
        <w:rPr>
          <w:rFonts w:ascii="Arial" w:hAnsi="Arial" w:cs="Arial"/>
          <w:b/>
        </w:rPr>
      </w:pPr>
    </w:p>
    <w:p w:rsidR="004A5BC0" w:rsidRPr="004A5BC0" w:rsidRDefault="004A5BC0" w:rsidP="004A5BC0">
      <w:pPr>
        <w:spacing w:after="0" w:line="240" w:lineRule="auto"/>
        <w:rPr>
          <w:rFonts w:ascii="Arial" w:hAnsi="Arial" w:cs="Arial"/>
        </w:rPr>
      </w:pPr>
      <w:r w:rsidRPr="004177CA">
        <w:rPr>
          <w:rFonts w:ascii="Arial" w:eastAsia="Frutiger-Light" w:hAnsi="Arial" w:cs="Frutiger-Light"/>
          <w:color w:val="4D4D4F"/>
          <w:spacing w:val="-2"/>
          <w:sz w:val="24"/>
          <w:szCs w:val="24"/>
        </w:rPr>
        <w:t>All local authorities in a local health board area must form a partnership arrangement with that health board to undertake a population assessment, and produce a combined population assessment report. The partnership arrangements are set out in</w:t>
      </w:r>
      <w:r w:rsidRPr="004177CA">
        <w:rPr>
          <w:rFonts w:ascii="Arial" w:hAnsi="Arial" w:cs="Arial"/>
          <w:sz w:val="24"/>
          <w:szCs w:val="24"/>
        </w:rPr>
        <w:t xml:space="preserve"> </w:t>
      </w:r>
      <w:hyperlink r:id="rId8" w:history="1">
        <w:r w:rsidRPr="004177CA">
          <w:rPr>
            <w:rStyle w:val="Hyperlink"/>
            <w:rFonts w:ascii="Arial" w:hAnsi="Arial" w:cs="Arial"/>
            <w:sz w:val="24"/>
            <w:szCs w:val="24"/>
          </w:rPr>
          <w:t xml:space="preserve">The Care and Support (Partnership Arrangements for </w:t>
        </w:r>
        <w:bookmarkStart w:id="0" w:name="_GoBack"/>
        <w:bookmarkEnd w:id="0"/>
        <w:r w:rsidRPr="004177CA">
          <w:rPr>
            <w:rStyle w:val="Hyperlink"/>
            <w:rFonts w:ascii="Arial" w:hAnsi="Arial" w:cs="Arial"/>
            <w:sz w:val="24"/>
            <w:szCs w:val="24"/>
          </w:rPr>
          <w:t>P</w:t>
        </w:r>
        <w:r w:rsidRPr="004177CA">
          <w:rPr>
            <w:rStyle w:val="Hyperlink"/>
            <w:rFonts w:ascii="Arial" w:hAnsi="Arial" w:cs="Arial"/>
            <w:sz w:val="24"/>
            <w:szCs w:val="24"/>
          </w:rPr>
          <w:t>opulation Assessments) (Wales) Regulations 2015</w:t>
        </w:r>
      </w:hyperlink>
      <w:r w:rsidRPr="004177CA">
        <w:rPr>
          <w:rFonts w:ascii="Arial" w:hAnsi="Arial" w:cs="Arial"/>
          <w:sz w:val="24"/>
          <w:szCs w:val="24"/>
        </w:rPr>
        <w:t>.</w:t>
      </w:r>
    </w:p>
    <w:p w:rsidR="004A5BC0" w:rsidRPr="004A5BC0" w:rsidRDefault="004A5BC0" w:rsidP="004A5BC0">
      <w:pPr>
        <w:spacing w:after="0" w:line="240" w:lineRule="auto"/>
        <w:rPr>
          <w:rFonts w:ascii="Arial" w:hAnsi="Arial" w:cs="Arial"/>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Local authorities and the local health board must engage with citizens, as well as the third and private sectors, in the process of undertaking a population assessment.</w:t>
      </w:r>
    </w:p>
    <w:p w:rsidR="004A5BC0" w:rsidRPr="004177CA" w:rsidRDefault="004A5BC0" w:rsidP="004A5BC0">
      <w:pPr>
        <w:spacing w:after="0" w:line="240" w:lineRule="auto"/>
        <w:rPr>
          <w:rFonts w:ascii="Arial" w:eastAsia="Frutiger-Bold" w:hAnsi="Arial" w:cs="Frutiger-Bold"/>
          <w:b/>
          <w:bCs/>
          <w:color w:val="4D4D4F"/>
          <w:spacing w:val="-5"/>
          <w:sz w:val="24"/>
          <w:szCs w:val="24"/>
        </w:rPr>
      </w:pPr>
    </w:p>
    <w:p w:rsidR="004A5BC0" w:rsidRPr="004177CA" w:rsidRDefault="004A5BC0" w:rsidP="004177CA">
      <w:pPr>
        <w:pStyle w:val="ListParagraph"/>
        <w:numPr>
          <w:ilvl w:val="0"/>
          <w:numId w:val="2"/>
        </w:numPr>
        <w:spacing w:after="0" w:line="240" w:lineRule="auto"/>
        <w:rPr>
          <w:rFonts w:ascii="Arial" w:eastAsia="Frutiger-Bold" w:hAnsi="Arial" w:cs="Frutiger-Bold"/>
          <w:b/>
          <w:bCs/>
          <w:color w:val="4D4D4F"/>
          <w:spacing w:val="-5"/>
          <w:sz w:val="24"/>
          <w:szCs w:val="24"/>
        </w:rPr>
      </w:pPr>
      <w:r w:rsidRPr="004177CA">
        <w:rPr>
          <w:rFonts w:ascii="Arial" w:eastAsia="Frutiger-Bold" w:hAnsi="Arial" w:cs="Frutiger-Bold"/>
          <w:b/>
          <w:bCs/>
          <w:color w:val="4D4D4F"/>
          <w:spacing w:val="-5"/>
          <w:sz w:val="24"/>
          <w:szCs w:val="24"/>
        </w:rPr>
        <w:t>When is the first population assessment report required, and how frequently does a population assessment report need to be undertaken?</w:t>
      </w:r>
    </w:p>
    <w:p w:rsidR="004A5BC0" w:rsidRPr="004A5BC0" w:rsidRDefault="004A5BC0" w:rsidP="004A5BC0">
      <w:pPr>
        <w:pStyle w:val="ListParagraph"/>
        <w:spacing w:after="0" w:line="240" w:lineRule="auto"/>
        <w:ind w:left="360"/>
        <w:rPr>
          <w:rFonts w:ascii="Arial" w:hAnsi="Arial" w:cs="Arial"/>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Local authorities and local health boards must produce the first combined population assessment report by April 2017, and one combined population assessment report per local government electoral cycle thereafter.</w:t>
      </w:r>
    </w:p>
    <w:p w:rsidR="004A5BC0" w:rsidRPr="004A5BC0" w:rsidRDefault="004A5BC0" w:rsidP="004A5BC0">
      <w:pPr>
        <w:spacing w:after="0" w:line="240" w:lineRule="auto"/>
        <w:rPr>
          <w:rFonts w:ascii="Arial" w:hAnsi="Arial" w:cs="Arial"/>
        </w:rPr>
      </w:pPr>
    </w:p>
    <w:p w:rsidR="004A5BC0" w:rsidRPr="004177CA" w:rsidRDefault="004A5BC0" w:rsidP="004177CA">
      <w:pPr>
        <w:pStyle w:val="ListParagraph"/>
        <w:numPr>
          <w:ilvl w:val="0"/>
          <w:numId w:val="2"/>
        </w:numPr>
        <w:spacing w:after="0" w:line="240" w:lineRule="auto"/>
        <w:rPr>
          <w:rFonts w:ascii="Arial" w:eastAsia="Frutiger-Bold" w:hAnsi="Arial" w:cs="Frutiger-Bold"/>
          <w:b/>
          <w:bCs/>
          <w:color w:val="4D4D4F"/>
          <w:spacing w:val="-5"/>
          <w:sz w:val="24"/>
          <w:szCs w:val="24"/>
        </w:rPr>
      </w:pPr>
      <w:r w:rsidRPr="004177CA">
        <w:rPr>
          <w:rFonts w:ascii="Arial" w:eastAsia="Frutiger-Bold" w:hAnsi="Arial" w:cs="Frutiger-Bold"/>
          <w:b/>
          <w:bCs/>
          <w:color w:val="4D4D4F"/>
          <w:spacing w:val="-5"/>
          <w:sz w:val="24"/>
          <w:szCs w:val="24"/>
        </w:rPr>
        <w:t>Is a population assessment report the same as an assessment of local well-being required under the Well-being of Future Generations (Wales) Act 2015?</w:t>
      </w:r>
    </w:p>
    <w:p w:rsidR="004A5BC0" w:rsidRPr="004A5BC0" w:rsidRDefault="004A5BC0" w:rsidP="004A5BC0">
      <w:pPr>
        <w:pStyle w:val="ListParagraph"/>
        <w:spacing w:after="0" w:line="240" w:lineRule="auto"/>
        <w:ind w:left="360"/>
        <w:rPr>
          <w:rFonts w:ascii="Arial" w:hAnsi="Arial" w:cs="Arial"/>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A population assessment report</w:t>
      </w:r>
      <w:r w:rsidR="00587ADC" w:rsidRPr="004177CA">
        <w:rPr>
          <w:rFonts w:ascii="Arial" w:eastAsia="Frutiger-Light" w:hAnsi="Arial" w:cs="Frutiger-Light"/>
          <w:color w:val="4D4D4F"/>
          <w:spacing w:val="-2"/>
          <w:sz w:val="24"/>
          <w:szCs w:val="24"/>
        </w:rPr>
        <w:t xml:space="preserve">, </w:t>
      </w:r>
      <w:r w:rsidRPr="004177CA">
        <w:rPr>
          <w:rFonts w:ascii="Arial" w:eastAsia="Frutiger-Light" w:hAnsi="Arial" w:cs="Frutiger-Light"/>
          <w:color w:val="4D4D4F"/>
          <w:spacing w:val="-2"/>
          <w:sz w:val="24"/>
          <w:szCs w:val="24"/>
        </w:rPr>
        <w:t xml:space="preserve">as required under the Social Services and Well-being </w:t>
      </w:r>
      <w:r w:rsidR="00587ADC" w:rsidRPr="004177CA">
        <w:rPr>
          <w:rFonts w:ascii="Arial" w:eastAsia="Frutiger-Light" w:hAnsi="Arial" w:cs="Frutiger-Light"/>
          <w:color w:val="4D4D4F"/>
          <w:spacing w:val="-2"/>
          <w:sz w:val="24"/>
          <w:szCs w:val="24"/>
        </w:rPr>
        <w:t xml:space="preserve">(Wales) </w:t>
      </w:r>
      <w:r w:rsidRPr="004177CA">
        <w:rPr>
          <w:rFonts w:ascii="Arial" w:eastAsia="Frutiger-Light" w:hAnsi="Arial" w:cs="Frutiger-Light"/>
          <w:color w:val="4D4D4F"/>
          <w:spacing w:val="-2"/>
          <w:sz w:val="24"/>
          <w:szCs w:val="24"/>
        </w:rPr>
        <w:t>Act 2014</w:t>
      </w:r>
      <w:r w:rsidR="00587ADC" w:rsidRPr="004177CA">
        <w:rPr>
          <w:rFonts w:ascii="Arial" w:eastAsia="Frutiger-Light" w:hAnsi="Arial" w:cs="Frutiger-Light"/>
          <w:color w:val="4D4D4F"/>
          <w:spacing w:val="-2"/>
          <w:sz w:val="24"/>
          <w:szCs w:val="24"/>
        </w:rPr>
        <w:t>,</w:t>
      </w:r>
      <w:r w:rsidRPr="004177CA">
        <w:rPr>
          <w:rFonts w:ascii="Arial" w:eastAsia="Frutiger-Light" w:hAnsi="Arial" w:cs="Frutiger-Light"/>
          <w:color w:val="4D4D4F"/>
          <w:spacing w:val="-2"/>
          <w:sz w:val="24"/>
          <w:szCs w:val="24"/>
        </w:rPr>
        <w:t xml:space="preserve"> focuses specifically on identifying and meeting care and support needs</w:t>
      </w:r>
      <w:r w:rsidR="00C81390" w:rsidRPr="004177CA">
        <w:rPr>
          <w:rFonts w:ascii="Arial" w:eastAsia="Frutiger-Light" w:hAnsi="Arial" w:cs="Frutiger-Light"/>
          <w:color w:val="4D4D4F"/>
          <w:spacing w:val="-2"/>
          <w:sz w:val="24"/>
          <w:szCs w:val="24"/>
        </w:rPr>
        <w:t xml:space="preserve"> including the needs of carers and</w:t>
      </w:r>
      <w:r w:rsidRPr="004177CA">
        <w:rPr>
          <w:rFonts w:ascii="Arial" w:eastAsia="Frutiger-Light" w:hAnsi="Arial" w:cs="Frutiger-Light"/>
          <w:color w:val="4D4D4F"/>
          <w:spacing w:val="-2"/>
          <w:sz w:val="24"/>
          <w:szCs w:val="24"/>
        </w:rPr>
        <w:t xml:space="preserve"> of the population </w:t>
      </w:r>
      <w:r w:rsidR="00587ADC" w:rsidRPr="004177CA">
        <w:rPr>
          <w:rFonts w:ascii="Arial" w:eastAsia="Frutiger-Light" w:hAnsi="Arial" w:cs="Frutiger-Light"/>
          <w:color w:val="4D4D4F"/>
          <w:spacing w:val="-2"/>
          <w:sz w:val="24"/>
          <w:szCs w:val="24"/>
        </w:rPr>
        <w:t>in</w:t>
      </w:r>
      <w:r w:rsidRPr="004177CA">
        <w:rPr>
          <w:rFonts w:ascii="Arial" w:eastAsia="Frutiger-Light" w:hAnsi="Arial" w:cs="Frutiger-Light"/>
          <w:color w:val="4D4D4F"/>
          <w:spacing w:val="-2"/>
          <w:sz w:val="24"/>
          <w:szCs w:val="24"/>
        </w:rPr>
        <w:t xml:space="preserve"> the partnership area (see FAQs 1 </w:t>
      </w:r>
      <w:r w:rsidR="00C81390" w:rsidRPr="004177CA">
        <w:rPr>
          <w:rFonts w:ascii="Arial" w:eastAsia="Frutiger-Light" w:hAnsi="Arial" w:cs="Frutiger-Light"/>
          <w:color w:val="4D4D4F"/>
          <w:spacing w:val="-2"/>
          <w:sz w:val="24"/>
          <w:szCs w:val="24"/>
        </w:rPr>
        <w:t>and</w:t>
      </w:r>
      <w:r w:rsidRPr="004177CA">
        <w:rPr>
          <w:rFonts w:ascii="Arial" w:eastAsia="Frutiger-Light" w:hAnsi="Arial" w:cs="Frutiger-Light"/>
          <w:color w:val="4D4D4F"/>
          <w:spacing w:val="-2"/>
          <w:sz w:val="24"/>
          <w:szCs w:val="24"/>
        </w:rPr>
        <w:t xml:space="preserve"> 2). </w:t>
      </w:r>
    </w:p>
    <w:p w:rsidR="004A5BC0" w:rsidRPr="004177CA" w:rsidRDefault="004A5BC0" w:rsidP="004A5BC0">
      <w:pPr>
        <w:spacing w:after="0" w:line="240" w:lineRule="auto"/>
        <w:rPr>
          <w:rFonts w:ascii="Arial" w:eastAsia="Frutiger-Light" w:hAnsi="Arial" w:cs="Frutiger-Light"/>
          <w:color w:val="4D4D4F"/>
          <w:spacing w:val="-2"/>
          <w:sz w:val="24"/>
          <w:szCs w:val="24"/>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The population assessment of care and support needs will inform the broader assessment of well-being as required under the Well-being of Future Generations (Wales) Act (see FAQ 5).</w:t>
      </w:r>
    </w:p>
    <w:p w:rsidR="004A5BC0" w:rsidRDefault="004A5BC0" w:rsidP="004A5BC0">
      <w:pPr>
        <w:spacing w:after="0" w:line="240" w:lineRule="auto"/>
        <w:rPr>
          <w:rFonts w:ascii="Arial" w:hAnsi="Arial" w:cs="Arial"/>
        </w:rPr>
      </w:pPr>
    </w:p>
    <w:p w:rsidR="00ED59F7" w:rsidRDefault="00ED59F7" w:rsidP="004A5BC0">
      <w:pPr>
        <w:spacing w:after="0" w:line="240" w:lineRule="auto"/>
        <w:rPr>
          <w:rFonts w:ascii="Arial" w:hAnsi="Arial" w:cs="Arial"/>
        </w:rPr>
      </w:pPr>
    </w:p>
    <w:p w:rsidR="00ED59F7" w:rsidRDefault="00ED59F7" w:rsidP="004A5BC0">
      <w:pPr>
        <w:spacing w:after="0" w:line="240" w:lineRule="auto"/>
        <w:rPr>
          <w:rFonts w:ascii="Arial" w:hAnsi="Arial" w:cs="Arial"/>
        </w:rPr>
      </w:pPr>
    </w:p>
    <w:p w:rsidR="00ED59F7" w:rsidRPr="004A5BC0" w:rsidRDefault="00ED59F7" w:rsidP="004A5BC0">
      <w:pPr>
        <w:spacing w:after="0" w:line="240" w:lineRule="auto"/>
        <w:rPr>
          <w:rFonts w:ascii="Arial" w:hAnsi="Arial" w:cs="Arial"/>
        </w:rPr>
      </w:pPr>
    </w:p>
    <w:p w:rsidR="004A5BC0" w:rsidRPr="004177CA" w:rsidRDefault="004A5BC0" w:rsidP="004177CA">
      <w:pPr>
        <w:pStyle w:val="ListParagraph"/>
        <w:numPr>
          <w:ilvl w:val="0"/>
          <w:numId w:val="2"/>
        </w:numPr>
        <w:spacing w:after="0" w:line="240" w:lineRule="auto"/>
        <w:rPr>
          <w:rFonts w:ascii="Arial" w:eastAsia="Frutiger-Bold" w:hAnsi="Arial" w:cs="Frutiger-Bold"/>
          <w:b/>
          <w:bCs/>
          <w:color w:val="4D4D4F"/>
          <w:spacing w:val="-5"/>
          <w:sz w:val="24"/>
          <w:szCs w:val="24"/>
        </w:rPr>
      </w:pPr>
      <w:r w:rsidRPr="004177CA">
        <w:rPr>
          <w:rFonts w:ascii="Arial" w:eastAsia="Frutiger-Bold" w:hAnsi="Arial" w:cs="Frutiger-Bold"/>
          <w:b/>
          <w:bCs/>
          <w:color w:val="4D4D4F"/>
          <w:spacing w:val="-5"/>
          <w:sz w:val="24"/>
          <w:szCs w:val="24"/>
        </w:rPr>
        <w:t xml:space="preserve">How does a population assessment report relate to assessments of </w:t>
      </w:r>
      <w:r w:rsidR="004177CA">
        <w:rPr>
          <w:rFonts w:ascii="Arial" w:eastAsia="Frutiger-Bold" w:hAnsi="Arial" w:cs="Frutiger-Bold"/>
          <w:b/>
          <w:bCs/>
          <w:color w:val="4D4D4F"/>
          <w:spacing w:val="-5"/>
          <w:sz w:val="24"/>
          <w:szCs w:val="24"/>
        </w:rPr>
        <w:br/>
      </w:r>
      <w:r w:rsidRPr="004177CA">
        <w:rPr>
          <w:rFonts w:ascii="Arial" w:eastAsia="Frutiger-Bold" w:hAnsi="Arial" w:cs="Frutiger-Bold"/>
          <w:b/>
          <w:bCs/>
          <w:color w:val="4D4D4F"/>
          <w:spacing w:val="-5"/>
          <w:sz w:val="24"/>
          <w:szCs w:val="24"/>
        </w:rPr>
        <w:t>local well-being?</w:t>
      </w:r>
    </w:p>
    <w:p w:rsidR="004A5BC0" w:rsidRPr="004A5BC0" w:rsidRDefault="004A5BC0" w:rsidP="004A5BC0">
      <w:pPr>
        <w:pStyle w:val="ListParagraph"/>
        <w:spacing w:after="0" w:line="240" w:lineRule="auto"/>
        <w:ind w:left="360"/>
        <w:rPr>
          <w:rFonts w:ascii="Arial" w:hAnsi="Arial" w:cs="Arial"/>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 xml:space="preserve">The Well-being of Future Generations (Wales) Act 2015 specifies that population assessments undertaken as a result of the Social Services and Well-being (Wales) Act 2014, must be taken into account by </w:t>
      </w:r>
      <w:r w:rsidR="00ED59F7">
        <w:rPr>
          <w:rFonts w:ascii="Arial" w:eastAsia="Frutiger-Light" w:hAnsi="Arial" w:cs="Frutiger-Light"/>
          <w:color w:val="4D4D4F"/>
          <w:spacing w:val="-2"/>
          <w:sz w:val="24"/>
          <w:szCs w:val="24"/>
        </w:rPr>
        <w:t xml:space="preserve">the </w:t>
      </w:r>
      <w:r w:rsidR="00587ADC" w:rsidRPr="004177CA">
        <w:rPr>
          <w:rFonts w:ascii="Arial" w:eastAsia="Frutiger-Light" w:hAnsi="Arial" w:cs="Frutiger-Light"/>
          <w:color w:val="4D4D4F"/>
          <w:spacing w:val="-2"/>
          <w:sz w:val="24"/>
          <w:szCs w:val="24"/>
        </w:rPr>
        <w:t>P</w:t>
      </w:r>
      <w:r w:rsidRPr="004177CA">
        <w:rPr>
          <w:rFonts w:ascii="Arial" w:eastAsia="Frutiger-Light" w:hAnsi="Arial" w:cs="Frutiger-Light"/>
          <w:color w:val="4D4D4F"/>
          <w:spacing w:val="-2"/>
          <w:sz w:val="24"/>
          <w:szCs w:val="24"/>
        </w:rPr>
        <w:t xml:space="preserve">ublic </w:t>
      </w:r>
      <w:r w:rsidR="00587ADC" w:rsidRPr="004177CA">
        <w:rPr>
          <w:rFonts w:ascii="Arial" w:eastAsia="Frutiger-Light" w:hAnsi="Arial" w:cs="Frutiger-Light"/>
          <w:color w:val="4D4D4F"/>
          <w:spacing w:val="-2"/>
          <w:sz w:val="24"/>
          <w:szCs w:val="24"/>
        </w:rPr>
        <w:t>S</w:t>
      </w:r>
      <w:r w:rsidRPr="004177CA">
        <w:rPr>
          <w:rFonts w:ascii="Arial" w:eastAsia="Frutiger-Light" w:hAnsi="Arial" w:cs="Frutiger-Light"/>
          <w:color w:val="4D4D4F"/>
          <w:spacing w:val="-2"/>
          <w:sz w:val="24"/>
          <w:szCs w:val="24"/>
        </w:rPr>
        <w:t xml:space="preserve">ervices </w:t>
      </w:r>
      <w:r w:rsidR="00587ADC" w:rsidRPr="004177CA">
        <w:rPr>
          <w:rFonts w:ascii="Arial" w:eastAsia="Frutiger-Light" w:hAnsi="Arial" w:cs="Frutiger-Light"/>
          <w:color w:val="4D4D4F"/>
          <w:spacing w:val="-2"/>
          <w:sz w:val="24"/>
          <w:szCs w:val="24"/>
        </w:rPr>
        <w:t>B</w:t>
      </w:r>
      <w:r w:rsidRPr="004177CA">
        <w:rPr>
          <w:rFonts w:ascii="Arial" w:eastAsia="Frutiger-Light" w:hAnsi="Arial" w:cs="Frutiger-Light"/>
          <w:color w:val="4D4D4F"/>
          <w:spacing w:val="-2"/>
          <w:sz w:val="24"/>
          <w:szCs w:val="24"/>
        </w:rPr>
        <w:t xml:space="preserve">oard as part of the process of undertaking their local well-being assessment.  </w:t>
      </w:r>
    </w:p>
    <w:p w:rsidR="004A5BC0" w:rsidRPr="004177CA" w:rsidRDefault="004A5BC0" w:rsidP="004A5BC0">
      <w:pPr>
        <w:spacing w:after="0" w:line="240" w:lineRule="auto"/>
        <w:rPr>
          <w:rFonts w:ascii="Arial" w:eastAsia="Frutiger-Light" w:hAnsi="Arial" w:cs="Frutiger-Light"/>
          <w:color w:val="4D4D4F"/>
          <w:spacing w:val="-2"/>
          <w:sz w:val="24"/>
          <w:szCs w:val="24"/>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The local well-being plan</w:t>
      </w:r>
      <w:r w:rsidR="00587ADC" w:rsidRPr="004177CA">
        <w:rPr>
          <w:rFonts w:ascii="Arial" w:eastAsia="Frutiger-Light" w:hAnsi="Arial" w:cs="Frutiger-Light"/>
          <w:color w:val="4D4D4F"/>
          <w:spacing w:val="-2"/>
          <w:sz w:val="24"/>
          <w:szCs w:val="24"/>
        </w:rPr>
        <w:t>,</w:t>
      </w:r>
      <w:r w:rsidRPr="004177CA">
        <w:rPr>
          <w:rFonts w:ascii="Arial" w:eastAsia="Frutiger-Light" w:hAnsi="Arial" w:cs="Frutiger-Light"/>
          <w:color w:val="4D4D4F"/>
          <w:spacing w:val="-2"/>
          <w:sz w:val="24"/>
          <w:szCs w:val="24"/>
        </w:rPr>
        <w:t xml:space="preserve"> which the boards will produce</w:t>
      </w:r>
      <w:r w:rsidR="00587ADC" w:rsidRPr="004177CA">
        <w:rPr>
          <w:rFonts w:ascii="Arial" w:eastAsia="Frutiger-Light" w:hAnsi="Arial" w:cs="Frutiger-Light"/>
          <w:color w:val="4D4D4F"/>
          <w:spacing w:val="-2"/>
          <w:sz w:val="24"/>
          <w:szCs w:val="24"/>
        </w:rPr>
        <w:t>,</w:t>
      </w:r>
      <w:r w:rsidRPr="004177CA">
        <w:rPr>
          <w:rFonts w:ascii="Arial" w:eastAsia="Frutiger-Light" w:hAnsi="Arial" w:cs="Frutiger-Light"/>
          <w:color w:val="4D4D4F"/>
          <w:spacing w:val="-2"/>
          <w:sz w:val="24"/>
          <w:szCs w:val="24"/>
        </w:rPr>
        <w:t xml:space="preserve"> will need to have regard to the matters raised in the assessment of local well-being.  </w:t>
      </w:r>
    </w:p>
    <w:p w:rsidR="004A5BC0" w:rsidRPr="004177CA" w:rsidRDefault="004A5BC0" w:rsidP="004A5BC0">
      <w:pPr>
        <w:spacing w:after="0" w:line="240" w:lineRule="auto"/>
        <w:rPr>
          <w:rFonts w:ascii="Arial" w:eastAsia="Frutiger-Light" w:hAnsi="Arial" w:cs="Frutiger-Light"/>
          <w:color w:val="4D4D4F"/>
          <w:spacing w:val="-2"/>
          <w:sz w:val="24"/>
          <w:szCs w:val="24"/>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 xml:space="preserve">The local well-being plan operates at local authority level and is focused more broadly on strategically improving the overall well-being of citizens </w:t>
      </w:r>
      <w:r w:rsidR="00587ADC" w:rsidRPr="004177CA">
        <w:rPr>
          <w:rFonts w:ascii="Arial" w:eastAsia="Frutiger-Light" w:hAnsi="Arial" w:cs="Frutiger-Light"/>
          <w:color w:val="4D4D4F"/>
          <w:spacing w:val="-2"/>
          <w:sz w:val="24"/>
          <w:szCs w:val="24"/>
        </w:rPr>
        <w:t>in</w:t>
      </w:r>
      <w:r w:rsidRPr="004177CA">
        <w:rPr>
          <w:rFonts w:ascii="Arial" w:eastAsia="Frutiger-Light" w:hAnsi="Arial" w:cs="Frutiger-Light"/>
          <w:color w:val="4D4D4F"/>
          <w:spacing w:val="-2"/>
          <w:sz w:val="24"/>
          <w:szCs w:val="24"/>
        </w:rPr>
        <w:t xml:space="preserve"> that area.</w:t>
      </w:r>
    </w:p>
    <w:p w:rsidR="004A5BC0" w:rsidRPr="004A5BC0" w:rsidRDefault="004A5BC0" w:rsidP="004A5BC0">
      <w:pPr>
        <w:spacing w:after="0" w:line="240" w:lineRule="auto"/>
        <w:rPr>
          <w:rFonts w:ascii="Arial" w:hAnsi="Arial" w:cs="Arial"/>
        </w:rPr>
      </w:pPr>
    </w:p>
    <w:p w:rsidR="004A5BC0" w:rsidRPr="004177CA" w:rsidRDefault="004A5BC0" w:rsidP="004177CA">
      <w:pPr>
        <w:pStyle w:val="ListParagraph"/>
        <w:numPr>
          <w:ilvl w:val="0"/>
          <w:numId w:val="2"/>
        </w:numPr>
        <w:spacing w:after="0" w:line="240" w:lineRule="auto"/>
        <w:rPr>
          <w:rFonts w:ascii="Arial" w:eastAsia="Frutiger-Bold" w:hAnsi="Arial" w:cs="Frutiger-Bold"/>
          <w:b/>
          <w:bCs/>
          <w:color w:val="4D4D4F"/>
          <w:spacing w:val="-5"/>
          <w:sz w:val="24"/>
          <w:szCs w:val="24"/>
        </w:rPr>
      </w:pPr>
      <w:r w:rsidRPr="004177CA">
        <w:rPr>
          <w:rFonts w:ascii="Arial" w:eastAsia="Frutiger-Bold" w:hAnsi="Arial" w:cs="Frutiger-Bold"/>
          <w:b/>
          <w:bCs/>
          <w:color w:val="4D4D4F"/>
          <w:spacing w:val="-5"/>
          <w:sz w:val="24"/>
          <w:szCs w:val="24"/>
        </w:rPr>
        <w:t>How does the timescale for the production of the population assessment report relate to production of the assessments of local well-being?</w:t>
      </w:r>
    </w:p>
    <w:p w:rsidR="004A5BC0" w:rsidRPr="004A5BC0" w:rsidRDefault="004A5BC0" w:rsidP="004A5BC0">
      <w:pPr>
        <w:pStyle w:val="ListParagraph"/>
        <w:spacing w:after="0" w:line="240" w:lineRule="auto"/>
        <w:ind w:left="360"/>
        <w:rPr>
          <w:rFonts w:ascii="Arial" w:hAnsi="Arial" w:cs="Arial"/>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The first population assessment report is required by April 2017 (see FAQ 3). The first assessment of local well-being will need to be produced by May 2017. This means the gathering of evidence can be done once, and analysed for both purposes.</w:t>
      </w:r>
    </w:p>
    <w:p w:rsidR="004A5BC0" w:rsidRPr="004A5BC0" w:rsidRDefault="004A5BC0" w:rsidP="004A5BC0">
      <w:pPr>
        <w:spacing w:after="0" w:line="240" w:lineRule="auto"/>
        <w:rPr>
          <w:rFonts w:ascii="Arial" w:hAnsi="Arial" w:cs="Arial"/>
        </w:rPr>
      </w:pPr>
    </w:p>
    <w:p w:rsidR="004A5BC0" w:rsidRPr="004177CA" w:rsidRDefault="004A5BC0" w:rsidP="004177CA">
      <w:pPr>
        <w:pStyle w:val="ListParagraph"/>
        <w:numPr>
          <w:ilvl w:val="0"/>
          <w:numId w:val="2"/>
        </w:numPr>
        <w:spacing w:after="0" w:line="240" w:lineRule="auto"/>
        <w:rPr>
          <w:rFonts w:ascii="Arial" w:eastAsia="Frutiger-Bold" w:hAnsi="Arial" w:cs="Frutiger-Bold"/>
          <w:b/>
          <w:bCs/>
          <w:color w:val="4D4D4F"/>
          <w:spacing w:val="-5"/>
          <w:sz w:val="24"/>
          <w:szCs w:val="24"/>
        </w:rPr>
      </w:pPr>
      <w:r w:rsidRPr="004177CA">
        <w:rPr>
          <w:rFonts w:ascii="Arial" w:eastAsia="Frutiger-Bold" w:hAnsi="Arial" w:cs="Frutiger-Bold"/>
          <w:b/>
          <w:bCs/>
          <w:color w:val="4D4D4F"/>
          <w:spacing w:val="-5"/>
          <w:sz w:val="24"/>
          <w:szCs w:val="24"/>
        </w:rPr>
        <w:t>Does the population assessment report inform other strategic plans?</w:t>
      </w:r>
    </w:p>
    <w:p w:rsidR="004A5BC0" w:rsidRPr="004A5BC0" w:rsidRDefault="004A5BC0" w:rsidP="004A5BC0">
      <w:pPr>
        <w:pStyle w:val="ListParagraph"/>
        <w:spacing w:after="0" w:line="240" w:lineRule="auto"/>
        <w:ind w:left="360"/>
        <w:rPr>
          <w:rFonts w:ascii="Arial" w:hAnsi="Arial" w:cs="Arial"/>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 xml:space="preserve">A population assessment report will be a rich source of information and will contribute significantly to the development of a wide range of strategic plans relating to health and social services, including integrated medium term plans. The report should be used to inform various planning and operational decisions to help develop services </w:t>
      </w:r>
      <w:r w:rsidR="00ED59F7">
        <w:rPr>
          <w:rFonts w:ascii="Arial" w:eastAsia="Frutiger-Light" w:hAnsi="Arial" w:cs="Frutiger-Light"/>
          <w:color w:val="4D4D4F"/>
          <w:spacing w:val="-2"/>
          <w:sz w:val="24"/>
          <w:szCs w:val="24"/>
        </w:rPr>
        <w:br/>
      </w:r>
      <w:r w:rsidRPr="004177CA">
        <w:rPr>
          <w:rFonts w:ascii="Arial" w:eastAsia="Frutiger-Light" w:hAnsi="Arial" w:cs="Frutiger-Light"/>
          <w:color w:val="4D4D4F"/>
          <w:spacing w:val="-2"/>
          <w:sz w:val="24"/>
          <w:szCs w:val="24"/>
        </w:rPr>
        <w:t xml:space="preserve">to meet the needs of people in a preventative manner, and assist local authorities </w:t>
      </w:r>
      <w:r w:rsidR="00ED59F7">
        <w:rPr>
          <w:rFonts w:ascii="Arial" w:eastAsia="Frutiger-Light" w:hAnsi="Arial" w:cs="Frutiger-Light"/>
          <w:color w:val="4D4D4F"/>
          <w:spacing w:val="-2"/>
          <w:sz w:val="24"/>
          <w:szCs w:val="24"/>
        </w:rPr>
        <w:br/>
      </w:r>
      <w:r w:rsidRPr="004177CA">
        <w:rPr>
          <w:rFonts w:ascii="Arial" w:eastAsia="Frutiger-Light" w:hAnsi="Arial" w:cs="Frutiger-Light"/>
          <w:color w:val="4D4D4F"/>
          <w:spacing w:val="-2"/>
          <w:sz w:val="24"/>
          <w:szCs w:val="24"/>
        </w:rPr>
        <w:t xml:space="preserve">in meeting their duty under Section 16 of the Act to promote social enterprises, </w:t>
      </w:r>
      <w:r w:rsidR="00ED59F7">
        <w:rPr>
          <w:rFonts w:ascii="Arial" w:eastAsia="Frutiger-Light" w:hAnsi="Arial" w:cs="Frutiger-Light"/>
          <w:color w:val="4D4D4F"/>
          <w:spacing w:val="-2"/>
          <w:sz w:val="24"/>
          <w:szCs w:val="24"/>
        </w:rPr>
        <w:br/>
      </w:r>
      <w:r w:rsidRPr="004177CA">
        <w:rPr>
          <w:rFonts w:ascii="Arial" w:eastAsia="Frutiger-Light" w:hAnsi="Arial" w:cs="Frutiger-Light"/>
          <w:color w:val="4D4D4F"/>
          <w:spacing w:val="-2"/>
          <w:sz w:val="24"/>
          <w:szCs w:val="24"/>
        </w:rPr>
        <w:t>co-operative organisations, co-operative arrangements and third sector organisations to provide care and support and preventative services in their area.</w:t>
      </w:r>
    </w:p>
    <w:p w:rsidR="004A5BC0" w:rsidRPr="004A5BC0" w:rsidRDefault="004A5BC0" w:rsidP="004A5BC0">
      <w:pPr>
        <w:spacing w:after="0" w:line="240" w:lineRule="auto"/>
        <w:rPr>
          <w:rFonts w:ascii="Arial" w:hAnsi="Arial" w:cs="Arial"/>
        </w:rPr>
      </w:pPr>
    </w:p>
    <w:p w:rsidR="004A5BC0" w:rsidRPr="004177CA" w:rsidRDefault="004A5BC0" w:rsidP="004177CA">
      <w:pPr>
        <w:pStyle w:val="ListParagraph"/>
        <w:numPr>
          <w:ilvl w:val="0"/>
          <w:numId w:val="2"/>
        </w:numPr>
        <w:spacing w:after="0" w:line="240" w:lineRule="auto"/>
        <w:rPr>
          <w:rFonts w:ascii="Arial" w:eastAsia="Frutiger-Bold" w:hAnsi="Arial" w:cs="Frutiger-Bold"/>
          <w:b/>
          <w:bCs/>
          <w:color w:val="4D4D4F"/>
          <w:spacing w:val="-5"/>
          <w:sz w:val="24"/>
          <w:szCs w:val="24"/>
        </w:rPr>
      </w:pPr>
      <w:r w:rsidRPr="004177CA">
        <w:rPr>
          <w:rFonts w:ascii="Arial" w:eastAsia="Frutiger-Bold" w:hAnsi="Arial" w:cs="Frutiger-Bold"/>
          <w:b/>
          <w:bCs/>
          <w:color w:val="4D4D4F"/>
          <w:spacing w:val="-5"/>
          <w:sz w:val="24"/>
          <w:szCs w:val="24"/>
        </w:rPr>
        <w:t>How does the population assessment relate to preventative services?</w:t>
      </w:r>
    </w:p>
    <w:p w:rsidR="004A5BC0" w:rsidRDefault="004A5BC0" w:rsidP="004A5BC0">
      <w:pPr>
        <w:spacing w:after="0" w:line="240" w:lineRule="auto"/>
        <w:rPr>
          <w:rFonts w:ascii="Arial" w:hAnsi="Arial" w:cs="Arial"/>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The population assessment report (</w:t>
      </w:r>
      <w:r w:rsidR="00C81390" w:rsidRPr="004177CA">
        <w:rPr>
          <w:rFonts w:ascii="Arial" w:eastAsia="Frutiger-Light" w:hAnsi="Arial" w:cs="Frutiger-Light"/>
          <w:color w:val="4D4D4F"/>
          <w:spacing w:val="-2"/>
          <w:sz w:val="24"/>
          <w:szCs w:val="24"/>
        </w:rPr>
        <w:t xml:space="preserve">see </w:t>
      </w:r>
      <w:r w:rsidRPr="004177CA">
        <w:rPr>
          <w:rFonts w:ascii="Arial" w:eastAsia="Frutiger-Light" w:hAnsi="Arial" w:cs="Frutiger-Light"/>
          <w:color w:val="4D4D4F"/>
          <w:spacing w:val="-2"/>
          <w:sz w:val="24"/>
          <w:szCs w:val="24"/>
        </w:rPr>
        <w:t>FAQ 1) must identify the range and level of preventative services required within the local authority’s area. Local authorities must arrange or provide services designed to prevent, delay or reduce needs for care and support. Local health boards are required to have regard to the importance of achieving these preventative purposes when exercising their functions.</w:t>
      </w:r>
    </w:p>
    <w:p w:rsidR="004A5BC0" w:rsidRPr="004A5BC0" w:rsidRDefault="004A5BC0" w:rsidP="004A5BC0">
      <w:pPr>
        <w:spacing w:after="0" w:line="240" w:lineRule="auto"/>
        <w:rPr>
          <w:rFonts w:ascii="Arial" w:hAnsi="Arial" w:cs="Arial"/>
        </w:rPr>
      </w:pPr>
    </w:p>
    <w:p w:rsidR="004A5BC0" w:rsidRPr="004177CA" w:rsidRDefault="004A5BC0" w:rsidP="004177CA">
      <w:pPr>
        <w:pStyle w:val="ListParagraph"/>
        <w:numPr>
          <w:ilvl w:val="0"/>
          <w:numId w:val="2"/>
        </w:numPr>
        <w:spacing w:after="0" w:line="240" w:lineRule="auto"/>
        <w:rPr>
          <w:rFonts w:ascii="Arial" w:eastAsia="Frutiger-Bold" w:hAnsi="Arial" w:cs="Frutiger-Bold"/>
          <w:b/>
          <w:bCs/>
          <w:color w:val="4D4D4F"/>
          <w:spacing w:val="-5"/>
          <w:sz w:val="24"/>
          <w:szCs w:val="24"/>
        </w:rPr>
      </w:pPr>
      <w:r w:rsidRPr="004177CA">
        <w:rPr>
          <w:rFonts w:ascii="Arial" w:eastAsia="Frutiger-Bold" w:hAnsi="Arial" w:cs="Frutiger-Bold"/>
          <w:b/>
          <w:bCs/>
          <w:color w:val="4D4D4F"/>
          <w:spacing w:val="-5"/>
          <w:sz w:val="24"/>
          <w:szCs w:val="24"/>
        </w:rPr>
        <w:t>Where can I find details on how to prepare a population assessment report?</w:t>
      </w:r>
    </w:p>
    <w:p w:rsidR="004A5BC0" w:rsidRPr="004177CA" w:rsidRDefault="004A5BC0" w:rsidP="004A5BC0">
      <w:pPr>
        <w:pStyle w:val="ListParagraph"/>
        <w:spacing w:after="0" w:line="240" w:lineRule="auto"/>
        <w:ind w:left="360"/>
        <w:rPr>
          <w:rFonts w:ascii="Arial" w:hAnsi="Arial" w:cs="Arial"/>
          <w:b/>
          <w:sz w:val="24"/>
          <w:szCs w:val="24"/>
        </w:rPr>
      </w:pPr>
    </w:p>
    <w:p w:rsidR="004A5BC0" w:rsidRPr="004177CA" w:rsidRDefault="004A5BC0" w:rsidP="004A5BC0">
      <w:pPr>
        <w:spacing w:after="0" w:line="240" w:lineRule="auto"/>
        <w:rPr>
          <w:rFonts w:ascii="Arial" w:eastAsia="Frutiger-Light" w:hAnsi="Arial" w:cs="Frutiger-Light"/>
          <w:color w:val="4D4D4F"/>
          <w:spacing w:val="-2"/>
          <w:sz w:val="24"/>
          <w:szCs w:val="24"/>
        </w:rPr>
      </w:pPr>
      <w:r w:rsidRPr="004177CA">
        <w:rPr>
          <w:rFonts w:ascii="Arial" w:eastAsia="Frutiger-Light" w:hAnsi="Arial" w:cs="Frutiger-Light"/>
          <w:color w:val="4D4D4F"/>
          <w:spacing w:val="-2"/>
          <w:sz w:val="24"/>
          <w:szCs w:val="24"/>
        </w:rPr>
        <w:t xml:space="preserve">Details on how to undertake a population assessment </w:t>
      </w:r>
      <w:r w:rsidR="00794EAD" w:rsidRPr="004177CA">
        <w:rPr>
          <w:rFonts w:ascii="Arial" w:eastAsia="Frutiger-Light" w:hAnsi="Arial" w:cs="Frutiger-Light"/>
          <w:color w:val="4D4D4F"/>
          <w:spacing w:val="-2"/>
          <w:sz w:val="24"/>
          <w:szCs w:val="24"/>
        </w:rPr>
        <w:t>ar</w:t>
      </w:r>
      <w:r w:rsidRPr="004177CA">
        <w:rPr>
          <w:rFonts w:ascii="Arial" w:eastAsia="Frutiger-Light" w:hAnsi="Arial" w:cs="Frutiger-Light"/>
          <w:color w:val="4D4D4F"/>
          <w:spacing w:val="-2"/>
          <w:sz w:val="24"/>
          <w:szCs w:val="24"/>
        </w:rPr>
        <w:t>e set out in the</w:t>
      </w:r>
      <w:r w:rsidRPr="004177CA">
        <w:rPr>
          <w:rFonts w:ascii="Arial" w:hAnsi="Arial" w:cs="Arial"/>
          <w:sz w:val="24"/>
          <w:szCs w:val="24"/>
        </w:rPr>
        <w:t xml:space="preserve"> </w:t>
      </w:r>
      <w:hyperlink r:id="rId9" w:history="1">
        <w:r w:rsidR="00794EAD" w:rsidRPr="004177CA">
          <w:rPr>
            <w:rStyle w:val="Hyperlink"/>
            <w:rFonts w:ascii="Arial" w:hAnsi="Arial" w:cs="Arial"/>
            <w:sz w:val="24"/>
            <w:szCs w:val="24"/>
          </w:rPr>
          <w:t xml:space="preserve">Part </w:t>
        </w:r>
        <w:r w:rsidR="00794EAD" w:rsidRPr="004177CA">
          <w:rPr>
            <w:rStyle w:val="Hyperlink"/>
            <w:rFonts w:ascii="Arial" w:hAnsi="Arial" w:cs="Arial"/>
            <w:sz w:val="24"/>
            <w:szCs w:val="24"/>
          </w:rPr>
          <w:t>2</w:t>
        </w:r>
        <w:r w:rsidR="00794EAD" w:rsidRPr="004177CA">
          <w:rPr>
            <w:rStyle w:val="Hyperlink"/>
            <w:rFonts w:ascii="Arial" w:hAnsi="Arial" w:cs="Arial"/>
            <w:sz w:val="24"/>
            <w:szCs w:val="24"/>
          </w:rPr>
          <w:t xml:space="preserve"> </w:t>
        </w:r>
        <w:r w:rsidRPr="004177CA">
          <w:rPr>
            <w:rStyle w:val="Hyperlink"/>
            <w:rFonts w:ascii="Arial" w:hAnsi="Arial" w:cs="Arial"/>
            <w:sz w:val="24"/>
            <w:szCs w:val="24"/>
          </w:rPr>
          <w:t>Code of Practice</w:t>
        </w:r>
      </w:hyperlink>
      <w:r w:rsidRPr="004177CA">
        <w:rPr>
          <w:rFonts w:ascii="Arial" w:eastAsia="Frutiger-Light" w:hAnsi="Arial" w:cs="Frutiger-Light"/>
          <w:color w:val="4D4D4F"/>
          <w:spacing w:val="-2"/>
          <w:sz w:val="24"/>
          <w:szCs w:val="24"/>
        </w:rPr>
        <w:t xml:space="preserve"> (General Functions). </w:t>
      </w:r>
    </w:p>
    <w:p w:rsidR="00794EAD" w:rsidRPr="004177CA" w:rsidRDefault="00794EAD" w:rsidP="004A5BC0">
      <w:pPr>
        <w:spacing w:after="0" w:line="240" w:lineRule="auto"/>
        <w:rPr>
          <w:rFonts w:ascii="Arial" w:hAnsi="Arial" w:cs="Arial"/>
          <w:sz w:val="24"/>
          <w:szCs w:val="24"/>
        </w:rPr>
      </w:pPr>
    </w:p>
    <w:p w:rsidR="00794EAD" w:rsidRPr="004177CA" w:rsidRDefault="00ED59F7" w:rsidP="00794EAD">
      <w:pPr>
        <w:spacing w:after="0" w:line="240" w:lineRule="auto"/>
        <w:rPr>
          <w:rFonts w:ascii="Arial" w:hAnsi="Arial" w:cs="Arial"/>
          <w:sz w:val="24"/>
          <w:szCs w:val="24"/>
        </w:rPr>
      </w:pPr>
      <w:hyperlink r:id="rId10" w:history="1">
        <w:r w:rsidR="004A5BC0" w:rsidRPr="004177CA">
          <w:rPr>
            <w:rStyle w:val="Hyperlink"/>
            <w:rFonts w:ascii="Arial" w:hAnsi="Arial" w:cs="Arial"/>
            <w:sz w:val="24"/>
            <w:szCs w:val="24"/>
          </w:rPr>
          <w:t>WHC (2015) 045: Implications of the So</w:t>
        </w:r>
        <w:r w:rsidR="004A5BC0" w:rsidRPr="004177CA">
          <w:rPr>
            <w:rStyle w:val="Hyperlink"/>
            <w:rFonts w:ascii="Arial" w:hAnsi="Arial" w:cs="Arial"/>
            <w:sz w:val="24"/>
            <w:szCs w:val="24"/>
          </w:rPr>
          <w:t>c</w:t>
        </w:r>
        <w:r w:rsidR="004A5BC0" w:rsidRPr="004177CA">
          <w:rPr>
            <w:rStyle w:val="Hyperlink"/>
            <w:rFonts w:ascii="Arial" w:hAnsi="Arial" w:cs="Arial"/>
            <w:sz w:val="24"/>
            <w:szCs w:val="24"/>
          </w:rPr>
          <w:t>ial Services and Well-being (Wales) Act 201</w:t>
        </w:r>
        <w:r w:rsidR="00587ADC" w:rsidRPr="004177CA">
          <w:rPr>
            <w:rStyle w:val="Hyperlink"/>
            <w:rFonts w:ascii="Arial" w:hAnsi="Arial" w:cs="Arial"/>
            <w:sz w:val="24"/>
            <w:szCs w:val="24"/>
          </w:rPr>
          <w:t>4</w:t>
        </w:r>
        <w:r w:rsidR="004A5BC0" w:rsidRPr="004177CA">
          <w:rPr>
            <w:rStyle w:val="Hyperlink"/>
            <w:rFonts w:ascii="Arial" w:hAnsi="Arial" w:cs="Arial"/>
            <w:sz w:val="24"/>
            <w:szCs w:val="24"/>
          </w:rPr>
          <w:t xml:space="preserve"> for NHS University Health Boards and Trusts (September 2015)</w:t>
        </w:r>
      </w:hyperlink>
      <w:r w:rsidR="00794EAD" w:rsidRPr="004177CA">
        <w:rPr>
          <w:rFonts w:ascii="Arial" w:hAnsi="Arial" w:cs="Arial"/>
          <w:sz w:val="24"/>
          <w:szCs w:val="24"/>
        </w:rPr>
        <w:t>.</w:t>
      </w:r>
    </w:p>
    <w:p w:rsidR="004A5BC0" w:rsidRPr="004177CA" w:rsidRDefault="004A5BC0" w:rsidP="004A5BC0">
      <w:pPr>
        <w:spacing w:after="0" w:line="240" w:lineRule="auto"/>
        <w:rPr>
          <w:rFonts w:ascii="Arial" w:hAnsi="Arial" w:cs="Arial"/>
          <w:sz w:val="24"/>
          <w:szCs w:val="24"/>
        </w:rPr>
      </w:pPr>
      <w:r w:rsidRPr="004177CA">
        <w:rPr>
          <w:rFonts w:ascii="Arial" w:hAnsi="Arial" w:cs="Arial"/>
          <w:sz w:val="24"/>
          <w:szCs w:val="24"/>
        </w:rPr>
        <w:t xml:space="preserve"> </w:t>
      </w:r>
    </w:p>
    <w:p w:rsidR="00794EAD" w:rsidRPr="004A5BC0" w:rsidRDefault="00794EAD" w:rsidP="004A5BC0">
      <w:pPr>
        <w:spacing w:after="0" w:line="240" w:lineRule="auto"/>
        <w:rPr>
          <w:rFonts w:ascii="Arial" w:hAnsi="Arial" w:cs="Arial"/>
        </w:rPr>
      </w:pPr>
    </w:p>
    <w:sectPr w:rsidR="00794EAD" w:rsidRPr="004A5BC0" w:rsidSect="00C650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33" w:rsidRDefault="00754733" w:rsidP="00C650B3">
      <w:pPr>
        <w:spacing w:after="0" w:line="240" w:lineRule="auto"/>
      </w:pPr>
      <w:r>
        <w:separator/>
      </w:r>
    </w:p>
  </w:endnote>
  <w:endnote w:type="continuationSeparator" w:id="0">
    <w:p w:rsidR="00754733" w:rsidRDefault="00754733" w:rsidP="00C6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rutiger-Bold">
    <w:altName w:val="L Frutiger Light"/>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ight">
    <w:altName w:val="L Frutiger Light"/>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F5" w:rsidRDefault="00002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B3" w:rsidRDefault="00C650B3">
    <w:pPr>
      <w:pStyle w:val="Footer"/>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F5" w:rsidRDefault="00002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33" w:rsidRDefault="00754733" w:rsidP="00C650B3">
      <w:pPr>
        <w:spacing w:after="0" w:line="240" w:lineRule="auto"/>
      </w:pPr>
      <w:r>
        <w:separator/>
      </w:r>
    </w:p>
  </w:footnote>
  <w:footnote w:type="continuationSeparator" w:id="0">
    <w:p w:rsidR="00754733" w:rsidRDefault="00754733" w:rsidP="00C6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F5" w:rsidRDefault="00002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B3" w:rsidRDefault="00C650B3" w:rsidP="00C650B3">
    <w:pPr>
      <w:pStyle w:val="Header"/>
      <w:jc w:val="right"/>
    </w:pPr>
    <w:r>
      <w:rPr>
        <w:noProof/>
        <w:lang w:eastAsia="en-GB"/>
      </w:rPr>
      <w:drawing>
        <wp:inline distT="0" distB="0" distL="0" distR="0" wp14:anchorId="7C22EED5" wp14:editId="63315BE3">
          <wp:extent cx="922411" cy="802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412" cy="80225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F5" w:rsidRDefault="00002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045E9"/>
    <w:multiLevelType w:val="hybridMultilevel"/>
    <w:tmpl w:val="6F9AD98A"/>
    <w:lvl w:ilvl="0" w:tplc="F6F0FD14">
      <w:start w:val="1"/>
      <w:numFmt w:val="decimal"/>
      <w:lvlText w:val="%1."/>
      <w:lvlJc w:val="left"/>
      <w:pPr>
        <w:ind w:left="360" w:hanging="360"/>
      </w:pPr>
      <w:rPr>
        <w:rFonts w:eastAsia="Frutiger-Bold" w:cs="Frutiger-Bold" w:hint="default"/>
        <w:color w:val="4D4D4F"/>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EE317A"/>
    <w:multiLevelType w:val="hybridMultilevel"/>
    <w:tmpl w:val="9066F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C0"/>
    <w:rsid w:val="00002FF5"/>
    <w:rsid w:val="004177CA"/>
    <w:rsid w:val="004A5BC0"/>
    <w:rsid w:val="00587ADC"/>
    <w:rsid w:val="00754733"/>
    <w:rsid w:val="007735F1"/>
    <w:rsid w:val="00794EAD"/>
    <w:rsid w:val="00C650B3"/>
    <w:rsid w:val="00C81390"/>
    <w:rsid w:val="00ED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C0"/>
    <w:pPr>
      <w:ind w:left="720"/>
      <w:contextualSpacing/>
    </w:pPr>
  </w:style>
  <w:style w:type="character" w:styleId="Hyperlink">
    <w:name w:val="Hyperlink"/>
    <w:basedOn w:val="DefaultParagraphFont"/>
    <w:uiPriority w:val="99"/>
    <w:unhideWhenUsed/>
    <w:rsid w:val="004A5BC0"/>
    <w:rPr>
      <w:color w:val="0000FF" w:themeColor="hyperlink"/>
      <w:u w:val="single"/>
    </w:rPr>
  </w:style>
  <w:style w:type="character" w:styleId="FollowedHyperlink">
    <w:name w:val="FollowedHyperlink"/>
    <w:basedOn w:val="DefaultParagraphFont"/>
    <w:uiPriority w:val="99"/>
    <w:semiHidden/>
    <w:unhideWhenUsed/>
    <w:rsid w:val="00C650B3"/>
    <w:rPr>
      <w:color w:val="800080" w:themeColor="followedHyperlink"/>
      <w:u w:val="single"/>
    </w:rPr>
  </w:style>
  <w:style w:type="paragraph" w:styleId="Header">
    <w:name w:val="header"/>
    <w:basedOn w:val="Normal"/>
    <w:link w:val="HeaderChar"/>
    <w:uiPriority w:val="99"/>
    <w:unhideWhenUsed/>
    <w:rsid w:val="00C6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0B3"/>
  </w:style>
  <w:style w:type="paragraph" w:styleId="Footer">
    <w:name w:val="footer"/>
    <w:basedOn w:val="Normal"/>
    <w:link w:val="FooterChar"/>
    <w:uiPriority w:val="99"/>
    <w:unhideWhenUsed/>
    <w:rsid w:val="00C6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0B3"/>
  </w:style>
  <w:style w:type="paragraph" w:styleId="BalloonText">
    <w:name w:val="Balloon Text"/>
    <w:basedOn w:val="Normal"/>
    <w:link w:val="BalloonTextChar"/>
    <w:uiPriority w:val="99"/>
    <w:semiHidden/>
    <w:unhideWhenUsed/>
    <w:rsid w:val="00C6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C0"/>
    <w:pPr>
      <w:ind w:left="720"/>
      <w:contextualSpacing/>
    </w:pPr>
  </w:style>
  <w:style w:type="character" w:styleId="Hyperlink">
    <w:name w:val="Hyperlink"/>
    <w:basedOn w:val="DefaultParagraphFont"/>
    <w:uiPriority w:val="99"/>
    <w:unhideWhenUsed/>
    <w:rsid w:val="004A5BC0"/>
    <w:rPr>
      <w:color w:val="0000FF" w:themeColor="hyperlink"/>
      <w:u w:val="single"/>
    </w:rPr>
  </w:style>
  <w:style w:type="character" w:styleId="FollowedHyperlink">
    <w:name w:val="FollowedHyperlink"/>
    <w:basedOn w:val="DefaultParagraphFont"/>
    <w:uiPriority w:val="99"/>
    <w:semiHidden/>
    <w:unhideWhenUsed/>
    <w:rsid w:val="00C650B3"/>
    <w:rPr>
      <w:color w:val="800080" w:themeColor="followedHyperlink"/>
      <w:u w:val="single"/>
    </w:rPr>
  </w:style>
  <w:style w:type="paragraph" w:styleId="Header">
    <w:name w:val="header"/>
    <w:basedOn w:val="Normal"/>
    <w:link w:val="HeaderChar"/>
    <w:uiPriority w:val="99"/>
    <w:unhideWhenUsed/>
    <w:rsid w:val="00C6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0B3"/>
  </w:style>
  <w:style w:type="paragraph" w:styleId="Footer">
    <w:name w:val="footer"/>
    <w:basedOn w:val="Normal"/>
    <w:link w:val="FooterChar"/>
    <w:uiPriority w:val="99"/>
    <w:unhideWhenUsed/>
    <w:rsid w:val="00C6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0B3"/>
  </w:style>
  <w:style w:type="paragraph" w:styleId="BalloonText">
    <w:name w:val="Balloon Text"/>
    <w:basedOn w:val="Normal"/>
    <w:link w:val="BalloonTextChar"/>
    <w:uiPriority w:val="99"/>
    <w:semiHidden/>
    <w:unhideWhenUsed/>
    <w:rsid w:val="00C6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wsi/2015/1495/pdfs/wsi_20151495_mi.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gov.wales/docs/dhss/publications/150925whc045en.pdf" TargetMode="External"/><Relationship Id="rId4" Type="http://schemas.openxmlformats.org/officeDocument/2006/relationships/settings" Target="settings.xml"/><Relationship Id="rId9" Type="http://schemas.openxmlformats.org/officeDocument/2006/relationships/hyperlink" Target="http://gov.wales/docs/dhss/publications/151218part2en.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Price</dc:creator>
  <cp:lastModifiedBy>Bethan Price</cp:lastModifiedBy>
  <cp:revision>7</cp:revision>
  <dcterms:created xsi:type="dcterms:W3CDTF">2016-01-19T14:30:00Z</dcterms:created>
  <dcterms:modified xsi:type="dcterms:W3CDTF">2016-03-02T10:39:00Z</dcterms:modified>
</cp:coreProperties>
</file>