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42B3E" w14:textId="48CB999A" w:rsidR="0047053E" w:rsidRDefault="00923151" w:rsidP="0047053E">
      <w:pPr>
        <w:ind w:left="-1418" w:right="-1349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D7E83A" wp14:editId="32FF6D17">
                <wp:simplePos x="0" y="0"/>
                <wp:positionH relativeFrom="page">
                  <wp:align>left</wp:align>
                </wp:positionH>
                <wp:positionV relativeFrom="paragraph">
                  <wp:posOffset>3689909</wp:posOffset>
                </wp:positionV>
                <wp:extent cx="5680075" cy="3174365"/>
                <wp:effectExtent l="133350" t="114300" r="130175" b="159385"/>
                <wp:wrapSquare wrapText="bothSides"/>
                <wp:docPr id="2023190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317481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53032C5" w14:textId="3438C9A6" w:rsidR="00923151" w:rsidRDefault="0092315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All Wales </w:t>
                            </w:r>
                            <w:r w:rsidR="001E2D04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i</w:t>
                            </w:r>
                            <w:r w:rsidR="001E2D04"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nduction </w:t>
                            </w:r>
                            <w:r w:rsidR="001E2D04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f</w:t>
                            </w:r>
                            <w:r w:rsidR="001E2D04"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ramework </w:t>
                            </w: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for </w:t>
                            </w:r>
                          </w:p>
                          <w:p w14:paraId="4518716E" w14:textId="074709B9" w:rsidR="00923151" w:rsidRDefault="001E2D04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e</w:t>
                            </w: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arly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y</w:t>
                            </w: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ears </w:t>
                            </w:r>
                            <w:r w:rsidR="00923151"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c</w:t>
                            </w: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hildcare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m</w:t>
                            </w: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anagers</w:t>
                            </w:r>
                          </w:p>
                          <w:p w14:paraId="233E02F4" w14:textId="77777777" w:rsidR="00923151" w:rsidRDefault="0092315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6262EC9D" w14:textId="07FDBD8C" w:rsidR="00923151" w:rsidRPr="00D93EB1" w:rsidRDefault="0092315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Progress logs</w:t>
                            </w:r>
                          </w:p>
                          <w:p w14:paraId="55C455D6" w14:textId="77777777" w:rsidR="00923151" w:rsidRPr="00D93EB1" w:rsidRDefault="0092315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681DDA84" w14:textId="31E1F857" w:rsidR="00923151" w:rsidRPr="00D93EB1" w:rsidRDefault="0092315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Part A: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7E83A" id="Text Box 2" o:spid="_x0000_s1026" style="position:absolute;left:0;text-align:left;margin-left:0;margin-top:290.55pt;width:447.25pt;height:249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" filled="f" strokecolor="white [3212]" strokeweight="2.25pt">
                <v:stroke joinstyle="miter"/>
                <v:shadow on="t" color="black" offset="0,1pt"/>
                <v:textbox>
                  <w:txbxContent>
                    <w:p w14:paraId="253032C5" w14:textId="3438C9A6" w:rsidR="00923151" w:rsidRDefault="0092315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All Wales </w:t>
                      </w:r>
                      <w:r w:rsidR="001E2D04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i</w:t>
                      </w:r>
                      <w:r w:rsidR="001E2D04"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nduction </w:t>
                      </w:r>
                      <w:r w:rsidR="001E2D04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f</w:t>
                      </w:r>
                      <w:r w:rsidR="001E2D04"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ramework </w:t>
                      </w: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for </w:t>
                      </w:r>
                    </w:p>
                    <w:p w14:paraId="4518716E" w14:textId="074709B9" w:rsidR="00923151" w:rsidRDefault="001E2D04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e</w:t>
                      </w: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arly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y</w:t>
                      </w: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ears </w:t>
                      </w:r>
                      <w:r w:rsidR="00923151"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c</w:t>
                      </w: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hildcare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m</w:t>
                      </w: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anagers</w:t>
                      </w:r>
                    </w:p>
                    <w:p w14:paraId="233E02F4" w14:textId="77777777" w:rsidR="00923151" w:rsidRDefault="0092315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6262EC9D" w14:textId="07FDBD8C" w:rsidR="00923151" w:rsidRPr="00D93EB1" w:rsidRDefault="0092315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Progress logs</w:t>
                      </w:r>
                    </w:p>
                    <w:p w14:paraId="55C455D6" w14:textId="77777777" w:rsidR="00923151" w:rsidRPr="00D93EB1" w:rsidRDefault="0092315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681DDA84" w14:textId="31E1F857" w:rsidR="00923151" w:rsidRPr="00D93EB1" w:rsidRDefault="0092315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Part A: Knowledge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47053E">
        <w:rPr>
          <w:noProof/>
        </w:rPr>
        <w:drawing>
          <wp:inline distT="0" distB="0" distL="0" distR="0" wp14:anchorId="79A79A42" wp14:editId="45D0961E">
            <wp:extent cx="10671888" cy="7547212"/>
            <wp:effectExtent l="0" t="0" r="0" b="0"/>
            <wp:docPr id="770305722" name="Picture 1" descr="A green background with a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96117" name="Picture 1" descr="A green background with a blue lin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07217" cy="757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53E">
        <w:rPr>
          <w:rFonts w:ascii="Arial" w:hAnsi="Arial" w:cs="Arial"/>
          <w:sz w:val="24"/>
          <w:szCs w:val="24"/>
        </w:rPr>
        <w:br w:type="page"/>
      </w:r>
    </w:p>
    <w:p w14:paraId="1FBD66FC" w14:textId="77777777" w:rsidR="0031048A" w:rsidRDefault="0031048A" w:rsidP="00F1355F">
      <w:pPr>
        <w:spacing w:after="0" w:line="240" w:lineRule="auto"/>
        <w:rPr>
          <w:rFonts w:ascii="Arial" w:hAnsi="Arial" w:cs="Arial"/>
          <w:sz w:val="24"/>
          <w:szCs w:val="24"/>
        </w:rPr>
        <w:sectPr w:rsidR="0031048A" w:rsidSect="003104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0" w:right="1440" w:bottom="284" w:left="1440" w:header="0" w:footer="0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7417475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BA8B9E" w14:textId="77777777" w:rsidR="00E254B2" w:rsidRPr="00984F44" w:rsidRDefault="00E254B2" w:rsidP="00E254B2">
          <w:pPr>
            <w:pStyle w:val="TOCHeading"/>
            <w:rPr>
              <w:rFonts w:ascii="Arial" w:hAnsi="Arial" w:cs="Arial"/>
              <w:b/>
              <w:bCs/>
              <w:color w:val="008868"/>
            </w:rPr>
          </w:pPr>
          <w:r w:rsidRPr="00984F44">
            <w:rPr>
              <w:rFonts w:ascii="Arial" w:hAnsi="Arial" w:cs="Arial"/>
              <w:b/>
              <w:bCs/>
              <w:color w:val="008868"/>
            </w:rPr>
            <w:t>Contents</w:t>
          </w:r>
        </w:p>
        <w:p w14:paraId="758AE5CA" w14:textId="77777777" w:rsidR="00E254B2" w:rsidRPr="004D10E2" w:rsidRDefault="00E254B2" w:rsidP="00E254B2"/>
        <w:p w14:paraId="09CA15A1" w14:textId="32B847E6" w:rsidR="00842F63" w:rsidRPr="00842F63" w:rsidRDefault="00E254B2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912C16">
            <w:rPr>
              <w:rFonts w:ascii="Arial" w:hAnsi="Arial" w:cs="Arial"/>
              <w:sz w:val="24"/>
              <w:szCs w:val="24"/>
            </w:rPr>
            <w:fldChar w:fldCharType="begin"/>
          </w:r>
          <w:r w:rsidRPr="00912C1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912C16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8649297" w:history="1">
            <w:r w:rsidR="00842F63" w:rsidRPr="00842F6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About Social Care Wales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_Toc168649297 \h </w:instrTex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AC6EE6" w14:textId="5ACE8FA5" w:rsidR="00842F63" w:rsidRPr="00842F63" w:rsidRDefault="00000000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68649298" w:history="1">
            <w:r w:rsidR="00842F63" w:rsidRPr="00842F6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Part A: Knowledge progress logs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_Toc168649298 \h </w:instrTex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2723E0" w14:textId="51A1CB4B" w:rsidR="00842F63" w:rsidRPr="00842F63" w:rsidRDefault="00000000">
          <w:pPr>
            <w:pStyle w:val="TOC2"/>
            <w:tabs>
              <w:tab w:val="right" w:leader="dot" w:pos="139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8649299" w:history="1">
            <w:r w:rsidR="00842F63" w:rsidRPr="00842F6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1: Leading child-centred practice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_Toc168649299 \h </w:instrTex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983CAA" w14:textId="31F33DFD" w:rsidR="00842F63" w:rsidRPr="00842F63" w:rsidRDefault="00000000">
          <w:pPr>
            <w:pStyle w:val="TOC2"/>
            <w:tabs>
              <w:tab w:val="right" w:leader="dot" w:pos="139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8649300" w:history="1">
            <w:r w:rsidR="00842F63" w:rsidRPr="00842F6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2: Theoretical frameworks for leadership and management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_Toc168649300 \h </w:instrTex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5C1C00" w14:textId="6FE36F24" w:rsidR="00842F63" w:rsidRPr="00842F63" w:rsidRDefault="00000000">
          <w:pPr>
            <w:pStyle w:val="TOC2"/>
            <w:tabs>
              <w:tab w:val="right" w:leader="dot" w:pos="139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8649301" w:history="1">
            <w:r w:rsidR="00842F63" w:rsidRPr="00842F6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3: Understand</w:t>
            </w:r>
            <w:r w:rsidR="00F70D31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ing</w:t>
            </w:r>
            <w:r w:rsidR="00842F63" w:rsidRPr="00842F6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 xml:space="preserve"> how to lead and manage effective team performance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_Toc168649301 \h </w:instrTex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842F63" w:rsidRPr="00842F6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B3F47C" w14:textId="61AB0876" w:rsidR="00E254B2" w:rsidRDefault="00E254B2" w:rsidP="00E254B2">
          <w:pPr>
            <w:rPr>
              <w:b/>
              <w:bCs/>
              <w:noProof/>
            </w:rPr>
          </w:pPr>
          <w:r w:rsidRPr="00912C16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0FD58E5" w14:textId="77777777" w:rsidR="00E254B2" w:rsidRDefault="00E25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4655F4" w14:textId="77777777" w:rsidR="00842F63" w:rsidRPr="00842F63" w:rsidRDefault="00842F63" w:rsidP="00842F63">
      <w:pPr>
        <w:pStyle w:val="Heading1"/>
        <w:rPr>
          <w:rFonts w:ascii="Arial" w:hAnsi="Arial" w:cs="Arial"/>
          <w:b/>
          <w:bCs/>
          <w:color w:val="008868"/>
        </w:rPr>
      </w:pPr>
      <w:bookmarkStart w:id="0" w:name="_Toc168648205"/>
      <w:bookmarkStart w:id="1" w:name="_Toc168649297"/>
      <w:r w:rsidRPr="00842F63">
        <w:rPr>
          <w:rFonts w:ascii="Arial" w:hAnsi="Arial" w:cs="Arial"/>
          <w:b/>
          <w:bCs/>
          <w:color w:val="008868"/>
        </w:rPr>
        <w:lastRenderedPageBreak/>
        <w:t>About Social Care Wales</w:t>
      </w:r>
      <w:bookmarkEnd w:id="0"/>
      <w:bookmarkEnd w:id="1"/>
      <w:r w:rsidRPr="00842F63">
        <w:rPr>
          <w:rFonts w:ascii="Arial" w:hAnsi="Arial" w:cs="Arial"/>
          <w:b/>
          <w:bCs/>
          <w:color w:val="008868"/>
        </w:rPr>
        <w:t xml:space="preserve"> </w:t>
      </w:r>
    </w:p>
    <w:p w14:paraId="5E642579" w14:textId="77777777" w:rsidR="00314966" w:rsidRDefault="00314966" w:rsidP="00842F63">
      <w:pPr>
        <w:rPr>
          <w:rFonts w:ascii="Arial" w:hAnsi="Arial" w:cs="Arial"/>
          <w:sz w:val="24"/>
          <w:szCs w:val="24"/>
        </w:rPr>
      </w:pPr>
    </w:p>
    <w:p w14:paraId="083C71A7" w14:textId="26EA06C2" w:rsidR="4C3BE8E3" w:rsidRDefault="4C3BE8E3" w:rsidP="42DC4619">
      <w:pPr>
        <w:rPr>
          <w:rFonts w:ascii="Arial" w:eastAsia="Arial" w:hAnsi="Arial" w:cs="Arial"/>
          <w:sz w:val="24"/>
          <w:szCs w:val="24"/>
        </w:rPr>
      </w:pPr>
      <w:r w:rsidRPr="42DC4619">
        <w:rPr>
          <w:rFonts w:ascii="Arial" w:eastAsia="Arial" w:hAnsi="Arial" w:cs="Arial"/>
          <w:color w:val="000000" w:themeColor="text1"/>
          <w:sz w:val="24"/>
          <w:szCs w:val="24"/>
        </w:rPr>
        <w:t>At Social Care Wales, we aim to make a positive difference to social care, early years and childcare in Wales. Social Care Wales supports workforce development within the early years and childcare sector. As a strategic partner to Welsh Government Social Care Wales support workforce development in areas of work such a qualification development, implementation and frameworks, induction, recruitment and resources to support employers and the workforce.</w:t>
      </w:r>
    </w:p>
    <w:p w14:paraId="0EECBD24" w14:textId="480293B2" w:rsidR="42DC4619" w:rsidRDefault="42DC4619" w:rsidP="42DC4619">
      <w:pPr>
        <w:rPr>
          <w:rFonts w:ascii="Arial" w:hAnsi="Arial" w:cs="Arial"/>
          <w:sz w:val="24"/>
          <w:szCs w:val="24"/>
        </w:rPr>
      </w:pPr>
    </w:p>
    <w:p w14:paraId="3EB48041" w14:textId="793E5313" w:rsidR="00F1355F" w:rsidRPr="00842F63" w:rsidRDefault="00F1355F" w:rsidP="00842F63">
      <w:pPr>
        <w:pStyle w:val="Heading1"/>
        <w:rPr>
          <w:rFonts w:ascii="Arial" w:hAnsi="Arial" w:cs="Arial"/>
          <w:b/>
          <w:bCs/>
          <w:color w:val="008868"/>
        </w:rPr>
      </w:pPr>
      <w:bookmarkStart w:id="2" w:name="_Toc168649298"/>
      <w:r w:rsidRPr="00842F63">
        <w:rPr>
          <w:rFonts w:ascii="Arial" w:hAnsi="Arial" w:cs="Arial"/>
          <w:b/>
          <w:bCs/>
          <w:color w:val="008868"/>
        </w:rPr>
        <w:t xml:space="preserve">Part </w:t>
      </w:r>
      <w:r w:rsidR="00B9779E" w:rsidRPr="00842F63">
        <w:rPr>
          <w:rFonts w:ascii="Arial" w:hAnsi="Arial" w:cs="Arial"/>
          <w:b/>
          <w:bCs/>
          <w:color w:val="008868"/>
        </w:rPr>
        <w:t>A</w:t>
      </w:r>
      <w:r w:rsidR="006F3C7B" w:rsidRPr="00842F63">
        <w:rPr>
          <w:rFonts w:ascii="Arial" w:hAnsi="Arial" w:cs="Arial"/>
          <w:b/>
          <w:bCs/>
          <w:color w:val="008868"/>
        </w:rPr>
        <w:t xml:space="preserve">: </w:t>
      </w:r>
      <w:r w:rsidR="005C1B30" w:rsidRPr="00842F63">
        <w:rPr>
          <w:rFonts w:ascii="Arial" w:hAnsi="Arial" w:cs="Arial"/>
          <w:b/>
          <w:bCs/>
          <w:color w:val="008868"/>
        </w:rPr>
        <w:t>Knowledge</w:t>
      </w:r>
      <w:r w:rsidR="00842F63" w:rsidRPr="00842F63">
        <w:rPr>
          <w:rFonts w:ascii="Arial" w:hAnsi="Arial" w:cs="Arial"/>
          <w:b/>
          <w:bCs/>
          <w:color w:val="008868"/>
        </w:rPr>
        <w:t xml:space="preserve"> progress logs</w:t>
      </w:r>
      <w:bookmarkEnd w:id="2"/>
    </w:p>
    <w:p w14:paraId="2DA907B8" w14:textId="77777777" w:rsidR="00F1355F" w:rsidRPr="00123FE6" w:rsidRDefault="00F1355F" w:rsidP="00F135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99E9F8" w14:textId="5A4496C1" w:rsidR="00F1355F" w:rsidRPr="00123FE6" w:rsidRDefault="00F1355F" w:rsidP="00F135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23FE6">
        <w:rPr>
          <w:rStyle w:val="normaltextrun"/>
          <w:rFonts w:ascii="Arial" w:hAnsi="Arial" w:cs="Arial"/>
        </w:rPr>
        <w:t xml:space="preserve">This section explores the leadership and management </w:t>
      </w:r>
      <w:r w:rsidR="005C1B30" w:rsidRPr="00123FE6">
        <w:rPr>
          <w:rStyle w:val="normaltextrun"/>
          <w:rFonts w:ascii="Arial" w:hAnsi="Arial" w:cs="Arial"/>
        </w:rPr>
        <w:t>knowledge</w:t>
      </w:r>
      <w:r w:rsidR="001E2D04">
        <w:rPr>
          <w:rStyle w:val="normaltextrun"/>
          <w:rFonts w:ascii="Arial" w:hAnsi="Arial" w:cs="Arial"/>
        </w:rPr>
        <w:t xml:space="preserve"> you</w:t>
      </w:r>
      <w:r w:rsidR="005C1B30" w:rsidRPr="00123FE6">
        <w:rPr>
          <w:rStyle w:val="normaltextrun"/>
          <w:rFonts w:ascii="Arial" w:hAnsi="Arial" w:cs="Arial"/>
        </w:rPr>
        <w:t xml:space="preserve"> </w:t>
      </w:r>
      <w:r w:rsidRPr="00123FE6">
        <w:rPr>
          <w:rStyle w:val="normaltextrun"/>
          <w:rFonts w:ascii="Arial" w:hAnsi="Arial" w:cs="Arial"/>
        </w:rPr>
        <w:t>need to work</w:t>
      </w:r>
      <w:r w:rsidR="004D1EB3">
        <w:rPr>
          <w:rStyle w:val="normaltextrun"/>
          <w:rFonts w:ascii="Arial" w:hAnsi="Arial" w:cs="Arial"/>
        </w:rPr>
        <w:t xml:space="preserve"> as a manager</w:t>
      </w:r>
      <w:r w:rsidRPr="00123FE6">
        <w:rPr>
          <w:rStyle w:val="normaltextrun"/>
          <w:rFonts w:ascii="Arial" w:hAnsi="Arial" w:cs="Arial"/>
        </w:rPr>
        <w:t xml:space="preserve"> in </w:t>
      </w:r>
      <w:r w:rsidR="004D1EB3">
        <w:rPr>
          <w:rStyle w:val="normaltextrun"/>
          <w:rFonts w:ascii="Arial" w:hAnsi="Arial" w:cs="Arial"/>
        </w:rPr>
        <w:t>e</w:t>
      </w:r>
      <w:r w:rsidRPr="00123FE6">
        <w:rPr>
          <w:rStyle w:val="normaltextrun"/>
          <w:rFonts w:ascii="Arial" w:hAnsi="Arial" w:cs="Arial"/>
        </w:rPr>
        <w:t xml:space="preserve">arly </w:t>
      </w:r>
      <w:r w:rsidR="004D1EB3">
        <w:rPr>
          <w:rStyle w:val="normaltextrun"/>
          <w:rFonts w:ascii="Arial" w:hAnsi="Arial" w:cs="Arial"/>
        </w:rPr>
        <w:t>y</w:t>
      </w:r>
      <w:r w:rsidRPr="00123FE6">
        <w:rPr>
          <w:rStyle w:val="normaltextrun"/>
          <w:rFonts w:ascii="Arial" w:hAnsi="Arial" w:cs="Arial"/>
        </w:rPr>
        <w:t xml:space="preserve">ears and </w:t>
      </w:r>
      <w:r w:rsidR="004D1EB3">
        <w:rPr>
          <w:rStyle w:val="normaltextrun"/>
          <w:rFonts w:ascii="Arial" w:hAnsi="Arial" w:cs="Arial"/>
        </w:rPr>
        <w:t>c</w:t>
      </w:r>
      <w:r w:rsidRPr="00123FE6">
        <w:rPr>
          <w:rStyle w:val="normaltextrun"/>
          <w:rFonts w:ascii="Arial" w:hAnsi="Arial" w:cs="Arial"/>
        </w:rPr>
        <w:t>hildcare setting</w:t>
      </w:r>
      <w:r w:rsidR="000632EE">
        <w:rPr>
          <w:rStyle w:val="normaltextrun"/>
          <w:rFonts w:ascii="Arial" w:hAnsi="Arial" w:cs="Arial"/>
        </w:rPr>
        <w:t>s</w:t>
      </w:r>
      <w:r w:rsidRPr="00123FE6">
        <w:rPr>
          <w:rStyle w:val="normaltextrun"/>
          <w:rFonts w:ascii="Arial" w:hAnsi="Arial" w:cs="Arial"/>
        </w:rPr>
        <w:t xml:space="preserve">. </w:t>
      </w:r>
    </w:p>
    <w:p w14:paraId="53B1BDE9" w14:textId="77777777" w:rsidR="00F1355F" w:rsidRPr="00123FE6" w:rsidRDefault="00F1355F" w:rsidP="00F135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F466D6D" w14:textId="141EFF78" w:rsidR="00FD4008" w:rsidRDefault="001C71F5" w:rsidP="00F135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A of t</w:t>
      </w:r>
      <w:r w:rsidR="00F1355F" w:rsidRPr="00123FE6">
        <w:rPr>
          <w:rFonts w:ascii="Arial" w:hAnsi="Arial" w:cs="Arial"/>
          <w:sz w:val="24"/>
          <w:szCs w:val="24"/>
        </w:rPr>
        <w:t xml:space="preserve">he </w:t>
      </w:r>
      <w:proofErr w:type="gramStart"/>
      <w:r w:rsidR="00222EFF" w:rsidRPr="0067513B">
        <w:rPr>
          <w:rFonts w:ascii="Arial" w:hAnsi="Arial" w:cs="Arial"/>
          <w:sz w:val="24"/>
          <w:szCs w:val="24"/>
        </w:rPr>
        <w:t>A</w:t>
      </w:r>
      <w:r w:rsidR="00222EFF">
        <w:rPr>
          <w:rFonts w:ascii="Arial" w:hAnsi="Arial" w:cs="Arial"/>
          <w:sz w:val="24"/>
          <w:szCs w:val="24"/>
        </w:rPr>
        <w:t xml:space="preserve">ll </w:t>
      </w:r>
      <w:r w:rsidR="00222EFF" w:rsidRPr="0067513B">
        <w:rPr>
          <w:rFonts w:ascii="Arial" w:hAnsi="Arial" w:cs="Arial"/>
          <w:sz w:val="24"/>
          <w:szCs w:val="24"/>
        </w:rPr>
        <w:t>W</w:t>
      </w:r>
      <w:r w:rsidR="00222EFF">
        <w:rPr>
          <w:rFonts w:ascii="Arial" w:hAnsi="Arial" w:cs="Arial"/>
          <w:sz w:val="24"/>
          <w:szCs w:val="24"/>
        </w:rPr>
        <w:t>ales</w:t>
      </w:r>
      <w:proofErr w:type="gramEnd"/>
      <w:r w:rsidR="00222EFF">
        <w:rPr>
          <w:rFonts w:ascii="Arial" w:hAnsi="Arial" w:cs="Arial"/>
          <w:sz w:val="24"/>
          <w:szCs w:val="24"/>
        </w:rPr>
        <w:t xml:space="preserve"> </w:t>
      </w:r>
      <w:r w:rsidR="004D1EB3">
        <w:rPr>
          <w:rFonts w:ascii="Arial" w:hAnsi="Arial" w:cs="Arial"/>
          <w:sz w:val="24"/>
          <w:szCs w:val="24"/>
        </w:rPr>
        <w:t>i</w:t>
      </w:r>
      <w:r w:rsidR="00222EFF">
        <w:rPr>
          <w:rFonts w:ascii="Arial" w:hAnsi="Arial" w:cs="Arial"/>
          <w:sz w:val="24"/>
          <w:szCs w:val="24"/>
        </w:rPr>
        <w:t xml:space="preserve">nduction </w:t>
      </w:r>
      <w:r w:rsidR="004D1EB3">
        <w:rPr>
          <w:rFonts w:ascii="Arial" w:hAnsi="Arial" w:cs="Arial"/>
          <w:sz w:val="24"/>
          <w:szCs w:val="24"/>
        </w:rPr>
        <w:t>f</w:t>
      </w:r>
      <w:r w:rsidR="00222EFF">
        <w:rPr>
          <w:rFonts w:ascii="Arial" w:hAnsi="Arial" w:cs="Arial"/>
          <w:sz w:val="24"/>
          <w:szCs w:val="24"/>
        </w:rPr>
        <w:t>ramework</w:t>
      </w:r>
      <w:r w:rsidR="00D9439B">
        <w:rPr>
          <w:rFonts w:ascii="Arial" w:hAnsi="Arial" w:cs="Arial"/>
          <w:sz w:val="24"/>
          <w:szCs w:val="24"/>
        </w:rPr>
        <w:t xml:space="preserve"> (AWIF)</w:t>
      </w:r>
      <w:r w:rsidR="00222EFF" w:rsidRPr="0067513B">
        <w:rPr>
          <w:rFonts w:ascii="Arial" w:hAnsi="Arial" w:cs="Arial"/>
          <w:sz w:val="24"/>
          <w:szCs w:val="24"/>
        </w:rPr>
        <w:t xml:space="preserve"> for early years managers</w:t>
      </w:r>
      <w:r w:rsidR="00E511E7" w:rsidRPr="00123FE6">
        <w:rPr>
          <w:rFonts w:ascii="Arial" w:hAnsi="Arial" w:cs="Arial"/>
          <w:sz w:val="24"/>
          <w:szCs w:val="24"/>
        </w:rPr>
        <w:t xml:space="preserve"> </w:t>
      </w:r>
      <w:r w:rsidR="00F1355F" w:rsidRPr="00123FE6">
        <w:rPr>
          <w:rFonts w:ascii="Arial" w:hAnsi="Arial" w:cs="Arial"/>
          <w:sz w:val="24"/>
          <w:szCs w:val="24"/>
        </w:rPr>
        <w:t>replicates the</w:t>
      </w:r>
      <w:r w:rsidR="00222EFF">
        <w:rPr>
          <w:rFonts w:ascii="Arial" w:hAnsi="Arial" w:cs="Arial"/>
          <w:sz w:val="24"/>
          <w:szCs w:val="24"/>
        </w:rPr>
        <w:t xml:space="preserve"> mandatory learning outcomes of the</w:t>
      </w:r>
      <w:r w:rsidR="00F1355F" w:rsidRPr="00123FE6">
        <w:rPr>
          <w:rFonts w:ascii="Arial" w:hAnsi="Arial" w:cs="Arial"/>
          <w:sz w:val="24"/>
          <w:szCs w:val="24"/>
        </w:rPr>
        <w:t xml:space="preserve"> Level </w:t>
      </w:r>
      <w:r w:rsidR="00E511E7" w:rsidRPr="00123FE6">
        <w:rPr>
          <w:rFonts w:ascii="Arial" w:hAnsi="Arial" w:cs="Arial"/>
          <w:sz w:val="24"/>
          <w:szCs w:val="24"/>
        </w:rPr>
        <w:t>4 Preparing for</w:t>
      </w:r>
      <w:r w:rsidR="00F1355F" w:rsidRPr="00123FE6">
        <w:rPr>
          <w:rFonts w:ascii="Arial" w:hAnsi="Arial" w:cs="Arial"/>
          <w:sz w:val="24"/>
          <w:szCs w:val="24"/>
        </w:rPr>
        <w:t xml:space="preserve"> Leadership and Management in Children’s Care, Play, Learning and Development</w:t>
      </w:r>
      <w:r w:rsidR="001E2D04">
        <w:rPr>
          <w:rFonts w:ascii="Arial" w:hAnsi="Arial" w:cs="Arial"/>
          <w:sz w:val="24"/>
          <w:szCs w:val="24"/>
        </w:rPr>
        <w:t xml:space="preserve"> qualification</w:t>
      </w:r>
      <w:r w:rsidR="00E511E7" w:rsidRPr="00123FE6">
        <w:rPr>
          <w:rFonts w:ascii="Arial" w:hAnsi="Arial" w:cs="Arial"/>
          <w:sz w:val="24"/>
          <w:szCs w:val="24"/>
        </w:rPr>
        <w:t>.</w:t>
      </w:r>
      <w:r w:rsidR="00F1355F" w:rsidRPr="00123FE6">
        <w:rPr>
          <w:rFonts w:ascii="Arial" w:hAnsi="Arial" w:cs="Arial"/>
          <w:sz w:val="24"/>
          <w:szCs w:val="24"/>
        </w:rPr>
        <w:t xml:space="preserve"> </w:t>
      </w:r>
    </w:p>
    <w:p w14:paraId="64CF8648" w14:textId="44467D6C" w:rsidR="00F1355F" w:rsidRPr="00123FE6" w:rsidRDefault="00F1355F" w:rsidP="00F1355F">
      <w:pPr>
        <w:jc w:val="both"/>
        <w:rPr>
          <w:rFonts w:ascii="Arial" w:hAnsi="Arial" w:cs="Arial"/>
          <w:sz w:val="24"/>
          <w:szCs w:val="24"/>
        </w:rPr>
      </w:pPr>
      <w:r w:rsidRPr="00123FE6">
        <w:rPr>
          <w:rFonts w:ascii="Arial" w:hAnsi="Arial" w:cs="Arial"/>
          <w:sz w:val="24"/>
          <w:szCs w:val="24"/>
        </w:rPr>
        <w:t xml:space="preserve">As you complete the framework, you can use the progress logs below to show the </w:t>
      </w:r>
      <w:r w:rsidR="00E511E7" w:rsidRPr="00123FE6">
        <w:rPr>
          <w:rFonts w:ascii="Arial" w:hAnsi="Arial" w:cs="Arial"/>
          <w:sz w:val="24"/>
          <w:szCs w:val="24"/>
        </w:rPr>
        <w:t>knowledge</w:t>
      </w:r>
      <w:r w:rsidRPr="00123FE6">
        <w:rPr>
          <w:rFonts w:ascii="Arial" w:hAnsi="Arial" w:cs="Arial"/>
          <w:sz w:val="24"/>
          <w:szCs w:val="24"/>
        </w:rPr>
        <w:t xml:space="preserve"> you’ve developed</w:t>
      </w:r>
      <w:r w:rsidR="00E511E7" w:rsidRPr="00123FE6">
        <w:rPr>
          <w:rFonts w:ascii="Arial" w:hAnsi="Arial" w:cs="Arial"/>
          <w:sz w:val="24"/>
          <w:szCs w:val="24"/>
        </w:rPr>
        <w:t>.</w:t>
      </w:r>
    </w:p>
    <w:p w14:paraId="68C18FAB" w14:textId="0780B77F" w:rsidR="00C6219C" w:rsidRDefault="001741C5" w:rsidP="0067513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741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You can map a variety of evidence into your progress logs to </w:t>
      </w:r>
      <w:r w:rsidR="00FD40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show</w:t>
      </w:r>
      <w:r w:rsidRPr="001741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your understanding. This is especially useful if you</w:t>
      </w:r>
      <w:r w:rsidR="001C71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’ve</w:t>
      </w:r>
      <w:r w:rsidRPr="001741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recently attended training courses or hold qualifications like the QCF Level 5 in Children's Care, Learning, and Development Advanced Practice. You can reference the learning outcomes from your qualifications using Recognition of Prior Learning (RPL). </w:t>
      </w:r>
      <w:r w:rsidR="000921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</w:t>
      </w:r>
      <w:r w:rsidRPr="001741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you can refer to </w:t>
      </w:r>
      <w:r w:rsidR="000921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our</w:t>
      </w:r>
      <w:r w:rsidR="008968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8" w:history="1">
        <w:r w:rsidR="00896882" w:rsidRPr="00DC0C3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range of evid</w:t>
        </w:r>
        <w:r w:rsidR="00DC0C3D" w:rsidRPr="00DC0C3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ence for the All Wales </w:t>
        </w:r>
        <w:r w:rsidR="000921B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i</w:t>
        </w:r>
        <w:r w:rsidR="00DC0C3D" w:rsidRPr="00DC0C3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nduction </w:t>
        </w:r>
        <w:r w:rsidR="000921B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f</w:t>
        </w:r>
        <w:r w:rsidR="00DC0C3D" w:rsidRPr="00DC0C3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ramework for early years and childcare.</w:t>
        </w:r>
      </w:hyperlink>
      <w:r w:rsidR="00DC0C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071FF04" w14:textId="6CBE3309" w:rsidR="007E250B" w:rsidRDefault="000921B7" w:rsidP="0067513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There are w</w:t>
      </w:r>
      <w:r w:rsidR="00263C0E" w:rsidRPr="0037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orkbooks for each section to help you gather the knowledge</w:t>
      </w:r>
      <w:r w:rsidR="00667243" w:rsidRPr="0037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63C0E" w:rsidRPr="0037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need</w:t>
      </w:r>
      <w:r w:rsidR="005C0E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ed</w:t>
      </w:r>
      <w:r w:rsidR="00263C0E" w:rsidRPr="0037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 achieve the </w:t>
      </w:r>
      <w:r w:rsidR="00667243" w:rsidRPr="0037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Preparing for Leadership and Management</w:t>
      </w:r>
      <w:r w:rsidR="00263C0E" w:rsidRPr="0037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47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mandatory </w:t>
      </w:r>
      <w:r w:rsidR="00263C0E" w:rsidRPr="0037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learning outcomes</w:t>
      </w:r>
      <w:r w:rsidR="00DC0C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0E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listed </w:t>
      </w:r>
      <w:r w:rsidR="00DC0C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below</w:t>
      </w:r>
      <w:r w:rsidR="005C0E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235A7" w:rsidRPr="00F23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These workbooks are especially useful if you need to fill gaps </w:t>
      </w:r>
      <w:r w:rsidR="00F23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or update </w:t>
      </w:r>
      <w:r w:rsidR="00F235A7" w:rsidRPr="00F23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your knowledge</w:t>
      </w:r>
      <w:r w:rsidR="00F23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After completing the ne</w:t>
      </w:r>
      <w:r w:rsidR="00341B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cessary </w:t>
      </w:r>
      <w:r w:rsid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knowledge</w:t>
      </w:r>
      <w:r w:rsidR="00341B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you</w:t>
      </w:r>
      <w:r w:rsidR="009331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’ll</w:t>
      </w:r>
      <w:r w:rsidR="00341B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progress </w:t>
      </w:r>
      <w:r w:rsidR="00766811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F24BE0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</w:t>
      </w:r>
      <w:r w:rsidR="00766811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art </w:t>
      </w:r>
      <w:r w:rsidR="00E35E52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</w:t>
      </w:r>
      <w:r w:rsidR="00766811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of the </w:t>
      </w:r>
      <w:r w:rsidR="0093313A">
        <w:rPr>
          <w:rFonts w:ascii="Arial" w:hAnsi="Arial" w:cs="Arial"/>
          <w:color w:val="000000" w:themeColor="text1"/>
          <w:sz w:val="24"/>
          <w:szCs w:val="24"/>
        </w:rPr>
        <w:t>AWIF</w:t>
      </w:r>
      <w:r w:rsidR="00653FE0" w:rsidRPr="00F24BE0">
        <w:rPr>
          <w:rFonts w:ascii="Arial" w:hAnsi="Arial" w:cs="Arial"/>
          <w:color w:val="000000" w:themeColor="text1"/>
          <w:sz w:val="24"/>
          <w:szCs w:val="24"/>
        </w:rPr>
        <w:t xml:space="preserve"> for early years managers</w:t>
      </w:r>
      <w:r w:rsidR="0043096A">
        <w:rPr>
          <w:rFonts w:ascii="Arial" w:hAnsi="Arial" w:cs="Arial"/>
          <w:color w:val="000000" w:themeColor="text1"/>
          <w:sz w:val="24"/>
          <w:szCs w:val="24"/>
        </w:rPr>
        <w:t>,</w:t>
      </w:r>
      <w:r w:rsidR="00653FE0" w:rsidRPr="00F24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6811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where you</w:t>
      </w:r>
      <w:r w:rsidR="009331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’ll</w:t>
      </w:r>
      <w:r w:rsidR="00766811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09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apply the </w:t>
      </w:r>
      <w:proofErr w:type="gramStart"/>
      <w:r w:rsidR="004309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knowledge</w:t>
      </w:r>
      <w:proofErr w:type="gramEnd"/>
      <w:r w:rsidR="009517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you’ve</w:t>
      </w:r>
      <w:r w:rsidR="004309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gained </w:t>
      </w:r>
      <w:r w:rsidR="00766811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</w:t>
      </w:r>
      <w:r w:rsidR="00F24BE0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</w:t>
      </w:r>
      <w:r w:rsidR="00766811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practice</w:t>
      </w:r>
      <w:r w:rsidR="002A451A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96DB9F7" w14:textId="7A6A72EB" w:rsidR="00476D50" w:rsidRPr="00123FE6" w:rsidRDefault="004B4F47" w:rsidP="00675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Here are the</w:t>
      </w:r>
      <w:r w:rsidR="002A451A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workbooks </w:t>
      </w:r>
      <w:r w:rsid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 part A</w:t>
      </w:r>
      <w:r w:rsidR="009517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  <w:r w:rsidR="002A451A" w:rsidRPr="00F24B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9" w:history="1">
        <w:r w:rsidR="00B227A2" w:rsidRPr="000D18EB">
          <w:rPr>
            <w:rStyle w:val="Hyperlink"/>
            <w:rFonts w:ascii="Arial" w:hAnsi="Arial" w:cs="Arial"/>
            <w:sz w:val="24"/>
            <w:szCs w:val="24"/>
          </w:rPr>
          <w:t>All Wales Induction Framework for early years managers knowledge w</w:t>
        </w:r>
        <w:r w:rsidR="002A451A" w:rsidRPr="000D18EB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orkbook</w:t>
        </w:r>
      </w:hyperlink>
      <w:r w:rsidR="000D18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6D12D495" w14:textId="7930AC7C" w:rsidR="00A16B6C" w:rsidRDefault="00A16B6C" w:rsidP="0067513B">
      <w:pPr>
        <w:rPr>
          <w:rFonts w:ascii="Arial" w:hAnsi="Arial" w:cs="Arial"/>
          <w:sz w:val="24"/>
          <w:szCs w:val="24"/>
        </w:rPr>
      </w:pPr>
      <w:r w:rsidRPr="00123FE6">
        <w:rPr>
          <w:rFonts w:ascii="Arial" w:hAnsi="Arial" w:cs="Arial"/>
          <w:sz w:val="24"/>
          <w:szCs w:val="24"/>
        </w:rPr>
        <w:t xml:space="preserve">Once </w:t>
      </w:r>
      <w:r w:rsidR="007E250B">
        <w:rPr>
          <w:rFonts w:ascii="Arial" w:hAnsi="Arial" w:cs="Arial"/>
          <w:sz w:val="24"/>
          <w:szCs w:val="24"/>
        </w:rPr>
        <w:t>you’ve</w:t>
      </w:r>
      <w:r w:rsidRPr="00123FE6">
        <w:rPr>
          <w:rFonts w:ascii="Arial" w:hAnsi="Arial" w:cs="Arial"/>
          <w:sz w:val="24"/>
          <w:szCs w:val="24"/>
        </w:rPr>
        <w:t xml:space="preserve"> completed </w:t>
      </w:r>
      <w:r w:rsidR="007E250B">
        <w:rPr>
          <w:rFonts w:ascii="Arial" w:hAnsi="Arial" w:cs="Arial"/>
          <w:sz w:val="24"/>
          <w:szCs w:val="24"/>
        </w:rPr>
        <w:t xml:space="preserve">the progress logs </w:t>
      </w:r>
      <w:r w:rsidRPr="00123FE6">
        <w:rPr>
          <w:rFonts w:ascii="Arial" w:hAnsi="Arial" w:cs="Arial"/>
          <w:sz w:val="24"/>
          <w:szCs w:val="24"/>
        </w:rPr>
        <w:t>for pa</w:t>
      </w:r>
      <w:r w:rsidR="008D1934" w:rsidRPr="00123FE6">
        <w:rPr>
          <w:rFonts w:ascii="Arial" w:hAnsi="Arial" w:cs="Arial"/>
          <w:sz w:val="24"/>
          <w:szCs w:val="24"/>
        </w:rPr>
        <w:t>rt</w:t>
      </w:r>
      <w:r w:rsidR="007E250B">
        <w:rPr>
          <w:rFonts w:ascii="Arial" w:hAnsi="Arial" w:cs="Arial"/>
          <w:sz w:val="24"/>
          <w:szCs w:val="24"/>
        </w:rPr>
        <w:t>s</w:t>
      </w:r>
      <w:r w:rsidR="008D1934" w:rsidRPr="00123FE6">
        <w:rPr>
          <w:rFonts w:ascii="Arial" w:hAnsi="Arial" w:cs="Arial"/>
          <w:sz w:val="24"/>
          <w:szCs w:val="24"/>
        </w:rPr>
        <w:t xml:space="preserve"> </w:t>
      </w:r>
      <w:r w:rsidR="00E35E52">
        <w:rPr>
          <w:rFonts w:ascii="Arial" w:hAnsi="Arial" w:cs="Arial"/>
          <w:sz w:val="24"/>
          <w:szCs w:val="24"/>
        </w:rPr>
        <w:t>A</w:t>
      </w:r>
      <w:r w:rsidR="008D1934" w:rsidRPr="00123FE6">
        <w:rPr>
          <w:rFonts w:ascii="Arial" w:hAnsi="Arial" w:cs="Arial"/>
          <w:sz w:val="24"/>
          <w:szCs w:val="24"/>
        </w:rPr>
        <w:t xml:space="preserve"> and </w:t>
      </w:r>
      <w:r w:rsidR="00E35E52">
        <w:rPr>
          <w:rFonts w:ascii="Arial" w:hAnsi="Arial" w:cs="Arial"/>
          <w:sz w:val="24"/>
          <w:szCs w:val="24"/>
        </w:rPr>
        <w:t>B</w:t>
      </w:r>
      <w:r w:rsidR="00034C7A">
        <w:rPr>
          <w:rFonts w:ascii="Arial" w:hAnsi="Arial" w:cs="Arial"/>
          <w:sz w:val="24"/>
          <w:szCs w:val="24"/>
        </w:rPr>
        <w:t xml:space="preserve"> of </w:t>
      </w:r>
      <w:r w:rsidR="008D1934" w:rsidRPr="00123FE6">
        <w:rPr>
          <w:rFonts w:ascii="Arial" w:hAnsi="Arial" w:cs="Arial"/>
          <w:sz w:val="24"/>
          <w:szCs w:val="24"/>
        </w:rPr>
        <w:t xml:space="preserve">the </w:t>
      </w:r>
      <w:r w:rsidR="000B3D76">
        <w:rPr>
          <w:rFonts w:ascii="Arial" w:hAnsi="Arial" w:cs="Arial"/>
          <w:sz w:val="24"/>
          <w:szCs w:val="24"/>
        </w:rPr>
        <w:t>AWIF</w:t>
      </w:r>
      <w:r w:rsidR="00B227A2" w:rsidRPr="0067513B">
        <w:rPr>
          <w:rFonts w:ascii="Arial" w:hAnsi="Arial" w:cs="Arial"/>
          <w:sz w:val="24"/>
          <w:szCs w:val="24"/>
        </w:rPr>
        <w:t xml:space="preserve"> for early years managers</w:t>
      </w:r>
      <w:r w:rsidR="007E250B">
        <w:rPr>
          <w:rFonts w:ascii="Arial" w:hAnsi="Arial" w:cs="Arial"/>
          <w:sz w:val="24"/>
          <w:szCs w:val="24"/>
        </w:rPr>
        <w:t>,</w:t>
      </w:r>
      <w:r w:rsidR="00B227A2" w:rsidRPr="0067513B">
        <w:rPr>
          <w:rFonts w:ascii="Arial" w:hAnsi="Arial" w:cs="Arial"/>
          <w:sz w:val="24"/>
          <w:szCs w:val="24"/>
        </w:rPr>
        <w:t xml:space="preserve"> </w:t>
      </w:r>
      <w:r w:rsidR="008D1934" w:rsidRPr="00123FE6">
        <w:rPr>
          <w:rFonts w:ascii="Arial" w:hAnsi="Arial" w:cs="Arial"/>
          <w:sz w:val="24"/>
          <w:szCs w:val="24"/>
        </w:rPr>
        <w:t xml:space="preserve">you </w:t>
      </w:r>
      <w:r w:rsidR="007E250B">
        <w:rPr>
          <w:rFonts w:ascii="Arial" w:hAnsi="Arial" w:cs="Arial"/>
          <w:sz w:val="24"/>
          <w:szCs w:val="24"/>
        </w:rPr>
        <w:t>can</w:t>
      </w:r>
      <w:r w:rsidR="008D1934" w:rsidRPr="00123FE6">
        <w:rPr>
          <w:rFonts w:ascii="Arial" w:hAnsi="Arial" w:cs="Arial"/>
          <w:sz w:val="24"/>
          <w:szCs w:val="24"/>
        </w:rPr>
        <w:t xml:space="preserve"> download the </w:t>
      </w:r>
      <w:hyperlink r:id="rId20" w:history="1">
        <w:r w:rsidR="000B3D76">
          <w:rPr>
            <w:rStyle w:val="Hyperlink"/>
            <w:rFonts w:ascii="Arial" w:hAnsi="Arial" w:cs="Arial"/>
            <w:sz w:val="24"/>
            <w:szCs w:val="24"/>
          </w:rPr>
          <w:t>c</w:t>
        </w:r>
        <w:r w:rsidR="008D1934" w:rsidRPr="001D377A">
          <w:rPr>
            <w:rStyle w:val="Hyperlink"/>
            <w:rFonts w:ascii="Arial" w:hAnsi="Arial" w:cs="Arial"/>
            <w:sz w:val="24"/>
            <w:szCs w:val="24"/>
          </w:rPr>
          <w:t>ertificate of</w:t>
        </w:r>
        <w:r w:rsidR="00034C7A" w:rsidRPr="001D377A">
          <w:rPr>
            <w:rStyle w:val="Hyperlink"/>
            <w:rFonts w:ascii="Arial" w:hAnsi="Arial" w:cs="Arial"/>
            <w:sz w:val="24"/>
            <w:szCs w:val="24"/>
          </w:rPr>
          <w:t xml:space="preserve"> successful</w:t>
        </w:r>
        <w:r w:rsidR="008D1934" w:rsidRPr="001D377A">
          <w:rPr>
            <w:rStyle w:val="Hyperlink"/>
            <w:rFonts w:ascii="Arial" w:hAnsi="Arial" w:cs="Arial"/>
            <w:sz w:val="24"/>
            <w:szCs w:val="24"/>
          </w:rPr>
          <w:t xml:space="preserve"> completion</w:t>
        </w:r>
      </w:hyperlink>
      <w:r w:rsidR="001D377A">
        <w:rPr>
          <w:rFonts w:ascii="Arial" w:hAnsi="Arial" w:cs="Arial"/>
          <w:sz w:val="24"/>
          <w:szCs w:val="24"/>
        </w:rPr>
        <w:t>.</w:t>
      </w:r>
    </w:p>
    <w:p w14:paraId="535E66A9" w14:textId="77777777" w:rsidR="004D10E2" w:rsidRDefault="004D10E2" w:rsidP="0067513B">
      <w:pPr>
        <w:rPr>
          <w:rFonts w:ascii="Arial" w:hAnsi="Arial" w:cs="Arial"/>
          <w:sz w:val="24"/>
          <w:szCs w:val="24"/>
        </w:rPr>
      </w:pPr>
    </w:p>
    <w:p w14:paraId="635BDAFA" w14:textId="05246F5F" w:rsidR="004D10E2" w:rsidRDefault="004D77BD" w:rsidP="0067513B">
      <w:pPr>
        <w:rPr>
          <w:rFonts w:ascii="Arial" w:hAnsi="Arial" w:cs="Arial"/>
          <w:sz w:val="24"/>
          <w:szCs w:val="24"/>
        </w:rPr>
      </w:pPr>
      <w:r w:rsidRPr="42DC4619">
        <w:rPr>
          <w:rFonts w:ascii="Arial" w:hAnsi="Arial" w:cs="Arial"/>
          <w:sz w:val="24"/>
          <w:szCs w:val="24"/>
        </w:rPr>
        <w:t>Version 1: September 2024</w:t>
      </w:r>
    </w:p>
    <w:p w14:paraId="34719965" w14:textId="4E3D2545" w:rsidR="42DC4619" w:rsidRDefault="42DC4619">
      <w:r>
        <w:br w:type="page"/>
      </w:r>
    </w:p>
    <w:p w14:paraId="64011E86" w14:textId="4FB78FB6" w:rsidR="00BA4BAB" w:rsidRPr="00842F63" w:rsidRDefault="0063690C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</w:rPr>
      </w:pPr>
      <w:bookmarkStart w:id="3" w:name="_Toc168649299"/>
      <w:r w:rsidRPr="00842F63">
        <w:rPr>
          <w:rFonts w:ascii="Arial" w:hAnsi="Arial" w:cs="Arial"/>
          <w:b/>
          <w:bCs/>
          <w:color w:val="008868"/>
          <w:sz w:val="36"/>
          <w:szCs w:val="36"/>
        </w:rPr>
        <w:lastRenderedPageBreak/>
        <w:t>Section 1: Lead</w:t>
      </w:r>
      <w:r w:rsidR="003869FE" w:rsidRPr="00842F63">
        <w:rPr>
          <w:rFonts w:ascii="Arial" w:hAnsi="Arial" w:cs="Arial"/>
          <w:b/>
          <w:bCs/>
          <w:color w:val="008868"/>
          <w:sz w:val="36"/>
          <w:szCs w:val="36"/>
        </w:rPr>
        <w:t>ing</w:t>
      </w:r>
      <w:r w:rsidRPr="00842F63">
        <w:rPr>
          <w:rFonts w:ascii="Arial" w:hAnsi="Arial" w:cs="Arial"/>
          <w:b/>
          <w:bCs/>
          <w:color w:val="008868"/>
          <w:sz w:val="36"/>
          <w:szCs w:val="36"/>
        </w:rPr>
        <w:t xml:space="preserve"> child-centred practice</w:t>
      </w:r>
      <w:bookmarkEnd w:id="3"/>
    </w:p>
    <w:p w14:paraId="50F1E0F9" w14:textId="77777777" w:rsidR="00FE2192" w:rsidRDefault="00FE2192" w:rsidP="00BA4BA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DD70342" w14:textId="5B561465" w:rsidR="00BA4BAB" w:rsidRPr="00F1355F" w:rsidRDefault="00E42677" w:rsidP="00BA4BAB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This l</w:t>
      </w:r>
      <w:r w:rsidR="00BA4BAB" w:rsidRPr="00F1355F">
        <w:rPr>
          <w:rFonts w:ascii="Arial" w:eastAsia="Calibri" w:hAnsi="Arial" w:cs="Arial"/>
          <w:b/>
          <w:sz w:val="24"/>
          <w:szCs w:val="24"/>
        </w:rPr>
        <w:t xml:space="preserve">inks to unit </w:t>
      </w:r>
      <w:r w:rsidR="00155AC6">
        <w:rPr>
          <w:rFonts w:ascii="Arial" w:eastAsia="Calibri" w:hAnsi="Arial" w:cs="Arial"/>
          <w:b/>
          <w:sz w:val="24"/>
          <w:szCs w:val="24"/>
        </w:rPr>
        <w:t>405</w:t>
      </w:r>
      <w:r w:rsidR="00BA4BAB" w:rsidRPr="00F1355F">
        <w:rPr>
          <w:rFonts w:ascii="Arial" w:eastAsia="Calibri" w:hAnsi="Arial" w:cs="Arial"/>
          <w:b/>
          <w:sz w:val="24"/>
          <w:szCs w:val="24"/>
        </w:rPr>
        <w:t xml:space="preserve"> </w:t>
      </w:r>
      <w:r w:rsidR="00BA4BAB" w:rsidRPr="00F1355F">
        <w:rPr>
          <w:rFonts w:ascii="Arial" w:eastAsia="Calibri" w:hAnsi="Arial" w:cs="Arial"/>
          <w:b/>
          <w:bCs/>
          <w:sz w:val="24"/>
          <w:szCs w:val="24"/>
        </w:rPr>
        <w:t xml:space="preserve">City &amp; Guilds Level </w:t>
      </w:r>
      <w:r w:rsidR="00155AC6">
        <w:rPr>
          <w:rFonts w:ascii="Arial" w:eastAsia="Calibri" w:hAnsi="Arial" w:cs="Arial"/>
          <w:b/>
          <w:bCs/>
          <w:sz w:val="24"/>
          <w:szCs w:val="24"/>
        </w:rPr>
        <w:t>4 Preparing for</w:t>
      </w:r>
      <w:r w:rsidR="00BA4BAB" w:rsidRPr="00F1355F">
        <w:rPr>
          <w:rFonts w:ascii="Arial" w:eastAsia="Calibri" w:hAnsi="Arial" w:cs="Arial"/>
          <w:b/>
          <w:bCs/>
          <w:sz w:val="24"/>
          <w:szCs w:val="24"/>
        </w:rPr>
        <w:t xml:space="preserve"> Leadership and Management </w:t>
      </w:r>
      <w:r w:rsidR="00C55DAA">
        <w:rPr>
          <w:rFonts w:ascii="Arial" w:eastAsia="Calibri" w:hAnsi="Arial" w:cs="Arial"/>
          <w:b/>
          <w:bCs/>
          <w:sz w:val="24"/>
          <w:szCs w:val="24"/>
        </w:rPr>
        <w:t>in</w:t>
      </w:r>
      <w:r w:rsidR="00BA4BAB" w:rsidRPr="00F1355F">
        <w:rPr>
          <w:rFonts w:ascii="Arial" w:eastAsia="Calibri" w:hAnsi="Arial" w:cs="Arial"/>
          <w:b/>
          <w:bCs/>
          <w:sz w:val="24"/>
          <w:szCs w:val="24"/>
        </w:rPr>
        <w:t xml:space="preserve"> Children’s Care, Play, Learning and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63690C" w:rsidRPr="00F1355F" w14:paraId="52FE221E" w14:textId="77777777" w:rsidTr="00A00578">
        <w:trPr>
          <w:tblHeader/>
        </w:trPr>
        <w:tc>
          <w:tcPr>
            <w:tcW w:w="5240" w:type="dxa"/>
            <w:shd w:val="clear" w:color="auto" w:fill="008868"/>
          </w:tcPr>
          <w:p w14:paraId="4F89DBCB" w14:textId="3403060A" w:rsidR="0063690C" w:rsidRPr="00A00578" w:rsidRDefault="005D503C" w:rsidP="0067513B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Summary </w:t>
            </w:r>
            <w:r w:rsidR="0063690C"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  <w:tc>
          <w:tcPr>
            <w:tcW w:w="4115" w:type="dxa"/>
            <w:shd w:val="clear" w:color="auto" w:fill="008868"/>
          </w:tcPr>
          <w:p w14:paraId="76C1E6DD" w14:textId="4439FD1E" w:rsidR="0063690C" w:rsidRPr="00A00578" w:rsidRDefault="0063690C" w:rsidP="0067513B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</w:tcPr>
          <w:p w14:paraId="07C2B09D" w14:textId="77777777" w:rsidR="0063690C" w:rsidRPr="00A00578" w:rsidRDefault="0063690C" w:rsidP="0067513B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="0063690C" w:rsidRPr="00F1355F" w14:paraId="042D4723" w14:textId="77777777">
        <w:tc>
          <w:tcPr>
            <w:tcW w:w="5240" w:type="dxa"/>
          </w:tcPr>
          <w:p w14:paraId="7A6FC3BE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14:paraId="2CB550FA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14:paraId="42F05186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14:paraId="18745F31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14:paraId="4374A8A7" w14:textId="77777777" w:rsidR="0063690C" w:rsidRPr="00F1355F" w:rsidRDefault="006369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6D76DDF1" w14:textId="77777777" w:rsidR="0063690C" w:rsidRPr="00F1355F" w:rsidRDefault="0063690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580EC26F" w14:textId="77777777" w:rsidR="0063690C" w:rsidRPr="00F1355F" w:rsidRDefault="0063690C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621"/>
        <w:gridCol w:w="2957"/>
        <w:gridCol w:w="2833"/>
        <w:gridCol w:w="1567"/>
      </w:tblGrid>
      <w:tr w:rsidR="00034A1F" w:rsidRPr="00F1355F" w14:paraId="0A3562D3" w14:textId="77777777" w:rsidTr="008C61A4">
        <w:trPr>
          <w:cantSplit/>
          <w:trHeight w:val="1134"/>
          <w:tblHeader/>
        </w:trPr>
        <w:tc>
          <w:tcPr>
            <w:tcW w:w="562" w:type="dxa"/>
            <w:shd w:val="clear" w:color="auto" w:fill="008868"/>
            <w:textDirection w:val="btLr"/>
            <w:vAlign w:val="center"/>
          </w:tcPr>
          <w:p w14:paraId="5FA55FBF" w14:textId="1FFA0F39" w:rsidR="00034A1F" w:rsidRPr="00A00578" w:rsidRDefault="00034A1F" w:rsidP="00A00578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8C61A4">
              <w:rPr>
                <w:rFonts w:eastAsia="Calibri"/>
                <w:b/>
                <w:color w:val="FFFFFF" w:themeColor="background1"/>
                <w:sz w:val="12"/>
                <w:szCs w:val="12"/>
              </w:rPr>
              <w:t>Learning outcome</w:t>
            </w:r>
          </w:p>
        </w:tc>
        <w:tc>
          <w:tcPr>
            <w:tcW w:w="2410" w:type="dxa"/>
            <w:shd w:val="clear" w:color="auto" w:fill="008868"/>
            <w:vAlign w:val="center"/>
          </w:tcPr>
          <w:p w14:paraId="4946096B" w14:textId="485EAD42" w:rsidR="00034A1F" w:rsidRPr="00A00578" w:rsidRDefault="0F7AADAF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61FBB94B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Induction standards</w:t>
            </w:r>
            <w:r w:rsidR="29C2ED09" w:rsidRPr="61FBB94B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621" w:type="dxa"/>
            <w:shd w:val="clear" w:color="auto" w:fill="008868"/>
            <w:vAlign w:val="center"/>
          </w:tcPr>
          <w:p w14:paraId="3D4908CA" w14:textId="6319E886" w:rsidR="00034A1F" w:rsidRPr="00A00578" w:rsidRDefault="00766FB7" w:rsidP="00BD045D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that I understand:</w:t>
            </w:r>
          </w:p>
        </w:tc>
        <w:tc>
          <w:tcPr>
            <w:tcW w:w="2957" w:type="dxa"/>
            <w:shd w:val="clear" w:color="auto" w:fill="008868"/>
            <w:vAlign w:val="center"/>
          </w:tcPr>
          <w:p w14:paraId="1EE439B2" w14:textId="77777777" w:rsidR="00034A1F" w:rsidRPr="00A00578" w:rsidRDefault="00034A1F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833" w:type="dxa"/>
            <w:shd w:val="clear" w:color="auto" w:fill="008868"/>
            <w:vAlign w:val="center"/>
          </w:tcPr>
          <w:p w14:paraId="348623C0" w14:textId="50D352F5" w:rsidR="00034A1F" w:rsidRPr="00A00578" w:rsidRDefault="00034A1F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567" w:type="dxa"/>
            <w:shd w:val="clear" w:color="auto" w:fill="008868"/>
            <w:vAlign w:val="center"/>
          </w:tcPr>
          <w:p w14:paraId="19165E89" w14:textId="56226688" w:rsidR="00034A1F" w:rsidRPr="00A00578" w:rsidRDefault="00034A1F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="00034A1F" w:rsidRPr="00F1355F" w14:paraId="532FEECD" w14:textId="77777777" w:rsidTr="002835EA">
        <w:tc>
          <w:tcPr>
            <w:tcW w:w="562" w:type="dxa"/>
            <w:vAlign w:val="center"/>
          </w:tcPr>
          <w:p w14:paraId="189B6C44" w14:textId="2DEE8235" w:rsidR="00034A1F" w:rsidRPr="007F7F3C" w:rsidRDefault="00034A1F" w:rsidP="007F7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7F3C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A9AB6E2" w14:textId="4F98A493" w:rsidR="00034A1F" w:rsidRPr="00F1355F" w:rsidRDefault="00034A1F" w:rsidP="002835EA">
            <w:pPr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the development of rights-based approaches and how these continuously evolve and influence child-centred practice</w:t>
            </w:r>
          </w:p>
        </w:tc>
        <w:tc>
          <w:tcPr>
            <w:tcW w:w="3621" w:type="dxa"/>
          </w:tcPr>
          <w:p w14:paraId="52C9099E" w14:textId="0582CBDE" w:rsidR="007E6D88" w:rsidRPr="007E6D88" w:rsidRDefault="007E6D88" w:rsidP="007E6D88">
            <w:pPr>
              <w:pStyle w:val="ListParagraph"/>
              <w:numPr>
                <w:ilvl w:val="1"/>
                <w:numId w:val="1"/>
              </w:numPr>
              <w:rPr>
                <w:rFonts w:eastAsia="Calibri"/>
                <w:sz w:val="24"/>
                <w:szCs w:val="24"/>
              </w:rPr>
            </w:pPr>
            <w:r w:rsidRPr="007E6D88">
              <w:rPr>
                <w:rFonts w:eastAsia="Calibri"/>
                <w:sz w:val="24"/>
                <w:szCs w:val="24"/>
              </w:rPr>
              <w:t xml:space="preserve">How </w:t>
            </w:r>
            <w:proofErr w:type="gramStart"/>
            <w:r w:rsidRPr="007E6D88">
              <w:rPr>
                <w:rFonts w:eastAsia="Calibri"/>
                <w:sz w:val="24"/>
                <w:szCs w:val="24"/>
              </w:rPr>
              <w:t>rights based</w:t>
            </w:r>
            <w:proofErr w:type="gramEnd"/>
            <w:r w:rsidRPr="007E6D88">
              <w:rPr>
                <w:rFonts w:eastAsia="Calibri"/>
                <w:sz w:val="24"/>
                <w:szCs w:val="24"/>
              </w:rPr>
              <w:t xml:space="preserve"> approaches for children:</w:t>
            </w:r>
          </w:p>
          <w:p w14:paraId="02C0A3D7" w14:textId="77777777" w:rsidR="00F3418B" w:rsidRDefault="007E6D88" w:rsidP="00F3418B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F3418B">
              <w:rPr>
                <w:rFonts w:eastAsia="Calibri"/>
                <w:sz w:val="24"/>
                <w:szCs w:val="24"/>
              </w:rPr>
              <w:t xml:space="preserve">have developed and evolved over time  </w:t>
            </w:r>
          </w:p>
          <w:p w14:paraId="25C20ABA" w14:textId="77777777" w:rsidR="00F3418B" w:rsidRDefault="007E6D88" w:rsidP="00F3418B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F3418B">
              <w:rPr>
                <w:rFonts w:eastAsia="Calibri"/>
                <w:sz w:val="24"/>
                <w:szCs w:val="24"/>
              </w:rPr>
              <w:t xml:space="preserve">are embedded in conventions, legislation, regulatory frameworks and Welsh Government Policy </w:t>
            </w:r>
          </w:p>
          <w:p w14:paraId="52F56FC0" w14:textId="335A2ECC" w:rsidR="00034A1F" w:rsidRPr="00F3418B" w:rsidRDefault="007E6D88" w:rsidP="008C61A4">
            <w:pPr>
              <w:rPr>
                <w:rFonts w:eastAsia="Calibri"/>
                <w:sz w:val="24"/>
                <w:szCs w:val="24"/>
              </w:rPr>
            </w:pPr>
            <w:r w:rsidRPr="00F3418B">
              <w:rPr>
                <w:rFonts w:eastAsia="Calibri"/>
                <w:sz w:val="24"/>
                <w:szCs w:val="24"/>
              </w:rPr>
              <w:lastRenderedPageBreak/>
              <w:t>1.2 Influence and inform local practice</w:t>
            </w:r>
          </w:p>
        </w:tc>
        <w:tc>
          <w:tcPr>
            <w:tcW w:w="2957" w:type="dxa"/>
          </w:tcPr>
          <w:p w14:paraId="0C66BD5E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C7B7AA4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81CC7F6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4A1F" w:rsidRPr="00F1355F" w14:paraId="2F7747A4" w14:textId="77777777" w:rsidTr="002835EA">
        <w:tc>
          <w:tcPr>
            <w:tcW w:w="562" w:type="dxa"/>
            <w:vAlign w:val="center"/>
          </w:tcPr>
          <w:p w14:paraId="5AEFD7F7" w14:textId="3205E6D3" w:rsidR="00034A1F" w:rsidRPr="007F7F3C" w:rsidRDefault="00034A1F" w:rsidP="007F7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7F3C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57547CE" w14:textId="7AF56E60" w:rsidR="00034A1F" w:rsidRPr="00F1355F" w:rsidRDefault="00034A1F" w:rsidP="002835E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how to promote equity, equality, diversity and inclusion</w:t>
            </w:r>
          </w:p>
        </w:tc>
        <w:tc>
          <w:tcPr>
            <w:tcW w:w="3621" w:type="dxa"/>
          </w:tcPr>
          <w:p w14:paraId="42E0CBF9" w14:textId="77777777" w:rsidR="008C61A4" w:rsidRDefault="008C61A4">
            <w:pPr>
              <w:rPr>
                <w:rFonts w:eastAsia="Calibri"/>
                <w:sz w:val="24"/>
                <w:szCs w:val="24"/>
              </w:rPr>
            </w:pPr>
            <w:r w:rsidRPr="008C61A4">
              <w:rPr>
                <w:rFonts w:eastAsia="Calibri"/>
                <w:sz w:val="24"/>
                <w:szCs w:val="24"/>
              </w:rPr>
              <w:t xml:space="preserve">2.1 Legislation and policy that support equity, equality, diversity and inclusion </w:t>
            </w:r>
          </w:p>
          <w:p w14:paraId="2D57DF6E" w14:textId="70422762" w:rsidR="00034A1F" w:rsidRPr="00F1355F" w:rsidRDefault="008C61A4" w:rsidP="51C828BE">
            <w:pPr>
              <w:rPr>
                <w:rFonts w:eastAsia="Calibri"/>
                <w:sz w:val="24"/>
                <w:szCs w:val="24"/>
              </w:rPr>
            </w:pPr>
            <w:r w:rsidRPr="008C61A4">
              <w:rPr>
                <w:rFonts w:eastAsia="Calibri"/>
                <w:sz w:val="24"/>
                <w:szCs w:val="24"/>
              </w:rPr>
              <w:t xml:space="preserve">2.2 How behaviours and values in the workplace/setting promote equity, equality, diversity and inclusion </w:t>
            </w:r>
          </w:p>
          <w:p w14:paraId="2563ED4F" w14:textId="6DEE4F38" w:rsidR="00034A1F" w:rsidRPr="00F1355F" w:rsidRDefault="008C61A4">
            <w:pPr>
              <w:rPr>
                <w:rFonts w:eastAsia="Calibri"/>
                <w:sz w:val="24"/>
                <w:szCs w:val="24"/>
              </w:rPr>
            </w:pPr>
            <w:r w:rsidRPr="008C61A4">
              <w:rPr>
                <w:rFonts w:eastAsia="Calibri"/>
                <w:sz w:val="24"/>
                <w:szCs w:val="24"/>
              </w:rPr>
              <w:t>2.3 The impact of discrimination, stereotyping, prejudice and power imbalances on equity, equality, diversity and inclusion</w:t>
            </w:r>
          </w:p>
        </w:tc>
        <w:tc>
          <w:tcPr>
            <w:tcW w:w="2957" w:type="dxa"/>
          </w:tcPr>
          <w:p w14:paraId="6F508A44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7FD54A23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48A0F3C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4A1F" w:rsidRPr="00F1355F" w14:paraId="2A8EBBFD" w14:textId="77777777" w:rsidTr="002835EA">
        <w:tc>
          <w:tcPr>
            <w:tcW w:w="562" w:type="dxa"/>
            <w:vAlign w:val="center"/>
          </w:tcPr>
          <w:p w14:paraId="06D56819" w14:textId="2774EFA4" w:rsidR="00034A1F" w:rsidRPr="007F7F3C" w:rsidRDefault="00034A1F" w:rsidP="007F7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7F3C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034F23A" w14:textId="4DA5F2E3" w:rsidR="00034A1F" w:rsidRPr="00F1355F" w:rsidRDefault="00034A1F" w:rsidP="002835E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the impact of Welsh language and culture on your workplace/setting</w:t>
            </w:r>
          </w:p>
        </w:tc>
        <w:tc>
          <w:tcPr>
            <w:tcW w:w="3621" w:type="dxa"/>
          </w:tcPr>
          <w:p w14:paraId="48D37789" w14:textId="77777777" w:rsidR="006240AB" w:rsidRDefault="006240AB">
            <w:pPr>
              <w:rPr>
                <w:rFonts w:eastAsia="Calibri"/>
                <w:sz w:val="24"/>
                <w:szCs w:val="24"/>
              </w:rPr>
            </w:pPr>
            <w:r w:rsidRPr="006240AB">
              <w:rPr>
                <w:rFonts w:eastAsia="Calibri"/>
                <w:sz w:val="24"/>
                <w:szCs w:val="24"/>
              </w:rPr>
              <w:t xml:space="preserve">3.1 Legislation, Welsh Government Policy and Standards for the Welsh language and how these relate to the rights of children </w:t>
            </w:r>
          </w:p>
          <w:p w14:paraId="0F21DE07" w14:textId="4C9D47AC" w:rsidR="00034A1F" w:rsidRPr="00F1355F" w:rsidRDefault="006240AB">
            <w:pPr>
              <w:rPr>
                <w:rFonts w:eastAsia="Calibri"/>
                <w:sz w:val="24"/>
                <w:szCs w:val="24"/>
              </w:rPr>
            </w:pPr>
            <w:r w:rsidRPr="006240AB">
              <w:rPr>
                <w:rFonts w:eastAsia="Calibri"/>
                <w:sz w:val="24"/>
                <w:szCs w:val="24"/>
              </w:rPr>
              <w:t>3.2 Methods and approaches that can be used to promote and encourage the use of Welsh language and culture in workplace/settings</w:t>
            </w:r>
          </w:p>
        </w:tc>
        <w:tc>
          <w:tcPr>
            <w:tcW w:w="2957" w:type="dxa"/>
          </w:tcPr>
          <w:p w14:paraId="1A3D80AD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47E2C03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76B4DA6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4A1F" w:rsidRPr="00F1355F" w14:paraId="0F1A2917" w14:textId="77777777" w:rsidTr="002835EA">
        <w:tc>
          <w:tcPr>
            <w:tcW w:w="562" w:type="dxa"/>
            <w:vAlign w:val="center"/>
          </w:tcPr>
          <w:p w14:paraId="74998E4C" w14:textId="4C1A28E4" w:rsidR="00034A1F" w:rsidRPr="007F7F3C" w:rsidRDefault="00034A1F" w:rsidP="007F7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7F3C">
              <w:rPr>
                <w:rFonts w:eastAsia="Calibr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50315506" w14:textId="0E01A247" w:rsidR="00034A1F" w:rsidRPr="00F1355F" w:rsidRDefault="00034A1F" w:rsidP="002835EA">
            <w:pPr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prevention and early intervention</w:t>
            </w:r>
          </w:p>
        </w:tc>
        <w:tc>
          <w:tcPr>
            <w:tcW w:w="3621" w:type="dxa"/>
          </w:tcPr>
          <w:p w14:paraId="4C8ED450" w14:textId="77777777" w:rsidR="009D25EE" w:rsidRDefault="009D25EE">
            <w:pPr>
              <w:rPr>
                <w:rFonts w:eastAsia="Calibri"/>
                <w:sz w:val="24"/>
                <w:szCs w:val="24"/>
              </w:rPr>
            </w:pPr>
            <w:r w:rsidRPr="009D25EE">
              <w:rPr>
                <w:rFonts w:eastAsia="Calibri"/>
                <w:sz w:val="24"/>
                <w:szCs w:val="24"/>
              </w:rPr>
              <w:t xml:space="preserve">4.1 The importance of prevention and early intervention  </w:t>
            </w:r>
          </w:p>
          <w:p w14:paraId="5EAA15B1" w14:textId="77777777" w:rsidR="009D25EE" w:rsidRDefault="009D25EE">
            <w:pPr>
              <w:rPr>
                <w:rFonts w:eastAsia="Calibri"/>
                <w:sz w:val="24"/>
                <w:szCs w:val="24"/>
              </w:rPr>
            </w:pPr>
            <w:r w:rsidRPr="009D25EE">
              <w:rPr>
                <w:rFonts w:eastAsia="Calibri"/>
                <w:sz w:val="24"/>
                <w:szCs w:val="24"/>
              </w:rPr>
              <w:t xml:space="preserve">4.2 Models and approaches for prevention and early intervention  </w:t>
            </w:r>
          </w:p>
          <w:p w14:paraId="6916932C" w14:textId="1E73E1CC" w:rsidR="00034A1F" w:rsidRPr="00F1355F" w:rsidRDefault="009D25EE">
            <w:pPr>
              <w:rPr>
                <w:rFonts w:eastAsia="Calibri"/>
                <w:sz w:val="24"/>
                <w:szCs w:val="24"/>
              </w:rPr>
            </w:pPr>
            <w:r w:rsidRPr="009D25EE">
              <w:rPr>
                <w:rFonts w:eastAsia="Calibri"/>
                <w:sz w:val="24"/>
                <w:szCs w:val="24"/>
              </w:rPr>
              <w:t>4.3 The importance of ensuring that children and their families/carers are encouraged and supported to express their feelings, views and choices about ‘what matters’ to them</w:t>
            </w:r>
          </w:p>
        </w:tc>
        <w:tc>
          <w:tcPr>
            <w:tcW w:w="2957" w:type="dxa"/>
          </w:tcPr>
          <w:p w14:paraId="0F979B41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62BB872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64FD139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4A1F" w:rsidRPr="00F1355F" w14:paraId="1E67DA1B" w14:textId="77777777" w:rsidTr="002835EA">
        <w:tc>
          <w:tcPr>
            <w:tcW w:w="562" w:type="dxa"/>
            <w:vAlign w:val="center"/>
          </w:tcPr>
          <w:p w14:paraId="01B77E5F" w14:textId="229F8327" w:rsidR="00034A1F" w:rsidRPr="007F7F3C" w:rsidRDefault="00034A1F" w:rsidP="007F7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7F3C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C53A2DE" w14:textId="60139CD6" w:rsidR="00034A1F" w:rsidRPr="00F1355F" w:rsidRDefault="00034A1F" w:rsidP="002835EA">
            <w:pPr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the impact of safeguarding on your workplace/setting</w:t>
            </w:r>
          </w:p>
        </w:tc>
        <w:tc>
          <w:tcPr>
            <w:tcW w:w="3621" w:type="dxa"/>
          </w:tcPr>
          <w:p w14:paraId="4585B51F" w14:textId="77777777" w:rsidR="00A82C54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t xml:space="preserve">5.1 Workplace/setting responsibilities for safeguarding children </w:t>
            </w:r>
          </w:p>
          <w:p w14:paraId="6212A968" w14:textId="77777777" w:rsidR="00A82C54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t xml:space="preserve">5.2 Regulatory requirements for safeguarding </w:t>
            </w:r>
          </w:p>
          <w:p w14:paraId="0ED4019B" w14:textId="77777777" w:rsidR="00A82C54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t xml:space="preserve">5.3 The roles and responsibilities of the Designated Safeguarding officer in a setting </w:t>
            </w:r>
          </w:p>
          <w:p w14:paraId="340824A9" w14:textId="77777777" w:rsidR="00A82C54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lastRenderedPageBreak/>
              <w:t xml:space="preserve">5.4 Child practice/serious case reviews and their impact on practice </w:t>
            </w:r>
          </w:p>
          <w:p w14:paraId="5A1EFD8A" w14:textId="77777777" w:rsidR="00A82C54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t xml:space="preserve">5.5 Roles and responsibilities of a multi-agency team in child protection </w:t>
            </w:r>
          </w:p>
          <w:p w14:paraId="577F0701" w14:textId="77777777" w:rsidR="00A82C54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t xml:space="preserve">5.6 Roles and responsibilities in a range of safeguarding meetings </w:t>
            </w:r>
          </w:p>
          <w:p w14:paraId="1504E9E7" w14:textId="77777777" w:rsidR="00A82C54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t xml:space="preserve">5.7 How to lead an environment that promotes safeguarding </w:t>
            </w:r>
          </w:p>
          <w:p w14:paraId="4FA74BB9" w14:textId="3F3CA7FA" w:rsidR="00034A1F" w:rsidRPr="00F1355F" w:rsidRDefault="00A82C54">
            <w:pPr>
              <w:rPr>
                <w:rFonts w:eastAsia="Calibri"/>
                <w:sz w:val="24"/>
                <w:szCs w:val="24"/>
              </w:rPr>
            </w:pPr>
            <w:r w:rsidRPr="00A82C54">
              <w:rPr>
                <w:rFonts w:eastAsia="Calibri"/>
                <w:sz w:val="24"/>
                <w:szCs w:val="24"/>
              </w:rPr>
              <w:t xml:space="preserve">5.8 How policy and practice </w:t>
            </w:r>
            <w:proofErr w:type="gramStart"/>
            <w:r w:rsidRPr="00A82C54">
              <w:rPr>
                <w:rFonts w:eastAsia="Calibri"/>
                <w:sz w:val="24"/>
                <w:szCs w:val="24"/>
              </w:rPr>
              <w:t>supports</w:t>
            </w:r>
            <w:proofErr w:type="gramEnd"/>
            <w:r w:rsidRPr="00A82C54">
              <w:rPr>
                <w:rFonts w:eastAsia="Calibri"/>
                <w:sz w:val="24"/>
                <w:szCs w:val="24"/>
              </w:rPr>
              <w:t xml:space="preserve"> and promotes safeguarding</w:t>
            </w:r>
          </w:p>
        </w:tc>
        <w:tc>
          <w:tcPr>
            <w:tcW w:w="2957" w:type="dxa"/>
          </w:tcPr>
          <w:p w14:paraId="5F9C0167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7EEEB5D7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6C2E8C0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4A1F" w:rsidRPr="00F1355F" w14:paraId="476DAD3C" w14:textId="77777777" w:rsidTr="002835EA">
        <w:tc>
          <w:tcPr>
            <w:tcW w:w="562" w:type="dxa"/>
            <w:vAlign w:val="center"/>
          </w:tcPr>
          <w:p w14:paraId="30DA9B4C" w14:textId="5C773E37" w:rsidR="00034A1F" w:rsidRPr="007F7F3C" w:rsidRDefault="00034A1F" w:rsidP="007F7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7F3C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48350985" w14:textId="72D9A4A2" w:rsidR="00034A1F" w:rsidRPr="00F1355F" w:rsidRDefault="00034A1F" w:rsidP="002835EA">
            <w:pPr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Know how theories and models support the understanding of child development</w:t>
            </w:r>
          </w:p>
        </w:tc>
        <w:tc>
          <w:tcPr>
            <w:tcW w:w="3621" w:type="dxa"/>
          </w:tcPr>
          <w:p w14:paraId="51F570FA" w14:textId="77777777" w:rsidR="00A236A7" w:rsidRDefault="00A236A7">
            <w:pPr>
              <w:rPr>
                <w:rFonts w:eastAsia="Calibri"/>
                <w:sz w:val="24"/>
                <w:szCs w:val="24"/>
              </w:rPr>
            </w:pPr>
            <w:r w:rsidRPr="00A236A7">
              <w:rPr>
                <w:rFonts w:eastAsia="Calibri"/>
                <w:sz w:val="24"/>
                <w:szCs w:val="24"/>
              </w:rPr>
              <w:t xml:space="preserve">6.1 The interconnection between biological, psychological and socio environmental factors and their relationship to child development </w:t>
            </w:r>
          </w:p>
          <w:p w14:paraId="25ACA82E" w14:textId="2CF87035" w:rsidR="00034A1F" w:rsidRPr="00F1355F" w:rsidRDefault="00A236A7">
            <w:pPr>
              <w:rPr>
                <w:rFonts w:eastAsia="Calibri"/>
                <w:sz w:val="24"/>
                <w:szCs w:val="24"/>
              </w:rPr>
            </w:pPr>
            <w:r w:rsidRPr="00A236A7">
              <w:rPr>
                <w:rFonts w:eastAsia="Calibri"/>
                <w:sz w:val="24"/>
                <w:szCs w:val="24"/>
              </w:rPr>
              <w:t xml:space="preserve">6.2 How theories and models related to Adverse Childhood Experiences are informed by </w:t>
            </w:r>
            <w:r w:rsidRPr="00A236A7">
              <w:rPr>
                <w:rFonts w:eastAsia="Calibri"/>
                <w:sz w:val="24"/>
                <w:szCs w:val="24"/>
              </w:rPr>
              <w:lastRenderedPageBreak/>
              <w:t>biological, psychological and socio environmental factors</w:t>
            </w:r>
          </w:p>
        </w:tc>
        <w:tc>
          <w:tcPr>
            <w:tcW w:w="2957" w:type="dxa"/>
          </w:tcPr>
          <w:p w14:paraId="35BB1ED7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69AEAAE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02A077A" w14:textId="77777777" w:rsidR="00034A1F" w:rsidRPr="00F1355F" w:rsidRDefault="00034A1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744BC52" w14:textId="0E45A08A" w:rsidR="5AFBB732" w:rsidRPr="0067513B" w:rsidRDefault="5AFBB732">
      <w:pPr>
        <w:rPr>
          <w:rFonts w:ascii="Arial" w:hAnsi="Arial" w:cs="Arial"/>
        </w:rPr>
      </w:pPr>
    </w:p>
    <w:p w14:paraId="4E1311CF" w14:textId="77777777" w:rsidR="00566FAA" w:rsidRDefault="00566FAA">
      <w:pPr>
        <w:rPr>
          <w:rFonts w:ascii="Arial" w:eastAsiaTheme="majorEastAsia" w:hAnsi="Arial" w:cs="Arial"/>
          <w:color w:val="1F3864" w:themeColor="accent1" w:themeShade="80"/>
          <w:sz w:val="36"/>
          <w:szCs w:val="36"/>
        </w:rPr>
      </w:pPr>
      <w:r>
        <w:rPr>
          <w:rFonts w:ascii="Arial" w:hAnsi="Arial" w:cs="Arial"/>
        </w:rPr>
        <w:br w:type="page"/>
      </w:r>
    </w:p>
    <w:p w14:paraId="27DCCA9C" w14:textId="73D79960" w:rsidR="0063690C" w:rsidRPr="00842F63" w:rsidRDefault="0063690C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</w:rPr>
      </w:pPr>
      <w:bookmarkStart w:id="4" w:name="_Toc168649300"/>
      <w:r w:rsidRPr="00842F63">
        <w:rPr>
          <w:rFonts w:ascii="Arial" w:hAnsi="Arial" w:cs="Arial"/>
          <w:b/>
          <w:bCs/>
          <w:color w:val="008868"/>
          <w:sz w:val="36"/>
          <w:szCs w:val="36"/>
        </w:rPr>
        <w:lastRenderedPageBreak/>
        <w:t xml:space="preserve">Section 2: </w:t>
      </w:r>
      <w:r w:rsidR="003869FE" w:rsidRPr="00842F63">
        <w:rPr>
          <w:rFonts w:ascii="Arial" w:hAnsi="Arial" w:cs="Arial"/>
          <w:b/>
          <w:bCs/>
          <w:color w:val="008868"/>
          <w:sz w:val="36"/>
          <w:szCs w:val="36"/>
        </w:rPr>
        <w:t>Theor</w:t>
      </w:r>
      <w:r w:rsidR="00FB3347" w:rsidRPr="00842F63">
        <w:rPr>
          <w:rFonts w:ascii="Arial" w:hAnsi="Arial" w:cs="Arial"/>
          <w:b/>
          <w:bCs/>
          <w:color w:val="008868"/>
          <w:sz w:val="36"/>
          <w:szCs w:val="36"/>
        </w:rPr>
        <w:t>etical frameworks for leadership and management</w:t>
      </w:r>
      <w:bookmarkEnd w:id="4"/>
    </w:p>
    <w:p w14:paraId="48ECD5F2" w14:textId="77777777" w:rsidR="00566FAA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C558C07" w14:textId="10595091" w:rsidR="0063690C" w:rsidRPr="00E42677" w:rsidRDefault="00E42677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This l</w:t>
      </w:r>
      <w:r w:rsidR="0063690C" w:rsidRPr="00F1355F">
        <w:rPr>
          <w:rFonts w:ascii="Arial" w:eastAsia="Calibri" w:hAnsi="Arial" w:cs="Arial"/>
          <w:b/>
          <w:sz w:val="24"/>
          <w:szCs w:val="24"/>
        </w:rPr>
        <w:t xml:space="preserve">inks to unit </w:t>
      </w:r>
      <w:r w:rsidR="00763508">
        <w:rPr>
          <w:rFonts w:ascii="Arial" w:eastAsia="Calibri" w:hAnsi="Arial" w:cs="Arial"/>
          <w:b/>
          <w:sz w:val="24"/>
          <w:szCs w:val="24"/>
        </w:rPr>
        <w:t>406</w:t>
      </w:r>
      <w:r w:rsidR="0063690C" w:rsidRPr="00F1355F">
        <w:rPr>
          <w:rFonts w:ascii="Arial" w:eastAsia="Calibri" w:hAnsi="Arial" w:cs="Arial"/>
          <w:b/>
          <w:sz w:val="24"/>
          <w:szCs w:val="24"/>
        </w:rPr>
        <w:t xml:space="preserve"> </w:t>
      </w:r>
      <w:r w:rsidR="0063690C" w:rsidRPr="00F1355F">
        <w:rPr>
          <w:rFonts w:ascii="Arial" w:eastAsia="Calibri" w:hAnsi="Arial" w:cs="Arial"/>
          <w:b/>
          <w:bCs/>
          <w:sz w:val="24"/>
          <w:szCs w:val="24"/>
        </w:rPr>
        <w:t xml:space="preserve">City &amp; Guilds Level </w:t>
      </w:r>
      <w:r w:rsidR="00763508">
        <w:rPr>
          <w:rFonts w:ascii="Arial" w:eastAsia="Calibri" w:hAnsi="Arial" w:cs="Arial"/>
          <w:b/>
          <w:bCs/>
          <w:sz w:val="24"/>
          <w:szCs w:val="24"/>
        </w:rPr>
        <w:t>4 Preparing for</w:t>
      </w:r>
      <w:r w:rsidR="0063690C" w:rsidRPr="00F1355F">
        <w:rPr>
          <w:rFonts w:ascii="Arial" w:eastAsia="Calibri" w:hAnsi="Arial" w:cs="Arial"/>
          <w:b/>
          <w:bCs/>
          <w:sz w:val="24"/>
          <w:szCs w:val="24"/>
        </w:rPr>
        <w:t xml:space="preserve"> Leadership and Management </w:t>
      </w:r>
      <w:r w:rsidR="00763508">
        <w:rPr>
          <w:rFonts w:ascii="Arial" w:eastAsia="Calibri" w:hAnsi="Arial" w:cs="Arial"/>
          <w:b/>
          <w:bCs/>
          <w:sz w:val="24"/>
          <w:szCs w:val="24"/>
        </w:rPr>
        <w:t>in</w:t>
      </w:r>
      <w:r w:rsidR="0063690C" w:rsidRPr="00F1355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bookmarkStart w:id="5" w:name="_Hlk156981302"/>
      <w:r w:rsidR="003F786A" w:rsidRPr="00F1355F">
        <w:rPr>
          <w:rFonts w:ascii="Arial" w:eastAsia="Calibri" w:hAnsi="Arial" w:cs="Arial"/>
          <w:b/>
          <w:bCs/>
          <w:sz w:val="24"/>
          <w:szCs w:val="24"/>
        </w:rPr>
        <w:t>Children’s Care, Play, Learning and Development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63690C" w:rsidRPr="00F1355F" w14:paraId="505CE3B7" w14:textId="77777777" w:rsidTr="00A00578">
        <w:trPr>
          <w:tblHeader/>
        </w:trPr>
        <w:tc>
          <w:tcPr>
            <w:tcW w:w="5240" w:type="dxa"/>
            <w:shd w:val="clear" w:color="auto" w:fill="008868"/>
            <w:vAlign w:val="center"/>
          </w:tcPr>
          <w:p w14:paraId="58E9D2B7" w14:textId="77777777" w:rsidR="0063690C" w:rsidRPr="00A00578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Summary notes</w:t>
            </w:r>
          </w:p>
        </w:tc>
        <w:tc>
          <w:tcPr>
            <w:tcW w:w="4115" w:type="dxa"/>
            <w:shd w:val="clear" w:color="auto" w:fill="008868"/>
            <w:vAlign w:val="center"/>
          </w:tcPr>
          <w:p w14:paraId="1D459F15" w14:textId="7340B734" w:rsidR="0063690C" w:rsidRPr="00A00578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  <w:vAlign w:val="center"/>
          </w:tcPr>
          <w:p w14:paraId="12F4B1FD" w14:textId="77777777" w:rsidR="0063690C" w:rsidRPr="00A00578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="0063690C" w:rsidRPr="00F1355F" w14:paraId="46C04161" w14:textId="77777777">
        <w:tc>
          <w:tcPr>
            <w:tcW w:w="5240" w:type="dxa"/>
          </w:tcPr>
          <w:p w14:paraId="1698D526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14:paraId="0035DB57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14:paraId="2D2C457D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14:paraId="16729EB0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14:paraId="463E725F" w14:textId="77777777" w:rsidR="0063690C" w:rsidRPr="00F1355F" w:rsidRDefault="006369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64B67556" w14:textId="77777777" w:rsidR="0063690C" w:rsidRPr="00F1355F" w:rsidRDefault="0063690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5898F79C" w14:textId="77777777" w:rsidR="0063690C" w:rsidRPr="00F1355F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7"/>
        <w:gridCol w:w="3586"/>
        <w:gridCol w:w="2976"/>
        <w:gridCol w:w="2848"/>
        <w:gridCol w:w="1568"/>
      </w:tblGrid>
      <w:tr w:rsidR="00A236A7" w:rsidRPr="00F1355F" w14:paraId="6B842F17" w14:textId="77777777" w:rsidTr="00A236A7">
        <w:trPr>
          <w:cantSplit/>
          <w:trHeight w:val="1134"/>
          <w:tblHeader/>
        </w:trPr>
        <w:tc>
          <w:tcPr>
            <w:tcW w:w="535" w:type="dxa"/>
            <w:shd w:val="clear" w:color="auto" w:fill="008868"/>
            <w:textDirection w:val="btLr"/>
            <w:vAlign w:val="center"/>
          </w:tcPr>
          <w:p w14:paraId="2B796BD2" w14:textId="608F615B" w:rsidR="00A236A7" w:rsidRPr="00A00578" w:rsidRDefault="00A236A7" w:rsidP="00A00578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236A7">
              <w:rPr>
                <w:rFonts w:eastAsia="Calibri"/>
                <w:b/>
                <w:color w:val="FFFFFF" w:themeColor="background1"/>
                <w:sz w:val="12"/>
                <w:szCs w:val="12"/>
              </w:rPr>
              <w:t>Learning outcome</w:t>
            </w:r>
          </w:p>
        </w:tc>
        <w:tc>
          <w:tcPr>
            <w:tcW w:w="2437" w:type="dxa"/>
            <w:shd w:val="clear" w:color="auto" w:fill="008868"/>
            <w:vAlign w:val="center"/>
          </w:tcPr>
          <w:p w14:paraId="7F5FFF8C" w14:textId="1C8EC071" w:rsidR="00A236A7" w:rsidRPr="00A00578" w:rsidRDefault="00A236A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586" w:type="dxa"/>
            <w:shd w:val="clear" w:color="auto" w:fill="008868"/>
            <w:vAlign w:val="center"/>
          </w:tcPr>
          <w:p w14:paraId="22CE5DA1" w14:textId="44973E02" w:rsidR="00A236A7" w:rsidRPr="00A00578" w:rsidRDefault="00A236A7" w:rsidP="00A236A7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that I understand:</w:t>
            </w:r>
          </w:p>
        </w:tc>
        <w:tc>
          <w:tcPr>
            <w:tcW w:w="2976" w:type="dxa"/>
            <w:shd w:val="clear" w:color="auto" w:fill="008868"/>
            <w:vAlign w:val="center"/>
          </w:tcPr>
          <w:p w14:paraId="20DBA2EF" w14:textId="4C5638D0" w:rsidR="00A236A7" w:rsidRPr="00A00578" w:rsidRDefault="00A236A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848" w:type="dxa"/>
            <w:shd w:val="clear" w:color="auto" w:fill="008868"/>
            <w:vAlign w:val="center"/>
          </w:tcPr>
          <w:p w14:paraId="25067515" w14:textId="77777777" w:rsidR="00A236A7" w:rsidRPr="00A00578" w:rsidRDefault="00A236A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568" w:type="dxa"/>
            <w:shd w:val="clear" w:color="auto" w:fill="008868"/>
            <w:vAlign w:val="center"/>
          </w:tcPr>
          <w:p w14:paraId="03C65A55" w14:textId="791B94A8" w:rsidR="00A236A7" w:rsidRPr="00A00578" w:rsidRDefault="00A236A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="00A236A7" w:rsidRPr="00F1355F" w14:paraId="7C2AE313" w14:textId="77777777" w:rsidTr="002835EA">
        <w:tc>
          <w:tcPr>
            <w:tcW w:w="535" w:type="dxa"/>
            <w:vAlign w:val="center"/>
          </w:tcPr>
          <w:p w14:paraId="675D4189" w14:textId="7293F3F5" w:rsidR="00A236A7" w:rsidRPr="0050733D" w:rsidRDefault="00A236A7" w:rsidP="0050733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37" w:type="dxa"/>
            <w:vAlign w:val="center"/>
          </w:tcPr>
          <w:p w14:paraId="78B2C529" w14:textId="1625869F" w:rsidR="00A236A7" w:rsidRPr="00F1355F" w:rsidRDefault="00A236A7" w:rsidP="002835EA">
            <w:pPr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 xml:space="preserve">Understand theoretical approaches to leadership, management, innovation and change </w:t>
            </w:r>
          </w:p>
        </w:tc>
        <w:tc>
          <w:tcPr>
            <w:tcW w:w="3586" w:type="dxa"/>
          </w:tcPr>
          <w:p w14:paraId="7BF8B700" w14:textId="0F916F11" w:rsidR="009C02AC" w:rsidRPr="009C02AC" w:rsidRDefault="009C02AC" w:rsidP="009C02AC">
            <w:pPr>
              <w:pStyle w:val="ListParagraph"/>
              <w:numPr>
                <w:ilvl w:val="1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9C02AC">
              <w:rPr>
                <w:rFonts w:eastAsia="Calibri"/>
                <w:sz w:val="24"/>
                <w:szCs w:val="24"/>
              </w:rPr>
              <w:t xml:space="preserve">Theories, models and styles of: </w:t>
            </w:r>
          </w:p>
          <w:p w14:paraId="0EEFC4B6" w14:textId="77777777" w:rsidR="009C02AC" w:rsidRPr="009C02AC" w:rsidRDefault="009C02AC" w:rsidP="009C02A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9C02AC">
              <w:rPr>
                <w:rFonts w:eastAsia="Calibri"/>
                <w:sz w:val="24"/>
                <w:szCs w:val="24"/>
              </w:rPr>
              <w:t>Leadership</w:t>
            </w:r>
          </w:p>
          <w:p w14:paraId="5AE8C72D" w14:textId="77777777" w:rsidR="009C02AC" w:rsidRPr="009C02AC" w:rsidRDefault="009C02AC" w:rsidP="009C02A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9C02AC">
              <w:rPr>
                <w:rFonts w:eastAsia="Calibri"/>
                <w:sz w:val="24"/>
                <w:szCs w:val="24"/>
              </w:rPr>
              <w:t>Management</w:t>
            </w:r>
          </w:p>
          <w:p w14:paraId="0E2C7D37" w14:textId="77777777" w:rsidR="009C02AC" w:rsidRDefault="009C02AC" w:rsidP="009C02A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9C02AC">
              <w:rPr>
                <w:rFonts w:eastAsia="Calibri"/>
                <w:sz w:val="24"/>
                <w:szCs w:val="24"/>
              </w:rPr>
              <w:t xml:space="preserve">Innovation and change management  </w:t>
            </w:r>
          </w:p>
          <w:p w14:paraId="12444258" w14:textId="77777777" w:rsidR="009C02AC" w:rsidRPr="009C02AC" w:rsidRDefault="009C02AC" w:rsidP="009C02AC">
            <w:pPr>
              <w:pStyle w:val="ListParagraph"/>
              <w:rPr>
                <w:rFonts w:eastAsia="Calibri"/>
                <w:sz w:val="24"/>
                <w:szCs w:val="24"/>
              </w:rPr>
            </w:pPr>
          </w:p>
          <w:p w14:paraId="2EA586E6" w14:textId="25E5577B" w:rsidR="00A236A7" w:rsidRPr="009C02AC" w:rsidRDefault="009C02AC" w:rsidP="009C02AC">
            <w:pPr>
              <w:pStyle w:val="ListParagraph"/>
              <w:numPr>
                <w:ilvl w:val="1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9C02AC">
              <w:rPr>
                <w:rFonts w:eastAsia="Calibri"/>
                <w:sz w:val="24"/>
                <w:szCs w:val="24"/>
              </w:rPr>
              <w:t>Organisational culture and ethical leadership</w:t>
            </w:r>
          </w:p>
        </w:tc>
        <w:tc>
          <w:tcPr>
            <w:tcW w:w="2976" w:type="dxa"/>
          </w:tcPr>
          <w:p w14:paraId="7D42A11D" w14:textId="16F77739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8" w:type="dxa"/>
          </w:tcPr>
          <w:p w14:paraId="002BD30B" w14:textId="77777777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C4C0A10" w14:textId="77777777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236A7" w:rsidRPr="00F1355F" w14:paraId="70CC4EE1" w14:textId="77777777" w:rsidTr="002835EA">
        <w:tc>
          <w:tcPr>
            <w:tcW w:w="535" w:type="dxa"/>
            <w:vAlign w:val="center"/>
          </w:tcPr>
          <w:p w14:paraId="5FDDF4FA" w14:textId="3102EFBF" w:rsidR="00A236A7" w:rsidRPr="0050733D" w:rsidRDefault="00A236A7" w:rsidP="0050733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37" w:type="dxa"/>
            <w:vAlign w:val="center"/>
          </w:tcPr>
          <w:p w14:paraId="14564146" w14:textId="1ADC9B0E" w:rsidR="00A236A7" w:rsidRPr="00F1355F" w:rsidRDefault="00A236A7" w:rsidP="002835EA">
            <w:pPr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how self-assessment of service and evaluation should be used to support continual improvement</w:t>
            </w:r>
          </w:p>
        </w:tc>
        <w:tc>
          <w:tcPr>
            <w:tcW w:w="3586" w:type="dxa"/>
          </w:tcPr>
          <w:p w14:paraId="332B408D" w14:textId="77777777" w:rsidR="00B73B56" w:rsidRDefault="00B73B56">
            <w:pPr>
              <w:rPr>
                <w:rFonts w:eastAsia="Calibri"/>
                <w:sz w:val="24"/>
                <w:szCs w:val="24"/>
              </w:rPr>
            </w:pPr>
            <w:r w:rsidRPr="00B73B56">
              <w:rPr>
                <w:rFonts w:eastAsia="Calibri"/>
                <w:sz w:val="24"/>
                <w:szCs w:val="24"/>
              </w:rPr>
              <w:t xml:space="preserve">2.1 Methods that can be used to measure service improvement outcomes  </w:t>
            </w:r>
          </w:p>
          <w:p w14:paraId="5B7756A6" w14:textId="77777777" w:rsidR="00B73B56" w:rsidRDefault="00B73B56">
            <w:pPr>
              <w:rPr>
                <w:rFonts w:eastAsia="Calibri"/>
                <w:sz w:val="24"/>
                <w:szCs w:val="24"/>
              </w:rPr>
            </w:pPr>
            <w:r w:rsidRPr="00B73B56">
              <w:rPr>
                <w:rFonts w:eastAsia="Calibri"/>
                <w:sz w:val="24"/>
                <w:szCs w:val="24"/>
              </w:rPr>
              <w:t xml:space="preserve">2.2 How to identify areas to improve within the workplace/setting </w:t>
            </w:r>
          </w:p>
          <w:p w14:paraId="28F7B992" w14:textId="77777777" w:rsidR="00B73B56" w:rsidRDefault="00B73B56">
            <w:pPr>
              <w:rPr>
                <w:rFonts w:eastAsia="Calibri"/>
                <w:sz w:val="24"/>
                <w:szCs w:val="24"/>
              </w:rPr>
            </w:pPr>
            <w:r w:rsidRPr="00B73B56">
              <w:rPr>
                <w:rFonts w:eastAsia="Calibri"/>
                <w:sz w:val="24"/>
                <w:szCs w:val="24"/>
              </w:rPr>
              <w:t xml:space="preserve">2.3 How to embed “what matters” to children and their families/carers in service improvement </w:t>
            </w:r>
          </w:p>
          <w:p w14:paraId="2E5BB783" w14:textId="77777777" w:rsidR="00B73B56" w:rsidRDefault="00B73B56">
            <w:pPr>
              <w:rPr>
                <w:rFonts w:eastAsia="Calibri"/>
                <w:sz w:val="24"/>
                <w:szCs w:val="24"/>
              </w:rPr>
            </w:pPr>
            <w:r w:rsidRPr="00B73B56">
              <w:rPr>
                <w:rFonts w:eastAsia="Calibri"/>
                <w:sz w:val="24"/>
                <w:szCs w:val="24"/>
              </w:rPr>
              <w:t xml:space="preserve">2.4 How positive feedback can be used to improve outcomes for children and families/carers </w:t>
            </w:r>
          </w:p>
          <w:p w14:paraId="200C49D9" w14:textId="4296CDA3" w:rsidR="00A236A7" w:rsidRPr="00F1355F" w:rsidRDefault="00B73B56">
            <w:pPr>
              <w:rPr>
                <w:rFonts w:eastAsia="Calibri"/>
                <w:sz w:val="24"/>
                <w:szCs w:val="24"/>
              </w:rPr>
            </w:pPr>
            <w:r w:rsidRPr="00B73B56">
              <w:rPr>
                <w:rFonts w:eastAsia="Calibri"/>
                <w:sz w:val="24"/>
                <w:szCs w:val="24"/>
              </w:rPr>
              <w:t>2.5 How concerns and compliments can be used to improve practice within the workplace/setting</w:t>
            </w:r>
          </w:p>
        </w:tc>
        <w:tc>
          <w:tcPr>
            <w:tcW w:w="2976" w:type="dxa"/>
          </w:tcPr>
          <w:p w14:paraId="4C12C729" w14:textId="35D0A30F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8" w:type="dxa"/>
          </w:tcPr>
          <w:p w14:paraId="076F5A99" w14:textId="77777777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5F345DF" w14:textId="77777777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236A7" w:rsidRPr="00F1355F" w14:paraId="5B540BD6" w14:textId="77777777" w:rsidTr="002835EA">
        <w:tc>
          <w:tcPr>
            <w:tcW w:w="535" w:type="dxa"/>
            <w:vAlign w:val="center"/>
          </w:tcPr>
          <w:p w14:paraId="1CDD18C9" w14:textId="58B44209" w:rsidR="00A236A7" w:rsidRPr="0050733D" w:rsidRDefault="00A236A7" w:rsidP="0050733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437" w:type="dxa"/>
            <w:vAlign w:val="center"/>
          </w:tcPr>
          <w:p w14:paraId="01B76F49" w14:textId="6D9F1A80" w:rsidR="00A236A7" w:rsidRPr="00F1355F" w:rsidRDefault="00A236A7" w:rsidP="002835EA">
            <w:pPr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 xml:space="preserve">Understand managing innovation and change </w:t>
            </w:r>
          </w:p>
        </w:tc>
        <w:tc>
          <w:tcPr>
            <w:tcW w:w="3586" w:type="dxa"/>
          </w:tcPr>
          <w:p w14:paraId="3C22D53F" w14:textId="77777777" w:rsidR="003317CB" w:rsidRDefault="003317CB">
            <w:pPr>
              <w:rPr>
                <w:rFonts w:eastAsia="Calibri"/>
                <w:sz w:val="24"/>
                <w:szCs w:val="24"/>
              </w:rPr>
            </w:pPr>
            <w:r w:rsidRPr="003317CB">
              <w:rPr>
                <w:rFonts w:eastAsia="Calibri"/>
                <w:sz w:val="24"/>
                <w:szCs w:val="24"/>
              </w:rPr>
              <w:t xml:space="preserve">3.1 Benefits of innovation and change  </w:t>
            </w:r>
          </w:p>
          <w:p w14:paraId="1B5EEA2B" w14:textId="77777777" w:rsidR="003317CB" w:rsidRDefault="003317CB">
            <w:pPr>
              <w:rPr>
                <w:rFonts w:eastAsia="Calibri"/>
                <w:sz w:val="24"/>
                <w:szCs w:val="24"/>
              </w:rPr>
            </w:pPr>
            <w:r w:rsidRPr="003317CB">
              <w:rPr>
                <w:rFonts w:eastAsia="Calibri"/>
                <w:sz w:val="24"/>
                <w:szCs w:val="24"/>
              </w:rPr>
              <w:t xml:space="preserve">3.2 Challenges to innovation and change and ways to respond to these </w:t>
            </w:r>
          </w:p>
          <w:p w14:paraId="22E74761" w14:textId="1F5BAF40" w:rsidR="00A236A7" w:rsidRPr="00F1355F" w:rsidRDefault="003317CB">
            <w:pPr>
              <w:rPr>
                <w:rFonts w:eastAsia="Calibri"/>
                <w:sz w:val="24"/>
                <w:szCs w:val="24"/>
              </w:rPr>
            </w:pPr>
            <w:r w:rsidRPr="003317CB">
              <w:rPr>
                <w:rFonts w:eastAsia="Calibri"/>
                <w:sz w:val="24"/>
                <w:szCs w:val="24"/>
              </w:rPr>
              <w:lastRenderedPageBreak/>
              <w:t>3.3 How to use a partnership approach for innovation and change</w:t>
            </w:r>
          </w:p>
        </w:tc>
        <w:tc>
          <w:tcPr>
            <w:tcW w:w="2976" w:type="dxa"/>
          </w:tcPr>
          <w:p w14:paraId="7534F5DE" w14:textId="1E7FAB9C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8" w:type="dxa"/>
          </w:tcPr>
          <w:p w14:paraId="0BC94841" w14:textId="77777777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43E5A0BB" w14:textId="77777777" w:rsidR="00A236A7" w:rsidRPr="00F1355F" w:rsidRDefault="00A236A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6E719FC3" w14:textId="77777777" w:rsidR="003317CB" w:rsidRDefault="003317CB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</w:rPr>
      </w:pPr>
      <w:bookmarkStart w:id="6" w:name="_Toc168649301"/>
    </w:p>
    <w:p w14:paraId="7488D0F3" w14:textId="77777777" w:rsidR="003317CB" w:rsidRDefault="003317CB">
      <w:pPr>
        <w:rPr>
          <w:rFonts w:ascii="Arial" w:eastAsiaTheme="majorEastAsia" w:hAnsi="Arial" w:cs="Arial"/>
          <w:b/>
          <w:bCs/>
          <w:color w:val="008868"/>
          <w:sz w:val="36"/>
          <w:szCs w:val="36"/>
        </w:rPr>
      </w:pPr>
      <w:r>
        <w:rPr>
          <w:rFonts w:ascii="Arial" w:hAnsi="Arial" w:cs="Arial"/>
          <w:b/>
          <w:bCs/>
          <w:color w:val="008868"/>
          <w:sz w:val="36"/>
          <w:szCs w:val="36"/>
        </w:rPr>
        <w:br w:type="page"/>
      </w:r>
    </w:p>
    <w:p w14:paraId="0673131C" w14:textId="31E8E049" w:rsidR="0063690C" w:rsidRPr="00842F63" w:rsidRDefault="0063690C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</w:rPr>
      </w:pPr>
      <w:r w:rsidRPr="00842F63">
        <w:rPr>
          <w:rFonts w:ascii="Arial" w:hAnsi="Arial" w:cs="Arial"/>
          <w:b/>
          <w:bCs/>
          <w:color w:val="008868"/>
          <w:sz w:val="36"/>
          <w:szCs w:val="36"/>
        </w:rPr>
        <w:lastRenderedPageBreak/>
        <w:t xml:space="preserve">Section 3: </w:t>
      </w:r>
      <w:r w:rsidR="00FB3347" w:rsidRPr="00842F63">
        <w:rPr>
          <w:rFonts w:ascii="Arial" w:hAnsi="Arial" w:cs="Arial"/>
          <w:b/>
          <w:bCs/>
          <w:color w:val="008868"/>
          <w:sz w:val="36"/>
          <w:szCs w:val="36"/>
        </w:rPr>
        <w:t>Understand how to lead and manage effective team performance</w:t>
      </w:r>
      <w:bookmarkEnd w:id="6"/>
    </w:p>
    <w:p w14:paraId="5A935DAD" w14:textId="77777777" w:rsidR="00566FAA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7B0CCE0" w14:textId="4D749767" w:rsidR="0063690C" w:rsidRDefault="007954E4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This l</w:t>
      </w:r>
      <w:r w:rsidR="0063690C" w:rsidRPr="00F1355F">
        <w:rPr>
          <w:rFonts w:ascii="Arial" w:eastAsia="Calibri" w:hAnsi="Arial" w:cs="Arial"/>
          <w:b/>
          <w:sz w:val="24"/>
          <w:szCs w:val="24"/>
        </w:rPr>
        <w:t xml:space="preserve">inks to unit </w:t>
      </w:r>
      <w:r w:rsidR="00F802D4">
        <w:rPr>
          <w:rFonts w:ascii="Arial" w:eastAsia="Calibri" w:hAnsi="Arial" w:cs="Arial"/>
          <w:b/>
          <w:sz w:val="24"/>
          <w:szCs w:val="24"/>
        </w:rPr>
        <w:t>407</w:t>
      </w:r>
      <w:r w:rsidR="0063690C" w:rsidRPr="00F1355F">
        <w:rPr>
          <w:rFonts w:ascii="Arial" w:eastAsia="Calibri" w:hAnsi="Arial" w:cs="Arial"/>
          <w:b/>
          <w:sz w:val="24"/>
          <w:szCs w:val="24"/>
        </w:rPr>
        <w:t xml:space="preserve"> </w:t>
      </w:r>
      <w:r w:rsidR="0063690C" w:rsidRPr="00F1355F">
        <w:rPr>
          <w:rFonts w:ascii="Arial" w:eastAsia="Calibri" w:hAnsi="Arial" w:cs="Arial"/>
          <w:b/>
          <w:bCs/>
          <w:sz w:val="24"/>
          <w:szCs w:val="24"/>
        </w:rPr>
        <w:t xml:space="preserve">City &amp; Guilds Level </w:t>
      </w:r>
      <w:r w:rsidR="00F802D4">
        <w:rPr>
          <w:rFonts w:ascii="Arial" w:eastAsia="Calibri" w:hAnsi="Arial" w:cs="Arial"/>
          <w:b/>
          <w:bCs/>
          <w:sz w:val="24"/>
          <w:szCs w:val="24"/>
        </w:rPr>
        <w:t>4</w:t>
      </w:r>
      <w:r w:rsidR="0063690C" w:rsidRPr="00F1355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802D4">
        <w:rPr>
          <w:rFonts w:ascii="Arial" w:eastAsia="Calibri" w:hAnsi="Arial" w:cs="Arial"/>
          <w:b/>
          <w:bCs/>
          <w:sz w:val="24"/>
          <w:szCs w:val="24"/>
        </w:rPr>
        <w:t xml:space="preserve">Preparing for </w:t>
      </w:r>
      <w:r w:rsidR="0063690C" w:rsidRPr="00F1355F">
        <w:rPr>
          <w:rFonts w:ascii="Arial" w:eastAsia="Calibri" w:hAnsi="Arial" w:cs="Arial"/>
          <w:b/>
          <w:bCs/>
          <w:sz w:val="24"/>
          <w:szCs w:val="24"/>
        </w:rPr>
        <w:t xml:space="preserve">Leadership and Management </w:t>
      </w:r>
      <w:r w:rsidR="00F802D4">
        <w:rPr>
          <w:rFonts w:ascii="Arial" w:eastAsia="Calibri" w:hAnsi="Arial" w:cs="Arial"/>
          <w:b/>
          <w:bCs/>
          <w:sz w:val="24"/>
          <w:szCs w:val="24"/>
        </w:rPr>
        <w:t>in</w:t>
      </w:r>
      <w:r w:rsidR="0063690C" w:rsidRPr="00F1355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609FC" w:rsidRPr="00F1355F">
        <w:rPr>
          <w:rFonts w:ascii="Arial" w:eastAsia="Calibri" w:hAnsi="Arial" w:cs="Arial"/>
          <w:b/>
          <w:bCs/>
          <w:sz w:val="24"/>
          <w:szCs w:val="24"/>
        </w:rPr>
        <w:t>Children’s Care, Play, Learning and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63690C" w:rsidRPr="00F1355F" w14:paraId="15A4B255" w14:textId="77777777" w:rsidTr="00A00578">
        <w:trPr>
          <w:tblHeader/>
        </w:trPr>
        <w:tc>
          <w:tcPr>
            <w:tcW w:w="5240" w:type="dxa"/>
            <w:shd w:val="clear" w:color="auto" w:fill="008868"/>
            <w:vAlign w:val="center"/>
          </w:tcPr>
          <w:p w14:paraId="24B06D97" w14:textId="77777777" w:rsidR="0063690C" w:rsidRPr="00A00578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Summary notes</w:t>
            </w:r>
          </w:p>
        </w:tc>
        <w:tc>
          <w:tcPr>
            <w:tcW w:w="4115" w:type="dxa"/>
            <w:shd w:val="clear" w:color="auto" w:fill="008868"/>
            <w:vAlign w:val="center"/>
          </w:tcPr>
          <w:p w14:paraId="1F6906E2" w14:textId="36B5058C" w:rsidR="0063690C" w:rsidRPr="00A00578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  <w:vAlign w:val="center"/>
          </w:tcPr>
          <w:p w14:paraId="1B39DB74" w14:textId="77777777" w:rsidR="0063690C" w:rsidRPr="00A00578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="0063690C" w:rsidRPr="00F1355F" w14:paraId="3475ED2B" w14:textId="77777777" w:rsidTr="007F00BD">
        <w:trPr>
          <w:trHeight w:val="464"/>
        </w:trPr>
        <w:tc>
          <w:tcPr>
            <w:tcW w:w="5240" w:type="dxa"/>
          </w:tcPr>
          <w:p w14:paraId="79B43A37" w14:textId="77777777" w:rsidR="0063690C" w:rsidRPr="00F1355F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14:paraId="122A3729" w14:textId="77777777" w:rsidR="0063690C" w:rsidRPr="00F1355F" w:rsidRDefault="006369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7892D803" w14:textId="77777777" w:rsidR="0063690C" w:rsidRPr="00F1355F" w:rsidRDefault="0063690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2B184AB0" w14:textId="77777777" w:rsidR="0063690C" w:rsidRPr="00F1355F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462"/>
        <w:gridCol w:w="3544"/>
        <w:gridCol w:w="2942"/>
        <w:gridCol w:w="2932"/>
        <w:gridCol w:w="1560"/>
      </w:tblGrid>
      <w:tr w:rsidR="00245116" w:rsidRPr="00F1355F" w14:paraId="2181B66F" w14:textId="77777777" w:rsidTr="61FBB94B">
        <w:trPr>
          <w:cantSplit/>
          <w:trHeight w:val="1134"/>
          <w:tblHeader/>
        </w:trPr>
        <w:tc>
          <w:tcPr>
            <w:tcW w:w="510" w:type="dxa"/>
            <w:shd w:val="clear" w:color="auto" w:fill="008868"/>
            <w:textDirection w:val="btLr"/>
            <w:vAlign w:val="center"/>
          </w:tcPr>
          <w:p w14:paraId="78753024" w14:textId="1B9B2E1C" w:rsidR="00245116" w:rsidRPr="00A00578" w:rsidRDefault="00245116" w:rsidP="00A00578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3317CB">
              <w:rPr>
                <w:rFonts w:eastAsia="Calibri"/>
                <w:b/>
                <w:color w:val="FFFFFF" w:themeColor="background1"/>
                <w:sz w:val="10"/>
                <w:szCs w:val="10"/>
              </w:rPr>
              <w:t>Learning outcome</w:t>
            </w:r>
          </w:p>
        </w:tc>
        <w:tc>
          <w:tcPr>
            <w:tcW w:w="2462" w:type="dxa"/>
            <w:shd w:val="clear" w:color="auto" w:fill="008868"/>
            <w:vAlign w:val="center"/>
          </w:tcPr>
          <w:p w14:paraId="5DF60107" w14:textId="26F0A1A0" w:rsidR="00245116" w:rsidRPr="00A00578" w:rsidRDefault="00245116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544" w:type="dxa"/>
            <w:shd w:val="clear" w:color="auto" w:fill="008868"/>
            <w:vAlign w:val="center"/>
          </w:tcPr>
          <w:p w14:paraId="41924122" w14:textId="6CDC4221" w:rsidR="00245116" w:rsidRPr="00A00578" w:rsidRDefault="00245116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that I understand:</w:t>
            </w:r>
          </w:p>
        </w:tc>
        <w:tc>
          <w:tcPr>
            <w:tcW w:w="2942" w:type="dxa"/>
            <w:shd w:val="clear" w:color="auto" w:fill="008868"/>
            <w:vAlign w:val="center"/>
          </w:tcPr>
          <w:p w14:paraId="56754954" w14:textId="3F24B0BF" w:rsidR="00245116" w:rsidRPr="00A00578" w:rsidRDefault="00245116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932" w:type="dxa"/>
            <w:shd w:val="clear" w:color="auto" w:fill="008868"/>
            <w:vAlign w:val="center"/>
          </w:tcPr>
          <w:p w14:paraId="22D99C28" w14:textId="325A8A38" w:rsidR="00245116" w:rsidRPr="00A00578" w:rsidRDefault="00245116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560" w:type="dxa"/>
            <w:shd w:val="clear" w:color="auto" w:fill="008868"/>
            <w:vAlign w:val="center"/>
          </w:tcPr>
          <w:p w14:paraId="1148661A" w14:textId="3F9ACFD2" w:rsidR="00245116" w:rsidRPr="00A00578" w:rsidRDefault="00245116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A0057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="00245116" w:rsidRPr="00F1355F" w14:paraId="22DC18E4" w14:textId="77777777" w:rsidTr="002835EA">
        <w:tc>
          <w:tcPr>
            <w:tcW w:w="510" w:type="dxa"/>
            <w:vAlign w:val="center"/>
          </w:tcPr>
          <w:p w14:paraId="16DE4DBC" w14:textId="7DF7A143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  <w:vAlign w:val="center"/>
          </w:tcPr>
          <w:p w14:paraId="74E4AEC0" w14:textId="08101AD2" w:rsidR="00245116" w:rsidRPr="00F1355F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equality, diversity and inclusion in the context of workforce development</w:t>
            </w:r>
          </w:p>
        </w:tc>
        <w:tc>
          <w:tcPr>
            <w:tcW w:w="3544" w:type="dxa"/>
          </w:tcPr>
          <w:p w14:paraId="0410E720" w14:textId="349DCE6D" w:rsidR="00245116" w:rsidRPr="00F1355F" w:rsidRDefault="000A280D">
            <w:pPr>
              <w:rPr>
                <w:rFonts w:eastAsia="Calibri"/>
                <w:sz w:val="24"/>
                <w:szCs w:val="24"/>
              </w:rPr>
            </w:pPr>
            <w:r w:rsidRPr="000A280D">
              <w:rPr>
                <w:rFonts w:eastAsia="Calibri"/>
                <w:sz w:val="24"/>
                <w:szCs w:val="24"/>
              </w:rPr>
              <w:t>1.1 The application of approaches to support equality, diversity and inclusion in leading and managing workers</w:t>
            </w:r>
          </w:p>
        </w:tc>
        <w:tc>
          <w:tcPr>
            <w:tcW w:w="2942" w:type="dxa"/>
          </w:tcPr>
          <w:p w14:paraId="0F9A2687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177F7558" w14:textId="466E46AD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C565B9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45116" w:rsidRPr="00F1355F" w14:paraId="6D6BAD0E" w14:textId="77777777" w:rsidTr="002835EA">
        <w:tc>
          <w:tcPr>
            <w:tcW w:w="510" w:type="dxa"/>
            <w:vAlign w:val="center"/>
          </w:tcPr>
          <w:p w14:paraId="4A81E8C0" w14:textId="1FF288E5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62" w:type="dxa"/>
            <w:vAlign w:val="center"/>
          </w:tcPr>
          <w:p w14:paraId="3997A3E5" w14:textId="3349AD99" w:rsidR="00245116" w:rsidRPr="00F1355F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the importance of Welsh language in the context of workforce development</w:t>
            </w:r>
          </w:p>
        </w:tc>
        <w:tc>
          <w:tcPr>
            <w:tcW w:w="3544" w:type="dxa"/>
          </w:tcPr>
          <w:p w14:paraId="79D81702" w14:textId="77777777" w:rsidR="002064C9" w:rsidRDefault="002064C9">
            <w:pPr>
              <w:rPr>
                <w:rFonts w:eastAsia="Calibri"/>
                <w:sz w:val="24"/>
                <w:szCs w:val="24"/>
              </w:rPr>
            </w:pPr>
            <w:r w:rsidRPr="002064C9">
              <w:rPr>
                <w:rFonts w:eastAsia="Calibri"/>
                <w:sz w:val="24"/>
                <w:szCs w:val="24"/>
              </w:rPr>
              <w:t xml:space="preserve">2.1 Approaches to audit current workforce in relation to Welsh language provision </w:t>
            </w:r>
          </w:p>
          <w:p w14:paraId="44488EC3" w14:textId="77777777" w:rsidR="002064C9" w:rsidRDefault="002064C9">
            <w:pPr>
              <w:rPr>
                <w:rFonts w:eastAsia="Calibri"/>
                <w:sz w:val="24"/>
                <w:szCs w:val="24"/>
              </w:rPr>
            </w:pPr>
            <w:r w:rsidRPr="002064C9">
              <w:rPr>
                <w:rFonts w:eastAsia="Calibri"/>
                <w:sz w:val="24"/>
                <w:szCs w:val="24"/>
              </w:rPr>
              <w:t xml:space="preserve">2.2 Approaches to supporting Welsh language and culture in the workforce </w:t>
            </w:r>
          </w:p>
          <w:p w14:paraId="097764BB" w14:textId="71F7A381" w:rsidR="00245116" w:rsidRPr="00F1355F" w:rsidRDefault="002064C9">
            <w:pPr>
              <w:rPr>
                <w:rFonts w:eastAsia="Calibri"/>
                <w:sz w:val="24"/>
                <w:szCs w:val="24"/>
              </w:rPr>
            </w:pPr>
            <w:r w:rsidRPr="002064C9">
              <w:rPr>
                <w:rFonts w:eastAsia="Calibri"/>
                <w:sz w:val="24"/>
                <w:szCs w:val="24"/>
              </w:rPr>
              <w:t xml:space="preserve">2.3 Approaches to ensuring the workforce understand the </w:t>
            </w:r>
            <w:r w:rsidRPr="002064C9">
              <w:rPr>
                <w:rFonts w:eastAsia="Calibri"/>
                <w:sz w:val="24"/>
                <w:szCs w:val="24"/>
              </w:rPr>
              <w:lastRenderedPageBreak/>
              <w:t>importance of promoting and supporting the use of the Welsh language within the setting</w:t>
            </w:r>
          </w:p>
        </w:tc>
        <w:tc>
          <w:tcPr>
            <w:tcW w:w="2942" w:type="dxa"/>
          </w:tcPr>
          <w:p w14:paraId="71AD21A4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446019EC" w14:textId="5B128CB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CF5138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45116" w:rsidRPr="00F1355F" w14:paraId="457F8B11" w14:textId="77777777" w:rsidTr="002835EA">
        <w:trPr>
          <w:trHeight w:val="1560"/>
        </w:trPr>
        <w:tc>
          <w:tcPr>
            <w:tcW w:w="510" w:type="dxa"/>
            <w:vAlign w:val="center"/>
          </w:tcPr>
          <w:p w14:paraId="7BA91809" w14:textId="367A6EEA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462" w:type="dxa"/>
            <w:vAlign w:val="center"/>
          </w:tcPr>
          <w:p w14:paraId="24B0FF1F" w14:textId="45CDFF2C" w:rsidR="00245116" w:rsidRPr="00F1355F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approaches, skills and qualities for the effective leadership and management of teams</w:t>
            </w:r>
          </w:p>
        </w:tc>
        <w:tc>
          <w:tcPr>
            <w:tcW w:w="3544" w:type="dxa"/>
          </w:tcPr>
          <w:p w14:paraId="0D622475" w14:textId="77777777" w:rsidR="00082779" w:rsidRDefault="00082779">
            <w:pPr>
              <w:rPr>
                <w:rFonts w:eastAsia="Calibri"/>
                <w:sz w:val="24"/>
                <w:szCs w:val="24"/>
              </w:rPr>
            </w:pPr>
            <w:r w:rsidRPr="00082779">
              <w:rPr>
                <w:rFonts w:eastAsia="Calibri"/>
                <w:sz w:val="24"/>
                <w:szCs w:val="24"/>
              </w:rPr>
              <w:t xml:space="preserve">3.1 Core values and leadership behaviours </w:t>
            </w:r>
          </w:p>
          <w:p w14:paraId="454739B5" w14:textId="77777777" w:rsidR="00082779" w:rsidRDefault="00082779">
            <w:pPr>
              <w:rPr>
                <w:rFonts w:eastAsia="Calibri"/>
                <w:sz w:val="24"/>
                <w:szCs w:val="24"/>
              </w:rPr>
            </w:pPr>
            <w:r w:rsidRPr="00082779">
              <w:rPr>
                <w:rFonts w:eastAsia="Calibri"/>
                <w:sz w:val="24"/>
                <w:szCs w:val="24"/>
              </w:rPr>
              <w:t xml:space="preserve">3.2 The differences between leadership and management within teams </w:t>
            </w:r>
          </w:p>
          <w:p w14:paraId="69E4A046" w14:textId="77777777" w:rsidR="00082779" w:rsidRDefault="00082779">
            <w:pPr>
              <w:rPr>
                <w:rFonts w:eastAsia="Calibri"/>
                <w:sz w:val="24"/>
                <w:szCs w:val="24"/>
              </w:rPr>
            </w:pPr>
            <w:r w:rsidRPr="00082779">
              <w:rPr>
                <w:rFonts w:eastAsia="Calibri"/>
                <w:sz w:val="24"/>
                <w:szCs w:val="24"/>
              </w:rPr>
              <w:t xml:space="preserve">3.3 Powers and responsibilities of leaders and managers </w:t>
            </w:r>
          </w:p>
          <w:p w14:paraId="3CFFCB7B" w14:textId="77777777" w:rsidR="00082779" w:rsidRDefault="00082779">
            <w:pPr>
              <w:rPr>
                <w:rFonts w:eastAsia="Calibri"/>
                <w:sz w:val="24"/>
                <w:szCs w:val="24"/>
              </w:rPr>
            </w:pPr>
            <w:r w:rsidRPr="00082779">
              <w:rPr>
                <w:rFonts w:eastAsia="Calibri"/>
                <w:sz w:val="24"/>
                <w:szCs w:val="24"/>
              </w:rPr>
              <w:t xml:space="preserve">3.4 Emotional intelligence and relationship management </w:t>
            </w:r>
          </w:p>
          <w:p w14:paraId="35380075" w14:textId="02E597DE" w:rsidR="00245116" w:rsidRPr="00F1355F" w:rsidRDefault="00082779">
            <w:pPr>
              <w:rPr>
                <w:rFonts w:eastAsia="Calibri"/>
                <w:sz w:val="24"/>
                <w:szCs w:val="24"/>
              </w:rPr>
            </w:pPr>
            <w:r w:rsidRPr="00082779">
              <w:rPr>
                <w:rFonts w:eastAsia="Calibri"/>
                <w:sz w:val="24"/>
                <w:szCs w:val="24"/>
              </w:rPr>
              <w:t>3.5 How to motivate staff</w:t>
            </w:r>
          </w:p>
        </w:tc>
        <w:tc>
          <w:tcPr>
            <w:tcW w:w="2942" w:type="dxa"/>
          </w:tcPr>
          <w:p w14:paraId="6D5B2936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40766B2F" w14:textId="5549053F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FACC62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45116" w:rsidRPr="00F1355F" w14:paraId="0D68D9BF" w14:textId="77777777" w:rsidTr="002835EA">
        <w:tc>
          <w:tcPr>
            <w:tcW w:w="510" w:type="dxa"/>
            <w:vAlign w:val="center"/>
          </w:tcPr>
          <w:p w14:paraId="762D8E82" w14:textId="11FDE9EB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462" w:type="dxa"/>
            <w:vAlign w:val="center"/>
          </w:tcPr>
          <w:p w14:paraId="0A207770" w14:textId="5BC6479D" w:rsidR="00245116" w:rsidRPr="00F1355F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the purpose and requirements of values-based recruitment and induction of workers</w:t>
            </w:r>
          </w:p>
        </w:tc>
        <w:tc>
          <w:tcPr>
            <w:tcW w:w="3544" w:type="dxa"/>
          </w:tcPr>
          <w:p w14:paraId="42FDCAA3" w14:textId="77777777" w:rsidR="00843635" w:rsidRDefault="00843635">
            <w:pPr>
              <w:rPr>
                <w:rFonts w:eastAsia="Calibri"/>
                <w:sz w:val="24"/>
                <w:szCs w:val="24"/>
              </w:rPr>
            </w:pPr>
            <w:r w:rsidRPr="00843635">
              <w:rPr>
                <w:rFonts w:eastAsia="Calibri"/>
                <w:sz w:val="24"/>
                <w:szCs w:val="24"/>
              </w:rPr>
              <w:t xml:space="preserve">4.1 Values-based recruitment  </w:t>
            </w:r>
          </w:p>
          <w:p w14:paraId="2BA0A5BF" w14:textId="77777777" w:rsidR="00843635" w:rsidRDefault="00843635">
            <w:pPr>
              <w:rPr>
                <w:rFonts w:eastAsia="Calibri"/>
                <w:sz w:val="24"/>
                <w:szCs w:val="24"/>
              </w:rPr>
            </w:pPr>
            <w:r w:rsidRPr="00843635">
              <w:rPr>
                <w:rFonts w:eastAsia="Calibri"/>
                <w:sz w:val="24"/>
                <w:szCs w:val="24"/>
              </w:rPr>
              <w:t xml:space="preserve">4.2 Induction </w:t>
            </w:r>
          </w:p>
          <w:p w14:paraId="1A92B511" w14:textId="1D539C52" w:rsidR="00245116" w:rsidRPr="00F1355F" w:rsidRDefault="00843635">
            <w:pPr>
              <w:rPr>
                <w:rFonts w:eastAsia="Calibri"/>
                <w:sz w:val="24"/>
                <w:szCs w:val="24"/>
              </w:rPr>
            </w:pPr>
            <w:r w:rsidRPr="00843635">
              <w:rPr>
                <w:rFonts w:eastAsia="Calibri"/>
                <w:sz w:val="24"/>
                <w:szCs w:val="24"/>
              </w:rPr>
              <w:t>4.3 Probationary period</w:t>
            </w:r>
          </w:p>
        </w:tc>
        <w:tc>
          <w:tcPr>
            <w:tcW w:w="2942" w:type="dxa"/>
          </w:tcPr>
          <w:p w14:paraId="59C209C0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09391B8E" w14:textId="0A9A3A7A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E2C9E9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45116" w:rsidRPr="00F1355F" w14:paraId="2A0EA0F7" w14:textId="77777777" w:rsidTr="002835EA">
        <w:tc>
          <w:tcPr>
            <w:tcW w:w="510" w:type="dxa"/>
            <w:vAlign w:val="center"/>
          </w:tcPr>
          <w:p w14:paraId="4D7DAC18" w14:textId="550386DB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62" w:type="dxa"/>
            <w:vAlign w:val="center"/>
          </w:tcPr>
          <w:p w14:paraId="176900AD" w14:textId="46E8D7B5" w:rsidR="00245116" w:rsidRPr="00427967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Know how to support effective team performance</w:t>
            </w:r>
          </w:p>
        </w:tc>
        <w:tc>
          <w:tcPr>
            <w:tcW w:w="3544" w:type="dxa"/>
          </w:tcPr>
          <w:p w14:paraId="741DF720" w14:textId="77777777" w:rsidR="005352C5" w:rsidRDefault="005352C5">
            <w:pPr>
              <w:rPr>
                <w:rFonts w:eastAsia="Calibri"/>
                <w:sz w:val="24"/>
                <w:szCs w:val="24"/>
              </w:rPr>
            </w:pPr>
            <w:r w:rsidRPr="005352C5">
              <w:rPr>
                <w:rFonts w:eastAsia="Calibri"/>
                <w:sz w:val="24"/>
                <w:szCs w:val="24"/>
              </w:rPr>
              <w:t xml:space="preserve">5.1 Process and governance of delegating tasks </w:t>
            </w:r>
          </w:p>
          <w:p w14:paraId="249C7352" w14:textId="77777777" w:rsidR="005352C5" w:rsidRDefault="005352C5">
            <w:pPr>
              <w:rPr>
                <w:rFonts w:eastAsia="Calibri"/>
                <w:sz w:val="24"/>
                <w:szCs w:val="24"/>
              </w:rPr>
            </w:pPr>
            <w:r w:rsidRPr="005352C5">
              <w:rPr>
                <w:rFonts w:eastAsia="Calibri"/>
                <w:sz w:val="24"/>
                <w:szCs w:val="24"/>
              </w:rPr>
              <w:t xml:space="preserve">5.2 Social interdependence theory and team working </w:t>
            </w:r>
          </w:p>
          <w:p w14:paraId="3A4D1EA3" w14:textId="77777777" w:rsidR="005352C5" w:rsidRDefault="005352C5">
            <w:pPr>
              <w:rPr>
                <w:rFonts w:eastAsia="Calibri"/>
                <w:sz w:val="24"/>
                <w:szCs w:val="24"/>
              </w:rPr>
            </w:pPr>
            <w:r w:rsidRPr="005352C5">
              <w:rPr>
                <w:rFonts w:eastAsia="Calibri"/>
                <w:sz w:val="24"/>
                <w:szCs w:val="24"/>
              </w:rPr>
              <w:t xml:space="preserve">5.3 Setting/agreeing objectives/goals </w:t>
            </w:r>
          </w:p>
          <w:p w14:paraId="160D3853" w14:textId="77777777" w:rsidR="005352C5" w:rsidRDefault="005352C5">
            <w:pPr>
              <w:rPr>
                <w:rFonts w:eastAsia="Calibri"/>
                <w:sz w:val="24"/>
                <w:szCs w:val="24"/>
              </w:rPr>
            </w:pPr>
            <w:r w:rsidRPr="005352C5">
              <w:rPr>
                <w:rFonts w:eastAsia="Calibri"/>
                <w:sz w:val="24"/>
                <w:szCs w:val="24"/>
              </w:rPr>
              <w:t xml:space="preserve">5.4 Shared objectives and understanding of the team’s goals </w:t>
            </w:r>
          </w:p>
          <w:p w14:paraId="324B9EC0" w14:textId="3B9D2124" w:rsidR="00245116" w:rsidRPr="00F1355F" w:rsidRDefault="005352C5">
            <w:pPr>
              <w:rPr>
                <w:rFonts w:eastAsia="Calibri"/>
                <w:sz w:val="24"/>
                <w:szCs w:val="24"/>
              </w:rPr>
            </w:pPr>
            <w:r w:rsidRPr="005352C5">
              <w:rPr>
                <w:rFonts w:eastAsia="Calibri"/>
                <w:sz w:val="24"/>
                <w:szCs w:val="24"/>
              </w:rPr>
              <w:t>5.5 Ensuring individual roles within the team are understood</w:t>
            </w:r>
          </w:p>
        </w:tc>
        <w:tc>
          <w:tcPr>
            <w:tcW w:w="2942" w:type="dxa"/>
          </w:tcPr>
          <w:p w14:paraId="54E13851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1A16048B" w14:textId="6EC9F5A2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B90556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45116" w:rsidRPr="00F1355F" w14:paraId="30A13747" w14:textId="77777777" w:rsidTr="002835EA">
        <w:tc>
          <w:tcPr>
            <w:tcW w:w="510" w:type="dxa"/>
            <w:vAlign w:val="center"/>
          </w:tcPr>
          <w:p w14:paraId="35CEFCD1" w14:textId="03595907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462" w:type="dxa"/>
            <w:vAlign w:val="center"/>
          </w:tcPr>
          <w:p w14:paraId="44E425E5" w14:textId="4F18C76E" w:rsidR="00245116" w:rsidRPr="0046591D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Know how to manage team conflict and poor performance</w:t>
            </w:r>
          </w:p>
        </w:tc>
        <w:tc>
          <w:tcPr>
            <w:tcW w:w="3544" w:type="dxa"/>
          </w:tcPr>
          <w:p w14:paraId="6E3830BA" w14:textId="38E72436" w:rsidR="00B60BD6" w:rsidRDefault="00B60BD6">
            <w:pPr>
              <w:rPr>
                <w:rFonts w:eastAsia="Calibri"/>
                <w:sz w:val="24"/>
                <w:szCs w:val="24"/>
              </w:rPr>
            </w:pPr>
            <w:r w:rsidRPr="00B60BD6">
              <w:rPr>
                <w:rFonts w:eastAsia="Calibri"/>
                <w:sz w:val="24"/>
                <w:szCs w:val="24"/>
              </w:rPr>
              <w:t xml:space="preserve">6.1 How to deal with poor performance/competence </w:t>
            </w:r>
          </w:p>
          <w:p w14:paraId="3892B916" w14:textId="77777777" w:rsidR="00B60BD6" w:rsidRDefault="00B60BD6">
            <w:pPr>
              <w:rPr>
                <w:rFonts w:eastAsia="Calibri"/>
                <w:sz w:val="24"/>
                <w:szCs w:val="24"/>
              </w:rPr>
            </w:pPr>
            <w:r w:rsidRPr="00B60BD6">
              <w:rPr>
                <w:rFonts w:eastAsia="Calibri"/>
                <w:sz w:val="24"/>
                <w:szCs w:val="24"/>
              </w:rPr>
              <w:t xml:space="preserve">6.2 How to manage positive conversations </w:t>
            </w:r>
          </w:p>
          <w:p w14:paraId="7F8E9608" w14:textId="1664EADC" w:rsidR="00245116" w:rsidRPr="00F1355F" w:rsidRDefault="00B60BD6">
            <w:pPr>
              <w:rPr>
                <w:rFonts w:eastAsia="Calibri"/>
                <w:sz w:val="24"/>
                <w:szCs w:val="24"/>
              </w:rPr>
            </w:pPr>
            <w:r w:rsidRPr="00B60BD6">
              <w:rPr>
                <w:rFonts w:eastAsia="Calibri"/>
                <w:sz w:val="24"/>
                <w:szCs w:val="24"/>
              </w:rPr>
              <w:t>6.3 Approaches to managing and resolving conflict</w:t>
            </w:r>
          </w:p>
        </w:tc>
        <w:tc>
          <w:tcPr>
            <w:tcW w:w="2942" w:type="dxa"/>
          </w:tcPr>
          <w:p w14:paraId="7C5968D6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1C1EBAED" w14:textId="4415332F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F5E00D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45116" w:rsidRPr="00F1355F" w14:paraId="0392D993" w14:textId="77777777" w:rsidTr="002835EA">
        <w:tc>
          <w:tcPr>
            <w:tcW w:w="510" w:type="dxa"/>
            <w:vAlign w:val="center"/>
          </w:tcPr>
          <w:p w14:paraId="254296E9" w14:textId="15B91060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462" w:type="dxa"/>
            <w:vAlign w:val="center"/>
          </w:tcPr>
          <w:p w14:paraId="7429824D" w14:textId="67F067F3" w:rsidR="00245116" w:rsidRPr="0046591D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Understand supervision and appraisal</w:t>
            </w:r>
          </w:p>
        </w:tc>
        <w:tc>
          <w:tcPr>
            <w:tcW w:w="3544" w:type="dxa"/>
          </w:tcPr>
          <w:p w14:paraId="301E8387" w14:textId="77777777" w:rsidR="00D1336C" w:rsidRDefault="00D1336C">
            <w:pPr>
              <w:rPr>
                <w:rFonts w:eastAsia="Calibri"/>
                <w:sz w:val="24"/>
                <w:szCs w:val="24"/>
              </w:rPr>
            </w:pPr>
            <w:r w:rsidRPr="00D1336C">
              <w:rPr>
                <w:rFonts w:eastAsia="Calibri"/>
                <w:sz w:val="24"/>
                <w:szCs w:val="24"/>
              </w:rPr>
              <w:t xml:space="preserve">7.1 Purpose and benefits of supervision </w:t>
            </w:r>
          </w:p>
          <w:p w14:paraId="68728A51" w14:textId="77777777" w:rsidR="00D1336C" w:rsidRDefault="00D1336C">
            <w:pPr>
              <w:rPr>
                <w:rFonts w:eastAsia="Calibri"/>
                <w:sz w:val="24"/>
                <w:szCs w:val="24"/>
              </w:rPr>
            </w:pPr>
            <w:r w:rsidRPr="00D1336C">
              <w:rPr>
                <w:rFonts w:eastAsia="Calibri"/>
                <w:sz w:val="24"/>
                <w:szCs w:val="24"/>
              </w:rPr>
              <w:t xml:space="preserve">7.2 How to conduct effective supervision and appraisal  </w:t>
            </w:r>
          </w:p>
          <w:p w14:paraId="7778C333" w14:textId="1DA89BED" w:rsidR="00245116" w:rsidRPr="00F1355F" w:rsidRDefault="00D1336C">
            <w:pPr>
              <w:rPr>
                <w:rFonts w:eastAsia="Calibri"/>
                <w:sz w:val="24"/>
                <w:szCs w:val="24"/>
              </w:rPr>
            </w:pPr>
            <w:r w:rsidRPr="00D1336C">
              <w:rPr>
                <w:rFonts w:eastAsia="Calibri"/>
                <w:sz w:val="24"/>
                <w:szCs w:val="24"/>
              </w:rPr>
              <w:lastRenderedPageBreak/>
              <w:t>7.3 The importance of Continuing Personal Development for staff</w:t>
            </w:r>
          </w:p>
        </w:tc>
        <w:tc>
          <w:tcPr>
            <w:tcW w:w="2942" w:type="dxa"/>
          </w:tcPr>
          <w:p w14:paraId="60847A7F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6EE565D9" w14:textId="02E32EBB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812C71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45116" w:rsidRPr="00F1355F" w14:paraId="6D3B1D50" w14:textId="77777777" w:rsidTr="002835EA">
        <w:tc>
          <w:tcPr>
            <w:tcW w:w="510" w:type="dxa"/>
            <w:vAlign w:val="center"/>
          </w:tcPr>
          <w:p w14:paraId="310CF5B8" w14:textId="77B5FA81" w:rsidR="00245116" w:rsidRPr="0050733D" w:rsidRDefault="00245116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733D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462" w:type="dxa"/>
            <w:vAlign w:val="center"/>
          </w:tcPr>
          <w:p w14:paraId="411E9B68" w14:textId="541231C6" w:rsidR="00245116" w:rsidRPr="0046591D" w:rsidRDefault="00245116" w:rsidP="002835EA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61FBB94B">
              <w:rPr>
                <w:rFonts w:eastAsia="Calibri"/>
                <w:b/>
                <w:sz w:val="24"/>
                <w:szCs w:val="24"/>
              </w:rPr>
              <w:t>Know how to use coaching, mentoring and motivational interviewing</w:t>
            </w:r>
          </w:p>
        </w:tc>
        <w:tc>
          <w:tcPr>
            <w:tcW w:w="3544" w:type="dxa"/>
          </w:tcPr>
          <w:p w14:paraId="4E3CBED8" w14:textId="149A56BA" w:rsidR="00245116" w:rsidRPr="00F1355F" w:rsidRDefault="002835EA">
            <w:pPr>
              <w:rPr>
                <w:rFonts w:eastAsia="Calibri"/>
                <w:sz w:val="24"/>
                <w:szCs w:val="24"/>
              </w:rPr>
            </w:pPr>
            <w:r w:rsidRPr="002835EA">
              <w:rPr>
                <w:rFonts w:eastAsia="Calibri"/>
                <w:sz w:val="24"/>
                <w:szCs w:val="24"/>
              </w:rPr>
              <w:t xml:space="preserve">8.1 How to use coaching, mentoring and motivational interviewing to support change  </w:t>
            </w:r>
          </w:p>
        </w:tc>
        <w:tc>
          <w:tcPr>
            <w:tcW w:w="2942" w:type="dxa"/>
          </w:tcPr>
          <w:p w14:paraId="42540177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32" w:type="dxa"/>
          </w:tcPr>
          <w:p w14:paraId="0B724B0D" w14:textId="5AE946F5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B5D863" w14:textId="77777777" w:rsidR="00245116" w:rsidRPr="00F1355F" w:rsidRDefault="0024511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F58AE44" w14:textId="4DC8DAD6" w:rsidR="00FE2192" w:rsidRDefault="00FE2192" w:rsidP="00711CFD">
      <w:pPr>
        <w:rPr>
          <w:rFonts w:ascii="Arial" w:eastAsiaTheme="majorEastAsia" w:hAnsi="Arial" w:cs="Arial"/>
          <w:color w:val="1F3864" w:themeColor="accent1" w:themeShade="80"/>
          <w:sz w:val="36"/>
          <w:szCs w:val="36"/>
        </w:rPr>
      </w:pPr>
    </w:p>
    <w:sectPr w:rsidR="00FE2192" w:rsidSect="0031048A">
      <w:pgSz w:w="16840" w:h="11900" w:orient="landscape"/>
      <w:pgMar w:top="1134" w:right="1440" w:bottom="1135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56850" w14:textId="77777777" w:rsidR="00B22859" w:rsidRDefault="00B22859" w:rsidP="0063690C">
      <w:pPr>
        <w:spacing w:after="0" w:line="240" w:lineRule="auto"/>
      </w:pPr>
      <w:r>
        <w:separator/>
      </w:r>
    </w:p>
  </w:endnote>
  <w:endnote w:type="continuationSeparator" w:id="0">
    <w:p w14:paraId="5DF01C0E" w14:textId="77777777" w:rsidR="00B22859" w:rsidRDefault="00B22859" w:rsidP="0063690C">
      <w:pPr>
        <w:spacing w:after="0" w:line="240" w:lineRule="auto"/>
      </w:pPr>
      <w:r>
        <w:continuationSeparator/>
      </w:r>
    </w:p>
  </w:endnote>
  <w:endnote w:type="continuationNotice" w:id="1">
    <w:p w14:paraId="13CD23FA" w14:textId="77777777" w:rsidR="00B22859" w:rsidRDefault="00B22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076E" w14:textId="77777777" w:rsidR="00013084" w:rsidRDefault="00013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E4FB4" w14:textId="77777777" w:rsidR="00013084" w:rsidRDefault="000130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B205" w14:textId="77777777" w:rsidR="00013084" w:rsidRDefault="00013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7CCD1" w14:textId="77777777" w:rsidR="00B22859" w:rsidRDefault="00B22859" w:rsidP="0063690C">
      <w:pPr>
        <w:spacing w:after="0" w:line="240" w:lineRule="auto"/>
      </w:pPr>
      <w:r>
        <w:separator/>
      </w:r>
    </w:p>
  </w:footnote>
  <w:footnote w:type="continuationSeparator" w:id="0">
    <w:p w14:paraId="40B8667F" w14:textId="77777777" w:rsidR="00B22859" w:rsidRDefault="00B22859" w:rsidP="0063690C">
      <w:pPr>
        <w:spacing w:after="0" w:line="240" w:lineRule="auto"/>
      </w:pPr>
      <w:r>
        <w:continuationSeparator/>
      </w:r>
    </w:p>
  </w:footnote>
  <w:footnote w:type="continuationNotice" w:id="1">
    <w:p w14:paraId="3F17FD6F" w14:textId="77777777" w:rsidR="00B22859" w:rsidRDefault="00B228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724E" w14:textId="77777777" w:rsidR="00013084" w:rsidRDefault="00013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9B8D9" w14:textId="77777777" w:rsidR="00013084" w:rsidRDefault="000130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9423204"/>
      <w:docPartObj>
        <w:docPartGallery w:val="Watermarks"/>
        <w:docPartUnique/>
      </w:docPartObj>
    </w:sdtPr>
    <w:sdtContent>
      <w:p w14:paraId="50EF2EC1" w14:textId="21369E56" w:rsidR="00013084" w:rsidRDefault="00000000">
        <w:pPr>
          <w:pStyle w:val="Header"/>
        </w:pPr>
        <w:r>
          <w:rPr>
            <w:noProof/>
          </w:rPr>
          <w:pict w14:anchorId="6D6B6B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572"/>
    <w:multiLevelType w:val="multilevel"/>
    <w:tmpl w:val="8626FA88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0B7EFD"/>
    <w:multiLevelType w:val="hybridMultilevel"/>
    <w:tmpl w:val="EBFA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15A9"/>
    <w:multiLevelType w:val="hybridMultilevel"/>
    <w:tmpl w:val="5554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73C6A"/>
    <w:multiLevelType w:val="multilevel"/>
    <w:tmpl w:val="DE18F3AC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76634835">
    <w:abstractNumId w:val="0"/>
  </w:num>
  <w:num w:numId="2" w16cid:durableId="889805440">
    <w:abstractNumId w:val="1"/>
  </w:num>
  <w:num w:numId="3" w16cid:durableId="1456439171">
    <w:abstractNumId w:val="3"/>
  </w:num>
  <w:num w:numId="4" w16cid:durableId="170748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C"/>
    <w:rsid w:val="00006066"/>
    <w:rsid w:val="0001123A"/>
    <w:rsid w:val="0001200B"/>
    <w:rsid w:val="00012B46"/>
    <w:rsid w:val="00013084"/>
    <w:rsid w:val="00032671"/>
    <w:rsid w:val="00034A1F"/>
    <w:rsid w:val="00034C7A"/>
    <w:rsid w:val="000441F0"/>
    <w:rsid w:val="00051287"/>
    <w:rsid w:val="000632EE"/>
    <w:rsid w:val="00064665"/>
    <w:rsid w:val="00065A60"/>
    <w:rsid w:val="00082779"/>
    <w:rsid w:val="000921B7"/>
    <w:rsid w:val="000A13D7"/>
    <w:rsid w:val="000A280D"/>
    <w:rsid w:val="000A77B6"/>
    <w:rsid w:val="000B3D76"/>
    <w:rsid w:val="000C6127"/>
    <w:rsid w:val="000D18EB"/>
    <w:rsid w:val="000D589D"/>
    <w:rsid w:val="000E7066"/>
    <w:rsid w:val="000F75A5"/>
    <w:rsid w:val="00104D73"/>
    <w:rsid w:val="001116B0"/>
    <w:rsid w:val="001133CF"/>
    <w:rsid w:val="00114C8D"/>
    <w:rsid w:val="001200EC"/>
    <w:rsid w:val="00123FE6"/>
    <w:rsid w:val="0013784A"/>
    <w:rsid w:val="00155AC6"/>
    <w:rsid w:val="001579BE"/>
    <w:rsid w:val="00162DC8"/>
    <w:rsid w:val="001741C5"/>
    <w:rsid w:val="00181CD9"/>
    <w:rsid w:val="0018233A"/>
    <w:rsid w:val="0018371A"/>
    <w:rsid w:val="00185647"/>
    <w:rsid w:val="001C1C60"/>
    <w:rsid w:val="001C71F5"/>
    <w:rsid w:val="001D35DA"/>
    <w:rsid w:val="001D377A"/>
    <w:rsid w:val="001D3DD5"/>
    <w:rsid w:val="001E2D04"/>
    <w:rsid w:val="001F6B72"/>
    <w:rsid w:val="002064C9"/>
    <w:rsid w:val="00222EFF"/>
    <w:rsid w:val="00225E62"/>
    <w:rsid w:val="002306EA"/>
    <w:rsid w:val="002344AB"/>
    <w:rsid w:val="00245116"/>
    <w:rsid w:val="00263C0E"/>
    <w:rsid w:val="002835EA"/>
    <w:rsid w:val="002A451A"/>
    <w:rsid w:val="002C04A1"/>
    <w:rsid w:val="002D07EC"/>
    <w:rsid w:val="002E0D21"/>
    <w:rsid w:val="002E45F8"/>
    <w:rsid w:val="003021B7"/>
    <w:rsid w:val="00305C49"/>
    <w:rsid w:val="0031048A"/>
    <w:rsid w:val="00314966"/>
    <w:rsid w:val="00325087"/>
    <w:rsid w:val="00325C49"/>
    <w:rsid w:val="003317CB"/>
    <w:rsid w:val="00341BE6"/>
    <w:rsid w:val="00347FBF"/>
    <w:rsid w:val="00352953"/>
    <w:rsid w:val="00356558"/>
    <w:rsid w:val="00357753"/>
    <w:rsid w:val="003609FC"/>
    <w:rsid w:val="00362367"/>
    <w:rsid w:val="00372437"/>
    <w:rsid w:val="00374769"/>
    <w:rsid w:val="00384FBD"/>
    <w:rsid w:val="003869FE"/>
    <w:rsid w:val="00395587"/>
    <w:rsid w:val="003D1245"/>
    <w:rsid w:val="003E0C63"/>
    <w:rsid w:val="003F786A"/>
    <w:rsid w:val="00410E91"/>
    <w:rsid w:val="00411564"/>
    <w:rsid w:val="00423F4B"/>
    <w:rsid w:val="0042520D"/>
    <w:rsid w:val="0042695B"/>
    <w:rsid w:val="00427967"/>
    <w:rsid w:val="0043096A"/>
    <w:rsid w:val="00457A28"/>
    <w:rsid w:val="0046591D"/>
    <w:rsid w:val="0047053E"/>
    <w:rsid w:val="00476D50"/>
    <w:rsid w:val="00482F19"/>
    <w:rsid w:val="004B4F47"/>
    <w:rsid w:val="004B6B59"/>
    <w:rsid w:val="004D10E2"/>
    <w:rsid w:val="004D1EB3"/>
    <w:rsid w:val="004D6C7B"/>
    <w:rsid w:val="004D77BD"/>
    <w:rsid w:val="004E6D2B"/>
    <w:rsid w:val="0050733D"/>
    <w:rsid w:val="0051730D"/>
    <w:rsid w:val="005341ED"/>
    <w:rsid w:val="005349F7"/>
    <w:rsid w:val="005352C5"/>
    <w:rsid w:val="00537E69"/>
    <w:rsid w:val="00546D9A"/>
    <w:rsid w:val="00556CF4"/>
    <w:rsid w:val="00566FAA"/>
    <w:rsid w:val="005A7E4C"/>
    <w:rsid w:val="005B7AB0"/>
    <w:rsid w:val="005B7BD6"/>
    <w:rsid w:val="005C0E3E"/>
    <w:rsid w:val="005C1B30"/>
    <w:rsid w:val="005C397D"/>
    <w:rsid w:val="005D503C"/>
    <w:rsid w:val="00616086"/>
    <w:rsid w:val="00623326"/>
    <w:rsid w:val="006233CF"/>
    <w:rsid w:val="006240AB"/>
    <w:rsid w:val="0063690C"/>
    <w:rsid w:val="00653FE0"/>
    <w:rsid w:val="0066339E"/>
    <w:rsid w:val="0066604A"/>
    <w:rsid w:val="00667243"/>
    <w:rsid w:val="0067513B"/>
    <w:rsid w:val="00685F4D"/>
    <w:rsid w:val="00691DA3"/>
    <w:rsid w:val="006968E0"/>
    <w:rsid w:val="00696E88"/>
    <w:rsid w:val="006A18A6"/>
    <w:rsid w:val="006C3FD4"/>
    <w:rsid w:val="006D65B1"/>
    <w:rsid w:val="006E2117"/>
    <w:rsid w:val="006F3C7B"/>
    <w:rsid w:val="006F704C"/>
    <w:rsid w:val="00701E2E"/>
    <w:rsid w:val="0070218C"/>
    <w:rsid w:val="00705ABF"/>
    <w:rsid w:val="00706B87"/>
    <w:rsid w:val="007111E4"/>
    <w:rsid w:val="00711CFD"/>
    <w:rsid w:val="00757DB7"/>
    <w:rsid w:val="00763508"/>
    <w:rsid w:val="00765B88"/>
    <w:rsid w:val="00766811"/>
    <w:rsid w:val="00766FB7"/>
    <w:rsid w:val="007824B2"/>
    <w:rsid w:val="007954E4"/>
    <w:rsid w:val="007B58A5"/>
    <w:rsid w:val="007B741A"/>
    <w:rsid w:val="007D3C02"/>
    <w:rsid w:val="007D478A"/>
    <w:rsid w:val="007E202E"/>
    <w:rsid w:val="007E250B"/>
    <w:rsid w:val="007E6D88"/>
    <w:rsid w:val="007F00BD"/>
    <w:rsid w:val="007F7F3C"/>
    <w:rsid w:val="0080235D"/>
    <w:rsid w:val="00826638"/>
    <w:rsid w:val="00842D51"/>
    <w:rsid w:val="00842F63"/>
    <w:rsid w:val="00843635"/>
    <w:rsid w:val="0084467E"/>
    <w:rsid w:val="008577A9"/>
    <w:rsid w:val="00860C1D"/>
    <w:rsid w:val="00896882"/>
    <w:rsid w:val="008B2D2E"/>
    <w:rsid w:val="008B34B6"/>
    <w:rsid w:val="008C61A4"/>
    <w:rsid w:val="008D1934"/>
    <w:rsid w:val="008D7056"/>
    <w:rsid w:val="008E13BD"/>
    <w:rsid w:val="008F50D3"/>
    <w:rsid w:val="009046CF"/>
    <w:rsid w:val="00907689"/>
    <w:rsid w:val="00912C16"/>
    <w:rsid w:val="00923151"/>
    <w:rsid w:val="0093313A"/>
    <w:rsid w:val="00951770"/>
    <w:rsid w:val="00981C05"/>
    <w:rsid w:val="00982441"/>
    <w:rsid w:val="00984F44"/>
    <w:rsid w:val="00994E1A"/>
    <w:rsid w:val="009A3CD0"/>
    <w:rsid w:val="009A3FFF"/>
    <w:rsid w:val="009A5965"/>
    <w:rsid w:val="009A6767"/>
    <w:rsid w:val="009C02AC"/>
    <w:rsid w:val="009C11B2"/>
    <w:rsid w:val="009D25EE"/>
    <w:rsid w:val="009D79B5"/>
    <w:rsid w:val="00A00578"/>
    <w:rsid w:val="00A02F6C"/>
    <w:rsid w:val="00A03483"/>
    <w:rsid w:val="00A16B6C"/>
    <w:rsid w:val="00A20B4F"/>
    <w:rsid w:val="00A236A7"/>
    <w:rsid w:val="00A33E74"/>
    <w:rsid w:val="00A6E5C3"/>
    <w:rsid w:val="00A700B2"/>
    <w:rsid w:val="00A75A17"/>
    <w:rsid w:val="00A82C54"/>
    <w:rsid w:val="00A9297A"/>
    <w:rsid w:val="00A97C35"/>
    <w:rsid w:val="00AB62DD"/>
    <w:rsid w:val="00AC15B4"/>
    <w:rsid w:val="00AD17D0"/>
    <w:rsid w:val="00AD71F5"/>
    <w:rsid w:val="00B150B6"/>
    <w:rsid w:val="00B2189A"/>
    <w:rsid w:val="00B227A2"/>
    <w:rsid w:val="00B22859"/>
    <w:rsid w:val="00B373C7"/>
    <w:rsid w:val="00B511B4"/>
    <w:rsid w:val="00B60BD6"/>
    <w:rsid w:val="00B63752"/>
    <w:rsid w:val="00B644DE"/>
    <w:rsid w:val="00B73B56"/>
    <w:rsid w:val="00B81328"/>
    <w:rsid w:val="00B96D2F"/>
    <w:rsid w:val="00B9779E"/>
    <w:rsid w:val="00BA1D48"/>
    <w:rsid w:val="00BA4BAB"/>
    <w:rsid w:val="00BD045D"/>
    <w:rsid w:val="00BE6BE9"/>
    <w:rsid w:val="00BF22AE"/>
    <w:rsid w:val="00C05F21"/>
    <w:rsid w:val="00C0670F"/>
    <w:rsid w:val="00C20CAD"/>
    <w:rsid w:val="00C506D6"/>
    <w:rsid w:val="00C54876"/>
    <w:rsid w:val="00C55DAA"/>
    <w:rsid w:val="00C6219C"/>
    <w:rsid w:val="00C81144"/>
    <w:rsid w:val="00C839B4"/>
    <w:rsid w:val="00C956AE"/>
    <w:rsid w:val="00CA21E9"/>
    <w:rsid w:val="00CA4386"/>
    <w:rsid w:val="00CA665B"/>
    <w:rsid w:val="00CC0807"/>
    <w:rsid w:val="00CC0FB2"/>
    <w:rsid w:val="00CD750E"/>
    <w:rsid w:val="00CE5F4C"/>
    <w:rsid w:val="00D00955"/>
    <w:rsid w:val="00D0291F"/>
    <w:rsid w:val="00D1336C"/>
    <w:rsid w:val="00D32022"/>
    <w:rsid w:val="00D347FB"/>
    <w:rsid w:val="00D35208"/>
    <w:rsid w:val="00D44744"/>
    <w:rsid w:val="00D7082E"/>
    <w:rsid w:val="00D846A7"/>
    <w:rsid w:val="00D9439B"/>
    <w:rsid w:val="00DA3B03"/>
    <w:rsid w:val="00DA4599"/>
    <w:rsid w:val="00DC0C3D"/>
    <w:rsid w:val="00DC21DA"/>
    <w:rsid w:val="00DE6A90"/>
    <w:rsid w:val="00DF3D0D"/>
    <w:rsid w:val="00DF4DD2"/>
    <w:rsid w:val="00E063AF"/>
    <w:rsid w:val="00E15C1B"/>
    <w:rsid w:val="00E23E67"/>
    <w:rsid w:val="00E254B2"/>
    <w:rsid w:val="00E35E52"/>
    <w:rsid w:val="00E42677"/>
    <w:rsid w:val="00E511E7"/>
    <w:rsid w:val="00E642AA"/>
    <w:rsid w:val="00E67071"/>
    <w:rsid w:val="00E71E98"/>
    <w:rsid w:val="00E73197"/>
    <w:rsid w:val="00E82C6D"/>
    <w:rsid w:val="00E909AC"/>
    <w:rsid w:val="00E937C7"/>
    <w:rsid w:val="00E94C4B"/>
    <w:rsid w:val="00EA17CC"/>
    <w:rsid w:val="00EA5475"/>
    <w:rsid w:val="00EB5CE7"/>
    <w:rsid w:val="00EC4199"/>
    <w:rsid w:val="00EF5528"/>
    <w:rsid w:val="00F02CE5"/>
    <w:rsid w:val="00F069FD"/>
    <w:rsid w:val="00F0730B"/>
    <w:rsid w:val="00F1355F"/>
    <w:rsid w:val="00F153FF"/>
    <w:rsid w:val="00F20E98"/>
    <w:rsid w:val="00F212C8"/>
    <w:rsid w:val="00F235A7"/>
    <w:rsid w:val="00F24BE0"/>
    <w:rsid w:val="00F3418B"/>
    <w:rsid w:val="00F37042"/>
    <w:rsid w:val="00F70D31"/>
    <w:rsid w:val="00F73591"/>
    <w:rsid w:val="00F802D4"/>
    <w:rsid w:val="00FA4DDB"/>
    <w:rsid w:val="00FA5D44"/>
    <w:rsid w:val="00FB3347"/>
    <w:rsid w:val="00FD4008"/>
    <w:rsid w:val="00FE0DEE"/>
    <w:rsid w:val="00FE2192"/>
    <w:rsid w:val="00FE3480"/>
    <w:rsid w:val="0BF21394"/>
    <w:rsid w:val="0F7AADAF"/>
    <w:rsid w:val="16B485A8"/>
    <w:rsid w:val="188D1952"/>
    <w:rsid w:val="2281DA41"/>
    <w:rsid w:val="236D6753"/>
    <w:rsid w:val="29069F80"/>
    <w:rsid w:val="29C2ED09"/>
    <w:rsid w:val="2BC5C4C8"/>
    <w:rsid w:val="2CD72C49"/>
    <w:rsid w:val="2DF16804"/>
    <w:rsid w:val="3257B2BC"/>
    <w:rsid w:val="3527915F"/>
    <w:rsid w:val="3561B0B4"/>
    <w:rsid w:val="3B66AFB5"/>
    <w:rsid w:val="3C35449A"/>
    <w:rsid w:val="42DC4619"/>
    <w:rsid w:val="45575C5E"/>
    <w:rsid w:val="4677EB57"/>
    <w:rsid w:val="49FB0820"/>
    <w:rsid w:val="4AEBC0E2"/>
    <w:rsid w:val="4C3BE8E3"/>
    <w:rsid w:val="4D188636"/>
    <w:rsid w:val="4E2863E4"/>
    <w:rsid w:val="4E82F3E0"/>
    <w:rsid w:val="4E9DEF61"/>
    <w:rsid w:val="51A2CCDF"/>
    <w:rsid w:val="51C828BE"/>
    <w:rsid w:val="52DD918B"/>
    <w:rsid w:val="570530ED"/>
    <w:rsid w:val="5777B936"/>
    <w:rsid w:val="5831BB1A"/>
    <w:rsid w:val="591979AF"/>
    <w:rsid w:val="5AFBB732"/>
    <w:rsid w:val="5B628A0B"/>
    <w:rsid w:val="5F937516"/>
    <w:rsid w:val="6144EE4D"/>
    <w:rsid w:val="61FBB94B"/>
    <w:rsid w:val="65ABBA58"/>
    <w:rsid w:val="6AFDEDBD"/>
    <w:rsid w:val="6B99FB46"/>
    <w:rsid w:val="6F86D03A"/>
    <w:rsid w:val="72C78122"/>
    <w:rsid w:val="7A59D628"/>
    <w:rsid w:val="7A6CE69F"/>
    <w:rsid w:val="7A74E3FB"/>
    <w:rsid w:val="7BA23459"/>
    <w:rsid w:val="7D7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5C1B5"/>
  <w15:chartTrackingRefBased/>
  <w15:docId w15:val="{1173AB0E-CD88-44AA-8A6C-17510706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E5"/>
  </w:style>
  <w:style w:type="paragraph" w:styleId="Heading1">
    <w:name w:val="heading 1"/>
    <w:basedOn w:val="Normal"/>
    <w:next w:val="Normal"/>
    <w:link w:val="Heading1Char"/>
    <w:uiPriority w:val="9"/>
    <w:qFormat/>
    <w:rsid w:val="00F02C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C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9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0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63690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6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90C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90C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63690C"/>
  </w:style>
  <w:style w:type="paragraph" w:styleId="Header">
    <w:name w:val="header"/>
    <w:basedOn w:val="Normal"/>
    <w:link w:val="Head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0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2CE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4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47"/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70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01E2E"/>
  </w:style>
  <w:style w:type="character" w:customStyle="1" w:styleId="eop">
    <w:name w:val="eop"/>
    <w:basedOn w:val="DefaultParagraphFont"/>
    <w:rsid w:val="00701E2E"/>
  </w:style>
  <w:style w:type="paragraph" w:styleId="TOCHeading">
    <w:name w:val="TOC Heading"/>
    <w:basedOn w:val="Heading1"/>
    <w:next w:val="Normal"/>
    <w:uiPriority w:val="39"/>
    <w:unhideWhenUsed/>
    <w:qFormat/>
    <w:rsid w:val="00F02C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7A28"/>
    <w:pPr>
      <w:tabs>
        <w:tab w:val="right" w:leader="dot" w:pos="139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23F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2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E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C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CE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CE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CE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CE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CE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C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2C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CE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CE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2CE5"/>
    <w:rPr>
      <w:b/>
      <w:bCs/>
    </w:rPr>
  </w:style>
  <w:style w:type="character" w:styleId="Emphasis">
    <w:name w:val="Emphasis"/>
    <w:basedOn w:val="DefaultParagraphFont"/>
    <w:uiPriority w:val="20"/>
    <w:qFormat/>
    <w:rsid w:val="00F02CE5"/>
    <w:rPr>
      <w:i/>
      <w:iCs/>
    </w:rPr>
  </w:style>
  <w:style w:type="paragraph" w:styleId="NoSpacing">
    <w:name w:val="No Spacing"/>
    <w:uiPriority w:val="1"/>
    <w:qFormat/>
    <w:rsid w:val="00F02C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2C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C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CE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2C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C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C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2C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2CE5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842F63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0D18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1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socialcare.wales/qualifications-funding/induction-frameworks/induction-for-early-years-and-child-care/evidence-for-awif-for-early-years-and-childcar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socialcarewales-my.sharepoint.com/:b:/g/personal/gemma_thain_socialcare_wales/EYmGFAsx8SNCrMy2Aib7XLYBpKavPRmJ1ia1gEHTs2WTIw?e=Ri3Pm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ocialcarewales-my.sharepoint.com/:w:/g/personal/gemma_thain_socialcare_wales/EasNWRDRsXNPqRkiVynkQA0BZTiuL2bfriY8rb72MfvHKQ?e=erqa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eb2f391d-c696-4363-aa46-7901ab5f2d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7F79BDD96439CC29AF16258DB4F" ma:contentTypeVersion="9" ma:contentTypeDescription="Create a new document." ma:contentTypeScope="" ma:versionID="421f7a215a3fa627fbf7e3258a2483fc">
  <xsd:schema xmlns:xsd="http://www.w3.org/2001/XMLSchema" xmlns:xs="http://www.w3.org/2001/XMLSchema" xmlns:p="http://schemas.microsoft.com/office/2006/metadata/properties" xmlns:ns2="eb2f391d-c696-4363-aa46-7901ab5f2d1c" targetNamespace="http://schemas.microsoft.com/office/2006/metadata/properties" ma:root="true" ma:fieldsID="c459b6ee324cb6d01fe84a7fe2464e0d" ns2:_="">
    <xsd:import namespace="eb2f391d-c696-4363-aa46-7901ab5f2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391d-c696-4363-aa46-7901ab5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7A468-13F9-43D0-BF52-6AE83ACB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45D1C-3781-4AFF-85F2-F337AF23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B0D91-29EC-43ED-81CD-AC36AD2E2E09}">
  <ds:schemaRefs>
    <ds:schemaRef ds:uri="http://schemas.microsoft.com/office/2006/metadata/properties"/>
    <ds:schemaRef ds:uri="http://schemas.microsoft.com/office/infopath/2007/PartnerControls"/>
    <ds:schemaRef ds:uri="eb2f391d-c696-4363-aa46-7901ab5f2d1c"/>
  </ds:schemaRefs>
</ds:datastoreItem>
</file>

<file path=customXml/itemProps4.xml><?xml version="1.0" encoding="utf-8"?>
<ds:datastoreItem xmlns:ds="http://schemas.openxmlformats.org/officeDocument/2006/customXml" ds:itemID="{3CD067CC-DF41-4C3D-9942-9004109E4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f391d-c696-4363-aa46-7901ab5f2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Links>
    <vt:vector size="48" baseType="variant">
      <vt:variant>
        <vt:i4>6881374</vt:i4>
      </vt:variant>
      <vt:variant>
        <vt:i4>39</vt:i4>
      </vt:variant>
      <vt:variant>
        <vt:i4>0</vt:i4>
      </vt:variant>
      <vt:variant>
        <vt:i4>5</vt:i4>
      </vt:variant>
      <vt:variant>
        <vt:lpwstr>https://socialcarewales-my.sharepoint.com/:b:/g/personal/gemma_thain_socialcare_wales/EYmGFAsx8SNCrMy2Aib7XLYBpKavPRmJ1ia1gEHTs2WTIw?e=Ri3PmQ</vt:lpwstr>
      </vt:variant>
      <vt:variant>
        <vt:lpwstr/>
      </vt:variant>
      <vt:variant>
        <vt:i4>6946896</vt:i4>
      </vt:variant>
      <vt:variant>
        <vt:i4>36</vt:i4>
      </vt:variant>
      <vt:variant>
        <vt:i4>0</vt:i4>
      </vt:variant>
      <vt:variant>
        <vt:i4>5</vt:i4>
      </vt:variant>
      <vt:variant>
        <vt:lpwstr>https://socialcarewales-my.sharepoint.com/:w:/g/personal/gemma_thain_socialcare_wales/EasNWRDRsXNPqRkiVynkQA0BZTiuL2bfriY8rb72MfvHKQ?e=erqamA</vt:lpwstr>
      </vt:variant>
      <vt:variant>
        <vt:lpwstr/>
      </vt:variant>
      <vt:variant>
        <vt:i4>5439491</vt:i4>
      </vt:variant>
      <vt:variant>
        <vt:i4>33</vt:i4>
      </vt:variant>
      <vt:variant>
        <vt:i4>0</vt:i4>
      </vt:variant>
      <vt:variant>
        <vt:i4>5</vt:i4>
      </vt:variant>
      <vt:variant>
        <vt:lpwstr>https://socialcare.wales/qualifications-funding/induction-frameworks/induction-for-early-years-and-child-care/evidence-for-awif-for-early-years-and-childcare</vt:lpwstr>
      </vt:variant>
      <vt:variant>
        <vt:lpwstr/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_Toc168649301</vt:lpwstr>
      </vt:variant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_Toc168649300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_Toc168649299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_Toc168649298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_Toc168649297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Thain</dc:creator>
  <cp:keywords/>
  <dc:description/>
  <cp:lastModifiedBy>Gemma Thain</cp:lastModifiedBy>
  <cp:revision>31</cp:revision>
  <dcterms:created xsi:type="dcterms:W3CDTF">2024-07-22T16:09:00Z</dcterms:created>
  <dcterms:modified xsi:type="dcterms:W3CDTF">2024-11-15T10:53:00Z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0x01010035AEB7F79BDD96439CC29AF16258DB4F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2024-01-24T08:41:13Z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66949571-eaf3-4d20-9bd8-39c766214449</vt:lpwstr>
  </property>
  <property fmtid="{D5CDD505-2E9C-101B-9397-08002B2CF9AE}" pid="9" name="MSIP_Label_d3f1612d-fb9f-4910-9745-3218a93e4acc_ContentBits">
    <vt:lpwstr>0</vt:lpwstr>
  </property>
</Properties>
</file>